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0C65" w14:textId="77777777" w:rsidR="008D0810" w:rsidRDefault="008D0810">
      <w:pPr>
        <w:pStyle w:val="af4"/>
      </w:pPr>
    </w:p>
    <w:p w14:paraId="1B3C5DA1" w14:textId="77777777" w:rsidR="008D0810" w:rsidRDefault="008D0810">
      <w:pPr>
        <w:spacing w:line="360" w:lineRule="auto"/>
        <w:jc w:val="center"/>
        <w:rPr>
          <w:rFonts w:asciiTheme="minorEastAsia" w:hAnsiTheme="minorEastAsia" w:cs="Times New Roman" w:hint="eastAsia"/>
          <w:b/>
          <w:sz w:val="48"/>
          <w:szCs w:val="48"/>
        </w:rPr>
      </w:pPr>
    </w:p>
    <w:p w14:paraId="75E0A248" w14:textId="77777777" w:rsidR="008D0810" w:rsidRDefault="008D0810">
      <w:pPr>
        <w:adjustRightInd w:val="0"/>
        <w:snapToGrid w:val="0"/>
        <w:spacing w:line="360" w:lineRule="auto"/>
        <w:jc w:val="center"/>
        <w:rPr>
          <w:rFonts w:asciiTheme="minorEastAsia" w:hAnsiTheme="minorEastAsia" w:cs="Arial" w:hint="eastAsia"/>
          <w:sz w:val="48"/>
          <w:szCs w:val="48"/>
        </w:rPr>
      </w:pPr>
      <w:bookmarkStart w:id="0" w:name="_Toc123112227"/>
      <w:bookmarkStart w:id="1" w:name="_Toc123112266"/>
      <w:bookmarkStart w:id="2" w:name="_Toc123701386"/>
      <w:bookmarkStart w:id="3" w:name="_Toc139991729"/>
    </w:p>
    <w:p w14:paraId="45BE9838" w14:textId="77777777" w:rsidR="008D0810" w:rsidRDefault="00417F9F">
      <w:pPr>
        <w:adjustRightInd w:val="0"/>
        <w:snapToGrid w:val="0"/>
        <w:spacing w:line="360" w:lineRule="auto"/>
        <w:jc w:val="center"/>
        <w:rPr>
          <w:rFonts w:asciiTheme="minorEastAsia" w:hAnsiTheme="minorEastAsia" w:cs="Arial" w:hint="eastAsia"/>
          <w:b/>
          <w:sz w:val="48"/>
          <w:szCs w:val="48"/>
        </w:rPr>
      </w:pPr>
      <w:r>
        <w:rPr>
          <w:rFonts w:asciiTheme="minorEastAsia" w:hAnsiTheme="minorEastAsia" w:cs="Arial" w:hint="eastAsia"/>
          <w:b/>
          <w:sz w:val="48"/>
          <w:szCs w:val="48"/>
        </w:rPr>
        <w:t>富荣福康混合型证券投资基金</w:t>
      </w:r>
    </w:p>
    <w:p w14:paraId="3BE2841F" w14:textId="77777777" w:rsidR="008D0810" w:rsidRDefault="00417F9F">
      <w:pPr>
        <w:adjustRightInd w:val="0"/>
        <w:snapToGrid w:val="0"/>
        <w:spacing w:line="360" w:lineRule="auto"/>
        <w:jc w:val="center"/>
        <w:rPr>
          <w:rFonts w:asciiTheme="minorEastAsia" w:hAnsiTheme="minorEastAsia" w:cs="Arial" w:hint="eastAsia"/>
          <w:b/>
          <w:sz w:val="48"/>
          <w:szCs w:val="48"/>
        </w:rPr>
      </w:pPr>
      <w:r>
        <w:rPr>
          <w:rFonts w:asciiTheme="minorEastAsia" w:hAnsiTheme="minorEastAsia" w:cs="Arial" w:hint="eastAsia"/>
          <w:b/>
          <w:sz w:val="48"/>
          <w:szCs w:val="48"/>
        </w:rPr>
        <w:t>更新的招募说明书</w:t>
      </w:r>
    </w:p>
    <w:p w14:paraId="7BF362B0" w14:textId="21373129" w:rsidR="008D0810" w:rsidRDefault="00417F9F">
      <w:pPr>
        <w:adjustRightInd w:val="0"/>
        <w:snapToGrid w:val="0"/>
        <w:spacing w:line="360" w:lineRule="auto"/>
        <w:jc w:val="center"/>
        <w:rPr>
          <w:rFonts w:asciiTheme="minorEastAsia" w:hAnsiTheme="minorEastAsia" w:cs="Arial" w:hint="eastAsia"/>
          <w:b/>
          <w:sz w:val="48"/>
          <w:szCs w:val="48"/>
        </w:rPr>
      </w:pPr>
      <w:r>
        <w:rPr>
          <w:rFonts w:asciiTheme="minorEastAsia" w:hAnsiTheme="minorEastAsia" w:cs="Arial" w:hint="eastAsia"/>
          <w:b/>
          <w:sz w:val="48"/>
          <w:szCs w:val="48"/>
        </w:rPr>
        <w:t>（</w:t>
      </w:r>
      <w:r w:rsidR="00C83E86">
        <w:rPr>
          <w:rFonts w:asciiTheme="minorEastAsia" w:hAnsiTheme="minorEastAsia" w:cs="Arial" w:hint="eastAsia"/>
          <w:b/>
          <w:sz w:val="48"/>
          <w:szCs w:val="48"/>
        </w:rPr>
        <w:t>2025年第3号</w:t>
      </w:r>
      <w:r>
        <w:rPr>
          <w:rFonts w:asciiTheme="minorEastAsia" w:hAnsiTheme="minorEastAsia" w:cs="Arial" w:hint="eastAsia"/>
          <w:b/>
          <w:sz w:val="48"/>
          <w:szCs w:val="48"/>
        </w:rPr>
        <w:t>）</w:t>
      </w:r>
    </w:p>
    <w:p w14:paraId="431DFA71" w14:textId="77777777" w:rsidR="008D0810" w:rsidRDefault="008D0810">
      <w:pPr>
        <w:adjustRightInd w:val="0"/>
        <w:snapToGrid w:val="0"/>
        <w:spacing w:line="360" w:lineRule="auto"/>
        <w:jc w:val="center"/>
        <w:rPr>
          <w:rFonts w:asciiTheme="minorEastAsia" w:hAnsiTheme="minorEastAsia" w:cs="Times New Roman" w:hint="eastAsia"/>
          <w:b/>
          <w:sz w:val="36"/>
          <w:szCs w:val="36"/>
        </w:rPr>
      </w:pPr>
    </w:p>
    <w:p w14:paraId="701D884E" w14:textId="77777777" w:rsidR="008D0810" w:rsidRDefault="008D0810">
      <w:pPr>
        <w:adjustRightInd w:val="0"/>
        <w:snapToGrid w:val="0"/>
        <w:spacing w:line="360" w:lineRule="auto"/>
        <w:jc w:val="center"/>
        <w:rPr>
          <w:rFonts w:asciiTheme="minorEastAsia" w:hAnsiTheme="minorEastAsia" w:cs="Arial" w:hint="eastAsia"/>
          <w:sz w:val="36"/>
          <w:szCs w:val="36"/>
        </w:rPr>
      </w:pPr>
    </w:p>
    <w:p w14:paraId="38030E93" w14:textId="77777777" w:rsidR="008D0810" w:rsidRDefault="008D0810">
      <w:pPr>
        <w:adjustRightInd w:val="0"/>
        <w:snapToGrid w:val="0"/>
        <w:spacing w:line="360" w:lineRule="auto"/>
        <w:jc w:val="center"/>
        <w:rPr>
          <w:rFonts w:asciiTheme="minorEastAsia" w:hAnsiTheme="minorEastAsia" w:cs="Arial" w:hint="eastAsia"/>
          <w:sz w:val="36"/>
          <w:szCs w:val="36"/>
        </w:rPr>
      </w:pPr>
    </w:p>
    <w:p w14:paraId="6852E927" w14:textId="77777777" w:rsidR="008D0810" w:rsidRDefault="008D0810">
      <w:pPr>
        <w:adjustRightInd w:val="0"/>
        <w:snapToGrid w:val="0"/>
        <w:spacing w:line="360" w:lineRule="auto"/>
        <w:jc w:val="center"/>
        <w:rPr>
          <w:rFonts w:asciiTheme="minorEastAsia" w:hAnsiTheme="minorEastAsia" w:cs="Arial" w:hint="eastAsia"/>
          <w:sz w:val="36"/>
          <w:szCs w:val="36"/>
        </w:rPr>
      </w:pPr>
    </w:p>
    <w:p w14:paraId="4FC76F82" w14:textId="77777777" w:rsidR="008D0810" w:rsidRDefault="008D0810">
      <w:pPr>
        <w:adjustRightInd w:val="0"/>
        <w:snapToGrid w:val="0"/>
        <w:spacing w:line="360" w:lineRule="auto"/>
        <w:jc w:val="center"/>
        <w:rPr>
          <w:rFonts w:asciiTheme="minorEastAsia" w:hAnsiTheme="minorEastAsia" w:cs="Arial" w:hint="eastAsia"/>
          <w:sz w:val="36"/>
          <w:szCs w:val="36"/>
        </w:rPr>
      </w:pPr>
    </w:p>
    <w:p w14:paraId="310DAF1C" w14:textId="77777777" w:rsidR="008D0810" w:rsidRDefault="00417F9F">
      <w:pPr>
        <w:snapToGrid w:val="0"/>
        <w:spacing w:line="360" w:lineRule="auto"/>
        <w:jc w:val="center"/>
        <w:rPr>
          <w:rFonts w:asciiTheme="minorEastAsia" w:hAnsiTheme="minorEastAsia" w:cs="Times New Roman" w:hint="eastAsia"/>
          <w:b/>
          <w:sz w:val="36"/>
          <w:szCs w:val="36"/>
        </w:rPr>
      </w:pPr>
      <w:bookmarkStart w:id="4" w:name="_Toc123112263"/>
      <w:bookmarkStart w:id="5" w:name="_Toc123701383"/>
      <w:bookmarkStart w:id="6" w:name="_Toc123112224"/>
      <w:bookmarkStart w:id="7" w:name="_Toc139991726"/>
      <w:bookmarkStart w:id="8" w:name="_Toc139992301"/>
      <w:r>
        <w:rPr>
          <w:rFonts w:asciiTheme="minorEastAsia" w:hAnsiTheme="minorEastAsia" w:cs="Times New Roman" w:hint="eastAsia"/>
          <w:b/>
          <w:sz w:val="36"/>
          <w:szCs w:val="36"/>
        </w:rPr>
        <w:t>基金管理人：</w:t>
      </w:r>
      <w:bookmarkEnd w:id="4"/>
      <w:bookmarkEnd w:id="5"/>
      <w:bookmarkEnd w:id="6"/>
      <w:bookmarkEnd w:id="7"/>
      <w:bookmarkEnd w:id="8"/>
      <w:r>
        <w:rPr>
          <w:rFonts w:asciiTheme="minorEastAsia" w:hAnsiTheme="minorEastAsia" w:cs="Times New Roman" w:hint="eastAsia"/>
          <w:b/>
          <w:sz w:val="36"/>
          <w:szCs w:val="36"/>
        </w:rPr>
        <w:t>富荣基金管理有限公司</w:t>
      </w:r>
    </w:p>
    <w:p w14:paraId="750399B0" w14:textId="77777777" w:rsidR="008D0810" w:rsidRDefault="00417F9F">
      <w:pPr>
        <w:autoSpaceDE w:val="0"/>
        <w:autoSpaceDN w:val="0"/>
        <w:adjustRightInd w:val="0"/>
        <w:snapToGrid w:val="0"/>
        <w:spacing w:line="360" w:lineRule="auto"/>
        <w:jc w:val="center"/>
        <w:rPr>
          <w:rFonts w:asciiTheme="minorEastAsia" w:hAnsiTheme="minorEastAsia" w:cs="Arial" w:hint="eastAsia"/>
          <w:b/>
          <w:bCs/>
          <w:sz w:val="36"/>
          <w:szCs w:val="36"/>
        </w:rPr>
      </w:pPr>
      <w:bookmarkStart w:id="9" w:name="_Toc123112264"/>
      <w:bookmarkStart w:id="10" w:name="_Toc139992302"/>
      <w:bookmarkStart w:id="11" w:name="_Toc139991727"/>
      <w:bookmarkStart w:id="12" w:name="_Toc123701384"/>
      <w:bookmarkStart w:id="13" w:name="_Toc123112225"/>
      <w:r>
        <w:rPr>
          <w:rFonts w:asciiTheme="minorEastAsia" w:hAnsiTheme="minorEastAsia" w:cs="Times New Roman" w:hint="eastAsia"/>
          <w:b/>
          <w:sz w:val="36"/>
          <w:szCs w:val="36"/>
        </w:rPr>
        <w:t>基金托管人：</w:t>
      </w:r>
      <w:bookmarkEnd w:id="9"/>
      <w:bookmarkEnd w:id="10"/>
      <w:bookmarkEnd w:id="11"/>
      <w:bookmarkEnd w:id="12"/>
      <w:bookmarkEnd w:id="13"/>
      <w:r>
        <w:rPr>
          <w:rFonts w:asciiTheme="minorEastAsia" w:hAnsiTheme="minorEastAsia" w:cs="Times New Roman" w:hint="eastAsia"/>
          <w:b/>
          <w:sz w:val="36"/>
          <w:szCs w:val="36"/>
        </w:rPr>
        <w:t>中国光大银行股份有限公司</w:t>
      </w:r>
    </w:p>
    <w:p w14:paraId="262BF0F2" w14:textId="77777777" w:rsidR="008D0810" w:rsidRDefault="008D0810">
      <w:pPr>
        <w:autoSpaceDE w:val="0"/>
        <w:autoSpaceDN w:val="0"/>
        <w:adjustRightInd w:val="0"/>
        <w:snapToGrid w:val="0"/>
        <w:spacing w:line="360" w:lineRule="auto"/>
        <w:jc w:val="center"/>
        <w:rPr>
          <w:rFonts w:asciiTheme="minorEastAsia" w:hAnsiTheme="minorEastAsia" w:cs="Arial" w:hint="eastAsia"/>
          <w:b/>
          <w:bCs/>
          <w:sz w:val="28"/>
          <w:szCs w:val="28"/>
        </w:rPr>
      </w:pPr>
    </w:p>
    <w:p w14:paraId="7EC73F10" w14:textId="77777777" w:rsidR="008D0810" w:rsidRDefault="008D0810">
      <w:pPr>
        <w:autoSpaceDE w:val="0"/>
        <w:autoSpaceDN w:val="0"/>
        <w:adjustRightInd w:val="0"/>
        <w:snapToGrid w:val="0"/>
        <w:spacing w:line="360" w:lineRule="auto"/>
        <w:jc w:val="center"/>
        <w:rPr>
          <w:rFonts w:asciiTheme="minorEastAsia" w:hAnsiTheme="minorEastAsia" w:cs="Arial" w:hint="eastAsia"/>
          <w:b/>
          <w:bCs/>
          <w:sz w:val="28"/>
          <w:szCs w:val="28"/>
        </w:rPr>
      </w:pPr>
    </w:p>
    <w:p w14:paraId="3CCB5022" w14:textId="77777777" w:rsidR="008D0810" w:rsidRDefault="008D0810">
      <w:pPr>
        <w:autoSpaceDE w:val="0"/>
        <w:autoSpaceDN w:val="0"/>
        <w:adjustRightInd w:val="0"/>
        <w:snapToGrid w:val="0"/>
        <w:spacing w:line="360" w:lineRule="auto"/>
        <w:jc w:val="center"/>
        <w:rPr>
          <w:rFonts w:asciiTheme="minorEastAsia" w:hAnsiTheme="minorEastAsia" w:cs="Arial" w:hint="eastAsia"/>
          <w:b/>
          <w:bCs/>
          <w:sz w:val="28"/>
          <w:szCs w:val="28"/>
        </w:rPr>
      </w:pPr>
    </w:p>
    <w:p w14:paraId="5ECE03FD" w14:textId="77777777" w:rsidR="008D0810" w:rsidRDefault="008D0810">
      <w:pPr>
        <w:widowControl/>
        <w:spacing w:line="360" w:lineRule="auto"/>
        <w:rPr>
          <w:rFonts w:asciiTheme="minorEastAsia" w:hAnsiTheme="minorEastAsia" w:cs="Arial" w:hint="eastAsia"/>
          <w:b/>
          <w:bCs/>
          <w:kern w:val="0"/>
          <w:sz w:val="28"/>
          <w:szCs w:val="28"/>
        </w:rPr>
        <w:sectPr w:rsidR="008D081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720"/>
          <w:titlePg/>
          <w:docGrid w:type="lines" w:linePitch="312"/>
        </w:sectPr>
      </w:pPr>
    </w:p>
    <w:p w14:paraId="207BE05F" w14:textId="77777777" w:rsidR="008D0810" w:rsidRDefault="00417F9F">
      <w:pPr>
        <w:autoSpaceDE w:val="0"/>
        <w:autoSpaceDN w:val="0"/>
        <w:adjustRightInd w:val="0"/>
        <w:snapToGrid w:val="0"/>
        <w:spacing w:line="360" w:lineRule="auto"/>
        <w:jc w:val="center"/>
        <w:outlineLvl w:val="0"/>
        <w:rPr>
          <w:rFonts w:asciiTheme="minorEastAsia" w:hAnsiTheme="minorEastAsia" w:cs="Arial" w:hint="eastAsia"/>
          <w:b/>
          <w:bCs/>
          <w:sz w:val="30"/>
          <w:szCs w:val="30"/>
        </w:rPr>
      </w:pPr>
      <w:bookmarkStart w:id="14" w:name="_Toc146096076"/>
      <w:r>
        <w:rPr>
          <w:rFonts w:asciiTheme="minorEastAsia" w:hAnsiTheme="minorEastAsia" w:cs="Arial" w:hint="eastAsia"/>
          <w:b/>
          <w:bCs/>
          <w:sz w:val="30"/>
          <w:szCs w:val="30"/>
        </w:rPr>
        <w:lastRenderedPageBreak/>
        <w:t>【重要提示】</w:t>
      </w:r>
      <w:bookmarkEnd w:id="14"/>
    </w:p>
    <w:p w14:paraId="4B5B5FB9" w14:textId="77777777" w:rsidR="008D0810" w:rsidRDefault="008D0810">
      <w:pPr>
        <w:autoSpaceDE w:val="0"/>
        <w:autoSpaceDN w:val="0"/>
        <w:adjustRightInd w:val="0"/>
        <w:snapToGrid w:val="0"/>
        <w:spacing w:line="360" w:lineRule="auto"/>
        <w:jc w:val="center"/>
        <w:rPr>
          <w:rFonts w:asciiTheme="minorEastAsia" w:hAnsiTheme="minorEastAsia" w:cs="Arial" w:hint="eastAsia"/>
          <w:b/>
          <w:bCs/>
          <w:szCs w:val="21"/>
        </w:rPr>
      </w:pPr>
    </w:p>
    <w:p w14:paraId="0B74136D"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本基金根据2017年6月8日中国证券监督管理委员会（以下简称</w:t>
      </w:r>
      <w:r>
        <w:rPr>
          <w:rFonts w:asciiTheme="minorEastAsia" w:hAnsiTheme="minorEastAsia" w:cs="Arial" w:hint="eastAsia"/>
          <w:sz w:val="24"/>
          <w:szCs w:val="24"/>
        </w:rPr>
        <w:t>“</w:t>
      </w:r>
      <w:r>
        <w:rPr>
          <w:rFonts w:asciiTheme="minorEastAsia" w:hAnsiTheme="minorEastAsia" w:cs="Arial"/>
          <w:sz w:val="24"/>
          <w:szCs w:val="24"/>
        </w:rPr>
        <w:t>中国证监会</w:t>
      </w:r>
      <w:r>
        <w:rPr>
          <w:rFonts w:asciiTheme="minorEastAsia" w:hAnsiTheme="minorEastAsia" w:cs="Arial" w:hint="eastAsia"/>
          <w:sz w:val="24"/>
          <w:szCs w:val="24"/>
        </w:rPr>
        <w:t>”</w:t>
      </w:r>
      <w:r>
        <w:rPr>
          <w:rFonts w:asciiTheme="minorEastAsia" w:hAnsiTheme="minorEastAsia" w:cs="Arial"/>
          <w:sz w:val="24"/>
          <w:szCs w:val="24"/>
        </w:rPr>
        <w:t>）《关于</w:t>
      </w:r>
      <w:r>
        <w:rPr>
          <w:rFonts w:asciiTheme="minorEastAsia" w:hAnsiTheme="minorEastAsia" w:cs="Arial" w:hint="eastAsia"/>
          <w:sz w:val="24"/>
          <w:szCs w:val="24"/>
        </w:rPr>
        <w:t>准予</w:t>
      </w:r>
      <w:r>
        <w:rPr>
          <w:rFonts w:asciiTheme="minorEastAsia" w:hAnsiTheme="minorEastAsia" w:cs="Arial"/>
          <w:sz w:val="24"/>
          <w:szCs w:val="24"/>
        </w:rPr>
        <w:t>富荣</w:t>
      </w:r>
      <w:r>
        <w:rPr>
          <w:rFonts w:asciiTheme="minorEastAsia" w:hAnsiTheme="minorEastAsia" w:cs="Arial" w:hint="eastAsia"/>
          <w:sz w:val="24"/>
          <w:szCs w:val="24"/>
        </w:rPr>
        <w:t>福康混合</w:t>
      </w:r>
      <w:r>
        <w:rPr>
          <w:rFonts w:asciiTheme="minorEastAsia" w:hAnsiTheme="minorEastAsia" w:cs="Arial"/>
          <w:sz w:val="24"/>
          <w:szCs w:val="24"/>
        </w:rPr>
        <w:t>型证券投资基金</w:t>
      </w:r>
      <w:r>
        <w:rPr>
          <w:rFonts w:asciiTheme="minorEastAsia" w:hAnsiTheme="minorEastAsia" w:cs="Arial" w:hint="eastAsia"/>
          <w:sz w:val="24"/>
          <w:szCs w:val="24"/>
        </w:rPr>
        <w:t>注册</w:t>
      </w:r>
      <w:r>
        <w:rPr>
          <w:rFonts w:asciiTheme="minorEastAsia" w:hAnsiTheme="minorEastAsia" w:cs="Arial"/>
          <w:sz w:val="24"/>
          <w:szCs w:val="24"/>
        </w:rPr>
        <w:t>的批复》（证监许可[2017]867号）进行募集。</w:t>
      </w:r>
      <w:r>
        <w:rPr>
          <w:rFonts w:asciiTheme="minorEastAsia" w:hAnsiTheme="minorEastAsia" w:cs="Arial" w:hint="eastAsia"/>
          <w:sz w:val="24"/>
          <w:szCs w:val="24"/>
        </w:rPr>
        <w:t>本基金于</w:t>
      </w:r>
      <w:r>
        <w:rPr>
          <w:rFonts w:asciiTheme="minorEastAsia" w:hAnsiTheme="minorEastAsia" w:cs="Arial"/>
          <w:sz w:val="24"/>
          <w:szCs w:val="24"/>
        </w:rPr>
        <w:t>2018年2月11日正式生效。</w:t>
      </w:r>
    </w:p>
    <w:p w14:paraId="7F1A008E"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w:t>
      </w:r>
    </w:p>
    <w:p w14:paraId="23943E20"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管理风险、职业道德风险、流动性风险、合规性风险、本基金特定投资策略带来的风险及其他风险等。本基金属于混合型基金，其预期的风险和收益高于货币市场基金、债券基金，低于股票型基金，属于证券投资基金中中高风险、中高预期收益的品种。</w:t>
      </w:r>
    </w:p>
    <w:p w14:paraId="092012E4" w14:textId="77777777" w:rsidR="008D0810" w:rsidRDefault="00417F9F">
      <w:pPr>
        <w:adjustRightInd w:val="0"/>
        <w:snapToGrid w:val="0"/>
        <w:spacing w:line="360" w:lineRule="auto"/>
        <w:ind w:firstLine="480"/>
        <w:rPr>
          <w:rFonts w:asciiTheme="minorEastAsia" w:hAnsiTheme="minorEastAsia" w:cs="Arial" w:hint="eastAsia"/>
          <w:sz w:val="24"/>
          <w:szCs w:val="24"/>
        </w:rPr>
      </w:pPr>
      <w:r>
        <w:rPr>
          <w:rFonts w:asciiTheme="minorEastAsia" w:hAnsiTheme="minorEastAsia" w:cs="Arial" w:hint="eastAsia"/>
          <w:sz w:val="24"/>
          <w:szCs w:val="24"/>
        </w:rPr>
        <w:t>本基金可投资中小企业私募债券，其发行人是非上市中小微企业，发行方式为面向特定对象的私募发行。当基金所投资的中小企业私募债券之债务人出现违约，或在交易过程中发生交收违约，或由于中小企业私募债券信用质量降低导致价格下降等，可能造成基金财产损失。中小企业私募债券较传统企业债的信用风险及流动性风险更大，从而增加了本基金整体的债券投资风险。</w:t>
      </w:r>
    </w:p>
    <w:p w14:paraId="2E817053"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36BEDC2C"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本基金以</w:t>
      </w:r>
      <w:r>
        <w:rPr>
          <w:rFonts w:asciiTheme="minorEastAsia" w:hAnsiTheme="minorEastAsia" w:cs="Arial"/>
          <w:sz w:val="24"/>
          <w:szCs w:val="24"/>
        </w:rPr>
        <w:t>1.00</w:t>
      </w:r>
      <w:r>
        <w:rPr>
          <w:rFonts w:asciiTheme="minorEastAsia" w:hAnsiTheme="minorEastAsia" w:cs="Arial" w:hint="eastAsia"/>
          <w:sz w:val="24"/>
          <w:szCs w:val="24"/>
        </w:rPr>
        <w:t>元发售面值募集基金份额，在市场波动等因素的影响下，基金投资有可能出现亏损或基金份额净值低于发售面值。</w:t>
      </w:r>
    </w:p>
    <w:p w14:paraId="53114A6B"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有风险，投资人认购（或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5960BAD1"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原则，在作出投资决策后，基金运营状况与基金净值变化引致的投</w:t>
      </w:r>
      <w:r>
        <w:rPr>
          <w:rFonts w:asciiTheme="minorEastAsia" w:hAnsiTheme="minorEastAsia" w:cs="Arial" w:hint="eastAsia"/>
          <w:sz w:val="24"/>
          <w:szCs w:val="24"/>
        </w:rPr>
        <w:lastRenderedPageBreak/>
        <w:t>资风险，由投资者自行承担。</w:t>
      </w:r>
    </w:p>
    <w:p w14:paraId="6EEBDCDC" w14:textId="7B7E2A1C"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本招募说明书所载内容截止日为2025年</w:t>
      </w:r>
      <w:r w:rsidR="00C83E86">
        <w:rPr>
          <w:rFonts w:asciiTheme="minorEastAsia" w:hAnsiTheme="minorEastAsia" w:cs="Arial" w:hint="eastAsia"/>
          <w:sz w:val="24"/>
          <w:szCs w:val="24"/>
        </w:rPr>
        <w:t>8</w:t>
      </w:r>
      <w:r>
        <w:rPr>
          <w:rFonts w:asciiTheme="minorEastAsia" w:hAnsiTheme="minorEastAsia" w:cs="Arial" w:hint="eastAsia"/>
          <w:sz w:val="24"/>
          <w:szCs w:val="24"/>
        </w:rPr>
        <w:t>月</w:t>
      </w:r>
      <w:r w:rsidR="00C83E86">
        <w:rPr>
          <w:rFonts w:asciiTheme="minorEastAsia" w:hAnsiTheme="minorEastAsia" w:cs="Arial" w:hint="eastAsia"/>
          <w:sz w:val="24"/>
          <w:szCs w:val="24"/>
        </w:rPr>
        <w:t>23</w:t>
      </w:r>
      <w:r>
        <w:rPr>
          <w:rFonts w:asciiTheme="minorEastAsia" w:hAnsiTheme="minorEastAsia" w:cs="Arial" w:hint="eastAsia"/>
          <w:sz w:val="24"/>
          <w:szCs w:val="24"/>
        </w:rPr>
        <w:t>日，有关财务数据截止日为</w:t>
      </w:r>
      <w:r w:rsidR="00C83E86">
        <w:rPr>
          <w:rFonts w:asciiTheme="minorEastAsia" w:hAnsiTheme="minorEastAsia" w:cs="Arial" w:hint="eastAsia"/>
          <w:sz w:val="24"/>
          <w:szCs w:val="24"/>
        </w:rPr>
        <w:t>2025</w:t>
      </w:r>
      <w:r>
        <w:rPr>
          <w:rFonts w:asciiTheme="minorEastAsia" w:hAnsiTheme="minorEastAsia" w:cs="Arial" w:hint="eastAsia"/>
          <w:sz w:val="24"/>
          <w:szCs w:val="24"/>
        </w:rPr>
        <w:t>年6月30日，净值表现截止日为</w:t>
      </w:r>
      <w:r w:rsidR="00C83E86">
        <w:rPr>
          <w:rFonts w:asciiTheme="minorEastAsia" w:hAnsiTheme="minorEastAsia" w:cs="Arial" w:hint="eastAsia"/>
          <w:sz w:val="24"/>
          <w:szCs w:val="24"/>
        </w:rPr>
        <w:t>2025</w:t>
      </w:r>
      <w:r>
        <w:rPr>
          <w:rFonts w:asciiTheme="minorEastAsia" w:hAnsiTheme="minorEastAsia" w:cs="Arial" w:hint="eastAsia"/>
          <w:sz w:val="24"/>
          <w:szCs w:val="24"/>
        </w:rPr>
        <w:t>年6月30日。（财务数据未经审计）。</w:t>
      </w:r>
    </w:p>
    <w:p w14:paraId="6984C434" w14:textId="77777777" w:rsidR="008D0810" w:rsidRDefault="008D0810">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2567E877" w14:textId="77777777" w:rsidR="008D0810" w:rsidRDefault="008D0810">
      <w:pPr>
        <w:autoSpaceDE w:val="0"/>
        <w:autoSpaceDN w:val="0"/>
        <w:adjustRightInd w:val="0"/>
        <w:snapToGrid w:val="0"/>
        <w:spacing w:line="360" w:lineRule="auto"/>
        <w:jc w:val="left"/>
        <w:rPr>
          <w:rFonts w:asciiTheme="minorEastAsia" w:hAnsiTheme="minorEastAsia" w:cs="Arial" w:hint="eastAsia"/>
          <w:b/>
          <w:bCs/>
          <w:sz w:val="28"/>
          <w:szCs w:val="28"/>
        </w:rPr>
      </w:pPr>
    </w:p>
    <w:p w14:paraId="1E4DF473" w14:textId="77777777" w:rsidR="008D0810" w:rsidRDefault="008D0810">
      <w:pPr>
        <w:widowControl/>
        <w:spacing w:line="360" w:lineRule="auto"/>
        <w:jc w:val="left"/>
        <w:rPr>
          <w:rFonts w:asciiTheme="minorEastAsia" w:hAnsiTheme="minorEastAsia" w:cs="Times New Roman" w:hint="eastAsia"/>
          <w:b/>
          <w:kern w:val="0"/>
          <w:sz w:val="30"/>
          <w:szCs w:val="30"/>
        </w:rPr>
        <w:sectPr w:rsidR="008D0810">
          <w:pgSz w:w="11906" w:h="16838"/>
          <w:pgMar w:top="1440" w:right="1800" w:bottom="1440" w:left="1800" w:header="851" w:footer="992" w:gutter="0"/>
          <w:pgNumType w:start="1"/>
          <w:cols w:space="720"/>
          <w:docGrid w:type="lines" w:linePitch="312"/>
        </w:sectPr>
      </w:pPr>
      <w:bookmarkStart w:id="15" w:name="_Toc15517"/>
      <w:bookmarkStart w:id="16" w:name="_Toc4966"/>
      <w:bookmarkStart w:id="17" w:name="_Toc123112229"/>
      <w:bookmarkStart w:id="18" w:name="_Toc6306"/>
      <w:bookmarkStart w:id="19" w:name="_Toc123701389"/>
      <w:bookmarkStart w:id="20" w:name="_Toc4867"/>
      <w:bookmarkStart w:id="21" w:name="_Toc123112268"/>
      <w:bookmarkStart w:id="22" w:name="_Toc23386"/>
      <w:bookmarkStart w:id="23" w:name="_Toc26897"/>
      <w:bookmarkStart w:id="24" w:name="_Toc352229746"/>
      <w:bookmarkStart w:id="25" w:name="_Toc8727"/>
      <w:bookmarkStart w:id="26" w:name="_Toc32639"/>
      <w:bookmarkStart w:id="27" w:name="_Toc141703880"/>
      <w:bookmarkStart w:id="28" w:name="_Toc11660"/>
      <w:bookmarkStart w:id="29" w:name="_Toc139991730"/>
      <w:bookmarkStart w:id="30" w:name="_Toc30935"/>
      <w:bookmarkStart w:id="31" w:name="_Toc29629"/>
      <w:bookmarkStart w:id="32" w:name="_Toc233456271"/>
      <w:bookmarkEnd w:id="0"/>
      <w:bookmarkEnd w:id="1"/>
      <w:bookmarkEnd w:id="2"/>
      <w:bookmarkEnd w:id="3"/>
    </w:p>
    <w:p w14:paraId="2FA7A3BD" w14:textId="77777777" w:rsidR="008D0810" w:rsidRDefault="00417F9F">
      <w:pPr>
        <w:jc w:val="center"/>
        <w:rPr>
          <w:rFonts w:asciiTheme="minorEastAsia" w:hAnsiTheme="minorEastAsia" w:hint="eastAsia"/>
          <w:b/>
          <w:bCs/>
          <w:sz w:val="24"/>
        </w:rPr>
      </w:pPr>
      <w:r>
        <w:rPr>
          <w:rFonts w:asciiTheme="minorEastAsia" w:hAnsiTheme="minorEastAsia" w:hint="eastAsia"/>
          <w:b/>
          <w:bCs/>
          <w:sz w:val="24"/>
        </w:rPr>
        <w:lastRenderedPageBreak/>
        <w:t>目</w:t>
      </w:r>
      <w:r>
        <w:rPr>
          <w:rFonts w:asciiTheme="minorEastAsia" w:hAnsiTheme="minorEastAsia"/>
          <w:b/>
          <w:bCs/>
          <w:sz w:val="24"/>
        </w:rPr>
        <w:t xml:space="preserve">    </w:t>
      </w:r>
      <w:r>
        <w:rPr>
          <w:rFonts w:asciiTheme="minorEastAsia" w:hAnsiTheme="minorEastAsia" w:hint="eastAsia"/>
          <w:b/>
          <w:bCs/>
          <w:sz w:val="24"/>
        </w:rPr>
        <w:t>录</w:t>
      </w:r>
    </w:p>
    <w:p w14:paraId="4D4159D5" w14:textId="0A378ABC" w:rsidR="008D0810" w:rsidRDefault="00417F9F">
      <w:pPr>
        <w:pStyle w:val="TOC1"/>
        <w:rPr>
          <w:rFonts w:asciiTheme="minorHAnsi" w:eastAsiaTheme="minorEastAsia" w:hAnsiTheme="minorHAnsi" w:cstheme="minorBidi"/>
          <w:noProof/>
          <w:szCs w:val="22"/>
          <w14:ligatures w14:val="standardContextual"/>
        </w:rPr>
      </w:pPr>
      <w:r>
        <w:rPr>
          <w:rFonts w:asciiTheme="minorEastAsia" w:eastAsiaTheme="minorEastAsia" w:hAnsiTheme="minorEastAsia"/>
          <w:bCs/>
        </w:rPr>
        <w:fldChar w:fldCharType="begin"/>
      </w:r>
      <w:r>
        <w:rPr>
          <w:rFonts w:asciiTheme="minorEastAsia" w:eastAsiaTheme="minorEastAsia" w:hAnsiTheme="minorEastAsia"/>
          <w:bCs/>
        </w:rPr>
        <w:instrText xml:space="preserve"> TOC \o "1-1" \h \z \u </w:instrText>
      </w:r>
      <w:r>
        <w:rPr>
          <w:rFonts w:asciiTheme="minorEastAsia" w:eastAsiaTheme="minorEastAsia" w:hAnsiTheme="minorEastAsia"/>
          <w:bCs/>
        </w:rPr>
        <w:fldChar w:fldCharType="separate"/>
      </w:r>
      <w:hyperlink w:anchor="_Toc146096077" w:history="1">
        <w:r w:rsidR="008D0810">
          <w:rPr>
            <w:rStyle w:val="afa"/>
            <w:rFonts w:asciiTheme="minorEastAsia" w:hAnsiTheme="minorEastAsia"/>
            <w:noProof/>
          </w:rPr>
          <w:t>第一部分  绪言</w:t>
        </w:r>
        <w:r w:rsidR="008D0810">
          <w:rPr>
            <w:noProof/>
          </w:rPr>
          <w:tab/>
        </w:r>
        <w:r w:rsidR="008D0810">
          <w:rPr>
            <w:noProof/>
          </w:rPr>
          <w:fldChar w:fldCharType="begin"/>
        </w:r>
        <w:r w:rsidR="008D0810">
          <w:rPr>
            <w:noProof/>
          </w:rPr>
          <w:instrText xml:space="preserve"> PAGEREF _Toc146096077 \h </w:instrText>
        </w:r>
        <w:r w:rsidR="008D0810">
          <w:rPr>
            <w:noProof/>
          </w:rPr>
        </w:r>
        <w:r w:rsidR="008D0810">
          <w:rPr>
            <w:noProof/>
          </w:rPr>
          <w:fldChar w:fldCharType="separate"/>
        </w:r>
        <w:r w:rsidR="009F5200">
          <w:rPr>
            <w:noProof/>
          </w:rPr>
          <w:t>4</w:t>
        </w:r>
        <w:r w:rsidR="008D0810">
          <w:rPr>
            <w:noProof/>
          </w:rPr>
          <w:fldChar w:fldCharType="end"/>
        </w:r>
      </w:hyperlink>
    </w:p>
    <w:p w14:paraId="5F2027DA" w14:textId="5B44E36A" w:rsidR="008D0810" w:rsidRDefault="008D0810">
      <w:pPr>
        <w:pStyle w:val="TOC1"/>
        <w:rPr>
          <w:rFonts w:asciiTheme="minorHAnsi" w:eastAsiaTheme="minorEastAsia" w:hAnsiTheme="minorHAnsi" w:cstheme="minorBidi"/>
          <w:noProof/>
          <w:szCs w:val="22"/>
          <w14:ligatures w14:val="standardContextual"/>
        </w:rPr>
      </w:pPr>
      <w:hyperlink w:anchor="_Toc146096078" w:history="1">
        <w:r>
          <w:rPr>
            <w:rStyle w:val="afa"/>
            <w:rFonts w:asciiTheme="minorEastAsia" w:hAnsiTheme="minorEastAsia"/>
            <w:noProof/>
          </w:rPr>
          <w:t>第二部分  释义</w:t>
        </w:r>
        <w:r>
          <w:rPr>
            <w:noProof/>
          </w:rPr>
          <w:tab/>
        </w:r>
        <w:r>
          <w:rPr>
            <w:noProof/>
          </w:rPr>
          <w:fldChar w:fldCharType="begin"/>
        </w:r>
        <w:r>
          <w:rPr>
            <w:noProof/>
          </w:rPr>
          <w:instrText xml:space="preserve"> PAGEREF _Toc146096078 \h </w:instrText>
        </w:r>
        <w:r>
          <w:rPr>
            <w:noProof/>
          </w:rPr>
        </w:r>
        <w:r>
          <w:rPr>
            <w:noProof/>
          </w:rPr>
          <w:fldChar w:fldCharType="separate"/>
        </w:r>
        <w:r w:rsidR="009F5200">
          <w:rPr>
            <w:noProof/>
          </w:rPr>
          <w:t>5</w:t>
        </w:r>
        <w:r>
          <w:rPr>
            <w:noProof/>
          </w:rPr>
          <w:fldChar w:fldCharType="end"/>
        </w:r>
      </w:hyperlink>
    </w:p>
    <w:p w14:paraId="6FA5D07A" w14:textId="42BE320E" w:rsidR="008D0810" w:rsidRDefault="008D0810">
      <w:pPr>
        <w:pStyle w:val="TOC1"/>
        <w:rPr>
          <w:rFonts w:asciiTheme="minorHAnsi" w:eastAsiaTheme="minorEastAsia" w:hAnsiTheme="minorHAnsi" w:cstheme="minorBidi"/>
          <w:noProof/>
          <w:szCs w:val="22"/>
          <w14:ligatures w14:val="standardContextual"/>
        </w:rPr>
      </w:pPr>
      <w:hyperlink w:anchor="_Toc146096079" w:history="1">
        <w:r>
          <w:rPr>
            <w:rStyle w:val="afa"/>
            <w:rFonts w:asciiTheme="minorEastAsia" w:hAnsiTheme="minorEastAsia"/>
            <w:noProof/>
          </w:rPr>
          <w:t>第三部分  基金管理人</w:t>
        </w:r>
        <w:r>
          <w:rPr>
            <w:noProof/>
          </w:rPr>
          <w:tab/>
        </w:r>
        <w:r>
          <w:rPr>
            <w:noProof/>
          </w:rPr>
          <w:fldChar w:fldCharType="begin"/>
        </w:r>
        <w:r>
          <w:rPr>
            <w:noProof/>
          </w:rPr>
          <w:instrText xml:space="preserve"> PAGEREF _Toc146096079 \h </w:instrText>
        </w:r>
        <w:r>
          <w:rPr>
            <w:noProof/>
          </w:rPr>
        </w:r>
        <w:r>
          <w:rPr>
            <w:noProof/>
          </w:rPr>
          <w:fldChar w:fldCharType="separate"/>
        </w:r>
        <w:r w:rsidR="009F5200">
          <w:rPr>
            <w:noProof/>
          </w:rPr>
          <w:t>10</w:t>
        </w:r>
        <w:r>
          <w:rPr>
            <w:noProof/>
          </w:rPr>
          <w:fldChar w:fldCharType="end"/>
        </w:r>
      </w:hyperlink>
    </w:p>
    <w:p w14:paraId="473BC2F1" w14:textId="05D9232A" w:rsidR="008D0810" w:rsidRDefault="008D0810">
      <w:pPr>
        <w:pStyle w:val="TOC1"/>
        <w:rPr>
          <w:rFonts w:asciiTheme="minorHAnsi" w:eastAsiaTheme="minorEastAsia" w:hAnsiTheme="minorHAnsi" w:cstheme="minorBidi"/>
          <w:noProof/>
          <w:szCs w:val="22"/>
          <w14:ligatures w14:val="standardContextual"/>
        </w:rPr>
      </w:pPr>
      <w:hyperlink w:anchor="_Toc146096080" w:history="1">
        <w:r>
          <w:rPr>
            <w:rStyle w:val="afa"/>
            <w:rFonts w:asciiTheme="minorEastAsia" w:hAnsiTheme="minorEastAsia"/>
            <w:noProof/>
          </w:rPr>
          <w:t>第四部分  基金托管人</w:t>
        </w:r>
        <w:r>
          <w:rPr>
            <w:noProof/>
          </w:rPr>
          <w:tab/>
        </w:r>
        <w:r>
          <w:rPr>
            <w:noProof/>
          </w:rPr>
          <w:fldChar w:fldCharType="begin"/>
        </w:r>
        <w:r>
          <w:rPr>
            <w:noProof/>
          </w:rPr>
          <w:instrText xml:space="preserve"> PAGEREF _Toc146096080 \h </w:instrText>
        </w:r>
        <w:r>
          <w:rPr>
            <w:noProof/>
          </w:rPr>
        </w:r>
        <w:r>
          <w:rPr>
            <w:noProof/>
          </w:rPr>
          <w:fldChar w:fldCharType="separate"/>
        </w:r>
        <w:r w:rsidR="009F5200">
          <w:rPr>
            <w:noProof/>
          </w:rPr>
          <w:t>22</w:t>
        </w:r>
        <w:r>
          <w:rPr>
            <w:noProof/>
          </w:rPr>
          <w:fldChar w:fldCharType="end"/>
        </w:r>
      </w:hyperlink>
    </w:p>
    <w:p w14:paraId="5AB283AC" w14:textId="7B9D3874" w:rsidR="008D0810" w:rsidRDefault="008D0810">
      <w:pPr>
        <w:pStyle w:val="TOC1"/>
        <w:rPr>
          <w:rFonts w:asciiTheme="minorHAnsi" w:eastAsiaTheme="minorEastAsia" w:hAnsiTheme="minorHAnsi" w:cstheme="minorBidi"/>
          <w:noProof/>
          <w:szCs w:val="22"/>
          <w14:ligatures w14:val="standardContextual"/>
        </w:rPr>
      </w:pPr>
      <w:hyperlink w:anchor="_Toc146096081" w:history="1">
        <w:r>
          <w:rPr>
            <w:rStyle w:val="afa"/>
            <w:rFonts w:asciiTheme="minorEastAsia" w:hAnsiTheme="minorEastAsia"/>
            <w:noProof/>
          </w:rPr>
          <w:t>第五部分  相关服务机构</w:t>
        </w:r>
        <w:r>
          <w:rPr>
            <w:noProof/>
          </w:rPr>
          <w:tab/>
        </w:r>
        <w:r>
          <w:rPr>
            <w:noProof/>
          </w:rPr>
          <w:fldChar w:fldCharType="begin"/>
        </w:r>
        <w:r>
          <w:rPr>
            <w:noProof/>
          </w:rPr>
          <w:instrText xml:space="preserve"> PAGEREF _Toc146096081 \h </w:instrText>
        </w:r>
        <w:r>
          <w:rPr>
            <w:noProof/>
          </w:rPr>
        </w:r>
        <w:r>
          <w:rPr>
            <w:noProof/>
          </w:rPr>
          <w:fldChar w:fldCharType="separate"/>
        </w:r>
        <w:r w:rsidR="009F5200">
          <w:rPr>
            <w:noProof/>
          </w:rPr>
          <w:t>25</w:t>
        </w:r>
        <w:r>
          <w:rPr>
            <w:noProof/>
          </w:rPr>
          <w:fldChar w:fldCharType="end"/>
        </w:r>
      </w:hyperlink>
    </w:p>
    <w:p w14:paraId="0D723B73" w14:textId="06B1D3B8" w:rsidR="008D0810" w:rsidRDefault="008D0810">
      <w:pPr>
        <w:pStyle w:val="TOC1"/>
        <w:rPr>
          <w:rFonts w:asciiTheme="minorHAnsi" w:eastAsiaTheme="minorEastAsia" w:hAnsiTheme="minorHAnsi" w:cstheme="minorBidi"/>
          <w:noProof/>
          <w:szCs w:val="22"/>
          <w14:ligatures w14:val="standardContextual"/>
        </w:rPr>
      </w:pPr>
      <w:hyperlink w:anchor="_Toc146096082" w:history="1">
        <w:r>
          <w:rPr>
            <w:rStyle w:val="afa"/>
            <w:rFonts w:asciiTheme="minorEastAsia" w:hAnsiTheme="minorEastAsia"/>
            <w:noProof/>
          </w:rPr>
          <w:t>第六部分  基金的募集</w:t>
        </w:r>
        <w:r>
          <w:rPr>
            <w:noProof/>
          </w:rPr>
          <w:tab/>
        </w:r>
        <w:r>
          <w:rPr>
            <w:noProof/>
          </w:rPr>
          <w:fldChar w:fldCharType="begin"/>
        </w:r>
        <w:r>
          <w:rPr>
            <w:noProof/>
          </w:rPr>
          <w:instrText xml:space="preserve"> PAGEREF _Toc146096082 \h </w:instrText>
        </w:r>
        <w:r>
          <w:rPr>
            <w:noProof/>
          </w:rPr>
        </w:r>
        <w:r>
          <w:rPr>
            <w:noProof/>
          </w:rPr>
          <w:fldChar w:fldCharType="separate"/>
        </w:r>
        <w:r w:rsidR="009F5200">
          <w:rPr>
            <w:noProof/>
          </w:rPr>
          <w:t>27</w:t>
        </w:r>
        <w:r>
          <w:rPr>
            <w:noProof/>
          </w:rPr>
          <w:fldChar w:fldCharType="end"/>
        </w:r>
      </w:hyperlink>
    </w:p>
    <w:p w14:paraId="725F55B5" w14:textId="7B81A4DF" w:rsidR="008D0810" w:rsidRDefault="008D0810">
      <w:pPr>
        <w:pStyle w:val="TOC1"/>
        <w:rPr>
          <w:rFonts w:asciiTheme="minorHAnsi" w:eastAsiaTheme="minorEastAsia" w:hAnsiTheme="minorHAnsi" w:cstheme="minorBidi"/>
          <w:noProof/>
          <w:szCs w:val="22"/>
          <w14:ligatures w14:val="standardContextual"/>
        </w:rPr>
      </w:pPr>
      <w:hyperlink w:anchor="_Toc146096083" w:history="1">
        <w:r>
          <w:rPr>
            <w:rStyle w:val="afa"/>
            <w:rFonts w:asciiTheme="minorEastAsia" w:hAnsiTheme="minorEastAsia"/>
            <w:noProof/>
          </w:rPr>
          <w:t>第七部分  基金合同的生效</w:t>
        </w:r>
        <w:r>
          <w:rPr>
            <w:noProof/>
          </w:rPr>
          <w:tab/>
        </w:r>
        <w:r>
          <w:rPr>
            <w:noProof/>
          </w:rPr>
          <w:fldChar w:fldCharType="begin"/>
        </w:r>
        <w:r>
          <w:rPr>
            <w:noProof/>
          </w:rPr>
          <w:instrText xml:space="preserve"> PAGEREF _Toc146096083 \h </w:instrText>
        </w:r>
        <w:r>
          <w:rPr>
            <w:noProof/>
          </w:rPr>
        </w:r>
        <w:r>
          <w:rPr>
            <w:noProof/>
          </w:rPr>
          <w:fldChar w:fldCharType="separate"/>
        </w:r>
        <w:r w:rsidR="009F5200">
          <w:rPr>
            <w:noProof/>
          </w:rPr>
          <w:t>28</w:t>
        </w:r>
        <w:r>
          <w:rPr>
            <w:noProof/>
          </w:rPr>
          <w:fldChar w:fldCharType="end"/>
        </w:r>
      </w:hyperlink>
    </w:p>
    <w:p w14:paraId="4E680407" w14:textId="378811B9" w:rsidR="008D0810" w:rsidRDefault="008D0810">
      <w:pPr>
        <w:pStyle w:val="TOC1"/>
        <w:rPr>
          <w:rFonts w:asciiTheme="minorHAnsi" w:eastAsiaTheme="minorEastAsia" w:hAnsiTheme="minorHAnsi" w:cstheme="minorBidi"/>
          <w:noProof/>
          <w:szCs w:val="22"/>
          <w14:ligatures w14:val="standardContextual"/>
        </w:rPr>
      </w:pPr>
      <w:hyperlink w:anchor="_Toc146096084" w:history="1">
        <w:r>
          <w:rPr>
            <w:rStyle w:val="afa"/>
            <w:rFonts w:asciiTheme="minorEastAsia" w:hAnsiTheme="minorEastAsia"/>
            <w:noProof/>
          </w:rPr>
          <w:t>第八部分  基金份额的申购与赎回</w:t>
        </w:r>
        <w:r>
          <w:rPr>
            <w:noProof/>
          </w:rPr>
          <w:tab/>
        </w:r>
        <w:r>
          <w:rPr>
            <w:noProof/>
          </w:rPr>
          <w:fldChar w:fldCharType="begin"/>
        </w:r>
        <w:r>
          <w:rPr>
            <w:noProof/>
          </w:rPr>
          <w:instrText xml:space="preserve"> PAGEREF _Toc146096084 \h </w:instrText>
        </w:r>
        <w:r>
          <w:rPr>
            <w:noProof/>
          </w:rPr>
        </w:r>
        <w:r>
          <w:rPr>
            <w:noProof/>
          </w:rPr>
          <w:fldChar w:fldCharType="separate"/>
        </w:r>
        <w:r w:rsidR="009F5200">
          <w:rPr>
            <w:noProof/>
          </w:rPr>
          <w:t>29</w:t>
        </w:r>
        <w:r>
          <w:rPr>
            <w:noProof/>
          </w:rPr>
          <w:fldChar w:fldCharType="end"/>
        </w:r>
      </w:hyperlink>
    </w:p>
    <w:p w14:paraId="076F6361" w14:textId="7DB313F1" w:rsidR="008D0810" w:rsidRDefault="008D0810">
      <w:pPr>
        <w:pStyle w:val="TOC1"/>
        <w:rPr>
          <w:rFonts w:asciiTheme="minorHAnsi" w:eastAsiaTheme="minorEastAsia" w:hAnsiTheme="minorHAnsi" w:cstheme="minorBidi"/>
          <w:noProof/>
          <w:szCs w:val="22"/>
          <w14:ligatures w14:val="standardContextual"/>
        </w:rPr>
      </w:pPr>
      <w:hyperlink w:anchor="_Toc146096085" w:history="1">
        <w:r>
          <w:rPr>
            <w:rStyle w:val="afa"/>
            <w:rFonts w:asciiTheme="minorEastAsia" w:hAnsiTheme="minorEastAsia"/>
            <w:noProof/>
          </w:rPr>
          <w:t>第九部分  基金的投资</w:t>
        </w:r>
        <w:r>
          <w:rPr>
            <w:noProof/>
          </w:rPr>
          <w:tab/>
        </w:r>
        <w:r>
          <w:rPr>
            <w:noProof/>
          </w:rPr>
          <w:fldChar w:fldCharType="begin"/>
        </w:r>
        <w:r>
          <w:rPr>
            <w:noProof/>
          </w:rPr>
          <w:instrText xml:space="preserve"> PAGEREF _Toc146096085 \h </w:instrText>
        </w:r>
        <w:r>
          <w:rPr>
            <w:noProof/>
          </w:rPr>
        </w:r>
        <w:r>
          <w:rPr>
            <w:noProof/>
          </w:rPr>
          <w:fldChar w:fldCharType="separate"/>
        </w:r>
        <w:r w:rsidR="009F5200">
          <w:rPr>
            <w:noProof/>
          </w:rPr>
          <w:t>40</w:t>
        </w:r>
        <w:r>
          <w:rPr>
            <w:noProof/>
          </w:rPr>
          <w:fldChar w:fldCharType="end"/>
        </w:r>
      </w:hyperlink>
    </w:p>
    <w:p w14:paraId="574423C1" w14:textId="4AFE2DBD" w:rsidR="008D0810" w:rsidRDefault="008D0810">
      <w:pPr>
        <w:pStyle w:val="TOC1"/>
        <w:rPr>
          <w:rFonts w:asciiTheme="minorHAnsi" w:eastAsiaTheme="minorEastAsia" w:hAnsiTheme="minorHAnsi" w:cstheme="minorBidi"/>
          <w:noProof/>
          <w:szCs w:val="22"/>
          <w14:ligatures w14:val="standardContextual"/>
        </w:rPr>
      </w:pPr>
      <w:hyperlink w:anchor="_Toc146096086" w:history="1">
        <w:r>
          <w:rPr>
            <w:rStyle w:val="afa"/>
            <w:rFonts w:asciiTheme="minorEastAsia" w:hAnsiTheme="minorEastAsia"/>
            <w:noProof/>
          </w:rPr>
          <w:t>第十部分  基金的财产</w:t>
        </w:r>
        <w:r>
          <w:rPr>
            <w:noProof/>
          </w:rPr>
          <w:tab/>
        </w:r>
        <w:r>
          <w:rPr>
            <w:noProof/>
          </w:rPr>
          <w:fldChar w:fldCharType="begin"/>
        </w:r>
        <w:r>
          <w:rPr>
            <w:noProof/>
          </w:rPr>
          <w:instrText xml:space="preserve"> PAGEREF _Toc146096086 \h </w:instrText>
        </w:r>
        <w:r>
          <w:rPr>
            <w:noProof/>
          </w:rPr>
        </w:r>
        <w:r>
          <w:rPr>
            <w:noProof/>
          </w:rPr>
          <w:fldChar w:fldCharType="separate"/>
        </w:r>
        <w:r w:rsidR="009F5200">
          <w:rPr>
            <w:noProof/>
          </w:rPr>
          <w:t>56</w:t>
        </w:r>
        <w:r>
          <w:rPr>
            <w:noProof/>
          </w:rPr>
          <w:fldChar w:fldCharType="end"/>
        </w:r>
      </w:hyperlink>
    </w:p>
    <w:p w14:paraId="6C1C80B2" w14:textId="4293D584" w:rsidR="008D0810" w:rsidRDefault="008D0810">
      <w:pPr>
        <w:pStyle w:val="TOC1"/>
        <w:rPr>
          <w:rFonts w:asciiTheme="minorHAnsi" w:eastAsiaTheme="minorEastAsia" w:hAnsiTheme="minorHAnsi" w:cstheme="minorBidi"/>
          <w:noProof/>
          <w:szCs w:val="22"/>
          <w14:ligatures w14:val="standardContextual"/>
        </w:rPr>
      </w:pPr>
      <w:hyperlink w:anchor="_Toc146096087" w:history="1">
        <w:r>
          <w:rPr>
            <w:rStyle w:val="afa"/>
            <w:rFonts w:asciiTheme="minorEastAsia" w:hAnsiTheme="minorEastAsia"/>
            <w:noProof/>
          </w:rPr>
          <w:t>第十一部分  基金资产的估值</w:t>
        </w:r>
        <w:r>
          <w:rPr>
            <w:noProof/>
          </w:rPr>
          <w:tab/>
        </w:r>
        <w:r>
          <w:rPr>
            <w:noProof/>
          </w:rPr>
          <w:fldChar w:fldCharType="begin"/>
        </w:r>
        <w:r>
          <w:rPr>
            <w:noProof/>
          </w:rPr>
          <w:instrText xml:space="preserve"> PAGEREF _Toc146096087 \h </w:instrText>
        </w:r>
        <w:r>
          <w:rPr>
            <w:noProof/>
          </w:rPr>
        </w:r>
        <w:r>
          <w:rPr>
            <w:noProof/>
          </w:rPr>
          <w:fldChar w:fldCharType="separate"/>
        </w:r>
        <w:r w:rsidR="009F5200">
          <w:rPr>
            <w:noProof/>
          </w:rPr>
          <w:t>57</w:t>
        </w:r>
        <w:r>
          <w:rPr>
            <w:noProof/>
          </w:rPr>
          <w:fldChar w:fldCharType="end"/>
        </w:r>
      </w:hyperlink>
    </w:p>
    <w:p w14:paraId="1C8227D9" w14:textId="31233CA5" w:rsidR="008D0810" w:rsidRDefault="008D0810">
      <w:pPr>
        <w:pStyle w:val="TOC1"/>
        <w:rPr>
          <w:rFonts w:asciiTheme="minorHAnsi" w:eastAsiaTheme="minorEastAsia" w:hAnsiTheme="minorHAnsi" w:cstheme="minorBidi"/>
          <w:noProof/>
          <w:szCs w:val="22"/>
          <w14:ligatures w14:val="standardContextual"/>
        </w:rPr>
      </w:pPr>
      <w:hyperlink w:anchor="_Toc146096088" w:history="1">
        <w:r>
          <w:rPr>
            <w:rStyle w:val="afa"/>
            <w:rFonts w:asciiTheme="minorEastAsia" w:hAnsiTheme="minorEastAsia"/>
            <w:noProof/>
          </w:rPr>
          <w:t>第十二部分  基金的收益分配</w:t>
        </w:r>
        <w:r>
          <w:rPr>
            <w:noProof/>
          </w:rPr>
          <w:tab/>
        </w:r>
        <w:r>
          <w:rPr>
            <w:noProof/>
          </w:rPr>
          <w:fldChar w:fldCharType="begin"/>
        </w:r>
        <w:r>
          <w:rPr>
            <w:noProof/>
          </w:rPr>
          <w:instrText xml:space="preserve"> PAGEREF _Toc146096088 \h </w:instrText>
        </w:r>
        <w:r>
          <w:rPr>
            <w:noProof/>
          </w:rPr>
        </w:r>
        <w:r>
          <w:rPr>
            <w:noProof/>
          </w:rPr>
          <w:fldChar w:fldCharType="separate"/>
        </w:r>
        <w:r w:rsidR="009F5200">
          <w:rPr>
            <w:noProof/>
          </w:rPr>
          <w:t>62</w:t>
        </w:r>
        <w:r>
          <w:rPr>
            <w:noProof/>
          </w:rPr>
          <w:fldChar w:fldCharType="end"/>
        </w:r>
      </w:hyperlink>
    </w:p>
    <w:p w14:paraId="483F7AFC" w14:textId="3ED99C13" w:rsidR="008D0810" w:rsidRDefault="008D0810">
      <w:pPr>
        <w:pStyle w:val="TOC1"/>
        <w:rPr>
          <w:rFonts w:asciiTheme="minorHAnsi" w:eastAsiaTheme="minorEastAsia" w:hAnsiTheme="minorHAnsi" w:cstheme="minorBidi"/>
          <w:noProof/>
          <w:szCs w:val="22"/>
          <w14:ligatures w14:val="standardContextual"/>
        </w:rPr>
      </w:pPr>
      <w:hyperlink w:anchor="_Toc146096089" w:history="1">
        <w:r>
          <w:rPr>
            <w:rStyle w:val="afa"/>
            <w:rFonts w:asciiTheme="minorEastAsia" w:hAnsiTheme="minorEastAsia"/>
            <w:noProof/>
          </w:rPr>
          <w:t>第十三部分  基金费用与税收</w:t>
        </w:r>
        <w:r>
          <w:rPr>
            <w:noProof/>
          </w:rPr>
          <w:tab/>
        </w:r>
        <w:r>
          <w:rPr>
            <w:noProof/>
          </w:rPr>
          <w:fldChar w:fldCharType="begin"/>
        </w:r>
        <w:r>
          <w:rPr>
            <w:noProof/>
          </w:rPr>
          <w:instrText xml:space="preserve"> PAGEREF _Toc146096089 \h </w:instrText>
        </w:r>
        <w:r>
          <w:rPr>
            <w:noProof/>
          </w:rPr>
        </w:r>
        <w:r>
          <w:rPr>
            <w:noProof/>
          </w:rPr>
          <w:fldChar w:fldCharType="separate"/>
        </w:r>
        <w:r w:rsidR="009F5200">
          <w:rPr>
            <w:noProof/>
          </w:rPr>
          <w:t>64</w:t>
        </w:r>
        <w:r>
          <w:rPr>
            <w:noProof/>
          </w:rPr>
          <w:fldChar w:fldCharType="end"/>
        </w:r>
      </w:hyperlink>
    </w:p>
    <w:p w14:paraId="465DF681" w14:textId="7163116B" w:rsidR="008D0810" w:rsidRDefault="008D0810">
      <w:pPr>
        <w:pStyle w:val="TOC1"/>
        <w:rPr>
          <w:rFonts w:asciiTheme="minorHAnsi" w:eastAsiaTheme="minorEastAsia" w:hAnsiTheme="minorHAnsi" w:cstheme="minorBidi"/>
          <w:noProof/>
          <w:szCs w:val="22"/>
          <w14:ligatures w14:val="standardContextual"/>
        </w:rPr>
      </w:pPr>
      <w:hyperlink w:anchor="_Toc146096090" w:history="1">
        <w:r>
          <w:rPr>
            <w:rStyle w:val="afa"/>
            <w:rFonts w:asciiTheme="minorEastAsia" w:hAnsiTheme="minorEastAsia"/>
            <w:noProof/>
          </w:rPr>
          <w:t>第十四部分  基金的会计与审计</w:t>
        </w:r>
        <w:r>
          <w:rPr>
            <w:noProof/>
          </w:rPr>
          <w:tab/>
        </w:r>
        <w:r>
          <w:rPr>
            <w:noProof/>
          </w:rPr>
          <w:fldChar w:fldCharType="begin"/>
        </w:r>
        <w:r>
          <w:rPr>
            <w:noProof/>
          </w:rPr>
          <w:instrText xml:space="preserve"> PAGEREF _Toc146096090 \h </w:instrText>
        </w:r>
        <w:r>
          <w:rPr>
            <w:noProof/>
          </w:rPr>
        </w:r>
        <w:r>
          <w:rPr>
            <w:noProof/>
          </w:rPr>
          <w:fldChar w:fldCharType="separate"/>
        </w:r>
        <w:r w:rsidR="009F5200">
          <w:rPr>
            <w:noProof/>
          </w:rPr>
          <w:t>67</w:t>
        </w:r>
        <w:r>
          <w:rPr>
            <w:noProof/>
          </w:rPr>
          <w:fldChar w:fldCharType="end"/>
        </w:r>
      </w:hyperlink>
    </w:p>
    <w:p w14:paraId="1DC68E5A" w14:textId="0C93E4E4" w:rsidR="008D0810" w:rsidRDefault="008D0810">
      <w:pPr>
        <w:pStyle w:val="TOC1"/>
        <w:rPr>
          <w:rFonts w:asciiTheme="minorHAnsi" w:eastAsiaTheme="minorEastAsia" w:hAnsiTheme="minorHAnsi" w:cstheme="minorBidi"/>
          <w:noProof/>
          <w:szCs w:val="22"/>
          <w14:ligatures w14:val="standardContextual"/>
        </w:rPr>
      </w:pPr>
      <w:hyperlink w:anchor="_Toc146096091" w:history="1">
        <w:r>
          <w:rPr>
            <w:rStyle w:val="afa"/>
            <w:rFonts w:asciiTheme="minorEastAsia" w:hAnsiTheme="minorEastAsia"/>
            <w:noProof/>
          </w:rPr>
          <w:t>第十五部分  基金的信息披露</w:t>
        </w:r>
        <w:r>
          <w:rPr>
            <w:noProof/>
          </w:rPr>
          <w:tab/>
        </w:r>
        <w:r>
          <w:rPr>
            <w:noProof/>
          </w:rPr>
          <w:fldChar w:fldCharType="begin"/>
        </w:r>
        <w:r>
          <w:rPr>
            <w:noProof/>
          </w:rPr>
          <w:instrText xml:space="preserve"> PAGEREF _Toc146096091 \h </w:instrText>
        </w:r>
        <w:r>
          <w:rPr>
            <w:noProof/>
          </w:rPr>
        </w:r>
        <w:r>
          <w:rPr>
            <w:noProof/>
          </w:rPr>
          <w:fldChar w:fldCharType="separate"/>
        </w:r>
        <w:r w:rsidR="009F5200">
          <w:rPr>
            <w:noProof/>
          </w:rPr>
          <w:t>68</w:t>
        </w:r>
        <w:r>
          <w:rPr>
            <w:noProof/>
          </w:rPr>
          <w:fldChar w:fldCharType="end"/>
        </w:r>
      </w:hyperlink>
    </w:p>
    <w:p w14:paraId="654FE437" w14:textId="7922E91A" w:rsidR="008D0810" w:rsidRDefault="008D0810">
      <w:pPr>
        <w:pStyle w:val="TOC1"/>
        <w:rPr>
          <w:rFonts w:asciiTheme="minorHAnsi" w:eastAsiaTheme="minorEastAsia" w:hAnsiTheme="minorHAnsi" w:cstheme="minorBidi"/>
          <w:noProof/>
          <w:szCs w:val="22"/>
          <w14:ligatures w14:val="standardContextual"/>
        </w:rPr>
      </w:pPr>
      <w:hyperlink w:anchor="_Toc146096092" w:history="1">
        <w:r>
          <w:rPr>
            <w:rStyle w:val="afa"/>
            <w:rFonts w:asciiTheme="minorEastAsia" w:hAnsiTheme="minorEastAsia"/>
            <w:noProof/>
          </w:rPr>
          <w:t>第十六部分  风险揭示</w:t>
        </w:r>
        <w:r>
          <w:rPr>
            <w:noProof/>
          </w:rPr>
          <w:tab/>
        </w:r>
        <w:r>
          <w:rPr>
            <w:noProof/>
          </w:rPr>
          <w:fldChar w:fldCharType="begin"/>
        </w:r>
        <w:r>
          <w:rPr>
            <w:noProof/>
          </w:rPr>
          <w:instrText xml:space="preserve"> PAGEREF _Toc146096092 \h </w:instrText>
        </w:r>
        <w:r>
          <w:rPr>
            <w:noProof/>
          </w:rPr>
        </w:r>
        <w:r>
          <w:rPr>
            <w:noProof/>
          </w:rPr>
          <w:fldChar w:fldCharType="separate"/>
        </w:r>
        <w:r w:rsidR="009F5200">
          <w:rPr>
            <w:noProof/>
          </w:rPr>
          <w:t>75</w:t>
        </w:r>
        <w:r>
          <w:rPr>
            <w:noProof/>
          </w:rPr>
          <w:fldChar w:fldCharType="end"/>
        </w:r>
      </w:hyperlink>
    </w:p>
    <w:p w14:paraId="44F303CC" w14:textId="22ECEDAB" w:rsidR="008D0810" w:rsidRDefault="008D0810">
      <w:pPr>
        <w:pStyle w:val="TOC1"/>
        <w:rPr>
          <w:rFonts w:asciiTheme="minorHAnsi" w:eastAsiaTheme="minorEastAsia" w:hAnsiTheme="minorHAnsi" w:cstheme="minorBidi"/>
          <w:noProof/>
          <w:szCs w:val="22"/>
          <w14:ligatures w14:val="standardContextual"/>
        </w:rPr>
      </w:pPr>
      <w:hyperlink w:anchor="_Toc146096093" w:history="1">
        <w:r>
          <w:rPr>
            <w:rStyle w:val="afa"/>
            <w:rFonts w:asciiTheme="minorEastAsia" w:hAnsiTheme="minorEastAsia"/>
            <w:noProof/>
          </w:rPr>
          <w:t>第十七部分  基金合同的变更、终止与基金财产的清算</w:t>
        </w:r>
        <w:r>
          <w:rPr>
            <w:noProof/>
          </w:rPr>
          <w:tab/>
        </w:r>
        <w:r>
          <w:rPr>
            <w:noProof/>
          </w:rPr>
          <w:fldChar w:fldCharType="begin"/>
        </w:r>
        <w:r>
          <w:rPr>
            <w:noProof/>
          </w:rPr>
          <w:instrText xml:space="preserve"> PAGEREF _Toc146096093 \h </w:instrText>
        </w:r>
        <w:r>
          <w:rPr>
            <w:noProof/>
          </w:rPr>
        </w:r>
        <w:r>
          <w:rPr>
            <w:noProof/>
          </w:rPr>
          <w:fldChar w:fldCharType="separate"/>
        </w:r>
        <w:r w:rsidR="009F5200">
          <w:rPr>
            <w:noProof/>
          </w:rPr>
          <w:t>80</w:t>
        </w:r>
        <w:r>
          <w:rPr>
            <w:noProof/>
          </w:rPr>
          <w:fldChar w:fldCharType="end"/>
        </w:r>
      </w:hyperlink>
    </w:p>
    <w:p w14:paraId="39E57F94" w14:textId="04ECD397" w:rsidR="008D0810" w:rsidRDefault="008D0810">
      <w:pPr>
        <w:pStyle w:val="TOC1"/>
        <w:rPr>
          <w:rFonts w:asciiTheme="minorHAnsi" w:eastAsiaTheme="minorEastAsia" w:hAnsiTheme="minorHAnsi" w:cstheme="minorBidi"/>
          <w:noProof/>
          <w:szCs w:val="22"/>
          <w14:ligatures w14:val="standardContextual"/>
        </w:rPr>
      </w:pPr>
      <w:hyperlink w:anchor="_Toc146096094" w:history="1">
        <w:r>
          <w:rPr>
            <w:rStyle w:val="afa"/>
            <w:rFonts w:asciiTheme="minorEastAsia" w:hAnsiTheme="minorEastAsia"/>
            <w:noProof/>
          </w:rPr>
          <w:t>第十八部分  基金合同的内容摘要</w:t>
        </w:r>
        <w:r>
          <w:rPr>
            <w:noProof/>
          </w:rPr>
          <w:tab/>
        </w:r>
        <w:r>
          <w:rPr>
            <w:noProof/>
          </w:rPr>
          <w:fldChar w:fldCharType="begin"/>
        </w:r>
        <w:r>
          <w:rPr>
            <w:noProof/>
          </w:rPr>
          <w:instrText xml:space="preserve"> PAGEREF _Toc146096094 \h </w:instrText>
        </w:r>
        <w:r>
          <w:rPr>
            <w:noProof/>
          </w:rPr>
        </w:r>
        <w:r>
          <w:rPr>
            <w:noProof/>
          </w:rPr>
          <w:fldChar w:fldCharType="separate"/>
        </w:r>
        <w:r w:rsidR="009F5200">
          <w:rPr>
            <w:noProof/>
          </w:rPr>
          <w:t>82</w:t>
        </w:r>
        <w:r>
          <w:rPr>
            <w:noProof/>
          </w:rPr>
          <w:fldChar w:fldCharType="end"/>
        </w:r>
      </w:hyperlink>
    </w:p>
    <w:p w14:paraId="345C1BC5" w14:textId="34151E08" w:rsidR="008D0810" w:rsidRDefault="008D0810">
      <w:pPr>
        <w:pStyle w:val="TOC1"/>
        <w:rPr>
          <w:rFonts w:asciiTheme="minorHAnsi" w:eastAsiaTheme="minorEastAsia" w:hAnsiTheme="minorHAnsi" w:cstheme="minorBidi"/>
          <w:noProof/>
          <w:szCs w:val="22"/>
          <w14:ligatures w14:val="standardContextual"/>
        </w:rPr>
      </w:pPr>
      <w:hyperlink w:anchor="_Toc146096095" w:history="1">
        <w:r>
          <w:rPr>
            <w:rStyle w:val="afa"/>
            <w:rFonts w:asciiTheme="minorEastAsia" w:hAnsiTheme="minorEastAsia"/>
            <w:noProof/>
          </w:rPr>
          <w:t>第十九部分  基金托管协议的内容摘要</w:t>
        </w:r>
        <w:r>
          <w:rPr>
            <w:noProof/>
          </w:rPr>
          <w:tab/>
        </w:r>
        <w:r>
          <w:rPr>
            <w:noProof/>
          </w:rPr>
          <w:fldChar w:fldCharType="begin"/>
        </w:r>
        <w:r>
          <w:rPr>
            <w:noProof/>
          </w:rPr>
          <w:instrText xml:space="preserve"> PAGEREF _Toc146096095 \h </w:instrText>
        </w:r>
        <w:r>
          <w:rPr>
            <w:noProof/>
          </w:rPr>
        </w:r>
        <w:r>
          <w:rPr>
            <w:noProof/>
          </w:rPr>
          <w:fldChar w:fldCharType="separate"/>
        </w:r>
        <w:r w:rsidR="009F5200">
          <w:rPr>
            <w:noProof/>
          </w:rPr>
          <w:t>98</w:t>
        </w:r>
        <w:r>
          <w:rPr>
            <w:noProof/>
          </w:rPr>
          <w:fldChar w:fldCharType="end"/>
        </w:r>
      </w:hyperlink>
    </w:p>
    <w:p w14:paraId="4CA22796" w14:textId="2E5F03EA" w:rsidR="008D0810" w:rsidRDefault="008D0810">
      <w:pPr>
        <w:pStyle w:val="TOC1"/>
        <w:rPr>
          <w:rFonts w:asciiTheme="minorHAnsi" w:eastAsiaTheme="minorEastAsia" w:hAnsiTheme="minorHAnsi" w:cstheme="minorBidi"/>
          <w:noProof/>
          <w:szCs w:val="22"/>
          <w14:ligatures w14:val="standardContextual"/>
        </w:rPr>
      </w:pPr>
      <w:hyperlink w:anchor="_Toc146096096" w:history="1">
        <w:r>
          <w:rPr>
            <w:rStyle w:val="afa"/>
            <w:rFonts w:asciiTheme="minorEastAsia" w:hAnsiTheme="minorEastAsia"/>
            <w:noProof/>
          </w:rPr>
          <w:t>第二十部分  对基金份额持有人的服务</w:t>
        </w:r>
        <w:r>
          <w:rPr>
            <w:noProof/>
          </w:rPr>
          <w:tab/>
        </w:r>
        <w:r>
          <w:rPr>
            <w:noProof/>
          </w:rPr>
          <w:fldChar w:fldCharType="begin"/>
        </w:r>
        <w:r>
          <w:rPr>
            <w:noProof/>
          </w:rPr>
          <w:instrText xml:space="preserve"> PAGEREF _Toc146096096 \h </w:instrText>
        </w:r>
        <w:r>
          <w:rPr>
            <w:noProof/>
          </w:rPr>
        </w:r>
        <w:r>
          <w:rPr>
            <w:noProof/>
          </w:rPr>
          <w:fldChar w:fldCharType="separate"/>
        </w:r>
        <w:r w:rsidR="009F5200">
          <w:rPr>
            <w:noProof/>
          </w:rPr>
          <w:t>111</w:t>
        </w:r>
        <w:r>
          <w:rPr>
            <w:noProof/>
          </w:rPr>
          <w:fldChar w:fldCharType="end"/>
        </w:r>
      </w:hyperlink>
    </w:p>
    <w:p w14:paraId="03D5893A" w14:textId="3166B94D" w:rsidR="008D0810" w:rsidRDefault="008D0810">
      <w:pPr>
        <w:pStyle w:val="TOC1"/>
        <w:rPr>
          <w:rFonts w:asciiTheme="minorHAnsi" w:eastAsiaTheme="minorEastAsia" w:hAnsiTheme="minorHAnsi" w:cstheme="minorBidi"/>
          <w:noProof/>
          <w:szCs w:val="22"/>
          <w14:ligatures w14:val="standardContextual"/>
        </w:rPr>
      </w:pPr>
      <w:hyperlink w:anchor="_Toc146096097" w:history="1">
        <w:r>
          <w:rPr>
            <w:rStyle w:val="afa"/>
            <w:rFonts w:asciiTheme="minorEastAsia" w:hAnsiTheme="minorEastAsia"/>
            <w:noProof/>
          </w:rPr>
          <w:t>第二十一部分  其他应披露事项</w:t>
        </w:r>
        <w:r>
          <w:rPr>
            <w:noProof/>
          </w:rPr>
          <w:tab/>
        </w:r>
        <w:r>
          <w:rPr>
            <w:noProof/>
          </w:rPr>
          <w:fldChar w:fldCharType="begin"/>
        </w:r>
        <w:r>
          <w:rPr>
            <w:noProof/>
          </w:rPr>
          <w:instrText xml:space="preserve"> PAGEREF _Toc146096097 \h </w:instrText>
        </w:r>
        <w:r>
          <w:rPr>
            <w:noProof/>
          </w:rPr>
        </w:r>
        <w:r>
          <w:rPr>
            <w:noProof/>
          </w:rPr>
          <w:fldChar w:fldCharType="separate"/>
        </w:r>
        <w:r w:rsidR="009F5200">
          <w:rPr>
            <w:noProof/>
          </w:rPr>
          <w:t>113</w:t>
        </w:r>
        <w:r>
          <w:rPr>
            <w:noProof/>
          </w:rPr>
          <w:fldChar w:fldCharType="end"/>
        </w:r>
      </w:hyperlink>
    </w:p>
    <w:p w14:paraId="31FE207B" w14:textId="1DE5FEE4" w:rsidR="008D0810" w:rsidRDefault="008D0810">
      <w:pPr>
        <w:pStyle w:val="TOC1"/>
        <w:rPr>
          <w:rFonts w:asciiTheme="minorHAnsi" w:eastAsiaTheme="minorEastAsia" w:hAnsiTheme="minorHAnsi" w:cstheme="minorBidi"/>
          <w:noProof/>
          <w:szCs w:val="22"/>
          <w14:ligatures w14:val="standardContextual"/>
        </w:rPr>
      </w:pPr>
      <w:hyperlink w:anchor="_Toc146096098" w:history="1">
        <w:r>
          <w:rPr>
            <w:rStyle w:val="afa"/>
            <w:rFonts w:asciiTheme="minorEastAsia" w:hAnsiTheme="minorEastAsia"/>
            <w:noProof/>
          </w:rPr>
          <w:t>第二十二部分  招募说明书存放及查阅方式</w:t>
        </w:r>
        <w:r>
          <w:rPr>
            <w:noProof/>
          </w:rPr>
          <w:tab/>
        </w:r>
        <w:r>
          <w:rPr>
            <w:noProof/>
          </w:rPr>
          <w:fldChar w:fldCharType="begin"/>
        </w:r>
        <w:r>
          <w:rPr>
            <w:noProof/>
          </w:rPr>
          <w:instrText xml:space="preserve"> PAGEREF _Toc146096098 \h </w:instrText>
        </w:r>
        <w:r>
          <w:rPr>
            <w:noProof/>
          </w:rPr>
        </w:r>
        <w:r>
          <w:rPr>
            <w:noProof/>
          </w:rPr>
          <w:fldChar w:fldCharType="separate"/>
        </w:r>
        <w:r w:rsidR="009F5200">
          <w:rPr>
            <w:noProof/>
          </w:rPr>
          <w:t>114</w:t>
        </w:r>
        <w:r>
          <w:rPr>
            <w:noProof/>
          </w:rPr>
          <w:fldChar w:fldCharType="end"/>
        </w:r>
      </w:hyperlink>
    </w:p>
    <w:p w14:paraId="7D30E12D" w14:textId="474AC400" w:rsidR="008D0810" w:rsidRDefault="008D0810">
      <w:pPr>
        <w:pStyle w:val="TOC1"/>
        <w:rPr>
          <w:rFonts w:asciiTheme="minorHAnsi" w:eastAsiaTheme="minorEastAsia" w:hAnsiTheme="minorHAnsi" w:cstheme="minorBidi"/>
          <w:noProof/>
          <w:szCs w:val="22"/>
          <w14:ligatures w14:val="standardContextual"/>
        </w:rPr>
      </w:pPr>
      <w:hyperlink w:anchor="_Toc146096099" w:history="1">
        <w:r>
          <w:rPr>
            <w:rStyle w:val="afa"/>
            <w:rFonts w:asciiTheme="minorEastAsia" w:hAnsiTheme="minorEastAsia"/>
            <w:noProof/>
          </w:rPr>
          <w:t>第二十三部分  备查文件</w:t>
        </w:r>
        <w:r>
          <w:rPr>
            <w:noProof/>
          </w:rPr>
          <w:tab/>
        </w:r>
        <w:r>
          <w:rPr>
            <w:noProof/>
          </w:rPr>
          <w:fldChar w:fldCharType="begin"/>
        </w:r>
        <w:r>
          <w:rPr>
            <w:noProof/>
          </w:rPr>
          <w:instrText xml:space="preserve"> PAGEREF _Toc146096099 \h </w:instrText>
        </w:r>
        <w:r>
          <w:rPr>
            <w:noProof/>
          </w:rPr>
        </w:r>
        <w:r>
          <w:rPr>
            <w:noProof/>
          </w:rPr>
          <w:fldChar w:fldCharType="separate"/>
        </w:r>
        <w:r w:rsidR="009F5200">
          <w:rPr>
            <w:noProof/>
          </w:rPr>
          <w:t>115</w:t>
        </w:r>
        <w:r>
          <w:rPr>
            <w:noProof/>
          </w:rPr>
          <w:fldChar w:fldCharType="end"/>
        </w:r>
      </w:hyperlink>
    </w:p>
    <w:p w14:paraId="573B7B06" w14:textId="77777777" w:rsidR="008D0810" w:rsidRDefault="00417F9F">
      <w:pPr>
        <w:rPr>
          <w:rFonts w:asciiTheme="minorEastAsia" w:hAnsiTheme="minorEastAsia" w:hint="eastAsia"/>
        </w:rPr>
        <w:sectPr w:rsidR="008D0810">
          <w:pgSz w:w="11906" w:h="16838"/>
          <w:pgMar w:top="1440" w:right="1800" w:bottom="1440" w:left="1800" w:header="851" w:footer="992" w:gutter="0"/>
          <w:pgNumType w:chapStyle="1"/>
          <w:cols w:space="720"/>
          <w:docGrid w:type="lines" w:linePitch="312"/>
        </w:sectPr>
      </w:pPr>
      <w:r>
        <w:rPr>
          <w:rFonts w:asciiTheme="minorEastAsia" w:hAnsiTheme="minorEastAsia"/>
        </w:rPr>
        <w:fldChar w:fldCharType="end"/>
      </w:r>
      <w:bookmarkStart w:id="33" w:name="_Toc416264537"/>
      <w:bookmarkStart w:id="34" w:name="_Toc263092309"/>
      <w:bookmarkStart w:id="35" w:name="_Toc19592"/>
      <w:bookmarkStart w:id="36" w:name="_Toc6617"/>
      <w:bookmarkStart w:id="37" w:name="_Toc258829399"/>
      <w:bookmarkStart w:id="38" w:name="_Toc31551"/>
      <w:bookmarkStart w:id="39" w:name="_Toc352229747"/>
      <w:bookmarkStart w:id="40" w:name="_Toc21301"/>
      <w:bookmarkStart w:id="41" w:name="_Toc3224"/>
      <w:bookmarkStart w:id="42" w:name="_Toc2465"/>
      <w:bookmarkStart w:id="43" w:name="_Toc24860"/>
      <w:bookmarkStart w:id="44" w:name="_Toc819"/>
      <w:bookmarkStart w:id="45" w:name="_Toc15067"/>
      <w:bookmarkStart w:id="46" w:name="_Toc22864"/>
      <w:bookmarkStart w:id="47" w:name="_Toc1302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FEB82CD" w14:textId="77777777" w:rsidR="008D0810" w:rsidRDefault="00417F9F">
      <w:pPr>
        <w:pStyle w:val="1"/>
        <w:jc w:val="center"/>
        <w:rPr>
          <w:rFonts w:asciiTheme="minorEastAsia" w:eastAsiaTheme="minorEastAsia" w:hAnsiTheme="minorEastAsia" w:hint="eastAsia"/>
          <w:sz w:val="30"/>
          <w:szCs w:val="30"/>
        </w:rPr>
      </w:pPr>
      <w:bookmarkStart w:id="48" w:name="_Toc146096077"/>
      <w:r>
        <w:rPr>
          <w:rFonts w:asciiTheme="minorEastAsia" w:eastAsiaTheme="minorEastAsia" w:hAnsiTheme="minorEastAsia" w:hint="eastAsia"/>
          <w:sz w:val="30"/>
          <w:szCs w:val="30"/>
        </w:rPr>
        <w:lastRenderedPageBreak/>
        <w:t>第一部分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绪言</w:t>
      </w:r>
      <w:bookmarkEnd w:id="33"/>
      <w:bookmarkEnd w:id="34"/>
      <w:bookmarkEnd w:id="48"/>
    </w:p>
    <w:p w14:paraId="2905C259"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康混合型证券投资基金招募说明书》（以下简称“招募说明书”或“本招募说明书”）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管理规定》”）以及《富荣福康混合型证券投资基金基金合同》（以下简称“基金合同”）编写。</w:t>
      </w:r>
    </w:p>
    <w:p w14:paraId="5CFD9BEF"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0854043B"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康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1A330E33"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3B467EF" w14:textId="77777777" w:rsidR="008D0810" w:rsidRDefault="008D0810">
      <w:pPr>
        <w:keepNext/>
        <w:keepLines/>
        <w:autoSpaceDE w:val="0"/>
        <w:autoSpaceDN w:val="0"/>
        <w:adjustRightInd w:val="0"/>
        <w:snapToGrid w:val="0"/>
        <w:spacing w:line="360" w:lineRule="auto"/>
        <w:ind w:firstLineChars="150" w:firstLine="422"/>
        <w:jc w:val="center"/>
        <w:textAlignment w:val="baseline"/>
        <w:outlineLvl w:val="0"/>
        <w:rPr>
          <w:rFonts w:asciiTheme="minorEastAsia" w:hAnsiTheme="minorEastAsia" w:cs="Arial" w:hint="eastAsia"/>
          <w:b/>
          <w:bCs/>
          <w:kern w:val="0"/>
          <w:sz w:val="28"/>
          <w:szCs w:val="28"/>
        </w:rPr>
        <w:sectPr w:rsidR="008D0810">
          <w:footerReference w:type="default" r:id="rId17"/>
          <w:pgSz w:w="11906" w:h="16838"/>
          <w:pgMar w:top="1440" w:right="1800" w:bottom="1440" w:left="1800" w:header="851" w:footer="992" w:gutter="0"/>
          <w:pgNumType w:chapStyle="1"/>
          <w:cols w:space="720"/>
          <w:docGrid w:type="lines" w:linePitch="312"/>
        </w:sectPr>
      </w:pPr>
      <w:bookmarkStart w:id="49" w:name="_Toc22708"/>
      <w:bookmarkStart w:id="50" w:name="_Toc18631"/>
      <w:bookmarkStart w:id="51" w:name="_Toc24571"/>
      <w:bookmarkStart w:id="52" w:name="_Toc6149"/>
      <w:bookmarkStart w:id="53" w:name="_Toc13288"/>
      <w:bookmarkStart w:id="54" w:name="_Toc20318"/>
      <w:bookmarkStart w:id="55" w:name="_Toc5246"/>
      <w:bookmarkStart w:id="56" w:name="_Toc6683"/>
      <w:bookmarkStart w:id="57" w:name="_Toc352229748"/>
      <w:bookmarkStart w:id="58" w:name="_Toc20627"/>
      <w:bookmarkStart w:id="59" w:name="_Toc733"/>
      <w:bookmarkStart w:id="60" w:name="_Toc545"/>
      <w:bookmarkStart w:id="61" w:name="_Toc258829400"/>
      <w:bookmarkStart w:id="62" w:name="_Toc233456272"/>
      <w:bookmarkEnd w:id="32"/>
      <w:bookmarkEnd w:id="35"/>
      <w:bookmarkEnd w:id="36"/>
      <w:bookmarkEnd w:id="37"/>
      <w:bookmarkEnd w:id="38"/>
      <w:bookmarkEnd w:id="39"/>
      <w:bookmarkEnd w:id="40"/>
      <w:bookmarkEnd w:id="41"/>
      <w:bookmarkEnd w:id="42"/>
      <w:bookmarkEnd w:id="43"/>
      <w:bookmarkEnd w:id="44"/>
      <w:bookmarkEnd w:id="45"/>
      <w:bookmarkEnd w:id="46"/>
      <w:bookmarkEnd w:id="47"/>
    </w:p>
    <w:p w14:paraId="2B041883" w14:textId="77777777" w:rsidR="008D0810" w:rsidRDefault="00417F9F">
      <w:pPr>
        <w:pStyle w:val="1"/>
        <w:jc w:val="center"/>
        <w:rPr>
          <w:rFonts w:asciiTheme="minorEastAsia" w:eastAsiaTheme="minorEastAsia" w:hAnsiTheme="minorEastAsia" w:hint="eastAsia"/>
          <w:sz w:val="30"/>
          <w:szCs w:val="30"/>
        </w:rPr>
      </w:pPr>
      <w:bookmarkStart w:id="63" w:name="_Toc146096078"/>
      <w:r>
        <w:rPr>
          <w:rFonts w:asciiTheme="minorEastAsia" w:eastAsiaTheme="minorEastAsia" w:hAnsiTheme="minorEastAsia" w:hint="eastAsia"/>
          <w:sz w:val="30"/>
          <w:szCs w:val="30"/>
        </w:rPr>
        <w:lastRenderedPageBreak/>
        <w:t>第二部分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释义</w:t>
      </w:r>
      <w:bookmarkEnd w:id="63"/>
    </w:p>
    <w:p w14:paraId="572D2784"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7A51C931"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、基金或本基金：指富荣福康混合型证券投资基金</w:t>
      </w:r>
    </w:p>
    <w:p w14:paraId="2EA05FA1"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59815CA8"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、基金托管人：指中国光大银行股份有限公司</w:t>
      </w:r>
    </w:p>
    <w:p w14:paraId="52CC8993"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、基金合同：指《富荣福康混合型证券投资基金基金合同》及对基金合同的任何有效修订和补充</w:t>
      </w:r>
    </w:p>
    <w:p w14:paraId="0BC69F80"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、托管协议：指基金管理人与基金托管人就本基金签订之《富荣福康混合型证券投资基金托管协议》及对该托管协议的任何有效修订和补充</w:t>
      </w:r>
    </w:p>
    <w:p w14:paraId="5DE1B5D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、招募说明书或本招募说明书：指《富荣福康混合型证券投资基金招募说明书》及其更新</w:t>
      </w:r>
    </w:p>
    <w:p w14:paraId="37099F6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7、基金产品资料概要：指《富荣福康混合型证券投资基金基金产品资料概要》及其更新</w:t>
      </w:r>
    </w:p>
    <w:p w14:paraId="0734B891"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、基金份额发售公告：指《富荣福康混合型证券投资基金基金份额发售公告》</w:t>
      </w:r>
    </w:p>
    <w:p w14:paraId="0C99421C"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6E89DED2"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、《基金法》：指</w:t>
      </w:r>
      <w:r>
        <w:rPr>
          <w:rFonts w:asciiTheme="minorEastAsia" w:hAnsiTheme="minorEastAsia" w:cs="Times New Roman"/>
          <w:sz w:val="24"/>
          <w:szCs w:val="24"/>
        </w:rPr>
        <w:t>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14:paraId="3A361666"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、《销售办法》：指中国证监会</w:t>
      </w:r>
      <w:r>
        <w:rPr>
          <w:rFonts w:asciiTheme="minorEastAsia" w:hAnsiTheme="minorEastAsia" w:cs="Times New Roman"/>
          <w:sz w:val="24"/>
          <w:szCs w:val="24"/>
        </w:rPr>
        <w:t>2013</w:t>
      </w:r>
      <w:r>
        <w:rPr>
          <w:rFonts w:asciiTheme="minorEastAsia" w:hAnsiTheme="minorEastAsia" w:cs="Times New Roman" w:hint="eastAsia"/>
          <w:sz w:val="24"/>
          <w:szCs w:val="24"/>
        </w:rPr>
        <w:t>年</w:t>
      </w:r>
      <w:r>
        <w:rPr>
          <w:rFonts w:asciiTheme="minorEastAsia" w:hAnsiTheme="minorEastAsia" w:cs="Times New Roman"/>
          <w:sz w:val="24"/>
          <w:szCs w:val="24"/>
        </w:rPr>
        <w:t>3</w:t>
      </w:r>
      <w:r>
        <w:rPr>
          <w:rFonts w:asciiTheme="minorEastAsia" w:hAnsiTheme="minorEastAsia" w:cs="Times New Roman" w:hint="eastAsia"/>
          <w:sz w:val="24"/>
          <w:szCs w:val="24"/>
        </w:rPr>
        <w:t>月</w:t>
      </w:r>
      <w:r>
        <w:rPr>
          <w:rFonts w:asciiTheme="minorEastAsia" w:hAnsiTheme="minorEastAsia" w:cs="Times New Roman"/>
          <w:sz w:val="24"/>
          <w:szCs w:val="24"/>
        </w:rPr>
        <w:t>15</w:t>
      </w:r>
      <w:r>
        <w:rPr>
          <w:rFonts w:asciiTheme="minorEastAsia" w:hAnsiTheme="minorEastAsia" w:cs="Times New Roman" w:hint="eastAsia"/>
          <w:sz w:val="24"/>
          <w:szCs w:val="24"/>
        </w:rPr>
        <w:t>日颁布、同年</w:t>
      </w:r>
      <w:r>
        <w:rPr>
          <w:rFonts w:asciiTheme="minorEastAsia" w:hAnsiTheme="minorEastAsia" w:cs="Times New Roman"/>
          <w:sz w:val="24"/>
          <w:szCs w:val="24"/>
        </w:rPr>
        <w:t>6</w:t>
      </w:r>
      <w:r>
        <w:rPr>
          <w:rFonts w:asciiTheme="minorEastAsia" w:hAnsiTheme="minorEastAsia" w:cs="Times New Roman" w:hint="eastAsia"/>
          <w:sz w:val="24"/>
          <w:szCs w:val="24"/>
        </w:rPr>
        <w:t>月</w:t>
      </w:r>
      <w:r>
        <w:rPr>
          <w:rFonts w:asciiTheme="minorEastAsia" w:hAnsiTheme="minorEastAsia" w:cs="Times New Roman"/>
          <w:sz w:val="24"/>
          <w:szCs w:val="24"/>
        </w:rPr>
        <w:t>1</w:t>
      </w:r>
      <w:r>
        <w:rPr>
          <w:rFonts w:asciiTheme="minorEastAsia" w:hAnsiTheme="minorEastAsia" w:cs="Times New Roman" w:hint="eastAsia"/>
          <w:sz w:val="24"/>
          <w:szCs w:val="24"/>
        </w:rPr>
        <w:t>日实施的《证券投资基金销售管理办法》及颁布机关对其不时做出的修订</w:t>
      </w:r>
    </w:p>
    <w:p w14:paraId="4806277D"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、《信息披露办法》：指中国证监会</w:t>
      </w:r>
      <w:r>
        <w:rPr>
          <w:rFonts w:asciiTheme="minorEastAsia" w:hAnsiTheme="minorEastAsia" w:cs="Times New Roman"/>
          <w:sz w:val="24"/>
          <w:szCs w:val="24"/>
        </w:rPr>
        <w:t>2019年7月26日颁布、同年9月1日实施的《公开募集证券投资基金信息披露管理办法》</w:t>
      </w:r>
      <w:r>
        <w:rPr>
          <w:rFonts w:asciiTheme="minorEastAsia" w:hAnsiTheme="minorEastAsia" w:cs="Times New Roman" w:hint="eastAsia"/>
          <w:sz w:val="24"/>
          <w:szCs w:val="24"/>
        </w:rPr>
        <w:t>及颁布机关对其不时做出的修订</w:t>
      </w:r>
    </w:p>
    <w:p w14:paraId="2F25B77C"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日实施的《公开募集证券投资基金运作管理办法》及颁布机关对其不时做出的修订</w:t>
      </w:r>
    </w:p>
    <w:p w14:paraId="54FCD80D"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14</w:t>
      </w:r>
      <w:r>
        <w:rPr>
          <w:rFonts w:asciiTheme="minorEastAsia" w:hAnsiTheme="minorEastAsia" w:hint="eastAsia"/>
          <w:bCs/>
          <w:sz w:val="24"/>
          <w:szCs w:val="24"/>
        </w:rPr>
        <w:t>、《管理规定》：指中国证监会</w:t>
      </w:r>
      <w:r>
        <w:rPr>
          <w:rFonts w:asciiTheme="minorEastAsia" w:hAnsiTheme="minorEastAsia"/>
          <w:bCs/>
          <w:sz w:val="24"/>
          <w:szCs w:val="24"/>
        </w:rPr>
        <w:t>2017</w:t>
      </w:r>
      <w:r>
        <w:rPr>
          <w:rFonts w:asciiTheme="minorEastAsia" w:hAnsiTheme="minorEastAsia" w:hint="eastAsia"/>
          <w:bCs/>
          <w:sz w:val="24"/>
          <w:szCs w:val="24"/>
        </w:rPr>
        <w:t>年</w:t>
      </w:r>
      <w:r>
        <w:rPr>
          <w:rFonts w:asciiTheme="minorEastAsia" w:hAnsiTheme="minorEastAsia"/>
          <w:bCs/>
          <w:sz w:val="24"/>
          <w:szCs w:val="24"/>
        </w:rPr>
        <w:t>8</w:t>
      </w:r>
      <w:r>
        <w:rPr>
          <w:rFonts w:asciiTheme="minorEastAsia" w:hAnsiTheme="minorEastAsia" w:hint="eastAsia"/>
          <w:bCs/>
          <w:sz w:val="24"/>
          <w:szCs w:val="24"/>
        </w:rPr>
        <w:t>月</w:t>
      </w:r>
      <w:r>
        <w:rPr>
          <w:rFonts w:asciiTheme="minorEastAsia" w:hAnsiTheme="minorEastAsia"/>
          <w:bCs/>
          <w:sz w:val="24"/>
          <w:szCs w:val="24"/>
        </w:rPr>
        <w:t>31</w:t>
      </w:r>
      <w:r>
        <w:rPr>
          <w:rFonts w:asciiTheme="minorEastAsia" w:hAnsiTheme="minorEastAsia" w:hint="eastAsia"/>
          <w:bCs/>
          <w:sz w:val="24"/>
          <w:szCs w:val="24"/>
        </w:rPr>
        <w:t>日颁布、同年</w:t>
      </w:r>
      <w:r>
        <w:rPr>
          <w:rFonts w:asciiTheme="minorEastAsia" w:hAnsiTheme="minorEastAsia"/>
          <w:bCs/>
          <w:sz w:val="24"/>
          <w:szCs w:val="24"/>
        </w:rPr>
        <w:t>10</w:t>
      </w:r>
      <w:r>
        <w:rPr>
          <w:rFonts w:asciiTheme="minorEastAsia" w:hAnsiTheme="minorEastAsia" w:hint="eastAsia"/>
          <w:bCs/>
          <w:sz w:val="24"/>
          <w:szCs w:val="24"/>
        </w:rPr>
        <w:t>月</w:t>
      </w:r>
      <w:r>
        <w:rPr>
          <w:rFonts w:asciiTheme="minorEastAsia" w:hAnsiTheme="minorEastAsia"/>
          <w:bCs/>
          <w:sz w:val="24"/>
          <w:szCs w:val="24"/>
        </w:rPr>
        <w:t>1</w:t>
      </w:r>
      <w:r>
        <w:rPr>
          <w:rFonts w:asciiTheme="minorEastAsia" w:hAnsiTheme="minorEastAsia" w:hint="eastAsia"/>
          <w:bCs/>
          <w:sz w:val="24"/>
          <w:szCs w:val="24"/>
        </w:rPr>
        <w:t>日实</w:t>
      </w:r>
      <w:r>
        <w:rPr>
          <w:rFonts w:asciiTheme="minorEastAsia" w:hAnsiTheme="minorEastAsia" w:hint="eastAsia"/>
          <w:bCs/>
          <w:sz w:val="24"/>
          <w:szCs w:val="24"/>
        </w:rPr>
        <w:lastRenderedPageBreak/>
        <w:t>施的《公开募集开放式证券投资基金流动性风险管理规定》及颁布机关对其不时做出的修订</w:t>
      </w:r>
    </w:p>
    <w:p w14:paraId="02F959EC"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、中国证监会：指中国证券监督管理委员会</w:t>
      </w:r>
    </w:p>
    <w:p w14:paraId="32FB5521"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、银行业监督管理机构：指中国人民银行和</w:t>
      </w:r>
      <w:r>
        <w:rPr>
          <w:rFonts w:asciiTheme="minorEastAsia" w:hAnsiTheme="minorEastAsia" w:cs="Times New Roman"/>
          <w:sz w:val="24"/>
          <w:szCs w:val="24"/>
        </w:rPr>
        <w:t>/</w:t>
      </w:r>
      <w:r>
        <w:rPr>
          <w:rFonts w:asciiTheme="minorEastAsia" w:hAnsiTheme="minorEastAsia" w:cs="Times New Roman" w:hint="eastAsia"/>
          <w:sz w:val="24"/>
          <w:szCs w:val="24"/>
        </w:rPr>
        <w:t>或中国银行保险监督管理委员会</w:t>
      </w:r>
    </w:p>
    <w:p w14:paraId="6EFD94C6"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1141733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Pr>
          <w:rFonts w:asciiTheme="minorEastAsia" w:hAnsiTheme="minorEastAsia" w:cs="Times New Roman" w:hint="eastAsia"/>
          <w:sz w:val="24"/>
          <w:szCs w:val="24"/>
        </w:rPr>
        <w:t>、个人投资者：指依据有关法律法规规定可投资于证券投资基金的自然人</w:t>
      </w:r>
    </w:p>
    <w:p w14:paraId="16ED74B9"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2EA3A716"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、合格境外机构投资者：指符合《合格境外机构投资者境内证券投资管理办法》及相关法律法规规定可以投资于在中国境内依法募集的证券投资基金的中国境外的机构投资者</w:t>
      </w:r>
    </w:p>
    <w:p w14:paraId="574DD494"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w:t>
      </w:r>
      <w:r>
        <w:rPr>
          <w:rFonts w:asciiTheme="minorEastAsia" w:hAnsiTheme="minorEastAsia" w:cs="Times New Roman" w:hint="eastAsia"/>
          <w:sz w:val="24"/>
          <w:szCs w:val="24"/>
        </w:rPr>
        <w:t>、投资人：指个人投资者、机构投资者和合格境外机构投资者以及法律法规或中国证监会允许购买证券投资基金的其他投资人的合称</w:t>
      </w:r>
    </w:p>
    <w:p w14:paraId="5FE1069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56C673A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164F61E7"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7E6B900A"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81C784"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、登记机构：指办理登记业务的机构。本基金的登记机构为富荣基金管理有限公司或接受富荣基金管理有限公司委托代为办理登记业务的机构</w:t>
      </w:r>
    </w:p>
    <w:p w14:paraId="30D004C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3753D01C"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28</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、基金交易账户：指销售机构为投资人开立的、记录投资人通过该销售机构办理认购、申购、赎回、转换、转托管及定期定额投资等业务而引起的基金份额变动及结余情况的账户</w:t>
      </w:r>
    </w:p>
    <w:p w14:paraId="2563942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78371E56"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7593D3B5"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31</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432DBA5E"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、存续期：指基金合同生效至终止之间的不定期期限</w:t>
      </w:r>
    </w:p>
    <w:p w14:paraId="4C538C7A"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、工作日：指上海证券交易所、深圳证券交易所的正常交易日</w:t>
      </w:r>
    </w:p>
    <w:p w14:paraId="3C41067A"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25A24E37"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r>
        <w:rPr>
          <w:rFonts w:asciiTheme="minorEastAsia" w:hAnsiTheme="minorEastAsia" w:cs="Times New Roman" w:hint="eastAsia"/>
          <w:sz w:val="24"/>
          <w:szCs w:val="24"/>
        </w:rPr>
        <w:t>个工作日（不包含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p>
    <w:p w14:paraId="5E9F49ED"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、开放日：指为投资人办理基金份额申购、赎回或其他业务的工作日</w:t>
      </w:r>
    </w:p>
    <w:p w14:paraId="1FE400E9"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、开放时间：指开放日基金接受申购、赎回或其他交易的时间段</w:t>
      </w:r>
    </w:p>
    <w:p w14:paraId="0903AF22"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6D625F93"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、认购：指在基金募集期内，投资人根据基金合同和招募说明书的规定申请购买基金份额的行为</w:t>
      </w:r>
    </w:p>
    <w:p w14:paraId="71F97B64"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、申购：指基金合同生效后，投资人根据基金合同和招募说明书的规定申请购买基金份额的行为</w:t>
      </w:r>
    </w:p>
    <w:p w14:paraId="0AFFA83D"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41</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0CE5D7D9"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68964F56"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、转托管：指基金份额持有人在本基金的不同销售机构之间实施的变更所</w:t>
      </w:r>
      <w:r>
        <w:rPr>
          <w:rFonts w:asciiTheme="minorEastAsia" w:hAnsiTheme="minorEastAsia" w:cs="Times New Roman" w:hint="eastAsia"/>
          <w:sz w:val="24"/>
          <w:szCs w:val="24"/>
        </w:rPr>
        <w:lastRenderedPageBreak/>
        <w:t>持基金份额销售机构的操作</w:t>
      </w:r>
    </w:p>
    <w:p w14:paraId="696E7639"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DBA5CB2"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0182F967" w14:textId="77777777" w:rsidR="008D0810" w:rsidRDefault="00417F9F">
      <w:pPr>
        <w:adjustRightInd w:val="0"/>
        <w:snapToGrid w:val="0"/>
        <w:spacing w:line="360" w:lineRule="auto"/>
        <w:ind w:left="42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、元：指人民币元</w:t>
      </w:r>
    </w:p>
    <w:p w14:paraId="18A684A4"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473B3F1A"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48</w:t>
      </w:r>
      <w:r>
        <w:rPr>
          <w:rFonts w:asciiTheme="minorEastAsia" w:hAnsiTheme="minorEastAsia" w:cs="Times New Roman" w:hint="eastAsia"/>
          <w:sz w:val="24"/>
          <w:szCs w:val="24"/>
        </w:rPr>
        <w:t>、销售服务费：指本基金用于持续销售和服务基金份额持有人的费用，该笔费用从</w:t>
      </w:r>
      <w:r>
        <w:rPr>
          <w:rFonts w:asciiTheme="minorEastAsia" w:hAnsiTheme="minorEastAsia" w:cs="Times New Roman"/>
          <w:sz w:val="24"/>
          <w:szCs w:val="24"/>
        </w:rPr>
        <w:t>C类份额的基金财产中计提，属于基金的营运费用</w:t>
      </w:r>
    </w:p>
    <w:p w14:paraId="46F09E47"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、基金资产总值：指基金拥有的各类有价证券、银行存款本息、基金应收申购款及其他资产的价值总和</w:t>
      </w:r>
    </w:p>
    <w:p w14:paraId="17F4D313"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50</w:t>
      </w:r>
      <w:r>
        <w:rPr>
          <w:rFonts w:asciiTheme="minorEastAsia" w:hAnsiTheme="minorEastAsia" w:cs="Times New Roman" w:hint="eastAsia"/>
          <w:sz w:val="24"/>
          <w:szCs w:val="24"/>
        </w:rPr>
        <w:t>、基金资产净值：指基金资产总值减去基金负债后的价值</w:t>
      </w:r>
    </w:p>
    <w:p w14:paraId="26524C1B"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51</w:t>
      </w:r>
      <w:r>
        <w:rPr>
          <w:rFonts w:asciiTheme="minorEastAsia" w:hAnsiTheme="minorEastAsia" w:cs="Times New Roman" w:hint="eastAsia"/>
          <w:sz w:val="24"/>
          <w:szCs w:val="24"/>
        </w:rPr>
        <w:t>、基金份额净值：指计算日基金资产净值除以计算日基金份额总数</w:t>
      </w:r>
    </w:p>
    <w:p w14:paraId="3E3E773C"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52</w:t>
      </w:r>
      <w:r>
        <w:rPr>
          <w:rFonts w:asciiTheme="minorEastAsia" w:hAnsiTheme="minorEastAsia" w:cs="Times New Roman" w:hint="eastAsia"/>
          <w:sz w:val="24"/>
          <w:szCs w:val="24"/>
        </w:rPr>
        <w:t>、基金资产估值：指计算评估基金资产和负债的价值，以确定基金资产净值和基金份额净值的过程</w:t>
      </w:r>
    </w:p>
    <w:p w14:paraId="7D7100F3"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53</w:t>
      </w:r>
      <w:r>
        <w:rPr>
          <w:rFonts w:asciiTheme="minorEastAsia" w:hAnsiTheme="minorEastAsia" w:cs="Times New Roman" w:hint="eastAsia"/>
          <w:sz w:val="24"/>
          <w:szCs w:val="24"/>
        </w:rPr>
        <w:t>、基金份额的类别：指本基金根据销售服务费收取方式的不同，将基金份额分为不同的类别</w:t>
      </w:r>
    </w:p>
    <w:p w14:paraId="733E6768"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54</w:t>
      </w:r>
      <w:r>
        <w:rPr>
          <w:rFonts w:asciiTheme="minorEastAsia" w:hAnsiTheme="minorEastAsia" w:cs="Times New Roman" w:hint="eastAsia"/>
          <w:sz w:val="24"/>
          <w:szCs w:val="24"/>
        </w:rPr>
        <w:t>、</w:t>
      </w:r>
      <w:r>
        <w:rPr>
          <w:rFonts w:asciiTheme="minorEastAsia" w:hAnsiTheme="minorEastAsia" w:cs="Times New Roman"/>
          <w:sz w:val="24"/>
          <w:szCs w:val="24"/>
        </w:rPr>
        <w:t>A</w:t>
      </w:r>
      <w:r>
        <w:rPr>
          <w:rFonts w:asciiTheme="minorEastAsia" w:hAnsiTheme="minorEastAsia" w:cs="Times New Roman" w:hint="eastAsia"/>
          <w:sz w:val="24"/>
          <w:szCs w:val="24"/>
        </w:rPr>
        <w:t>类基金份额：指在投资者认购、申购时收取前端认购、申购费用</w:t>
      </w:r>
      <w:r>
        <w:rPr>
          <w:rFonts w:asciiTheme="minorEastAsia" w:hAnsiTheme="minorEastAsia" w:hint="eastAsia"/>
          <w:bCs/>
          <w:sz w:val="24"/>
          <w:szCs w:val="24"/>
        </w:rPr>
        <w:t>，在赎回时根据持有期限收取赎回费用的基金份额，</w:t>
      </w:r>
      <w:r>
        <w:rPr>
          <w:rFonts w:asciiTheme="minorEastAsia" w:hAnsiTheme="minorEastAsia" w:cs="Times New Roman" w:hint="eastAsia"/>
          <w:sz w:val="24"/>
          <w:szCs w:val="24"/>
        </w:rPr>
        <w:t>而不从本类别基金资产中计提销售服务费的基金份额类别</w:t>
      </w:r>
    </w:p>
    <w:p w14:paraId="3C11E7CF"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55</w:t>
      </w:r>
      <w:r>
        <w:rPr>
          <w:rFonts w:asciiTheme="minorEastAsia" w:hAnsiTheme="minorEastAsia" w:cs="Times New Roman" w:hint="eastAsia"/>
          <w:sz w:val="24"/>
          <w:szCs w:val="24"/>
        </w:rPr>
        <w:t>、</w:t>
      </w:r>
      <w:r>
        <w:rPr>
          <w:rFonts w:asciiTheme="minorEastAsia" w:hAnsiTheme="minorEastAsia" w:cs="Times New Roman"/>
          <w:sz w:val="24"/>
          <w:szCs w:val="24"/>
        </w:rPr>
        <w:t>C</w:t>
      </w:r>
      <w:r>
        <w:rPr>
          <w:rFonts w:asciiTheme="minorEastAsia" w:hAnsiTheme="minorEastAsia" w:cs="Times New Roman" w:hint="eastAsia"/>
          <w:sz w:val="24"/>
          <w:szCs w:val="24"/>
        </w:rPr>
        <w:t>类基金份额：指在投资者认购、申购时不收取前端认购、申购费用，</w:t>
      </w:r>
      <w:r>
        <w:rPr>
          <w:rFonts w:asciiTheme="minorEastAsia" w:hAnsiTheme="minorEastAsia" w:hint="eastAsia"/>
          <w:bCs/>
          <w:sz w:val="24"/>
          <w:szCs w:val="24"/>
        </w:rPr>
        <w:t>在赎回时根据持有期限收取赎回费用，且</w:t>
      </w:r>
      <w:r>
        <w:rPr>
          <w:rFonts w:asciiTheme="minorEastAsia" w:hAnsiTheme="minorEastAsia" w:cs="Times New Roman" w:hint="eastAsia"/>
          <w:sz w:val="24"/>
          <w:szCs w:val="24"/>
        </w:rPr>
        <w:t>从本类别基金资产中计提销售服务费的基金份额类别</w:t>
      </w:r>
    </w:p>
    <w:p w14:paraId="15F6C0C0"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56</w:t>
      </w:r>
      <w:r>
        <w:rPr>
          <w:rFonts w:asciiTheme="minorEastAsia" w:hAnsiTheme="minorEastAsia" w:hint="eastAsia"/>
          <w:bCs/>
          <w:sz w:val="24"/>
          <w:szCs w:val="24"/>
        </w:rPr>
        <w:t>、流动性受限资产：是指由于法律法规、监管、合同或操作障碍等原因无法以合理价格予以变现的资产，包括但不限于到期日在10</w:t>
      </w:r>
      <w:r>
        <w:rPr>
          <w:rFonts w:asciiTheme="minorEastAsia" w:hAnsiTheme="minorEastAsia"/>
          <w:bCs/>
          <w:sz w:val="24"/>
          <w:szCs w:val="24"/>
        </w:rPr>
        <w:t xml:space="preserve"> </w:t>
      </w:r>
      <w:r>
        <w:rPr>
          <w:rFonts w:asciiTheme="minorEastAsia" w:hAnsiTheme="minorEastAsia" w:hint="eastAsia"/>
          <w:bCs/>
          <w:sz w:val="24"/>
          <w:szCs w:val="24"/>
        </w:rPr>
        <w:t>个交易日以上的逆回购与银行定期存款（含协议约定有条件提前支取的银行存款）、停牌股票、流通受限的新股及非公开发行股票、资产支持证券、因发行人债务违约无法进行转让</w:t>
      </w:r>
      <w:r>
        <w:rPr>
          <w:rFonts w:asciiTheme="minorEastAsia" w:hAnsiTheme="minorEastAsia" w:hint="eastAsia"/>
          <w:bCs/>
          <w:sz w:val="24"/>
          <w:szCs w:val="24"/>
        </w:rPr>
        <w:lastRenderedPageBreak/>
        <w:t>或交易的债券等</w:t>
      </w:r>
    </w:p>
    <w:p w14:paraId="364D4358"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57</w:t>
      </w:r>
      <w:r>
        <w:rPr>
          <w:rFonts w:asciiTheme="minorEastAsia" w:hAnsiTheme="minorEastAsia" w:hint="eastAsia"/>
          <w:bCs/>
          <w:sz w:val="24"/>
          <w:szCs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D1D4648" w14:textId="77777777" w:rsidR="008D0810" w:rsidRDefault="00417F9F">
      <w:pPr>
        <w:spacing w:line="360" w:lineRule="auto"/>
        <w:ind w:firstLineChars="200" w:firstLine="460"/>
        <w:rPr>
          <w:rFonts w:asciiTheme="minorEastAsia" w:hAnsiTheme="minorEastAsia" w:hint="eastAsia"/>
          <w:bCs/>
          <w:sz w:val="24"/>
          <w:szCs w:val="24"/>
        </w:rPr>
      </w:pPr>
      <w:r>
        <w:rPr>
          <w:rFonts w:asciiTheme="minorEastAsia" w:hAnsiTheme="minorEastAsia"/>
          <w:kern w:val="0"/>
          <w:sz w:val="23"/>
          <w:szCs w:val="23"/>
        </w:rPr>
        <w:t>58</w:t>
      </w:r>
      <w:r>
        <w:rPr>
          <w:rFonts w:asciiTheme="minorEastAsia" w:hAnsiTheme="minorEastAsia" w:hint="eastAsia"/>
          <w:bCs/>
          <w:sz w:val="24"/>
          <w:szCs w:val="24"/>
        </w:rPr>
        <w:t>、指定媒介：指中国证监会指定的用以进行信息披露的全国性报刊及指定互联网网站（包括基金管理人网站、基金托管人网站、中国证监会基金电子披露网站）等媒介</w:t>
      </w:r>
    </w:p>
    <w:p w14:paraId="771E24A6"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59</w:t>
      </w:r>
      <w:r>
        <w:rPr>
          <w:rFonts w:asciiTheme="minorEastAsia" w:hAnsiTheme="minorEastAsia" w:hint="eastAsia"/>
          <w:bCs/>
          <w:sz w:val="24"/>
          <w:szCs w:val="24"/>
        </w:rPr>
        <w:t>、不可抗力：指本基金合同当事人不能预见、不能避免且不能克服的客观事件</w:t>
      </w:r>
    </w:p>
    <w:p w14:paraId="5A70F51B" w14:textId="77777777" w:rsidR="008D0810" w:rsidRDefault="00417F9F">
      <w:pPr>
        <w:widowControl/>
        <w:jc w:val="left"/>
        <w:rPr>
          <w:rFonts w:asciiTheme="minorEastAsia" w:hAnsiTheme="minorEastAsia" w:hint="eastAsia"/>
          <w:bCs/>
          <w:sz w:val="24"/>
          <w:szCs w:val="24"/>
        </w:rPr>
      </w:pPr>
      <w:r>
        <w:rPr>
          <w:rFonts w:asciiTheme="minorEastAsia" w:hAnsiTheme="minorEastAsia"/>
          <w:bCs/>
          <w:sz w:val="24"/>
          <w:szCs w:val="24"/>
        </w:rPr>
        <w:br w:type="page"/>
      </w:r>
    </w:p>
    <w:p w14:paraId="3A77EFF0" w14:textId="77777777" w:rsidR="008D0810" w:rsidRDefault="00417F9F">
      <w:pPr>
        <w:pStyle w:val="1"/>
        <w:jc w:val="center"/>
        <w:rPr>
          <w:rFonts w:asciiTheme="minorEastAsia" w:eastAsiaTheme="minorEastAsia" w:hAnsiTheme="minorEastAsia" w:hint="eastAsia"/>
          <w:sz w:val="30"/>
          <w:szCs w:val="30"/>
        </w:rPr>
      </w:pPr>
      <w:bookmarkStart w:id="64" w:name="_Toc146096079"/>
      <w:bookmarkStart w:id="65" w:name="_Toc263092311"/>
      <w:bookmarkStart w:id="66" w:name="_Toc416264539"/>
      <w:bookmarkStart w:id="67" w:name="_Toc410197817"/>
      <w:bookmarkStart w:id="68" w:name="_Toc352229749"/>
      <w:bookmarkStart w:id="69" w:name="_Toc24682"/>
      <w:bookmarkStart w:id="70" w:name="_Toc27226"/>
      <w:bookmarkStart w:id="71" w:name="_Toc7151"/>
      <w:bookmarkStart w:id="72" w:name="_Toc90742390"/>
      <w:bookmarkStart w:id="73" w:name="_Toc29784"/>
      <w:bookmarkStart w:id="74" w:name="_Toc15203"/>
      <w:bookmarkStart w:id="75" w:name="_Toc90742321"/>
      <w:bookmarkStart w:id="76" w:name="_Toc6714"/>
      <w:bookmarkStart w:id="77" w:name="_Toc29948"/>
      <w:bookmarkStart w:id="78" w:name="_Toc3266"/>
      <w:bookmarkStart w:id="79" w:name="_Toc16265"/>
      <w:bookmarkStart w:id="80" w:name="_Toc27189"/>
      <w:bookmarkStart w:id="81" w:name="_Toc22074"/>
      <w:bookmarkStart w:id="82" w:name="_Toc90742688"/>
      <w:bookmarkEnd w:id="49"/>
      <w:bookmarkEnd w:id="50"/>
      <w:bookmarkEnd w:id="51"/>
      <w:bookmarkEnd w:id="52"/>
      <w:bookmarkEnd w:id="53"/>
      <w:bookmarkEnd w:id="54"/>
      <w:bookmarkEnd w:id="55"/>
      <w:bookmarkEnd w:id="56"/>
      <w:bookmarkEnd w:id="57"/>
      <w:bookmarkEnd w:id="58"/>
      <w:bookmarkEnd w:id="59"/>
      <w:bookmarkEnd w:id="60"/>
      <w:r>
        <w:rPr>
          <w:rFonts w:asciiTheme="minorEastAsia" w:eastAsiaTheme="minorEastAsia" w:hAnsiTheme="minorEastAsia" w:hint="eastAsia"/>
          <w:sz w:val="30"/>
          <w:szCs w:val="30"/>
        </w:rPr>
        <w:lastRenderedPageBreak/>
        <w:t>第三部分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基金管理人</w:t>
      </w:r>
      <w:bookmarkEnd w:id="64"/>
      <w:bookmarkEnd w:id="65"/>
      <w:bookmarkEnd w:id="66"/>
    </w:p>
    <w:p w14:paraId="263CAFF1" w14:textId="77777777" w:rsidR="008D0810" w:rsidRDefault="00417F9F">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01367DA8"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227F45FD"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住所：广东省广州市南沙区横沥镇汇通二街2号3110房</w:t>
      </w:r>
    </w:p>
    <w:p w14:paraId="07ACB7FB"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办公地址：广东省深圳市福田区八卦四路</w:t>
      </w:r>
      <w:r>
        <w:rPr>
          <w:rFonts w:asciiTheme="minorEastAsia" w:hAnsiTheme="minorEastAsia" w:cs="Times New Roman"/>
          <w:kern w:val="0"/>
          <w:sz w:val="24"/>
          <w:szCs w:val="24"/>
        </w:rPr>
        <w:t>52号安吉</w:t>
      </w:r>
      <w:r>
        <w:rPr>
          <w:rFonts w:asciiTheme="minorEastAsia" w:hAnsiTheme="minorEastAsia" w:cs="Times New Roman" w:hint="eastAsia"/>
          <w:kern w:val="0"/>
          <w:sz w:val="24"/>
          <w:szCs w:val="24"/>
        </w:rPr>
        <w:t>尔大厦</w:t>
      </w:r>
      <w:r>
        <w:rPr>
          <w:rFonts w:asciiTheme="minorEastAsia" w:hAnsiTheme="minorEastAsia" w:cs="Times New Roman"/>
          <w:kern w:val="0"/>
          <w:sz w:val="24"/>
          <w:szCs w:val="24"/>
        </w:rPr>
        <w:t>24层</w:t>
      </w:r>
    </w:p>
    <w:p w14:paraId="081AD897"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法定代表人：王亦伟</w:t>
      </w:r>
    </w:p>
    <w:p w14:paraId="08F3BDC3"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w:t>
      </w:r>
      <w:r>
        <w:rPr>
          <w:rFonts w:asciiTheme="minorEastAsia" w:hAnsiTheme="minorEastAsia" w:cs="Times New Roman"/>
          <w:kern w:val="0"/>
          <w:sz w:val="24"/>
          <w:szCs w:val="24"/>
        </w:rPr>
        <w:t>2016年1月25日</w:t>
      </w:r>
    </w:p>
    <w:p w14:paraId="09C393B5"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w:t>
      </w:r>
      <w:r>
        <w:rPr>
          <w:rFonts w:asciiTheme="minorEastAsia" w:hAnsiTheme="minorEastAsia" w:cs="Times New Roman"/>
          <w:kern w:val="0"/>
          <w:sz w:val="24"/>
          <w:szCs w:val="24"/>
        </w:rPr>
        <w:t>2</w:t>
      </w:r>
      <w:r>
        <w:rPr>
          <w:rFonts w:asciiTheme="minorEastAsia" w:hAnsiTheme="minorEastAsia" w:cs="Times New Roman" w:hint="eastAsia"/>
          <w:kern w:val="0"/>
          <w:sz w:val="24"/>
          <w:szCs w:val="24"/>
        </w:rPr>
        <w:t>亿元人民币</w:t>
      </w:r>
    </w:p>
    <w:p w14:paraId="2F0648E1" w14:textId="77777777"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1F26B1D3" w14:textId="56058373"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sidR="00E07A0D">
        <w:rPr>
          <w:rFonts w:asciiTheme="minorEastAsia" w:hAnsiTheme="minorEastAsia" w:cs="Times New Roman" w:hint="eastAsia"/>
          <w:kern w:val="0"/>
          <w:sz w:val="24"/>
          <w:szCs w:val="24"/>
        </w:rPr>
        <w:t>郭鑫</w:t>
      </w:r>
    </w:p>
    <w:p w14:paraId="2A80B1D3" w14:textId="006B084C" w:rsidR="008D0810" w:rsidRDefault="00417F9F">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w:t>
      </w:r>
      <w:r w:rsidR="00E07A0D">
        <w:rPr>
          <w:rFonts w:asciiTheme="minorEastAsia" w:hAnsiTheme="minorEastAsia" w:cs="Times New Roman" w:hint="eastAsia"/>
          <w:kern w:val="0"/>
          <w:sz w:val="24"/>
          <w:szCs w:val="24"/>
        </w:rPr>
        <w:t>0755-843</w:t>
      </w:r>
      <w:r w:rsidR="00CA4E43">
        <w:rPr>
          <w:rFonts w:asciiTheme="minorEastAsia" w:hAnsiTheme="minorEastAsia" w:cs="Times New Roman" w:hint="eastAsia"/>
          <w:kern w:val="0"/>
          <w:sz w:val="24"/>
          <w:szCs w:val="24"/>
        </w:rPr>
        <w:t>5</w:t>
      </w:r>
      <w:r w:rsidR="00E07A0D">
        <w:rPr>
          <w:rFonts w:asciiTheme="minorEastAsia" w:hAnsiTheme="minorEastAsia" w:cs="Times New Roman" w:hint="eastAsia"/>
          <w:kern w:val="0"/>
          <w:sz w:val="24"/>
          <w:szCs w:val="24"/>
        </w:rPr>
        <w:t>6796</w:t>
      </w:r>
    </w:p>
    <w:p w14:paraId="2632B665"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股权结构：</w:t>
      </w:r>
      <w:r>
        <w:rPr>
          <w:rFonts w:asciiTheme="minorEastAsia" w:hAnsiTheme="minorEastAsia" w:cs="Arial"/>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8D0810" w14:paraId="15BE6635"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28C0E82" w14:textId="77777777" w:rsidR="008D0810" w:rsidRDefault="00417F9F">
            <w:pPr>
              <w:spacing w:line="360" w:lineRule="auto"/>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521549D6" w14:textId="77777777" w:rsidR="008D0810" w:rsidRDefault="00417F9F">
            <w:pPr>
              <w:spacing w:line="360" w:lineRule="auto"/>
              <w:jc w:val="left"/>
              <w:rPr>
                <w:rFonts w:asciiTheme="minorEastAsia" w:hAnsiTheme="minorEastAsia" w:cs="Arial" w:hint="eastAsia"/>
                <w:b/>
                <w:kern w:val="0"/>
                <w:sz w:val="24"/>
                <w:szCs w:val="24"/>
              </w:rPr>
            </w:pPr>
            <w:r>
              <w:rPr>
                <w:rFonts w:asciiTheme="minorEastAsia" w:hAnsiTheme="minorEastAsia" w:cs="Arial" w:hint="eastAsia"/>
                <w:b/>
                <w:kern w:val="0"/>
                <w:sz w:val="24"/>
                <w:szCs w:val="24"/>
              </w:rPr>
              <w:t>出资比例</w:t>
            </w:r>
          </w:p>
        </w:tc>
      </w:tr>
      <w:tr w:rsidR="008D0810" w14:paraId="502D39EA"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4463CEAE" w14:textId="77777777" w:rsidR="008D0810" w:rsidRDefault="00417F9F">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3FCB15E" w14:textId="77777777" w:rsidR="008D0810" w:rsidRDefault="00417F9F">
            <w:pPr>
              <w:spacing w:line="360" w:lineRule="auto"/>
              <w:jc w:val="left"/>
              <w:rPr>
                <w:rFonts w:asciiTheme="minorEastAsia" w:hAnsiTheme="minorEastAsia" w:cs="Arial" w:hint="eastAsia"/>
                <w:kern w:val="0"/>
                <w:sz w:val="24"/>
                <w:szCs w:val="24"/>
              </w:rPr>
            </w:pPr>
            <w:r>
              <w:rPr>
                <w:rFonts w:asciiTheme="minorEastAsia" w:hAnsiTheme="minorEastAsia" w:cs="Arial"/>
                <w:kern w:val="0"/>
                <w:sz w:val="24"/>
                <w:szCs w:val="24"/>
              </w:rPr>
              <w:t>50%</w:t>
            </w:r>
          </w:p>
        </w:tc>
      </w:tr>
      <w:tr w:rsidR="008D0810" w14:paraId="58033C3A"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213ACE2" w14:textId="77777777" w:rsidR="008D0810" w:rsidRDefault="00417F9F">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77DC4300" w14:textId="77777777" w:rsidR="008D0810" w:rsidRDefault="00417F9F">
            <w:pPr>
              <w:spacing w:line="360" w:lineRule="auto"/>
              <w:jc w:val="left"/>
              <w:rPr>
                <w:rFonts w:asciiTheme="minorEastAsia" w:hAnsiTheme="minorEastAsia" w:cs="Arial" w:hint="eastAsia"/>
                <w:kern w:val="0"/>
                <w:sz w:val="24"/>
                <w:szCs w:val="24"/>
              </w:rPr>
            </w:pPr>
            <w:r>
              <w:rPr>
                <w:rFonts w:asciiTheme="minorEastAsia" w:hAnsiTheme="minorEastAsia" w:cs="Arial"/>
                <w:kern w:val="0"/>
                <w:sz w:val="24"/>
                <w:szCs w:val="24"/>
              </w:rPr>
              <w:t>45.1%</w:t>
            </w:r>
          </w:p>
        </w:tc>
      </w:tr>
      <w:tr w:rsidR="008D0810" w14:paraId="45303083"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F2A6633" w14:textId="77777777" w:rsidR="008D0810" w:rsidRDefault="00417F9F">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湖南省典勤投资开发有限公司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89F5FEF" w14:textId="77777777" w:rsidR="008D0810" w:rsidRDefault="00417F9F">
            <w:pPr>
              <w:spacing w:line="360" w:lineRule="auto"/>
              <w:jc w:val="left"/>
              <w:rPr>
                <w:rFonts w:asciiTheme="minorEastAsia" w:hAnsiTheme="minorEastAsia" w:cs="Arial" w:hint="eastAsia"/>
                <w:kern w:val="0"/>
                <w:sz w:val="24"/>
                <w:szCs w:val="24"/>
              </w:rPr>
            </w:pPr>
            <w:r>
              <w:rPr>
                <w:rFonts w:asciiTheme="minorEastAsia" w:hAnsiTheme="minorEastAsia" w:cs="Arial"/>
                <w:kern w:val="0"/>
                <w:sz w:val="24"/>
                <w:szCs w:val="24"/>
              </w:rPr>
              <w:t>4.9%</w:t>
            </w:r>
          </w:p>
        </w:tc>
      </w:tr>
    </w:tbl>
    <w:p w14:paraId="64C1DF83" w14:textId="77777777" w:rsidR="008D0810" w:rsidRDefault="008D0810">
      <w:pPr>
        <w:adjustRightInd w:val="0"/>
        <w:snapToGrid w:val="0"/>
        <w:spacing w:line="360" w:lineRule="auto"/>
        <w:ind w:firstLineChars="200" w:firstLine="480"/>
        <w:rPr>
          <w:rFonts w:asciiTheme="minorEastAsia" w:hAnsiTheme="minorEastAsia" w:cs="Arial" w:hint="eastAsia"/>
          <w:kern w:val="0"/>
          <w:sz w:val="24"/>
          <w:szCs w:val="24"/>
        </w:rPr>
      </w:pPr>
    </w:p>
    <w:p w14:paraId="7CA8A131" w14:textId="77777777" w:rsidR="008D0810" w:rsidRDefault="00417F9F">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6C3CD7A0"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1、董事会成员</w:t>
      </w:r>
    </w:p>
    <w:p w14:paraId="7528F4A8" w14:textId="74F954AD" w:rsidR="008D0810" w:rsidRDefault="00417F9F">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w:t>
      </w:r>
      <w:r w:rsidR="006B6E2A">
        <w:rPr>
          <w:rFonts w:asciiTheme="minorEastAsia" w:hAnsiTheme="minorEastAsia" w:cs="Arial" w:hint="eastAsia"/>
          <w:kern w:val="0"/>
          <w:sz w:val="24"/>
        </w:rPr>
        <w:t>，中国文化产业投资母基金管理有限公司董事，广州城恒城市更新投资有限公司董事长、法定代表人，广州城恒城市更新投资有限公司董事长、法定代表人。现任广州产业投资基金管理有限公司党委书记、法定代表人、董事长，广州市城投投资有限公司董事，</w:t>
      </w:r>
      <w:r w:rsidR="004C1A15">
        <w:rPr>
          <w:rFonts w:asciiTheme="minorEastAsia" w:hAnsiTheme="minorEastAsia" w:cs="Arial" w:hint="eastAsia"/>
          <w:kern w:val="0"/>
          <w:sz w:val="24"/>
        </w:rPr>
        <w:t>广州汽车集团股份有限公司董事，</w:t>
      </w:r>
      <w:r w:rsidR="006B6E2A">
        <w:rPr>
          <w:rFonts w:asciiTheme="minorEastAsia" w:hAnsiTheme="minorEastAsia" w:cs="Arial" w:hint="eastAsia"/>
          <w:kern w:val="0"/>
          <w:sz w:val="24"/>
        </w:rPr>
        <w:t>富荣基金管理有限公司董事长、法定代表人。</w:t>
      </w:r>
    </w:p>
    <w:p w14:paraId="3F3EC1A6" w14:textId="1C326BCF"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杨小舟先生，董事，大连理工大学硕士研究生。历任交通银行沈阳分行国际</w:t>
      </w:r>
      <w:r>
        <w:rPr>
          <w:rFonts w:asciiTheme="minorEastAsia" w:hAnsiTheme="minorEastAsia" w:cs="Arial" w:hint="eastAsia"/>
          <w:kern w:val="0"/>
          <w:sz w:val="24"/>
          <w:szCs w:val="24"/>
        </w:rPr>
        <w:lastRenderedPageBreak/>
        <w:t>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董事、总经理、首席信息官。</w:t>
      </w:r>
    </w:p>
    <w:p w14:paraId="6597D771" w14:textId="555E9A85"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赵宏伟先生，董事，对外经济贸易大学硕士研究生。曾任北京大成律师事务所律师、当代北方（北京）投资有限公司总裁、黑龙江北美工业大麻科技有限公司总裁、</w:t>
      </w:r>
      <w:r>
        <w:rPr>
          <w:rFonts w:asciiTheme="minorEastAsia" w:hAnsiTheme="minorEastAsia" w:cs="Arial"/>
          <w:kern w:val="0"/>
          <w:sz w:val="24"/>
          <w:szCs w:val="24"/>
        </w:rPr>
        <w:t>广州产业投资基金管理有限公司风险管理部总经理、法务风控部总经理，</w:t>
      </w:r>
      <w:r>
        <w:rPr>
          <w:rFonts w:asciiTheme="minorEastAsia" w:hAnsiTheme="minorEastAsia" w:cs="Arial" w:hint="eastAsia"/>
          <w:kern w:val="0"/>
          <w:sz w:val="24"/>
          <w:szCs w:val="24"/>
        </w:rPr>
        <w:t>广州基金国际股权投资基金管理有限公司党支部副书记、总经理</w:t>
      </w:r>
      <w:r w:rsidR="006B6E2A">
        <w:rPr>
          <w:rFonts w:asciiTheme="minorEastAsia" w:hAnsiTheme="minorEastAsia" w:cs="Arial" w:hint="eastAsia"/>
          <w:kern w:val="0"/>
          <w:sz w:val="24"/>
          <w:szCs w:val="24"/>
        </w:rPr>
        <w:t>，广州产业投资基金管理有限公司管理部总经理。现任穗甬控股有限公司常务副总经理，富荣基金管理有限公司董事。</w:t>
      </w:r>
    </w:p>
    <w:p w14:paraId="0D30F799" w14:textId="1C9B148E" w:rsidR="008D0810" w:rsidRDefault="006B6E2A">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郭涛先生，董事，上海交通大学高级管理人员工商管理专业硕士。曾任津沪深生物医药科技有限公司董事。现任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富荣基金管理有限公司董事。</w:t>
      </w:r>
    </w:p>
    <w:p w14:paraId="2A97717D"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余关健先生，独立董事，西南财经大学工业经济硕士研究生。曾任中国银行深圳分行信贷处处长、中国银行深圳分行风险管理处处长、深圳赛格、深圳特发</w:t>
      </w:r>
      <w:r>
        <w:rPr>
          <w:rFonts w:asciiTheme="minorEastAsia" w:hAnsiTheme="minorEastAsia" w:cs="Arial" w:hint="eastAsia"/>
          <w:kern w:val="0"/>
          <w:sz w:val="24"/>
        </w:rPr>
        <w:lastRenderedPageBreak/>
        <w:t>集团董事、邦信资产管理公司董事总经理、对外贸易集团股份有限公司董事长、中国东方资产管理公司广东省分公司总经理、</w:t>
      </w:r>
      <w:r>
        <w:rPr>
          <w:rFonts w:asciiTheme="minorEastAsia" w:hAnsiTheme="minorEastAsia" w:cs="Arial" w:hint="eastAsia"/>
          <w:kern w:val="0"/>
          <w:sz w:val="24"/>
          <w:szCs w:val="24"/>
        </w:rPr>
        <w:t>大业信托有限责任公司董事、沈阳公用发展股份有限公司董事、</w:t>
      </w:r>
      <w:r>
        <w:rPr>
          <w:rFonts w:asciiTheme="minorEastAsia" w:hAnsiTheme="minorEastAsia" w:cs="Arial" w:hint="eastAsia"/>
          <w:kern w:val="0"/>
          <w:sz w:val="24"/>
        </w:rPr>
        <w:t>东银实业（深圳）有限公司董事、金田实业（集团）股份有限公司独立董事、申科滑动轴承股份有限公司独立董事。现任富荣基金管理有限公司独立董事。</w:t>
      </w:r>
    </w:p>
    <w:p w14:paraId="0EE99823" w14:textId="047041B0" w:rsidR="008D0810" w:rsidRDefault="006B6E2A">
      <w:pPr>
        <w:spacing w:line="360" w:lineRule="auto"/>
        <w:ind w:firstLineChars="200" w:firstLine="480"/>
        <w:rPr>
          <w:rFonts w:asciiTheme="minorEastAsia" w:hAnsiTheme="minorEastAsia" w:cs="Arial" w:hint="eastAsia"/>
          <w:kern w:val="0"/>
          <w:sz w:val="24"/>
          <w:szCs w:val="24"/>
        </w:rPr>
      </w:pPr>
      <w:bookmarkStart w:id="83" w:name="_Hlk168054882"/>
      <w:r>
        <w:rPr>
          <w:rFonts w:asciiTheme="minorEastAsia" w:hAnsiTheme="minorEastAsia" w:cs="Arial" w:hint="eastAsia"/>
          <w:kern w:val="0"/>
          <w:sz w:val="24"/>
          <w:szCs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冠领融科服务有限公司董事，天津银行监事、深圳和石资本管理有限责任公司法定代表人、董事、经理，深圳泰和瑞银金融配套服务合伙企业（有限合伙）执行事务合伙人、北京雍和瑞泰管理顾问有限公司法定代表人、执行董事、经理、财务负责人，深圳雍和瑞银投资管理有限公司法定代表人、董事、经理，富荣基金管理有限公司独立董事。</w:t>
      </w:r>
      <w:bookmarkEnd w:id="83"/>
    </w:p>
    <w:p w14:paraId="327E3462"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张刚先生，独立董事，内蒙古大学民商法学硕士研究生。曾任内蒙古大学教师、北京王玉梅律师事务所律师、北京建元律师事务所合伙人、宁夏中银绒业股份有限公司独立董事。现任北京大成律师事务所高级合伙人、富荣基金管理有限公司独立董事。</w:t>
      </w:r>
    </w:p>
    <w:p w14:paraId="2EAC59E3"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2、监事会成员</w:t>
      </w:r>
    </w:p>
    <w:p w14:paraId="25011B7B"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3687F222"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冯晓霖女士，监事，硕士。曾任深圳市嘉霖置业集团有限公司法务，现任盈投控股有限公司法务主管、富荣基金管理有限公司监事。</w:t>
      </w:r>
    </w:p>
    <w:p w14:paraId="1860E1E3"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hint="eastAsia"/>
          <w:color w:val="000000"/>
          <w:sz w:val="24"/>
          <w:szCs w:val="24"/>
        </w:rPr>
        <w:t>魏丽红女士，职工监事，大专。现任富荣基金管理有限公司职工监事。</w:t>
      </w:r>
    </w:p>
    <w:p w14:paraId="57C68BA5" w14:textId="77777777" w:rsidR="008D0810" w:rsidRDefault="00417F9F">
      <w:pPr>
        <w:spacing w:line="360" w:lineRule="auto"/>
        <w:ind w:firstLineChars="200" w:firstLine="480"/>
        <w:rPr>
          <w:rFonts w:asciiTheme="minorEastAsia" w:hAnsiTheme="minorEastAsia" w:cs="Arial" w:hint="eastAsia"/>
          <w:kern w:val="0"/>
          <w:sz w:val="24"/>
        </w:rPr>
      </w:pPr>
      <w:r>
        <w:rPr>
          <w:rFonts w:asciiTheme="minorEastAsia" w:hAnsiTheme="minorEastAsia" w:cs="Arial"/>
          <w:kern w:val="0"/>
          <w:sz w:val="24"/>
          <w:szCs w:val="24"/>
        </w:rPr>
        <w:t>3、高级管理人员</w:t>
      </w:r>
    </w:p>
    <w:p w14:paraId="76E80C09" w14:textId="21155A9D"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杨小舟先生，总经理，</w:t>
      </w:r>
      <w:r w:rsidR="00C0539C">
        <w:rPr>
          <w:rFonts w:asciiTheme="minorEastAsia" w:hAnsiTheme="minorEastAsia" w:cs="Arial" w:hint="eastAsia"/>
          <w:kern w:val="0"/>
          <w:sz w:val="24"/>
          <w:szCs w:val="24"/>
        </w:rPr>
        <w:t>兼任</w:t>
      </w:r>
      <w:r>
        <w:rPr>
          <w:rFonts w:asciiTheme="minorEastAsia" w:hAnsiTheme="minorEastAsia" w:cs="Arial" w:hint="eastAsia"/>
          <w:kern w:val="0"/>
          <w:sz w:val="24"/>
          <w:szCs w:val="24"/>
        </w:rPr>
        <w:t>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w:t>
      </w:r>
      <w:r>
        <w:rPr>
          <w:rFonts w:asciiTheme="minorEastAsia" w:hAnsiTheme="minorEastAsia" w:cs="Arial" w:hint="eastAsia"/>
          <w:kern w:val="0"/>
          <w:sz w:val="24"/>
          <w:szCs w:val="24"/>
        </w:rPr>
        <w:lastRenderedPageBreak/>
        <w:t>富荣基金管理有限公司董事长。现任富荣基金管理有限公司董事、总经理、首席信息官。</w:t>
      </w:r>
    </w:p>
    <w:p w14:paraId="10AF55FA" w14:textId="1960A87C" w:rsidR="006B6E2A" w:rsidRDefault="00417F9F" w:rsidP="006B6E2A">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史克新先生，副总经理，</w:t>
      </w:r>
      <w:r>
        <w:rPr>
          <w:rFonts w:asciiTheme="minorEastAsia" w:hAnsiTheme="minorEastAsia" w:cs="Arial" w:hint="eastAsia"/>
          <w:kern w:val="0"/>
          <w:sz w:val="24"/>
          <w:szCs w:val="24"/>
        </w:rPr>
        <w:t>中欧国际工商学院高级管理人员工商管理</w:t>
      </w:r>
      <w:r>
        <w:rPr>
          <w:rFonts w:asciiTheme="minorEastAsia" w:hAnsiTheme="minorEastAsia" w:cs="Arial" w:hint="eastAsia"/>
          <w:kern w:val="0"/>
          <w:sz w:val="24"/>
        </w:rPr>
        <w:t>硕士。历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司互联网创新专项办公室总经理等。现任富荣基金管理有限公司副总经理</w:t>
      </w:r>
      <w:r w:rsidR="006B6E2A">
        <w:rPr>
          <w:rFonts w:asciiTheme="minorEastAsia" w:hAnsiTheme="minorEastAsia" w:cs="Arial" w:hint="eastAsia"/>
          <w:kern w:val="0"/>
          <w:sz w:val="24"/>
        </w:rPr>
        <w:t>，兼任深圳分公司总经理。</w:t>
      </w:r>
    </w:p>
    <w:p w14:paraId="17670FC4" w14:textId="4B41EE02" w:rsidR="006B6E2A" w:rsidRDefault="006B6E2A" w:rsidP="006B6E2A">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规部总经理。现任富荣基金管理有限公司督察长。</w:t>
      </w:r>
    </w:p>
    <w:p w14:paraId="2E5FB9BF" w14:textId="77777777" w:rsidR="008D0810" w:rsidRDefault="00417F9F">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郑宇光先生，总经理助理，上海交通大学工商管理硕士。历任平安资产管理有限责任公司交易部</w:t>
      </w:r>
      <w:r>
        <w:rPr>
          <w:rFonts w:asciiTheme="minorEastAsia" w:hAnsiTheme="minorEastAsia" w:cs="Arial"/>
          <w:kern w:val="0"/>
          <w:sz w:val="24"/>
        </w:rPr>
        <w:t>/</w:t>
      </w:r>
      <w:r>
        <w:rPr>
          <w:rFonts w:asciiTheme="minorEastAsia" w:hAnsiTheme="minorEastAsia" w:cs="Arial" w:hint="eastAsia"/>
          <w:kern w:val="0"/>
          <w:sz w:val="24"/>
        </w:rPr>
        <w:t>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2965A742" w14:textId="3A713C8B" w:rsidR="008D0810" w:rsidRDefault="00417F9F">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3BCE64C5" w14:textId="77777777" w:rsidR="008D0810" w:rsidRDefault="00417F9F" w:rsidP="00F276A7">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4、本</w:t>
      </w:r>
      <w:r>
        <w:rPr>
          <w:rFonts w:asciiTheme="minorEastAsia" w:hAnsiTheme="minorEastAsia" w:cs="Arial" w:hint="eastAsia"/>
          <w:kern w:val="0"/>
          <w:sz w:val="24"/>
          <w:szCs w:val="24"/>
        </w:rPr>
        <w:t>基金基金经理</w:t>
      </w:r>
    </w:p>
    <w:p w14:paraId="77FCB294" w14:textId="252C763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姜帆先生，复旦大学经济学硕士，</w:t>
      </w:r>
      <w:r w:rsidDel="00417F9F">
        <w:rPr>
          <w:rFonts w:asciiTheme="minorEastAsia" w:hAnsiTheme="minorEastAsia" w:cs="Arial" w:hint="eastAsia"/>
          <w:kern w:val="0"/>
          <w:sz w:val="24"/>
          <w:szCs w:val="24"/>
        </w:rPr>
        <w:t xml:space="preserve"> </w:t>
      </w:r>
      <w:r>
        <w:rPr>
          <w:rFonts w:asciiTheme="minorEastAsia" w:hAnsiTheme="minorEastAsia" w:cs="Arial"/>
          <w:kern w:val="0"/>
          <w:sz w:val="24"/>
          <w:szCs w:val="24"/>
        </w:rPr>
        <w:t>2021</w:t>
      </w:r>
      <w:r>
        <w:rPr>
          <w:rFonts w:asciiTheme="minorEastAsia" w:hAnsiTheme="minorEastAsia" w:cs="Arial" w:hint="eastAsia"/>
          <w:kern w:val="0"/>
          <w:sz w:val="24"/>
          <w:szCs w:val="24"/>
        </w:rPr>
        <w:t>年</w:t>
      </w:r>
      <w:r>
        <w:rPr>
          <w:rFonts w:asciiTheme="minorEastAsia" w:hAnsiTheme="minorEastAsia" w:cs="Arial"/>
          <w:kern w:val="0"/>
          <w:sz w:val="24"/>
          <w:szCs w:val="24"/>
        </w:rPr>
        <w:t>2</w:t>
      </w:r>
      <w:r>
        <w:rPr>
          <w:rFonts w:asciiTheme="minorEastAsia" w:hAnsiTheme="minorEastAsia" w:cs="Arial" w:hint="eastAsia"/>
          <w:kern w:val="0"/>
          <w:sz w:val="24"/>
          <w:szCs w:val="24"/>
        </w:rPr>
        <w:t>月加入富荣基金。曾任富荣基金研究部研究员，现任富荣福鑫灵活配置混合型证券投资基金基金经理（自2024</w:t>
      </w:r>
      <w:r>
        <w:rPr>
          <w:rFonts w:asciiTheme="minorEastAsia" w:hAnsiTheme="minorEastAsia" w:cs="Arial" w:hint="eastAsia"/>
          <w:kern w:val="0"/>
          <w:sz w:val="24"/>
          <w:szCs w:val="24"/>
        </w:rPr>
        <w:lastRenderedPageBreak/>
        <w:t>年6月21日起任职）、富荣福银混合型证券投资基金基金经理（自2025年2月13日起任职）、富荣福康混合型证券投资基金基金经理（自2025年2月13日起任职）。</w:t>
      </w:r>
    </w:p>
    <w:p w14:paraId="345BCFE0"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历任基金经理：胡长虹（自2018年2月11日至2018年11月26日）、邓宇翔（自2018年11月6日至2020年10月15日）、郎骋成（自2020年10月15日至2023年3月8日）、李天翔（自2023年3月8日至2025年2月19日）。</w:t>
      </w:r>
    </w:p>
    <w:p w14:paraId="4142A4CF"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5、投资决策委员会成员的姓名、职务</w:t>
      </w:r>
    </w:p>
    <w:p w14:paraId="34B96A46" w14:textId="1F1B586A"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482EC770" w14:textId="771B9420" w:rsidR="008D0810" w:rsidRDefault="006B6E2A">
      <w:pPr>
        <w:spacing w:line="360" w:lineRule="auto"/>
        <w:ind w:firstLineChars="200" w:firstLine="480"/>
        <w:rPr>
          <w:rFonts w:asciiTheme="minorEastAsia" w:hAnsiTheme="minorEastAsia" w:hint="eastAsia"/>
          <w:sz w:val="24"/>
        </w:rPr>
      </w:pPr>
      <w:r>
        <w:rPr>
          <w:rFonts w:asciiTheme="minorEastAsia" w:hAnsiTheme="minorEastAsia" w:hint="eastAsia"/>
          <w:sz w:val="24"/>
        </w:rPr>
        <w:t>郑宇光先生，投资决策委员会委员、公司总经理助理。</w:t>
      </w:r>
    </w:p>
    <w:p w14:paraId="45A5DC85" w14:textId="77777777" w:rsidR="008D0810" w:rsidRDefault="00417F9F">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郎骋成先生，投资决策委员会委员、研究部总经理、</w:t>
      </w:r>
      <w:r>
        <w:rPr>
          <w:rFonts w:asciiTheme="minorEastAsia" w:hAnsiTheme="minorEastAsia" w:cs="Arial" w:hint="eastAsia"/>
          <w:kern w:val="0"/>
          <w:sz w:val="24"/>
          <w:szCs w:val="24"/>
        </w:rPr>
        <w:t>权益投资部总经理、专户投资经理、</w:t>
      </w:r>
      <w:r>
        <w:rPr>
          <w:rFonts w:asciiTheme="minorEastAsia" w:hAnsiTheme="minorEastAsia" w:hint="eastAsia"/>
          <w:color w:val="000000"/>
          <w:kern w:val="0"/>
          <w:sz w:val="24"/>
          <w:szCs w:val="24"/>
        </w:rPr>
        <w:t>基金经理。</w:t>
      </w:r>
    </w:p>
    <w:p w14:paraId="740A4C01" w14:textId="77777777" w:rsidR="006B6E2A" w:rsidRDefault="006B6E2A" w:rsidP="006B6E2A">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吴敏先生，投资决策委员会委员、固定收益部总经理、基金经理。</w:t>
      </w:r>
    </w:p>
    <w:p w14:paraId="01963937" w14:textId="7A734F84" w:rsidR="008D0810" w:rsidRDefault="006B6E2A">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孟亚强先生，投资决策委员会委员、权益投资部副总经理、基金经理。</w:t>
      </w:r>
    </w:p>
    <w:p w14:paraId="7B1D9226" w14:textId="77777777" w:rsidR="008D0810" w:rsidRDefault="00417F9F">
      <w:pPr>
        <w:spacing w:line="360" w:lineRule="auto"/>
        <w:ind w:firstLineChars="200" w:firstLine="480"/>
        <w:rPr>
          <w:rFonts w:asciiTheme="minorEastAsia" w:hAnsiTheme="minorEastAsia" w:cs="Arial" w:hint="eastAsia"/>
          <w:kern w:val="0"/>
          <w:sz w:val="24"/>
          <w:szCs w:val="24"/>
        </w:rPr>
      </w:pPr>
      <w:r>
        <w:rPr>
          <w:rFonts w:asciiTheme="minorEastAsia" w:hAnsiTheme="minorEastAsia" w:hint="eastAsia"/>
          <w:color w:val="000000"/>
          <w:kern w:val="0"/>
          <w:sz w:val="24"/>
          <w:szCs w:val="24"/>
        </w:rPr>
        <w:t>李延峥先生，投资决策委员会委员、投资决策委员会秘书、</w:t>
      </w:r>
      <w:r>
        <w:rPr>
          <w:rFonts w:asciiTheme="minorEastAsia" w:hAnsiTheme="minorEastAsia" w:cs="Arial" w:hint="eastAsia"/>
          <w:kern w:val="0"/>
          <w:sz w:val="24"/>
          <w:szCs w:val="24"/>
        </w:rPr>
        <w:t>研究部总经理助理、</w:t>
      </w:r>
      <w:r>
        <w:rPr>
          <w:rFonts w:asciiTheme="minorEastAsia" w:hAnsiTheme="minorEastAsia" w:hint="eastAsia"/>
          <w:color w:val="000000"/>
          <w:kern w:val="0"/>
          <w:sz w:val="24"/>
          <w:szCs w:val="24"/>
        </w:rPr>
        <w:t>基金经理。</w:t>
      </w:r>
    </w:p>
    <w:p w14:paraId="387CAB3A" w14:textId="77777777" w:rsidR="008D0810" w:rsidRDefault="00417F9F">
      <w:pPr>
        <w:adjustRightInd w:val="0"/>
        <w:snapToGrid w:val="0"/>
        <w:spacing w:line="360" w:lineRule="auto"/>
        <w:ind w:firstLineChars="200" w:firstLine="480"/>
        <w:rPr>
          <w:rFonts w:asciiTheme="minorEastAsia" w:hAnsiTheme="minorEastAsia" w:hint="eastAsia"/>
          <w:sz w:val="24"/>
          <w:szCs w:val="24"/>
        </w:rPr>
      </w:pPr>
      <w:r>
        <w:rPr>
          <w:rFonts w:asciiTheme="minorEastAsia" w:hAnsiTheme="minorEastAsia"/>
          <w:sz w:val="24"/>
          <w:szCs w:val="24"/>
        </w:rPr>
        <w:t>6、上述人员之间不存在近亲属关系。</w:t>
      </w:r>
    </w:p>
    <w:p w14:paraId="21C192FC" w14:textId="77777777" w:rsidR="008D0810" w:rsidRDefault="00417F9F">
      <w:pPr>
        <w:tabs>
          <w:tab w:val="left" w:pos="3780"/>
        </w:tabs>
        <w:autoSpaceDE w:val="0"/>
        <w:autoSpaceDN w:val="0"/>
        <w:adjustRightInd w:val="0"/>
        <w:snapToGrid w:val="0"/>
        <w:spacing w:line="360" w:lineRule="auto"/>
        <w:ind w:firstLineChars="200" w:firstLine="482"/>
        <w:textAlignment w:val="bottom"/>
        <w:rPr>
          <w:rFonts w:asciiTheme="minorEastAsia" w:hAnsiTheme="minorEastAsia" w:hint="eastAsia"/>
          <w:b/>
          <w:sz w:val="24"/>
          <w:szCs w:val="24"/>
        </w:rPr>
      </w:pPr>
      <w:r>
        <w:rPr>
          <w:rFonts w:asciiTheme="minorEastAsia" w:hAnsiTheme="minorEastAsia" w:hint="eastAsia"/>
          <w:b/>
          <w:sz w:val="24"/>
          <w:szCs w:val="24"/>
        </w:rPr>
        <w:t>三、基金管理人的职责</w:t>
      </w:r>
    </w:p>
    <w:p w14:paraId="1A3088E5" w14:textId="77777777" w:rsidR="008D0810" w:rsidRDefault="00417F9F">
      <w:pPr>
        <w:autoSpaceDE w:val="0"/>
        <w:autoSpaceDN w:val="0"/>
        <w:adjustRightInd w:val="0"/>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1、依法募集资金，办理或者委托经中国证监会认定的其他机构代为办理基金份额的发售、申购、赎回和登记事宜；</w:t>
      </w:r>
    </w:p>
    <w:p w14:paraId="53006745" w14:textId="77777777" w:rsidR="008D0810" w:rsidRDefault="00417F9F">
      <w:pPr>
        <w:autoSpaceDE w:val="0"/>
        <w:autoSpaceDN w:val="0"/>
        <w:adjustRightInd w:val="0"/>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2、办理基金备案手续；</w:t>
      </w:r>
    </w:p>
    <w:p w14:paraId="5186B71B" w14:textId="77777777" w:rsidR="008D0810" w:rsidRDefault="00417F9F">
      <w:pPr>
        <w:autoSpaceDE w:val="0"/>
        <w:autoSpaceDN w:val="0"/>
        <w:adjustRightInd w:val="0"/>
        <w:ind w:firstLineChars="200" w:firstLine="480"/>
        <w:rPr>
          <w:rFonts w:asciiTheme="minorEastAsia" w:hAnsiTheme="minorEastAsia" w:hint="eastAsia"/>
          <w:sz w:val="24"/>
          <w:szCs w:val="24"/>
        </w:rPr>
      </w:pPr>
      <w:r>
        <w:rPr>
          <w:rFonts w:asciiTheme="minorEastAsia" w:hAnsiTheme="minorEastAsia"/>
          <w:sz w:val="24"/>
          <w:szCs w:val="24"/>
        </w:rPr>
        <w:t>3、自《基金合同》生效之日起，以诚实信用、谨慎勤勉的原则管理和运用基金财产；</w:t>
      </w:r>
    </w:p>
    <w:p w14:paraId="382B5602" w14:textId="77777777" w:rsidR="008D0810" w:rsidRDefault="00417F9F">
      <w:pPr>
        <w:autoSpaceDE w:val="0"/>
        <w:autoSpaceDN w:val="0"/>
        <w:adjustRightInd w:val="0"/>
        <w:spacing w:line="360" w:lineRule="auto"/>
        <w:ind w:firstLineChars="200" w:firstLine="480"/>
        <w:rPr>
          <w:rFonts w:asciiTheme="minorEastAsia" w:hAnsiTheme="minorEastAsia" w:hint="eastAsia"/>
          <w:sz w:val="24"/>
          <w:szCs w:val="24"/>
        </w:rPr>
      </w:pPr>
      <w:r>
        <w:rPr>
          <w:rFonts w:asciiTheme="minorEastAsia" w:hAnsiTheme="minorEastAsia"/>
          <w:sz w:val="24"/>
          <w:szCs w:val="24"/>
        </w:rPr>
        <w:t>4、配备足够的具有专业资格的人员进行基金投资分析、决策，以专业化的经营方式管理和运作基金财产；</w:t>
      </w:r>
    </w:p>
    <w:p w14:paraId="718F6457"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sz w:val="24"/>
          <w:szCs w:val="24"/>
        </w:rPr>
        <w:t>5、建立健全内部风险控制、监察与稽核、财务管理及人事管理等制度，保证所管理的基金财产和基金管理人的财产相互独立，对所管理</w:t>
      </w:r>
      <w:r>
        <w:rPr>
          <w:rFonts w:asciiTheme="minorEastAsia" w:hAnsiTheme="minorEastAsia" w:cs="Times New Roman" w:hint="eastAsia"/>
          <w:sz w:val="24"/>
          <w:szCs w:val="24"/>
        </w:rPr>
        <w:t>的不同基金分别管理，分别记账，进行证券投资；</w:t>
      </w:r>
    </w:p>
    <w:p w14:paraId="250940BD"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6、除依据《基金法》、《基金合同》及其他有关规定外，不得利用基金财产为自己及任何第三人</w:t>
      </w:r>
      <w:r>
        <w:rPr>
          <w:rFonts w:asciiTheme="minorEastAsia" w:hAnsiTheme="minorEastAsia" w:cs="Times New Roman" w:hint="eastAsia"/>
          <w:sz w:val="24"/>
          <w:szCs w:val="24"/>
        </w:rPr>
        <w:t>谋取利益，不得委托第三人运作基金财产；</w:t>
      </w:r>
    </w:p>
    <w:p w14:paraId="6F05521F"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7、依法接受基金托管人的监督；</w:t>
      </w:r>
    </w:p>
    <w:p w14:paraId="3A2C69B2"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8、采取适当合理的措施使计算基金份额认购、申购、赎回和注销价格的方法符合《基金合同》等法律文件的规定，按有关规定计算并公告</w:t>
      </w:r>
      <w:r>
        <w:rPr>
          <w:rFonts w:asciiTheme="minorEastAsia" w:hAnsiTheme="minorEastAsia" w:cs="Times New Roman" w:hint="eastAsia"/>
          <w:sz w:val="24"/>
          <w:szCs w:val="24"/>
        </w:rPr>
        <w:t>基金净值信息，确定基金份额申购、赎回对价，编制申购赎回清单；</w:t>
      </w:r>
    </w:p>
    <w:p w14:paraId="54DFA402"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9、进行基金会计核算并编制基金财务会计报告；</w:t>
      </w:r>
    </w:p>
    <w:p w14:paraId="22A3D278"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10、编制季度</w:t>
      </w:r>
      <w:r>
        <w:rPr>
          <w:rFonts w:asciiTheme="minorEastAsia" w:hAnsiTheme="minorEastAsia" w:cs="Times New Roman" w:hint="eastAsia"/>
          <w:sz w:val="24"/>
          <w:szCs w:val="24"/>
        </w:rPr>
        <w:t>报告、中期报告和年度报告；</w:t>
      </w:r>
    </w:p>
    <w:p w14:paraId="01CE1519"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11、严格按照《基金法》、《基金合同》及其他有关规定，履行信息披露及报告义务；</w:t>
      </w:r>
    </w:p>
    <w:p w14:paraId="5A0C08D7"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12、保守基金商业秘密，不泄露基金投资计划、投资意向等。除《基金法》、《基金合同》及其他有关规定另有规定外，在基金信息公开披露前应予保密，不向他人泄露；</w:t>
      </w:r>
    </w:p>
    <w:p w14:paraId="1ABC191F"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13、按《基金合同》的约定确定基金收益分配方案，及时向基金份额持有人分配基金收益；</w:t>
      </w:r>
    </w:p>
    <w:p w14:paraId="3D1C6BCA"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14、按规定受理申购与赎回申请，及时、足额支付赎回款项；</w:t>
      </w:r>
    </w:p>
    <w:p w14:paraId="066000B3"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15、依据《基金法》、《基金合同》及其他有关规定召集基金份额持有人大会或配合基金托管人、基金份额持有人依法召集基金份额持有人大会；</w:t>
      </w:r>
    </w:p>
    <w:p w14:paraId="2C077E1D"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16、按规定保存基金财产管理业务活动的会计账册、报表、记录和其他相关资料15年以上；</w:t>
      </w:r>
    </w:p>
    <w:p w14:paraId="367DE305"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7B1168"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18、组织并参加基金财产清算小组，参与基金财产的保管、清理、估价、变现和分配；</w:t>
      </w:r>
    </w:p>
    <w:p w14:paraId="0A578D6A"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19、面临解散、依法被撤销或者被依法宣告破产时，及时报告中国证监会并通知基金托管人；</w:t>
      </w:r>
    </w:p>
    <w:p w14:paraId="5BD8CBAF"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20、因违反《基金合同》导致基金财产的损失或损害基金份额持有人合法权</w:t>
      </w:r>
      <w:r>
        <w:rPr>
          <w:rFonts w:asciiTheme="minorEastAsia" w:hAnsiTheme="minorEastAsia" w:cs="Times New Roman" w:hint="eastAsia"/>
          <w:sz w:val="24"/>
          <w:szCs w:val="24"/>
        </w:rPr>
        <w:t>益时，应当承担赔偿责任，其赔偿责任不因其退任而免除；</w:t>
      </w:r>
    </w:p>
    <w:p w14:paraId="270AF0E9"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21、监督基金托管人按法律法规和《基金合同》规定履行自己的义务，基金托管人违反《基金合同》造成基金财产损失时，基金管理人应为基金份额持有人利益向基金托管人追偿；</w:t>
      </w:r>
    </w:p>
    <w:p w14:paraId="69C8E98B"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22、当基金管理人将其义务委托第三方处理时，应当对第三方处理有关基金事务的行为承担责任；</w:t>
      </w:r>
    </w:p>
    <w:p w14:paraId="5BB45D99"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23、以基金管理人名义，代表基金份额持有人利益行使诉讼权利或实施其他法律行为；</w:t>
      </w:r>
    </w:p>
    <w:p w14:paraId="3177AA33"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24、基金管理人在募集期间未能达到基金的备案条件，《基金合同》不能生效，基金管理人承担全部募集费用，将已募集资金加计银行同期</w:t>
      </w:r>
      <w:r>
        <w:rPr>
          <w:rFonts w:asciiTheme="minorEastAsia" w:hAnsiTheme="minorEastAsia" w:cs="Times New Roman" w:hint="eastAsia"/>
          <w:sz w:val="24"/>
          <w:szCs w:val="24"/>
        </w:rPr>
        <w:t>活期存款利息在基金募集期结束后</w:t>
      </w:r>
      <w:r>
        <w:rPr>
          <w:rFonts w:asciiTheme="minorEastAsia" w:hAnsiTheme="minorEastAsia" w:cs="Times New Roman"/>
          <w:sz w:val="24"/>
          <w:szCs w:val="24"/>
        </w:rPr>
        <w:t>30日内退还基金认购人；</w:t>
      </w:r>
    </w:p>
    <w:p w14:paraId="56C9246B"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25、执行生效的基金份额持有人大会的决议；</w:t>
      </w:r>
    </w:p>
    <w:p w14:paraId="7D86F80E"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26、建立并保存基金份额持有人名册；</w:t>
      </w:r>
    </w:p>
    <w:p w14:paraId="3DE73376"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27、法律法规及中国证监会规定的和《基金合同》约定的其他义务。</w:t>
      </w:r>
    </w:p>
    <w:p w14:paraId="69AE11CD" w14:textId="77777777" w:rsidR="008D0810" w:rsidRDefault="00417F9F">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55EDE0CE"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1、基金管理人承诺不从事违反《中华人民共和国证券法》的行为，并承诺建立健全内部控制制度，采取有效措施，防止违反《中华人民共和国证券法》行为的发生； </w:t>
      </w:r>
    </w:p>
    <w:p w14:paraId="21D617EE"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2、基金管理人承诺不从事违反《基金法》的行为，并承诺建立健全内部风险控制制度，采取有效措施，防止下列行为的发生：</w:t>
      </w:r>
    </w:p>
    <w:p w14:paraId="2D60B7D0"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1）将基金管理人固有财产或者他人财产混同于基金财产从事证券投资；</w:t>
      </w:r>
    </w:p>
    <w:p w14:paraId="727882CC"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2）不公平地对待管理的不同基金财产；</w:t>
      </w:r>
    </w:p>
    <w:p w14:paraId="143EBCF4"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3）利用基金财产或者职务之便为基金份额持有人以外的第三人牟取利益；</w:t>
      </w:r>
    </w:p>
    <w:p w14:paraId="45E3A565"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4）向基金份额持有人违规承诺收益或者承担损失；</w:t>
      </w:r>
    </w:p>
    <w:p w14:paraId="494CFBD7"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5）侵占、挪用基金财产；</w:t>
      </w:r>
    </w:p>
    <w:p w14:paraId="29665361"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6）泄露因职务便利获取的未公开信息、利用该信息从事或者明示、暗示他人从事相关的交易活动；</w:t>
      </w:r>
    </w:p>
    <w:p w14:paraId="559975C5"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7）玩忽职守，不按照规定履行职责；</w:t>
      </w:r>
    </w:p>
    <w:p w14:paraId="7B47F5FB"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 xml:space="preserve">8）法律、行政法规和中国证监会规定禁止的其他行为。 </w:t>
      </w:r>
    </w:p>
    <w:p w14:paraId="12B4A236"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3、基金管理人承诺严格遵守基金合同，并承诺建立健全内部控制制度，采取有效措施，防止违反基金合同行为的发生； </w:t>
      </w:r>
    </w:p>
    <w:p w14:paraId="36BFA731"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4、基金管理人承诺加强人员管理，强化职业操守，督促和约束员工遵守国家有关法律法规及行业规范，诚实信用、勤勉尽责；</w:t>
      </w:r>
    </w:p>
    <w:p w14:paraId="717DD7C4"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 xml:space="preserve">5、基金管理人承诺不从事其他法规规定禁止从事的行为。 </w:t>
      </w:r>
    </w:p>
    <w:p w14:paraId="03CB79A9" w14:textId="77777777" w:rsidR="008D0810" w:rsidRDefault="00417F9F">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3006FAD3"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1、依照有关法律法规和基金合同的规定，本着谨慎的原则为基金份额持有人谋取最大利益；</w:t>
      </w:r>
    </w:p>
    <w:p w14:paraId="16D12D7F"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2、不利用职务之便为自己、受雇人或任何第三者牟取利益； </w:t>
      </w:r>
    </w:p>
    <w:p w14:paraId="71CB277E"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3、不泄露在任职期间知悉的有关证券、基金的商业秘密，尚未依法公开的基金投资内容、基金投资计划等信息，或利用该信息从事或者明示、暗示他人从事相关的交易活动；</w:t>
      </w:r>
    </w:p>
    <w:p w14:paraId="19B6FC1F" w14:textId="77777777" w:rsidR="008D0810" w:rsidRDefault="00417F9F">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4、不以任何形式为其他组织或个人进行证券交易。</w:t>
      </w:r>
    </w:p>
    <w:p w14:paraId="1BF2E1BE" w14:textId="77777777" w:rsidR="008D0810" w:rsidRDefault="00417F9F">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4FCAFD81"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4" w:name="_Toc416264540"/>
      <w:bookmarkStart w:id="85" w:name="_Toc410197818"/>
      <w:bookmarkStart w:id="86" w:name="_Toc263092312"/>
      <w:bookmarkStart w:id="87" w:name="_Toc352229750"/>
      <w:bookmarkEnd w:id="67"/>
      <w:bookmarkEnd w:id="68"/>
      <w:bookmarkEnd w:id="69"/>
      <w:r>
        <w:rPr>
          <w:rFonts w:asciiTheme="minorEastAsia" w:hAnsiTheme="minorEastAsia" w:cs="Arial"/>
          <w:sz w:val="24"/>
          <w:szCs w:val="24"/>
        </w:rPr>
        <w:t>1、风险控制目标</w:t>
      </w:r>
    </w:p>
    <w:p w14:paraId="396C22A4"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1）在有效控制风险的前提下，实现基金份额持有人利益最大化；</w:t>
      </w:r>
    </w:p>
    <w:p w14:paraId="0479D32F"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2）确保国家有关法律法规、行业规章和公司各项规章制度的贯彻执行；</w:t>
      </w:r>
    </w:p>
    <w:p w14:paraId="50A7713D"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3）建立符合现代企业制度要求的法人治理结构，形成科学合理的决策机制、执行机制和监督机制；</w:t>
      </w:r>
    </w:p>
    <w:p w14:paraId="42B00FB8"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4）将各种风险控制在合理的范围内，保障公司发展战略和经营目标的全面实施，维护基金份额持有人、公司及公司股东的合法权益；</w:t>
      </w:r>
    </w:p>
    <w:p w14:paraId="7757E885"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5）建立行之有效的风险控制系统，保障业务稳健运行，减轻或规避各种风险对公司发展战略和经营目标的干扰。</w:t>
      </w:r>
    </w:p>
    <w:p w14:paraId="02803EFD"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2、建立风险控制制度应遵循的原则</w:t>
      </w:r>
    </w:p>
    <w:p w14:paraId="0CFD2F61"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1）全面性原则：风险控制制度应覆盖公司的各项业务、各个部门和各级人员，并渗透到决策、执行、监督、反馈等各个经营环节；</w:t>
      </w:r>
    </w:p>
    <w:p w14:paraId="680F49F2"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（2）审慎性原则：内部风险控制的核心是有效防范各种风险，公司组织体系的构成、内部管理制度的建立都要以防范风险、审慎经营为出发点；</w:t>
      </w:r>
    </w:p>
    <w:p w14:paraId="2D94B21B"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（3）独立性原则：公司风险控制的检查、评价部门应当独立于风险控制的建立和执行部门；风险控制委员会、督察长和监察稽核部应保持高度的独立性和</w:t>
      </w:r>
      <w:r>
        <w:rPr>
          <w:rFonts w:asciiTheme="minorEastAsia" w:hAnsiTheme="minorEastAsia" w:cs="Arial" w:hint="eastAsia"/>
          <w:sz w:val="24"/>
          <w:szCs w:val="24"/>
        </w:rPr>
        <w:t>权威性，负责对公司各部门风险控制工作进行评价和检查；</w:t>
      </w:r>
    </w:p>
    <w:p w14:paraId="3C818143"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4F48BDCE"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lastRenderedPageBreak/>
        <w:t xml:space="preserve"> （5）适时性原则：内部风险控制应随着公司经营战略、经营方针、经营理念等内部环境的变化和国家法律、法规、政策制度等外部环境的改变及时进行相应的修改和完善；</w:t>
      </w:r>
    </w:p>
    <w:p w14:paraId="34A67934"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3、风险控制体系</w:t>
      </w:r>
    </w:p>
    <w:p w14:paraId="718492E9"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1）风险控制制度体系</w:t>
      </w:r>
    </w:p>
    <w:p w14:paraId="0604D861"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02EDABBA"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2）风险控制组织体系</w:t>
      </w:r>
    </w:p>
    <w:p w14:paraId="72E1B1AB"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5769E8AE"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151039D9"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2A87FD1F"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长履行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3E064615"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11BB79D6" w14:textId="77777777" w:rsidR="008D0810" w:rsidRDefault="00417F9F">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603DB0ED"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w:t>
      </w:r>
      <w:r>
        <w:rPr>
          <w:rFonts w:asciiTheme="minorEastAsia" w:hAnsiTheme="minorEastAsia" w:cs="Arial" w:hint="eastAsia"/>
          <w:sz w:val="24"/>
          <w:szCs w:val="24"/>
        </w:rPr>
        <w:lastRenderedPageBreak/>
        <w:t>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39B9580D"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1673D067"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4、关于授权、研究、投资、交易等方面的控制点</w:t>
      </w:r>
    </w:p>
    <w:p w14:paraId="740EC58C"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1）授权制度</w:t>
      </w:r>
    </w:p>
    <w:p w14:paraId="75BD8CA8"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03CA1287"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2）研究业务</w:t>
      </w:r>
    </w:p>
    <w:p w14:paraId="7A358481"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7229434B"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3）基金投资业务</w:t>
      </w:r>
    </w:p>
    <w:p w14:paraId="34078CF5"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20B75E75"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4）交易业务</w:t>
      </w:r>
    </w:p>
    <w:p w14:paraId="35AF84F9"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w:t>
      </w:r>
      <w:r>
        <w:rPr>
          <w:rFonts w:asciiTheme="minorEastAsia" w:hAnsiTheme="minorEastAsia" w:cs="Arial" w:hint="eastAsia"/>
          <w:sz w:val="24"/>
          <w:szCs w:val="24"/>
        </w:rPr>
        <w:lastRenderedPageBreak/>
        <w:t>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298D0F76"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5）基金会计核算</w:t>
      </w:r>
    </w:p>
    <w:p w14:paraId="2396F4E4"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713D8C31"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6）信息披露</w:t>
      </w:r>
    </w:p>
    <w:p w14:paraId="61382AEF"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42D40BD5"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7）监察稽核</w:t>
      </w:r>
    </w:p>
    <w:p w14:paraId="5BD6D1A1"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5B34F2DD"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1955FF46"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5、风险管理和内部控制的措施</w:t>
      </w:r>
    </w:p>
    <w:p w14:paraId="132EE4FE"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1）建立内控结构，完善内控制度：公司建立、健全了内控结构，高管人员具有明确的内控分工，确保各项业务活动有恰当的组织和授权，确保监察活动的独立进行，并得到高管人员的支持。</w:t>
      </w:r>
    </w:p>
    <w:p w14:paraId="09139F78"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2）建立相互分离、相互制衡的内控机制：建立、健全了各项制度，做到</w:t>
      </w:r>
      <w:r>
        <w:rPr>
          <w:rFonts w:asciiTheme="minorEastAsia" w:hAnsiTheme="minorEastAsia" w:cs="Arial"/>
          <w:sz w:val="24"/>
          <w:szCs w:val="24"/>
        </w:rPr>
        <w:lastRenderedPageBreak/>
        <w:t>基金经理、投资经理分开，研究、决策分开，基金交易集中，形成不同部门、不同岗位之间的制衡机制，从制度上减少和防范风险。</w:t>
      </w:r>
    </w:p>
    <w:p w14:paraId="50D9851A"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3）建立、健全岗位责任制：建立、健全了岗位责任制，使每个员工都明确自己的任务、职责，并及时将各自工作领域中的风险隐患上报，以防范和减少风险。</w:t>
      </w:r>
    </w:p>
    <w:p w14:paraId="43D40D5D"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3911773C"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5）建立有效的内部监控系统：建立了足够、有效的内部监控系统，如计算机预警系统、投资监控系统，能对可能出现的各种风险进行全面和实时的监控。</w:t>
      </w:r>
    </w:p>
    <w:p w14:paraId="6E181974"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2D955D1F" w14:textId="77777777" w:rsidR="008D0810" w:rsidRDefault="00417F9F">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7）提供足够的培训：制定了完整的培训计划，为所有员工提供足够和适当的培训，使员工明确其职责所在，控制风险。</w:t>
      </w:r>
    </w:p>
    <w:p w14:paraId="562229FB" w14:textId="77777777" w:rsidR="008D0810" w:rsidRDefault="00417F9F">
      <w:pPr>
        <w:widowControl/>
        <w:adjustRightInd w:val="0"/>
        <w:snapToGrid w:val="0"/>
        <w:spacing w:line="360" w:lineRule="auto"/>
        <w:ind w:firstLineChars="200" w:firstLine="480"/>
        <w:rPr>
          <w:rFonts w:asciiTheme="minorEastAsia" w:hAnsiTheme="minorEastAsia" w:cs="Arial" w:hint="eastAsia"/>
          <w:b/>
          <w:bCs/>
          <w:sz w:val="24"/>
          <w:szCs w:val="24"/>
        </w:rPr>
      </w:pPr>
      <w:r>
        <w:rPr>
          <w:rFonts w:asciiTheme="minorEastAsia" w:hAnsiTheme="minorEastAsia" w:cs="Arial"/>
          <w:sz w:val="24"/>
          <w:szCs w:val="24"/>
        </w:rPr>
        <w:t>6、基金管理人承诺上述关于内部控制的披露真实、准确，并承诺将根据市场环境的变化及公司的发展不断完善合</w:t>
      </w:r>
      <w:r>
        <w:rPr>
          <w:rFonts w:asciiTheme="minorEastAsia" w:hAnsiTheme="minorEastAsia" w:cs="Arial" w:hint="eastAsia"/>
          <w:sz w:val="24"/>
          <w:szCs w:val="24"/>
        </w:rPr>
        <w:t>规控制。</w:t>
      </w:r>
      <w:bookmarkStart w:id="88" w:name="_Toc238027832"/>
      <w:bookmarkStart w:id="89" w:name="_Toc238013745"/>
      <w:bookmarkEnd w:id="88"/>
      <w:bookmarkEnd w:id="89"/>
    </w:p>
    <w:p w14:paraId="77B1531A" w14:textId="77777777" w:rsidR="008D0810" w:rsidRDefault="008D0810">
      <w:pPr>
        <w:keepNext/>
        <w:keepLines/>
        <w:tabs>
          <w:tab w:val="center" w:pos="4364"/>
        </w:tabs>
        <w:autoSpaceDE w:val="0"/>
        <w:autoSpaceDN w:val="0"/>
        <w:adjustRightInd w:val="0"/>
        <w:snapToGrid w:val="0"/>
        <w:spacing w:line="360" w:lineRule="auto"/>
        <w:ind w:firstLineChars="150" w:firstLine="422"/>
        <w:textAlignment w:val="baseline"/>
        <w:outlineLvl w:val="0"/>
        <w:rPr>
          <w:rFonts w:asciiTheme="minorEastAsia" w:hAnsiTheme="minorEastAsia" w:cs="Arial" w:hint="eastAsia"/>
          <w:b/>
          <w:bCs/>
          <w:kern w:val="0"/>
          <w:sz w:val="28"/>
          <w:szCs w:val="28"/>
        </w:rPr>
        <w:sectPr w:rsidR="008D0810">
          <w:footerReference w:type="default" r:id="rId18"/>
          <w:pgSz w:w="11906" w:h="16838"/>
          <w:pgMar w:top="1440" w:right="1800" w:bottom="1440" w:left="1800" w:header="851" w:footer="992" w:gutter="0"/>
          <w:pgNumType w:chapStyle="1"/>
          <w:cols w:space="720"/>
          <w:docGrid w:type="lines" w:linePitch="312"/>
        </w:sectPr>
      </w:pPr>
    </w:p>
    <w:p w14:paraId="68CE133D" w14:textId="77777777" w:rsidR="008D0810" w:rsidRDefault="00417F9F">
      <w:pPr>
        <w:pStyle w:val="1"/>
        <w:jc w:val="center"/>
        <w:rPr>
          <w:rFonts w:asciiTheme="minorEastAsia" w:eastAsiaTheme="minorEastAsia" w:hAnsiTheme="minorEastAsia" w:hint="eastAsia"/>
          <w:sz w:val="30"/>
          <w:szCs w:val="30"/>
        </w:rPr>
      </w:pPr>
      <w:bookmarkStart w:id="90" w:name="_Toc146096080"/>
      <w:r>
        <w:rPr>
          <w:rFonts w:asciiTheme="minorEastAsia" w:eastAsiaTheme="minorEastAsia" w:hAnsiTheme="minorEastAsia" w:hint="eastAsia"/>
          <w:sz w:val="30"/>
          <w:szCs w:val="30"/>
        </w:rPr>
        <w:lastRenderedPageBreak/>
        <w:t>第四部分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基金托管人</w:t>
      </w:r>
      <w:bookmarkEnd w:id="90"/>
    </w:p>
    <w:p w14:paraId="44C502AC" w14:textId="77777777" w:rsidR="008D0810" w:rsidRDefault="00417F9F">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一、基本情况</w:t>
      </w:r>
    </w:p>
    <w:p w14:paraId="55044F75"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名称：中国光大银行股份有限公司</w:t>
      </w:r>
    </w:p>
    <w:p w14:paraId="21692694"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住所及办公地址：北京市西城区太平桥大街25 号、甲25 号中国光大中心</w:t>
      </w:r>
    </w:p>
    <w:p w14:paraId="59F9C4E5"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成立日期：1992年6月18日</w:t>
      </w:r>
    </w:p>
    <w:p w14:paraId="5E0369D2"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批准设立机关和批准设立文号：国务院、国函[1992]7号</w:t>
      </w:r>
    </w:p>
    <w:p w14:paraId="43FF74F5"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组织形式：股份有限公司</w:t>
      </w:r>
    </w:p>
    <w:p w14:paraId="3A36A269"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注册资本：590.85551亿元人民币</w:t>
      </w:r>
    </w:p>
    <w:p w14:paraId="5D0173F4"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法定代表人：吴利军</w:t>
      </w:r>
    </w:p>
    <w:p w14:paraId="1BCA415E"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基金托管业务批准文号：中国证监会证监基字【2002】75号</w:t>
      </w:r>
    </w:p>
    <w:p w14:paraId="393A71F0"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资产托管部总经理：贾光华</w:t>
      </w:r>
    </w:p>
    <w:p w14:paraId="1231E646"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电话：（010） 63636363</w:t>
      </w:r>
    </w:p>
    <w:p w14:paraId="1F5BB5FE"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传真：（010） 63639132</w:t>
      </w:r>
    </w:p>
    <w:p w14:paraId="1C618B58"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网址：www.cebbank.com</w:t>
      </w:r>
    </w:p>
    <w:p w14:paraId="652B800A" w14:textId="77777777" w:rsidR="008D0810" w:rsidRDefault="00417F9F">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w:t>
      </w:r>
      <w:r>
        <w:rPr>
          <w:rFonts w:ascii="宋体" w:hAnsi="宋体" w:cs="宋体" w:hint="eastAsia"/>
          <w:b/>
          <w:bCs/>
          <w:color w:val="000000"/>
          <w:sz w:val="24"/>
          <w:szCs w:val="24"/>
        </w:rPr>
        <w:t>资产托管部部门</w:t>
      </w:r>
      <w:r>
        <w:rPr>
          <w:rFonts w:asciiTheme="minorEastAsia" w:hAnsiTheme="minorEastAsia" w:hint="eastAsia"/>
          <w:b/>
          <w:color w:val="000000"/>
          <w:kern w:val="0"/>
          <w:sz w:val="24"/>
        </w:rPr>
        <w:t>及主要人员情况</w:t>
      </w:r>
    </w:p>
    <w:p w14:paraId="50DBEE00"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董事长吴利军先生，自2020年3月起任本行副董事长、2024年1月起任本行董事长。现任中国光大集团股份公司党委书记、董事长，兼任中国光大集团股份公司党校校长。曾任国内贸易部国家物资储备调节中心副主任(副局级)，中国证券监督管理委员会信息中心负责人，培训中心副主任(主持工作)，人事教育部主任、党委组织部部长，中国证券监督管理委员会党委委员、主席助理，深圳证券交易所理事会理事长、党委书记(副部长级)，中国光大集团股份公司党委副书记、副董事长、总经理。获经济学博士学位，高级经济师。</w:t>
      </w:r>
    </w:p>
    <w:p w14:paraId="20466532"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行长郝成先生，自2024年6月起任本行党委书记，2024年8月起任本行执行董事、行长。现任中国光大集团股份公司党委委员、执行董事。历任国家开发银行天津分行党委委员、副行长，国家开发银行人事局副局长、党委组织部副部长，国家开发银行吉林分行党委书记、行长，交通银行党委委员、副行长。获管理学博士学位，高级工程师。</w:t>
      </w:r>
    </w:p>
    <w:p w14:paraId="47A4F7EB" w14:textId="77777777" w:rsidR="008D0810" w:rsidRDefault="00417F9F">
      <w:pPr>
        <w:spacing w:line="360" w:lineRule="auto"/>
        <w:ind w:firstLineChars="200" w:firstLine="480"/>
        <w:rPr>
          <w:rFonts w:ascii="宋体" w:hAnsi="宋体" w:cs="宋体" w:hint="eastAsia"/>
          <w:sz w:val="24"/>
          <w:szCs w:val="24"/>
        </w:rPr>
      </w:pPr>
      <w:r>
        <w:rPr>
          <w:rFonts w:ascii="宋体" w:hAnsi="宋体" w:cs="宋体" w:hint="eastAsia"/>
          <w:sz w:val="24"/>
          <w:szCs w:val="24"/>
        </w:rPr>
        <w:t>资产托管部总经理贾光华先生，1994年7月在光大银行总行营业部参加工作，2005年10月调入同业机构部（后更名为金融同业部）后，先后任处长、总</w:t>
      </w:r>
      <w:r>
        <w:rPr>
          <w:rFonts w:ascii="宋体" w:hAnsi="宋体" w:cs="宋体" w:hint="eastAsia"/>
          <w:sz w:val="24"/>
          <w:szCs w:val="24"/>
        </w:rPr>
        <w:lastRenderedPageBreak/>
        <w:t>经理助理、副总经理、副总经理（主持工作），2018年5月任金融同业部总经理，2025年1月任资产托管部总经理。</w:t>
      </w:r>
    </w:p>
    <w:p w14:paraId="1EC7DA86" w14:textId="77777777" w:rsidR="008D0810" w:rsidRDefault="00417F9F">
      <w:pPr>
        <w:spacing w:line="360" w:lineRule="auto"/>
        <w:ind w:firstLine="420"/>
        <w:rPr>
          <w:rFonts w:asciiTheme="minorEastAsia" w:hAnsiTheme="minorEastAsia" w:cs="宋体" w:hint="eastAsia"/>
          <w:b/>
          <w:bCs/>
          <w:color w:val="000000"/>
          <w:sz w:val="24"/>
        </w:rPr>
      </w:pPr>
      <w:r>
        <w:rPr>
          <w:rFonts w:asciiTheme="minorEastAsia" w:hAnsiTheme="minorEastAsia" w:cs="Arial" w:hint="eastAsia"/>
          <w:b/>
          <w:bCs/>
          <w:sz w:val="24"/>
          <w:szCs w:val="24"/>
        </w:rPr>
        <w:t>三、</w:t>
      </w:r>
      <w:r>
        <w:rPr>
          <w:rFonts w:asciiTheme="minorEastAsia" w:hAnsiTheme="minorEastAsia" w:cs="宋体" w:hint="eastAsia"/>
          <w:b/>
          <w:bCs/>
          <w:color w:val="000000"/>
          <w:sz w:val="24"/>
        </w:rPr>
        <w:t>证券投资基金托管情况</w:t>
      </w:r>
    </w:p>
    <w:p w14:paraId="74170C96" w14:textId="42D0C980" w:rsidR="008D0810" w:rsidRDefault="00F93644">
      <w:pPr>
        <w:spacing w:line="360" w:lineRule="auto"/>
        <w:ind w:firstLineChars="200" w:firstLine="480"/>
        <w:rPr>
          <w:rFonts w:ascii="宋体" w:hAnsi="宋体" w:cs="宋体" w:hint="eastAsia"/>
          <w:sz w:val="24"/>
          <w:szCs w:val="24"/>
          <w:lang w:val="zh-CN"/>
        </w:rPr>
      </w:pPr>
      <w:r>
        <w:rPr>
          <w:rFonts w:ascii="宋体" w:hAnsi="宋体" w:cs="宋体" w:hint="eastAsia"/>
          <w:sz w:val="24"/>
          <w:szCs w:val="24"/>
          <w:lang w:val="zh-CN"/>
        </w:rPr>
        <w:t>截至</w:t>
      </w:r>
      <w:r>
        <w:rPr>
          <w:rFonts w:ascii="宋体" w:hAnsi="宋体" w:cs="宋体" w:hint="eastAsia"/>
          <w:sz w:val="24"/>
          <w:szCs w:val="24"/>
        </w:rPr>
        <w:t>2025</w:t>
      </w:r>
      <w:r>
        <w:rPr>
          <w:rFonts w:ascii="宋体" w:hAnsi="宋体" w:cs="宋体" w:hint="eastAsia"/>
          <w:sz w:val="24"/>
          <w:szCs w:val="24"/>
          <w:lang w:val="zh-CN"/>
        </w:rPr>
        <w:t>年</w:t>
      </w:r>
      <w:r>
        <w:rPr>
          <w:rFonts w:ascii="宋体" w:hAnsi="宋体" w:cs="宋体" w:hint="eastAsia"/>
          <w:sz w:val="24"/>
          <w:szCs w:val="24"/>
        </w:rPr>
        <w:t>6</w:t>
      </w:r>
      <w:r>
        <w:rPr>
          <w:rFonts w:ascii="宋体" w:hAnsi="宋体" w:cs="宋体" w:hint="eastAsia"/>
          <w:sz w:val="24"/>
          <w:szCs w:val="24"/>
          <w:lang w:val="zh-CN"/>
        </w:rPr>
        <w:t>月</w:t>
      </w:r>
      <w:r>
        <w:rPr>
          <w:rFonts w:ascii="宋体" w:hAnsi="宋体" w:cs="宋体" w:hint="eastAsia"/>
          <w:sz w:val="24"/>
          <w:szCs w:val="24"/>
        </w:rPr>
        <w:t>30</w:t>
      </w:r>
      <w:r>
        <w:rPr>
          <w:rFonts w:ascii="宋体" w:hAnsi="宋体" w:cs="宋体" w:hint="eastAsia"/>
          <w:sz w:val="24"/>
          <w:szCs w:val="24"/>
          <w:lang w:val="zh-CN"/>
        </w:rPr>
        <w:t>日，中国光大银行股份有限公司托管公开募集证券投资基</w:t>
      </w:r>
      <w:r>
        <w:rPr>
          <w:rFonts w:ascii="宋体" w:hAnsi="宋体" w:cs="宋体" w:hint="eastAsia"/>
          <w:sz w:val="24"/>
          <w:szCs w:val="24"/>
        </w:rPr>
        <w:t>金共350只，</w:t>
      </w:r>
      <w:r>
        <w:rPr>
          <w:rFonts w:ascii="宋体" w:hAnsi="宋体" w:cs="宋体" w:hint="eastAsia"/>
          <w:sz w:val="24"/>
          <w:szCs w:val="24"/>
          <w:lang w:val="zh-CN"/>
        </w:rPr>
        <w:t>托管基金资产规模</w:t>
      </w:r>
      <w:r>
        <w:rPr>
          <w:rFonts w:ascii="宋体" w:hAnsi="宋体" w:cs="宋体" w:hint="eastAsia"/>
          <w:sz w:val="24"/>
          <w:szCs w:val="24"/>
        </w:rPr>
        <w:t>7164.75</w:t>
      </w:r>
      <w:r>
        <w:rPr>
          <w:rFonts w:ascii="宋体" w:hAnsi="宋体" w:cs="宋体" w:hint="eastAsia"/>
          <w:sz w:val="24"/>
          <w:szCs w:val="24"/>
          <w:lang w:val="zh-CN"/>
        </w:rPr>
        <w:t>亿元。同时，开展了证券公司资产管理计划、基金公司客户资产管理计划、职业年金、企业年金、QDII、QFII、银行理财、保险债权投资计划等资产的托管及信托公司资金信托计划、产业投资基金、股权基金等产品的保管业务。</w:t>
      </w:r>
    </w:p>
    <w:p w14:paraId="334AC264" w14:textId="77777777" w:rsidR="008D0810" w:rsidRDefault="00417F9F">
      <w:pPr>
        <w:spacing w:line="360" w:lineRule="auto"/>
        <w:ind w:firstLineChars="200" w:firstLine="482"/>
        <w:rPr>
          <w:rFonts w:asciiTheme="minorEastAsia" w:hAnsiTheme="minorEastAsia" w:hint="eastAsia"/>
          <w:b/>
          <w:color w:val="000000"/>
          <w:kern w:val="0"/>
          <w:sz w:val="24"/>
        </w:rPr>
      </w:pPr>
      <w:r>
        <w:rPr>
          <w:rFonts w:asciiTheme="minorEastAsia" w:hAnsiTheme="minorEastAsia" w:cs="Arial" w:hint="eastAsia"/>
          <w:b/>
          <w:bCs/>
          <w:sz w:val="24"/>
          <w:szCs w:val="24"/>
        </w:rPr>
        <w:t>四、</w:t>
      </w:r>
      <w:r>
        <w:rPr>
          <w:rFonts w:asciiTheme="minorEastAsia" w:hAnsiTheme="minorEastAsia" w:hint="eastAsia"/>
          <w:b/>
          <w:color w:val="000000"/>
          <w:kern w:val="0"/>
          <w:sz w:val="24"/>
        </w:rPr>
        <w:t>托管业务的内部控制制度</w:t>
      </w:r>
    </w:p>
    <w:p w14:paraId="1E4A8A92"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1、内部控制目标</w:t>
      </w:r>
    </w:p>
    <w:p w14:paraId="2CB2C414"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61190037"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2、内部控制的原则</w:t>
      </w:r>
    </w:p>
    <w:p w14:paraId="172A2CBA"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（1）全面性原则。内部控制必须渗透到基金托管业务的各个操作环节，覆盖所有的岗位，不留任何死角。</w:t>
      </w:r>
    </w:p>
    <w:p w14:paraId="4802A0E1"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（2）预防性原则。树立“预防为主”的管理理念，从风险发生的源头加强内部控制，防患于未然，尽量避免业务操作中各种问题的产生。</w:t>
      </w:r>
    </w:p>
    <w:p w14:paraId="27E2B241"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（3）及时性原则。建立健全各项规章制度，采取有效措施加强内部控制。发现问题，及时处理，堵塞漏洞。</w:t>
      </w:r>
    </w:p>
    <w:p w14:paraId="3EDD2B46"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（4）独立性原则。基金托管业务内部控制机构独立于基金托管业务执行机构，业务操作人员和内控人员分开，以保证内控机构的工作不受干扰。</w:t>
      </w:r>
    </w:p>
    <w:p w14:paraId="45D1F718"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3、内部控制组织结构</w:t>
      </w:r>
    </w:p>
    <w:p w14:paraId="7E0166D8" w14:textId="74D4B230" w:rsidR="00F93644" w:rsidRDefault="00F93644" w:rsidP="00F93644">
      <w:pPr>
        <w:spacing w:line="360" w:lineRule="auto"/>
        <w:ind w:firstLine="420"/>
        <w:rPr>
          <w:rFonts w:ascii="宋体" w:hAnsi="宋体" w:cs="宋体" w:hint="eastAsia"/>
          <w:sz w:val="24"/>
          <w:szCs w:val="24"/>
        </w:rPr>
      </w:pPr>
      <w:r>
        <w:rPr>
          <w:rFonts w:ascii="宋体" w:hAnsi="宋体" w:cs="宋体" w:hint="eastAsia"/>
          <w:sz w:val="24"/>
          <w:szCs w:val="24"/>
        </w:rPr>
        <w:t>中国光大银行股份有限公司设有风险管理与内控合规委员会，负责全行风险管理与内部控制工作。资产托管部</w:t>
      </w:r>
      <w:r>
        <w:rPr>
          <w:rFonts w:ascii="宋体" w:eastAsia="宋体" w:hAnsi="宋体" w:cs="宋体" w:hint="eastAsia"/>
          <w:sz w:val="24"/>
          <w:szCs w:val="24"/>
          <w:lang w:val="zh-CN"/>
        </w:rPr>
        <w:t>建立了严密的内控</w:t>
      </w:r>
      <w:r>
        <w:rPr>
          <w:rFonts w:ascii="宋体" w:eastAsia="宋体" w:hAnsi="宋体" w:cs="宋体" w:hint="eastAsia"/>
          <w:sz w:val="24"/>
          <w:szCs w:val="24"/>
        </w:rPr>
        <w:t>监督</w:t>
      </w:r>
      <w:r>
        <w:rPr>
          <w:rFonts w:ascii="宋体" w:eastAsia="宋体" w:hAnsi="宋体" w:cs="宋体" w:hint="eastAsia"/>
          <w:sz w:val="24"/>
          <w:szCs w:val="24"/>
          <w:lang w:val="zh-CN"/>
        </w:rPr>
        <w:t>体系，设立了投资监督与内控</w:t>
      </w:r>
      <w:r>
        <w:rPr>
          <w:rFonts w:ascii="宋体" w:eastAsia="宋体" w:hAnsi="宋体" w:cs="宋体" w:hint="eastAsia"/>
          <w:sz w:val="24"/>
          <w:szCs w:val="24"/>
        </w:rPr>
        <w:t>合规</w:t>
      </w:r>
      <w:r>
        <w:rPr>
          <w:rFonts w:ascii="宋体" w:eastAsia="宋体" w:hAnsi="宋体" w:cs="宋体" w:hint="eastAsia"/>
          <w:sz w:val="24"/>
          <w:szCs w:val="24"/>
          <w:lang w:val="zh-CN"/>
        </w:rPr>
        <w:t>处，</w:t>
      </w:r>
      <w:r>
        <w:rPr>
          <w:rFonts w:ascii="宋体" w:eastAsia="宋体" w:hAnsi="宋体" w:cs="宋体" w:hint="eastAsia"/>
          <w:sz w:val="24"/>
          <w:szCs w:val="24"/>
        </w:rPr>
        <w:t>配备了专职内控合规人员，</w:t>
      </w:r>
      <w:r>
        <w:rPr>
          <w:rFonts w:ascii="宋体" w:eastAsia="宋体" w:hAnsi="宋体" w:cs="宋体" w:hint="eastAsia"/>
          <w:sz w:val="24"/>
          <w:szCs w:val="24"/>
          <w:lang w:val="zh-CN"/>
        </w:rPr>
        <w:t>负责证券投资基金托管业务的</w:t>
      </w:r>
      <w:r>
        <w:rPr>
          <w:rFonts w:ascii="宋体" w:eastAsia="宋体" w:hAnsi="宋体" w:cs="宋体" w:hint="eastAsia"/>
          <w:sz w:val="24"/>
          <w:szCs w:val="24"/>
        </w:rPr>
        <w:t>内控</w:t>
      </w:r>
      <w:r>
        <w:rPr>
          <w:rFonts w:ascii="宋体" w:eastAsia="宋体" w:hAnsi="宋体" w:cs="宋体" w:hint="eastAsia"/>
          <w:sz w:val="24"/>
          <w:szCs w:val="24"/>
          <w:lang w:val="zh-CN"/>
        </w:rPr>
        <w:t>管理</w:t>
      </w:r>
      <w:r>
        <w:rPr>
          <w:rFonts w:ascii="宋体" w:eastAsia="宋体" w:hAnsi="宋体" w:cs="宋体" w:hint="eastAsia"/>
          <w:sz w:val="24"/>
          <w:szCs w:val="24"/>
        </w:rPr>
        <w:t>工作</w:t>
      </w:r>
      <w:r>
        <w:rPr>
          <w:rFonts w:ascii="宋体" w:eastAsia="宋体" w:hAnsi="宋体" w:cs="宋体" w:hint="eastAsia"/>
          <w:sz w:val="24"/>
          <w:szCs w:val="24"/>
          <w:lang w:val="zh-CN"/>
        </w:rPr>
        <w:t>。</w:t>
      </w:r>
    </w:p>
    <w:p w14:paraId="16D3652E" w14:textId="77777777" w:rsidR="00F93644" w:rsidRDefault="00F93644" w:rsidP="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4、内部控制制度</w:t>
      </w:r>
    </w:p>
    <w:p w14:paraId="776D5F00" w14:textId="702830F5" w:rsidR="008D0810" w:rsidRDefault="00F93644">
      <w:pPr>
        <w:spacing w:line="360" w:lineRule="auto"/>
        <w:ind w:firstLineChars="200" w:firstLine="480"/>
        <w:rPr>
          <w:rFonts w:ascii="宋体" w:hAnsi="宋体" w:cs="宋体" w:hint="eastAsia"/>
          <w:sz w:val="24"/>
          <w:szCs w:val="24"/>
          <w:lang w:val="zh-CN"/>
        </w:rPr>
      </w:pPr>
      <w:r>
        <w:rPr>
          <w:rFonts w:ascii="宋体" w:hAnsi="宋体" w:cs="宋体" w:hint="eastAsia"/>
          <w:sz w:val="24"/>
          <w:szCs w:val="24"/>
          <w:lang w:val="zh-CN"/>
        </w:rPr>
        <w:lastRenderedPageBreak/>
        <w:t>中国光大银行股份有限公司</w:t>
      </w:r>
      <w:r>
        <w:rPr>
          <w:rFonts w:ascii="宋体" w:hAnsi="宋体" w:cs="宋体" w:hint="eastAsia"/>
          <w:sz w:val="24"/>
          <w:szCs w:val="24"/>
        </w:rPr>
        <w:t>资产托管</w:t>
      </w:r>
      <w:r>
        <w:rPr>
          <w:rFonts w:ascii="宋体" w:hAnsi="宋体" w:cs="宋体" w:hint="eastAsia"/>
          <w:sz w:val="24"/>
          <w:szCs w:val="24"/>
          <w:lang w:val="zh-CN"/>
        </w:rPr>
        <w:t>部自成立以来严格遵照《基金法》、《中华人民共和国商业银行法》、《信息披露管理办法》、《运作办法》、《销售办法》等法律、法规的要求，并根据相关法律法规制订、完善了《中国光大银行</w:t>
      </w:r>
      <w:r>
        <w:rPr>
          <w:rFonts w:ascii="宋体" w:hAnsi="宋体" w:cs="宋体" w:hint="eastAsia"/>
          <w:sz w:val="24"/>
          <w:szCs w:val="24"/>
        </w:rPr>
        <w:t>资产</w:t>
      </w:r>
      <w:r>
        <w:rPr>
          <w:rFonts w:ascii="宋体" w:hAnsi="宋体" w:cs="宋体" w:hint="eastAsia"/>
          <w:sz w:val="24"/>
          <w:szCs w:val="24"/>
          <w:lang w:val="zh-CN"/>
        </w:rPr>
        <w:t>托管业务内部控制规定》、《中国光大银行</w:t>
      </w:r>
      <w:r>
        <w:rPr>
          <w:rFonts w:ascii="宋体" w:hAnsi="宋体" w:cs="宋体" w:hint="eastAsia"/>
          <w:sz w:val="24"/>
          <w:szCs w:val="24"/>
        </w:rPr>
        <w:t>资产托管业务</w:t>
      </w:r>
      <w:r>
        <w:rPr>
          <w:rFonts w:ascii="宋体" w:hAnsi="宋体" w:cs="宋体" w:hint="eastAsia"/>
          <w:sz w:val="24"/>
          <w:szCs w:val="24"/>
          <w:lang w:val="zh-CN"/>
        </w:rPr>
        <w:t>保密规定》等十余项规章制度和实施细则，将风险控制落实到每一个工作环节。中国光大银行</w:t>
      </w:r>
      <w:r>
        <w:rPr>
          <w:rFonts w:ascii="宋体" w:hAnsi="宋体" w:cs="宋体" w:hint="eastAsia"/>
          <w:sz w:val="24"/>
          <w:szCs w:val="24"/>
        </w:rPr>
        <w:t>资产托管</w:t>
      </w:r>
      <w:r>
        <w:rPr>
          <w:rFonts w:ascii="宋体" w:hAnsi="宋体" w:cs="宋体" w:hint="eastAsia"/>
          <w:sz w:val="24"/>
          <w:szCs w:val="24"/>
          <w:lang w:val="zh-CN"/>
        </w:rPr>
        <w:t>部以控制和防范基金托管业务风险为主线，在重要岗位（基金清算、基金核算、</w:t>
      </w:r>
      <w:r>
        <w:rPr>
          <w:rFonts w:ascii="宋体" w:hAnsi="宋体" w:cs="宋体" w:hint="eastAsia"/>
          <w:sz w:val="24"/>
          <w:szCs w:val="24"/>
        </w:rPr>
        <w:t>投资监督</w:t>
      </w:r>
      <w:r>
        <w:rPr>
          <w:rFonts w:ascii="宋体" w:hAnsi="宋体" w:cs="宋体" w:hint="eastAsia"/>
          <w:sz w:val="24"/>
          <w:szCs w:val="24"/>
          <w:lang w:val="zh-CN"/>
        </w:rPr>
        <w:t>）还建立了安全保密区，安装了录像监视系统和录音监听系统，以保障基金信息的安全。</w:t>
      </w:r>
    </w:p>
    <w:p w14:paraId="39E283A7" w14:textId="77777777" w:rsidR="008D0810" w:rsidRDefault="00417F9F">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五、基金托管人对基金管理人运作基金进行监督的方法和程序</w:t>
      </w:r>
    </w:p>
    <w:p w14:paraId="672F5EB3" w14:textId="77777777" w:rsidR="00F93644" w:rsidRDefault="00F93644" w:rsidP="00F93644">
      <w:pPr>
        <w:spacing w:line="360" w:lineRule="auto"/>
        <w:ind w:firstLine="420"/>
        <w:rPr>
          <w:rFonts w:ascii="宋体" w:hAnsi="宋体" w:cs="宋体" w:hint="eastAsia"/>
          <w:sz w:val="24"/>
          <w:szCs w:val="24"/>
          <w:lang w:val="zh-CN"/>
        </w:rPr>
      </w:pPr>
      <w:bookmarkStart w:id="91" w:name="OLE_LINK7"/>
      <w:bookmarkStart w:id="92" w:name="OLE_LINK5"/>
      <w:r>
        <w:rPr>
          <w:rFonts w:ascii="宋体" w:hAnsi="宋体" w:cs="宋体" w:hint="eastAsia"/>
          <w:sz w:val="24"/>
          <w:szCs w:val="24"/>
          <w:lang w:val="zh-CN"/>
        </w:rPr>
        <w:t>根据法律、法规和基金合同等的要求，基金托管人主要通过定性和定量相结合、事前</w:t>
      </w:r>
      <w:r>
        <w:rPr>
          <w:rFonts w:ascii="宋体" w:hAnsi="宋体" w:cs="宋体" w:hint="eastAsia"/>
          <w:sz w:val="24"/>
          <w:szCs w:val="24"/>
        </w:rPr>
        <w:t>事中</w:t>
      </w:r>
      <w:r>
        <w:rPr>
          <w:rFonts w:ascii="宋体" w:hAnsi="宋体" w:cs="宋体" w:hint="eastAsia"/>
          <w:sz w:val="24"/>
          <w:szCs w:val="24"/>
          <w:lang w:val="zh-CN"/>
        </w:rPr>
        <w:t>和事后</w:t>
      </w:r>
      <w:r>
        <w:rPr>
          <w:rFonts w:ascii="宋体" w:hAnsi="宋体" w:cs="宋体" w:hint="eastAsia"/>
          <w:sz w:val="24"/>
          <w:szCs w:val="24"/>
        </w:rPr>
        <w:t>监督</w:t>
      </w:r>
      <w:r>
        <w:rPr>
          <w:rFonts w:ascii="宋体" w:hAnsi="宋体" w:cs="宋体" w:hint="eastAsia"/>
          <w:sz w:val="24"/>
          <w:szCs w:val="24"/>
          <w:lang w:val="zh-CN"/>
        </w:rPr>
        <w:t>相结合、技术与人工监督相结合等方式方法，对基金投资</w:t>
      </w:r>
      <w:r>
        <w:rPr>
          <w:rFonts w:ascii="宋体" w:hAnsi="宋体" w:cs="宋体" w:hint="eastAsia"/>
          <w:sz w:val="24"/>
          <w:szCs w:val="24"/>
        </w:rPr>
        <w:t>范围</w:t>
      </w:r>
      <w:r>
        <w:rPr>
          <w:rFonts w:ascii="宋体" w:hAnsi="宋体" w:cs="宋体" w:hint="eastAsia"/>
          <w:sz w:val="24"/>
          <w:szCs w:val="24"/>
          <w:lang w:val="zh-CN"/>
        </w:rPr>
        <w:t>、投资组合比例每日进行监督；同时，对基金管理人就基金资产净值的计算、基金管理人和基金托管人报酬的计提和支付、基金收益分配、基金费用支付等行为的合法性、合规性进行监督和核查。</w:t>
      </w:r>
    </w:p>
    <w:p w14:paraId="01004FEC" w14:textId="4C4C9541" w:rsidR="008D0810" w:rsidRDefault="00F93644">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基金托管人发现基金管理人</w:t>
      </w:r>
      <w:r>
        <w:rPr>
          <w:rFonts w:ascii="宋体" w:hAnsi="宋体" w:cs="宋体" w:hint="eastAsia"/>
          <w:sz w:val="24"/>
          <w:szCs w:val="24"/>
        </w:rPr>
        <w:t>有</w:t>
      </w:r>
      <w:r>
        <w:rPr>
          <w:rFonts w:ascii="宋体" w:hAnsi="宋体" w:cs="宋体" w:hint="eastAsia"/>
          <w:sz w:val="24"/>
          <w:szCs w:val="24"/>
          <w:lang w:val="zh-CN"/>
        </w:rPr>
        <w:t>违反法律、法规和基金合同等规定的行为，及时以</w:t>
      </w:r>
      <w:r>
        <w:rPr>
          <w:rFonts w:ascii="宋体" w:hAnsi="宋体" w:cs="宋体" w:hint="eastAsia"/>
          <w:sz w:val="24"/>
          <w:szCs w:val="24"/>
        </w:rPr>
        <w:t>邮件、电话或书面等</w:t>
      </w:r>
      <w:r>
        <w:rPr>
          <w:rFonts w:ascii="宋体" w:hAnsi="宋体" w:cs="宋体" w:hint="eastAsia"/>
          <w:sz w:val="24"/>
          <w:szCs w:val="24"/>
          <w:lang w:val="zh-CN"/>
        </w:rPr>
        <w:t>形式通知基金管理人限期纠正，基金管理人收到通知后应及时核对确认并以</w:t>
      </w:r>
      <w:r>
        <w:rPr>
          <w:rFonts w:ascii="宋体" w:hAnsi="宋体" w:cs="宋体" w:hint="eastAsia"/>
          <w:sz w:val="24"/>
          <w:szCs w:val="24"/>
        </w:rPr>
        <w:t>邮件或</w:t>
      </w:r>
      <w:r>
        <w:rPr>
          <w:rFonts w:ascii="宋体" w:hAnsi="宋体" w:cs="宋体" w:hint="eastAsia"/>
          <w:sz w:val="24"/>
          <w:szCs w:val="24"/>
          <w:lang w:val="zh-CN"/>
        </w:rPr>
        <w:t>书面形式对基金托管人发出回函。在限期内，基金托管人有权随时对通知事项进行复查。基金管理人对基金托管人通知的违规事项未能在限期内纠正的，基金托管人应报告中国证监会。</w:t>
      </w:r>
      <w:bookmarkEnd w:id="91"/>
      <w:bookmarkEnd w:id="92"/>
    </w:p>
    <w:p w14:paraId="0406B6BA" w14:textId="77777777" w:rsidR="008D0810" w:rsidRDefault="00417F9F">
      <w:pPr>
        <w:widowControl/>
        <w:jc w:val="left"/>
        <w:rPr>
          <w:rFonts w:asciiTheme="minorEastAsia" w:hAnsiTheme="minorEastAsia" w:cs="Times New Roman" w:hint="eastAsia"/>
          <w:b/>
          <w:bCs/>
          <w:color w:val="000000"/>
          <w:kern w:val="0"/>
          <w:sz w:val="24"/>
          <w:szCs w:val="24"/>
        </w:rPr>
      </w:pPr>
      <w:r>
        <w:rPr>
          <w:rFonts w:asciiTheme="minorEastAsia" w:hAnsiTheme="minorEastAsia"/>
          <w:bCs/>
          <w:szCs w:val="24"/>
        </w:rPr>
        <w:br w:type="page"/>
      </w:r>
    </w:p>
    <w:p w14:paraId="109CB492" w14:textId="77777777" w:rsidR="008D0810" w:rsidRDefault="00417F9F">
      <w:pPr>
        <w:pStyle w:val="1"/>
        <w:jc w:val="center"/>
        <w:rPr>
          <w:rFonts w:asciiTheme="minorEastAsia" w:eastAsiaTheme="minorEastAsia" w:hAnsiTheme="minorEastAsia" w:hint="eastAsia"/>
          <w:sz w:val="30"/>
          <w:szCs w:val="30"/>
        </w:rPr>
      </w:pPr>
      <w:bookmarkStart w:id="93" w:name="_Toc416264541"/>
      <w:bookmarkStart w:id="94" w:name="_Toc263092313"/>
      <w:bookmarkStart w:id="95" w:name="_Toc146096081"/>
      <w:bookmarkStart w:id="96" w:name="_Toc214873594"/>
      <w:bookmarkStart w:id="97" w:name="_Toc11081"/>
      <w:bookmarkStart w:id="98" w:name="_Toc23261"/>
      <w:bookmarkStart w:id="99" w:name="_Toc7920"/>
      <w:bookmarkStart w:id="100" w:name="_Toc1427"/>
      <w:bookmarkStart w:id="101" w:name="_Toc610"/>
      <w:bookmarkStart w:id="102" w:name="_Toc352229752"/>
      <w:bookmarkStart w:id="103" w:name="_Toc79392606"/>
      <w:bookmarkStart w:id="104" w:name="_Toc352229751"/>
      <w:bookmarkStart w:id="105" w:name="_Toc23822"/>
      <w:bookmarkStart w:id="106" w:name="_Toc141703886"/>
      <w:bookmarkStart w:id="107" w:name="_Toc123102453"/>
      <w:bookmarkStart w:id="108" w:name="_Toc20733"/>
      <w:bookmarkStart w:id="109" w:name="_Toc123051452"/>
      <w:bookmarkStart w:id="110" w:name="_Toc139991736"/>
      <w:bookmarkStart w:id="111" w:name="_Toc98560352"/>
      <w:bookmarkStart w:id="112" w:name="_Toc1270"/>
      <w:bookmarkStart w:id="113" w:name="_Toc48649707"/>
      <w:bookmarkStart w:id="114" w:name="_Toc10463"/>
      <w:bookmarkStart w:id="115" w:name="_Toc17244"/>
      <w:bookmarkStart w:id="116" w:name="_Toc123112234"/>
      <w:bookmarkStart w:id="117" w:name="_Toc4003"/>
      <w:bookmarkEnd w:id="70"/>
      <w:bookmarkEnd w:id="71"/>
      <w:bookmarkEnd w:id="72"/>
      <w:bookmarkEnd w:id="73"/>
      <w:bookmarkEnd w:id="74"/>
      <w:bookmarkEnd w:id="75"/>
      <w:bookmarkEnd w:id="76"/>
      <w:bookmarkEnd w:id="77"/>
      <w:bookmarkEnd w:id="78"/>
      <w:bookmarkEnd w:id="79"/>
      <w:bookmarkEnd w:id="80"/>
      <w:bookmarkEnd w:id="81"/>
      <w:bookmarkEnd w:id="82"/>
      <w:bookmarkEnd w:id="84"/>
      <w:bookmarkEnd w:id="85"/>
      <w:bookmarkEnd w:id="86"/>
      <w:bookmarkEnd w:id="87"/>
      <w:r>
        <w:rPr>
          <w:rFonts w:asciiTheme="minorEastAsia" w:eastAsiaTheme="minorEastAsia" w:hAnsiTheme="minorEastAsia" w:hint="eastAsia"/>
          <w:sz w:val="30"/>
          <w:szCs w:val="30"/>
        </w:rPr>
        <w:lastRenderedPageBreak/>
        <w:t>第五部分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相关服务机构</w:t>
      </w:r>
      <w:bookmarkEnd w:id="93"/>
      <w:bookmarkEnd w:id="94"/>
      <w:bookmarkEnd w:id="95"/>
      <w:bookmarkEnd w:id="96"/>
    </w:p>
    <w:p w14:paraId="66C81073" w14:textId="77777777" w:rsidR="008D0810" w:rsidRDefault="00417F9F">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242BEA52"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1、直销机构：富荣基金管理有限公司直销中心</w:t>
      </w:r>
    </w:p>
    <w:p w14:paraId="43C90FF9"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注册地址：广东省广州市南沙区横沥镇汇通二街2号3110房</w:t>
      </w:r>
      <w:r>
        <w:rPr>
          <w:rFonts w:asciiTheme="minorEastAsia" w:hAnsiTheme="minorEastAsia" w:cs="Arial"/>
          <w:sz w:val="24"/>
          <w:szCs w:val="24"/>
        </w:rPr>
        <w:t xml:space="preserve"> </w:t>
      </w:r>
    </w:p>
    <w:p w14:paraId="1376A88A"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办公地址：广东省深圳市福田区八卦四路</w:t>
      </w:r>
      <w:r>
        <w:rPr>
          <w:rFonts w:asciiTheme="minorEastAsia" w:hAnsiTheme="minorEastAsia" w:cs="Arial"/>
          <w:sz w:val="24"/>
          <w:szCs w:val="24"/>
        </w:rPr>
        <w:t>52号安吉</w:t>
      </w:r>
      <w:r>
        <w:rPr>
          <w:rFonts w:asciiTheme="minorEastAsia" w:hAnsiTheme="minorEastAsia" w:cs="Arial" w:hint="eastAsia"/>
          <w:sz w:val="24"/>
          <w:szCs w:val="24"/>
        </w:rPr>
        <w:t>尔大厦</w:t>
      </w:r>
      <w:r>
        <w:rPr>
          <w:rFonts w:asciiTheme="minorEastAsia" w:hAnsiTheme="minorEastAsia" w:cs="Arial"/>
          <w:sz w:val="24"/>
          <w:szCs w:val="24"/>
        </w:rPr>
        <w:t>24层</w:t>
      </w:r>
    </w:p>
    <w:p w14:paraId="4A2C6AE2"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250D3526"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w:t>
      </w:r>
      <w:r>
        <w:rPr>
          <w:rFonts w:asciiTheme="minorEastAsia" w:hAnsiTheme="minorEastAsia" w:cs="Arial"/>
          <w:sz w:val="24"/>
          <w:szCs w:val="24"/>
        </w:rPr>
        <w:t>0755-84356629</w:t>
      </w:r>
    </w:p>
    <w:p w14:paraId="06BCAC81"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w:t>
      </w:r>
      <w:r>
        <w:rPr>
          <w:rFonts w:asciiTheme="minorEastAsia" w:hAnsiTheme="minorEastAsia" w:cs="Arial"/>
          <w:sz w:val="24"/>
          <w:szCs w:val="24"/>
        </w:rPr>
        <w:t>0755-83230902</w:t>
      </w:r>
    </w:p>
    <w:p w14:paraId="0F327F19"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w:t>
      </w:r>
      <w:r>
        <w:rPr>
          <w:rFonts w:asciiTheme="minorEastAsia" w:hAnsiTheme="minorEastAsia" w:cs="Arial"/>
          <w:sz w:val="24"/>
          <w:szCs w:val="24"/>
        </w:rPr>
        <w:t>4006855600</w:t>
      </w:r>
    </w:p>
    <w:p w14:paraId="1F429855"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t>
      </w:r>
      <w:r>
        <w:rPr>
          <w:rFonts w:asciiTheme="minorEastAsia" w:hAnsiTheme="minorEastAsia" w:cs="Arial"/>
          <w:sz w:val="24"/>
          <w:szCs w:val="24"/>
        </w:rPr>
        <w:t>www.furamc.com.cn</w:t>
      </w:r>
    </w:p>
    <w:p w14:paraId="58DABBD6" w14:textId="77777777" w:rsidR="008D0810" w:rsidRDefault="00417F9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其他销售机构：</w:t>
      </w:r>
      <w:r>
        <w:rPr>
          <w:rFonts w:asciiTheme="minorEastAsia" w:hAnsiTheme="minorEastAsia" w:cs="Arial"/>
          <w:sz w:val="24"/>
          <w:szCs w:val="24"/>
        </w:rPr>
        <w:t xml:space="preserve"> </w:t>
      </w:r>
    </w:p>
    <w:p w14:paraId="319F221C" w14:textId="5B81ED36" w:rsidR="008D0810" w:rsidRPr="00C83E86" w:rsidRDefault="00C83E86" w:rsidP="00C83E86">
      <w:pPr>
        <w:tabs>
          <w:tab w:val="left" w:pos="540"/>
        </w:tabs>
        <w:adjustRightInd w:val="0"/>
        <w:snapToGrid w:val="0"/>
        <w:spacing w:line="360" w:lineRule="auto"/>
        <w:ind w:firstLineChars="200" w:firstLine="480"/>
        <w:rPr>
          <w:rFonts w:asciiTheme="minorEastAsia" w:hAnsiTheme="minorEastAsia" w:cs="Arial" w:hint="eastAsia"/>
          <w:b/>
          <w:bCs/>
          <w:sz w:val="24"/>
          <w:szCs w:val="24"/>
        </w:rPr>
      </w:pPr>
      <w:r w:rsidRPr="00987B6D">
        <w:rPr>
          <w:rFonts w:asciiTheme="minorEastAsia" w:hAnsiTheme="minorEastAsia" w:cs="Arial" w:hint="eastAsia"/>
          <w:sz w:val="24"/>
          <w:szCs w:val="24"/>
        </w:rPr>
        <w:t>具体名单详见基金管理人官方网站。</w:t>
      </w:r>
    </w:p>
    <w:p w14:paraId="40EC67A9" w14:textId="77777777" w:rsidR="008D0810" w:rsidRDefault="00417F9F">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48518FEB" w14:textId="77777777" w:rsidR="008D0810" w:rsidRDefault="00417F9F">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名称：富荣基金管理有限公司</w:t>
      </w:r>
      <w:r>
        <w:rPr>
          <w:rFonts w:asciiTheme="minorEastAsia" w:hAnsiTheme="minorEastAsia" w:cs="Arial"/>
          <w:color w:val="000000"/>
          <w:kern w:val="0"/>
          <w:sz w:val="24"/>
          <w:szCs w:val="24"/>
        </w:rPr>
        <w:t xml:space="preserve"> </w:t>
      </w:r>
    </w:p>
    <w:p w14:paraId="7C0AF5D2" w14:textId="77777777" w:rsidR="008D0810" w:rsidRDefault="00417F9F">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Pr>
          <w:rFonts w:asciiTheme="minorEastAsia" w:hAnsiTheme="minorEastAsia" w:hint="eastAsia"/>
          <w:kern w:val="0"/>
          <w:sz w:val="24"/>
        </w:rPr>
        <w:t>广东省广州市南沙区横沥镇汇通二街2号3110房</w:t>
      </w:r>
      <w:r>
        <w:rPr>
          <w:rFonts w:asciiTheme="minorEastAsia" w:hAnsiTheme="minorEastAsia" w:cs="Arial"/>
          <w:color w:val="000000"/>
          <w:kern w:val="0"/>
          <w:sz w:val="24"/>
          <w:szCs w:val="24"/>
        </w:rPr>
        <w:t xml:space="preserve"> </w:t>
      </w:r>
    </w:p>
    <w:p w14:paraId="4B85761F" w14:textId="77777777" w:rsidR="008D0810" w:rsidRDefault="00417F9F">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办公地址：广东省深圳市福田区八卦四路</w:t>
      </w:r>
      <w:r>
        <w:rPr>
          <w:rFonts w:asciiTheme="minorEastAsia" w:hAnsiTheme="minorEastAsia" w:cs="Arial"/>
          <w:color w:val="000000"/>
          <w:kern w:val="0"/>
          <w:sz w:val="24"/>
          <w:szCs w:val="24"/>
        </w:rPr>
        <w:t>52号安吉</w:t>
      </w:r>
      <w:r>
        <w:rPr>
          <w:rFonts w:asciiTheme="minorEastAsia" w:hAnsiTheme="minorEastAsia" w:cs="Arial" w:hint="eastAsia"/>
          <w:color w:val="000000"/>
          <w:kern w:val="0"/>
          <w:sz w:val="24"/>
          <w:szCs w:val="24"/>
        </w:rPr>
        <w:t>尔大厦</w:t>
      </w:r>
      <w:r>
        <w:rPr>
          <w:rFonts w:asciiTheme="minorEastAsia" w:hAnsiTheme="minorEastAsia" w:cs="Arial"/>
          <w:color w:val="000000"/>
          <w:kern w:val="0"/>
          <w:sz w:val="24"/>
          <w:szCs w:val="24"/>
        </w:rPr>
        <w:t xml:space="preserve">24层 </w:t>
      </w:r>
    </w:p>
    <w:p w14:paraId="5A114E6A" w14:textId="77777777" w:rsidR="008D0810" w:rsidRDefault="00417F9F">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法定代表人：王亦伟</w:t>
      </w:r>
      <w:r>
        <w:rPr>
          <w:rFonts w:asciiTheme="minorEastAsia" w:hAnsiTheme="minorEastAsia" w:cs="Arial"/>
          <w:color w:val="000000"/>
          <w:kern w:val="0"/>
          <w:sz w:val="24"/>
          <w:szCs w:val="24"/>
        </w:rPr>
        <w:t xml:space="preserve"> </w:t>
      </w:r>
    </w:p>
    <w:p w14:paraId="64FA1977" w14:textId="77777777" w:rsidR="008D0810" w:rsidRDefault="00417F9F">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69AFC5B7" w14:textId="77777777" w:rsidR="008D0810" w:rsidRDefault="00417F9F">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w:t>
      </w:r>
      <w:r>
        <w:rPr>
          <w:rFonts w:asciiTheme="minorEastAsia" w:hAnsiTheme="minorEastAsia" w:cs="Arial"/>
          <w:color w:val="000000"/>
          <w:kern w:val="0"/>
          <w:sz w:val="24"/>
          <w:szCs w:val="24"/>
        </w:rPr>
        <w:t xml:space="preserve"> 0755-84356604</w:t>
      </w:r>
    </w:p>
    <w:p w14:paraId="1740F55E" w14:textId="77777777" w:rsidR="008D0810" w:rsidRDefault="00417F9F">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w:t>
      </w:r>
      <w:r>
        <w:rPr>
          <w:rFonts w:asciiTheme="minorEastAsia" w:hAnsiTheme="minorEastAsia" w:cs="Arial"/>
          <w:color w:val="000000"/>
          <w:kern w:val="0"/>
          <w:sz w:val="24"/>
          <w:szCs w:val="24"/>
        </w:rPr>
        <w:t xml:space="preserve"> 0755-83230787</w:t>
      </w:r>
    </w:p>
    <w:p w14:paraId="3211E29A" w14:textId="77777777" w:rsidR="008D0810" w:rsidRDefault="00417F9F">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732F0469"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名称：上海市通力律师事务所</w:t>
      </w:r>
    </w:p>
    <w:p w14:paraId="6DC92182"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住所：上海市银城中路</w:t>
      </w:r>
      <w:r>
        <w:rPr>
          <w:rFonts w:asciiTheme="minorEastAsia" w:hAnsiTheme="minorEastAsia" w:cs="Arial"/>
          <w:kern w:val="0"/>
          <w:sz w:val="24"/>
          <w:szCs w:val="24"/>
        </w:rPr>
        <w:t>68号时代金融中心19楼</w:t>
      </w:r>
    </w:p>
    <w:p w14:paraId="581771AF"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办公地址：上海市银城中路</w:t>
      </w:r>
      <w:r>
        <w:rPr>
          <w:rFonts w:asciiTheme="minorEastAsia" w:hAnsiTheme="minorEastAsia" w:cs="Arial"/>
          <w:kern w:val="0"/>
          <w:sz w:val="24"/>
          <w:szCs w:val="24"/>
        </w:rPr>
        <w:t>68号时代金融中心19楼</w:t>
      </w:r>
    </w:p>
    <w:p w14:paraId="1671315A"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负责人：俞卫锋</w:t>
      </w:r>
    </w:p>
    <w:p w14:paraId="0F7EF6F5"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w:t>
      </w:r>
      <w:r>
        <w:rPr>
          <w:rFonts w:asciiTheme="minorEastAsia" w:hAnsiTheme="minorEastAsia" w:cs="Arial"/>
          <w:kern w:val="0"/>
          <w:sz w:val="24"/>
          <w:szCs w:val="24"/>
        </w:rPr>
        <w:t>021-31358666</w:t>
      </w:r>
    </w:p>
    <w:p w14:paraId="14D4BD65"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w:t>
      </w:r>
      <w:r>
        <w:rPr>
          <w:rFonts w:asciiTheme="minorEastAsia" w:hAnsiTheme="minorEastAsia" w:cs="Arial"/>
          <w:kern w:val="0"/>
          <w:sz w:val="24"/>
          <w:szCs w:val="24"/>
        </w:rPr>
        <w:t>021-31358600</w:t>
      </w:r>
    </w:p>
    <w:p w14:paraId="40727B7F" w14:textId="77777777" w:rsidR="008D0810" w:rsidRDefault="00417F9F">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经办律师：陆奇、安冬</w:t>
      </w:r>
    </w:p>
    <w:p w14:paraId="02F88CA2"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陆奇</w:t>
      </w:r>
    </w:p>
    <w:p w14:paraId="1437DFFF" w14:textId="77777777" w:rsidR="008D0810" w:rsidRDefault="00417F9F">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lastRenderedPageBreak/>
        <w:t>四、</w:t>
      </w:r>
      <w:r>
        <w:rPr>
          <w:rFonts w:asciiTheme="minorEastAsia" w:hAnsiTheme="minorEastAsia" w:cs="Times New Roman" w:hint="eastAsia"/>
          <w:b/>
          <w:bCs/>
          <w:color w:val="000000"/>
          <w:sz w:val="24"/>
          <w:szCs w:val="24"/>
        </w:rPr>
        <w:t>审计基金财产的会计师事务所</w:t>
      </w:r>
    </w:p>
    <w:p w14:paraId="3E98F582"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0D0F4BBB" w14:textId="3106BFA6"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w:t>
      </w:r>
      <w:r>
        <w:rPr>
          <w:rFonts w:asciiTheme="minorEastAsia" w:hAnsiTheme="minorEastAsia" w:cs="Arial"/>
          <w:kern w:val="0"/>
          <w:sz w:val="24"/>
          <w:szCs w:val="24"/>
        </w:rPr>
        <w:t>1号东方广场安永大楼</w:t>
      </w:r>
      <w:r w:rsidR="00C83E86">
        <w:rPr>
          <w:rFonts w:asciiTheme="minorEastAsia" w:hAnsiTheme="minorEastAsia" w:cs="Arial" w:hint="eastAsia"/>
          <w:kern w:val="0"/>
          <w:sz w:val="24"/>
          <w:szCs w:val="24"/>
        </w:rPr>
        <w:t>17</w:t>
      </w:r>
      <w:r>
        <w:rPr>
          <w:rFonts w:asciiTheme="minorEastAsia" w:hAnsiTheme="minorEastAsia" w:cs="Arial"/>
          <w:kern w:val="0"/>
          <w:sz w:val="24"/>
          <w:szCs w:val="24"/>
        </w:rPr>
        <w:t>层</w:t>
      </w:r>
    </w:p>
    <w:p w14:paraId="1ED8EDB2" w14:textId="6AF2FF65"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w:t>
      </w:r>
      <w:r>
        <w:rPr>
          <w:rFonts w:asciiTheme="minorEastAsia" w:hAnsiTheme="minorEastAsia" w:cs="Arial"/>
          <w:kern w:val="0"/>
          <w:sz w:val="24"/>
          <w:szCs w:val="24"/>
        </w:rPr>
        <w:t>1号东方广场安永大楼</w:t>
      </w:r>
      <w:r w:rsidR="00C83E86">
        <w:rPr>
          <w:rFonts w:asciiTheme="minorEastAsia" w:hAnsiTheme="minorEastAsia" w:cs="Arial" w:hint="eastAsia"/>
          <w:kern w:val="0"/>
          <w:sz w:val="24"/>
          <w:szCs w:val="24"/>
        </w:rPr>
        <w:t>17</w:t>
      </w:r>
      <w:r>
        <w:rPr>
          <w:rFonts w:asciiTheme="minorEastAsia" w:hAnsiTheme="minorEastAsia" w:cs="Arial"/>
          <w:kern w:val="0"/>
          <w:sz w:val="24"/>
          <w:szCs w:val="24"/>
        </w:rPr>
        <w:t>层</w:t>
      </w:r>
    </w:p>
    <w:p w14:paraId="03239850"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法定代表人：毛鞍宁</w:t>
      </w:r>
    </w:p>
    <w:p w14:paraId="0796F5F4"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w:t>
      </w:r>
      <w:r>
        <w:rPr>
          <w:rFonts w:asciiTheme="minorEastAsia" w:hAnsiTheme="minorEastAsia" w:cs="Arial"/>
          <w:kern w:val="0"/>
          <w:sz w:val="24"/>
          <w:szCs w:val="24"/>
        </w:rPr>
        <w:t xml:space="preserve"> +86 10 58153000</w:t>
      </w:r>
    </w:p>
    <w:p w14:paraId="456650A8"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w:t>
      </w:r>
      <w:r>
        <w:rPr>
          <w:rFonts w:asciiTheme="minorEastAsia" w:hAnsiTheme="minorEastAsia" w:cs="Arial"/>
          <w:kern w:val="0"/>
          <w:sz w:val="24"/>
          <w:szCs w:val="24"/>
        </w:rPr>
        <w:t xml:space="preserve"> +86 10 85188298</w:t>
      </w:r>
    </w:p>
    <w:p w14:paraId="013124A7"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、高鹤</w:t>
      </w:r>
    </w:p>
    <w:p w14:paraId="5557C6E0"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吴翠蓉</w:t>
      </w:r>
    </w:p>
    <w:p w14:paraId="23755FA9" w14:textId="77777777" w:rsidR="008D0810" w:rsidRDefault="008D0810">
      <w:pPr>
        <w:keepNext/>
        <w:keepLines/>
        <w:autoSpaceDE w:val="0"/>
        <w:autoSpaceDN w:val="0"/>
        <w:adjustRightInd w:val="0"/>
        <w:snapToGrid w:val="0"/>
        <w:spacing w:line="360" w:lineRule="auto"/>
        <w:ind w:firstLineChars="150" w:firstLine="422"/>
        <w:jc w:val="center"/>
        <w:textAlignment w:val="baseline"/>
        <w:outlineLvl w:val="0"/>
        <w:rPr>
          <w:rFonts w:asciiTheme="minorEastAsia" w:hAnsiTheme="minorEastAsia" w:cs="Arial" w:hint="eastAsia"/>
          <w:b/>
          <w:bCs/>
          <w:kern w:val="0"/>
          <w:sz w:val="28"/>
          <w:szCs w:val="28"/>
        </w:rPr>
        <w:sectPr w:rsidR="008D0810">
          <w:footerReference w:type="default" r:id="rId19"/>
          <w:pgSz w:w="11906" w:h="16838"/>
          <w:pgMar w:top="1440" w:right="1800" w:bottom="1440" w:left="1800" w:header="851" w:footer="992" w:gutter="0"/>
          <w:pgNumType w:chapStyle="1"/>
          <w:cols w:space="720"/>
          <w:docGrid w:type="lines" w:linePitch="312"/>
        </w:sectPr>
      </w:pPr>
      <w:bookmarkStart w:id="118" w:name="_Toc416264542"/>
      <w:bookmarkStart w:id="119" w:name="_Toc263092314"/>
      <w:bookmarkStart w:id="120" w:name="_Toc3601"/>
      <w:bookmarkStart w:id="121" w:name="_Toc26207"/>
      <w:bookmarkStart w:id="122" w:name="_Toc12245"/>
      <w:bookmarkStart w:id="123" w:name="_Toc31644"/>
      <w:bookmarkStart w:id="124" w:name="_Toc16859"/>
      <w:bookmarkStart w:id="125" w:name="_Toc31235"/>
      <w:bookmarkStart w:id="126" w:name="_Toc139991737"/>
      <w:bookmarkStart w:id="127" w:name="_Toc15143"/>
      <w:bookmarkStart w:id="128" w:name="_Toc123102454"/>
      <w:bookmarkStart w:id="129" w:name="_Toc29251"/>
      <w:bookmarkStart w:id="130" w:name="_Toc6405"/>
      <w:bookmarkStart w:id="131" w:name="_Toc352229753"/>
      <w:bookmarkStart w:id="132" w:name="_Toc14835"/>
      <w:bookmarkStart w:id="133" w:name="_Toc123051453"/>
      <w:bookmarkStart w:id="134" w:name="_Toc123112235"/>
      <w:bookmarkStart w:id="135" w:name="_Toc98560353"/>
      <w:bookmarkStart w:id="136" w:name="_Toc31653"/>
      <w:bookmarkStart w:id="137" w:name="_Toc14170388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8E3A4FE" w14:textId="77777777" w:rsidR="008D0810" w:rsidRDefault="00417F9F">
      <w:pPr>
        <w:pStyle w:val="1"/>
        <w:jc w:val="center"/>
        <w:rPr>
          <w:rFonts w:asciiTheme="minorEastAsia" w:eastAsiaTheme="minorEastAsia" w:hAnsiTheme="minorEastAsia" w:hint="eastAsia"/>
          <w:sz w:val="30"/>
          <w:szCs w:val="30"/>
        </w:rPr>
      </w:pPr>
      <w:bookmarkStart w:id="138" w:name="_Toc146096082"/>
      <w:r>
        <w:rPr>
          <w:rFonts w:asciiTheme="minorEastAsia" w:eastAsiaTheme="minorEastAsia" w:hAnsiTheme="minorEastAsia" w:hint="eastAsia"/>
          <w:sz w:val="30"/>
          <w:szCs w:val="30"/>
        </w:rPr>
        <w:lastRenderedPageBreak/>
        <w:t>第六部分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基金的募集</w:t>
      </w:r>
      <w:bookmarkEnd w:id="118"/>
      <w:bookmarkEnd w:id="119"/>
      <w:bookmarkEnd w:id="138"/>
    </w:p>
    <w:p w14:paraId="003D92DF" w14:textId="77777777" w:rsidR="008D0810" w:rsidRDefault="00417F9F">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基金管理人按照《基金法》、《运作办法》、《销售办法》、基金合同及其他有关规定募集本基金，并于</w:t>
      </w:r>
      <w:r>
        <w:rPr>
          <w:rFonts w:asciiTheme="minorEastAsia" w:hAnsiTheme="minorEastAsia" w:cs="Arial"/>
          <w:sz w:val="24"/>
          <w:szCs w:val="24"/>
        </w:rPr>
        <w:t>2017</w:t>
      </w:r>
      <w:r>
        <w:rPr>
          <w:rFonts w:asciiTheme="minorEastAsia" w:hAnsiTheme="minorEastAsia" w:cs="Arial" w:hint="eastAsia"/>
          <w:sz w:val="24"/>
          <w:szCs w:val="24"/>
        </w:rPr>
        <w:t>年</w:t>
      </w:r>
      <w:r>
        <w:rPr>
          <w:rFonts w:asciiTheme="minorEastAsia" w:hAnsiTheme="minorEastAsia" w:cs="Arial"/>
          <w:sz w:val="24"/>
          <w:szCs w:val="24"/>
        </w:rPr>
        <w:t>6</w:t>
      </w:r>
      <w:r>
        <w:rPr>
          <w:rFonts w:asciiTheme="minorEastAsia" w:hAnsiTheme="minorEastAsia" w:cs="Arial" w:hint="eastAsia"/>
          <w:sz w:val="24"/>
          <w:szCs w:val="24"/>
        </w:rPr>
        <w:t>月</w:t>
      </w:r>
      <w:r>
        <w:rPr>
          <w:rFonts w:asciiTheme="minorEastAsia" w:hAnsiTheme="minorEastAsia" w:cs="Arial"/>
          <w:sz w:val="24"/>
          <w:szCs w:val="24"/>
        </w:rPr>
        <w:t>8</w:t>
      </w:r>
      <w:r>
        <w:rPr>
          <w:rFonts w:asciiTheme="minorEastAsia" w:hAnsiTheme="minorEastAsia" w:cs="Arial" w:hint="eastAsia"/>
          <w:sz w:val="24"/>
          <w:szCs w:val="24"/>
        </w:rPr>
        <w:t>日经中国证监会证监许可</w:t>
      </w:r>
      <w:r>
        <w:rPr>
          <w:rFonts w:asciiTheme="minorEastAsia" w:hAnsiTheme="minorEastAsia" w:cs="Arial"/>
          <w:sz w:val="24"/>
          <w:szCs w:val="24"/>
        </w:rPr>
        <w:t>[2017]867</w:t>
      </w:r>
      <w:r>
        <w:rPr>
          <w:rFonts w:asciiTheme="minorEastAsia" w:hAnsiTheme="minorEastAsia" w:cs="Arial" w:hint="eastAsia"/>
          <w:sz w:val="24"/>
          <w:szCs w:val="24"/>
        </w:rPr>
        <w:t>号文准予注册募集。本基金于</w:t>
      </w:r>
      <w:r>
        <w:rPr>
          <w:rFonts w:asciiTheme="minorEastAsia" w:hAnsiTheme="minorEastAsia" w:cs="Arial"/>
          <w:sz w:val="24"/>
          <w:szCs w:val="24"/>
        </w:rPr>
        <w:t>2017年12月7日起通过各销售机构向社会公开募集，截至2018年2月7</w:t>
      </w:r>
      <w:r>
        <w:rPr>
          <w:rFonts w:asciiTheme="minorEastAsia" w:hAnsiTheme="minorEastAsia" w:cs="Arial" w:hint="eastAsia"/>
          <w:sz w:val="24"/>
          <w:szCs w:val="24"/>
        </w:rPr>
        <w:t>日，基金募集工作已顺利结束。</w:t>
      </w:r>
    </w:p>
    <w:p w14:paraId="55382C62" w14:textId="77777777" w:rsidR="008D0810" w:rsidRDefault="008D0810">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670B8E5B" w14:textId="77777777" w:rsidR="008D0810" w:rsidRDefault="008D0810">
      <w:pPr>
        <w:keepNext/>
        <w:keepLines/>
        <w:spacing w:line="360" w:lineRule="auto"/>
        <w:jc w:val="center"/>
        <w:outlineLvl w:val="0"/>
        <w:rPr>
          <w:rFonts w:asciiTheme="minorEastAsia" w:hAnsiTheme="minorEastAsia" w:cs="Times New Roman" w:hint="eastAsia"/>
          <w:b/>
          <w:kern w:val="0"/>
          <w:sz w:val="30"/>
          <w:szCs w:val="30"/>
        </w:rPr>
        <w:sectPr w:rsidR="008D0810">
          <w:footerReference w:type="default" r:id="rId20"/>
          <w:pgSz w:w="11906" w:h="16838"/>
          <w:pgMar w:top="1440" w:right="1800" w:bottom="1440" w:left="1800" w:header="851" w:footer="992" w:gutter="0"/>
          <w:pgNumType w:chapStyle="1"/>
          <w:cols w:space="720"/>
          <w:docGrid w:type="lines" w:linePitch="312"/>
        </w:sectPr>
      </w:pPr>
      <w:bookmarkStart w:id="139" w:name="_Toc263092315"/>
      <w:bookmarkStart w:id="140" w:name="_Toc214873596"/>
      <w:bookmarkStart w:id="141" w:name="_Toc416264543"/>
      <w:bookmarkStart w:id="142" w:name="_Toc98560354"/>
      <w:bookmarkStart w:id="143" w:name="_Toc18567"/>
      <w:bookmarkStart w:id="144" w:name="_Toc3321"/>
      <w:bookmarkStart w:id="145" w:name="_Toc20768"/>
      <w:bookmarkStart w:id="146" w:name="_Toc139991738"/>
      <w:bookmarkStart w:id="147" w:name="_Toc25783"/>
      <w:bookmarkStart w:id="148" w:name="_Toc4559"/>
      <w:bookmarkStart w:id="149" w:name="_Toc9706"/>
      <w:bookmarkStart w:id="150" w:name="_Toc7058"/>
      <w:bookmarkStart w:id="151" w:name="_Toc352229754"/>
      <w:bookmarkStart w:id="152" w:name="_Toc3771"/>
      <w:bookmarkStart w:id="153" w:name="_Toc141703888"/>
      <w:bookmarkStart w:id="154" w:name="_Toc123112236"/>
      <w:bookmarkStart w:id="155" w:name="_Toc10650"/>
      <w:bookmarkStart w:id="156" w:name="_Toc11030"/>
      <w:bookmarkStart w:id="157" w:name="_Toc123102455"/>
      <w:bookmarkStart w:id="158" w:name="_Toc79392583"/>
      <w:bookmarkStart w:id="159" w:name="_Toc123051454"/>
      <w:bookmarkStart w:id="160" w:name="_Toc644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16130B8" w14:textId="77777777" w:rsidR="008D0810" w:rsidRDefault="00417F9F">
      <w:pPr>
        <w:pStyle w:val="1"/>
        <w:jc w:val="center"/>
        <w:rPr>
          <w:rFonts w:asciiTheme="minorEastAsia" w:eastAsiaTheme="minorEastAsia" w:hAnsiTheme="minorEastAsia" w:hint="eastAsia"/>
          <w:sz w:val="30"/>
          <w:szCs w:val="30"/>
        </w:rPr>
      </w:pPr>
      <w:bookmarkStart w:id="161" w:name="_Toc146096083"/>
      <w:r>
        <w:rPr>
          <w:rFonts w:asciiTheme="minorEastAsia" w:eastAsiaTheme="minorEastAsia" w:hAnsiTheme="minorEastAsia" w:hint="eastAsia"/>
          <w:sz w:val="30"/>
          <w:szCs w:val="30"/>
        </w:rPr>
        <w:lastRenderedPageBreak/>
        <w:t>第七部分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w:t>
      </w:r>
      <w:bookmarkEnd w:id="139"/>
      <w:bookmarkEnd w:id="140"/>
      <w:r>
        <w:rPr>
          <w:rFonts w:asciiTheme="minorEastAsia" w:eastAsiaTheme="minorEastAsia" w:hAnsiTheme="minorEastAsia" w:hint="eastAsia"/>
          <w:sz w:val="30"/>
          <w:szCs w:val="30"/>
        </w:rPr>
        <w:t>合同的生效</w:t>
      </w:r>
      <w:bookmarkEnd w:id="141"/>
      <w:bookmarkEnd w:id="161"/>
    </w:p>
    <w:p w14:paraId="4896DFC1"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根据《基金法》、《运作办法》以及基金合同、招募说明书、基金份额发售公告的有关规定，本基金募集结果符合有关条件，本基金管理人于</w:t>
      </w:r>
      <w:r>
        <w:rPr>
          <w:rFonts w:asciiTheme="minorEastAsia" w:hAnsiTheme="minorEastAsia" w:cs="Arial"/>
          <w:sz w:val="24"/>
          <w:szCs w:val="24"/>
        </w:rPr>
        <w:t>2018年2月11</w:t>
      </w:r>
      <w:r>
        <w:rPr>
          <w:rFonts w:asciiTheme="minorEastAsia" w:hAnsiTheme="minorEastAsia" w:cs="Arial" w:hint="eastAsia"/>
          <w:sz w:val="24"/>
          <w:szCs w:val="24"/>
        </w:rPr>
        <w:t>日向中国证监会办理完毕基金备案手续并已获书面确认，基金合同自该日期正式生效。自基金合同生效之日起，本基金管理人正式开始管理本基金。</w:t>
      </w:r>
    </w:p>
    <w:p w14:paraId="5F12D1F1"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基金合同》生效后，连续20个工作日出现基金份额持有人数量不满200人或者基金资产净值低于5000万元情形的，基金管理人应当在定期报告中予以披露；连续60个工作日出现前述情形的，基金管理人应当10个工作日内向中国证监会报告并提出解决方案，如持续运作、转换运作方式、与其他基金合并或者终止基金合同等，并6个月内召开基金份额持有人大会。法律法规另有规定时，从其规定。</w:t>
      </w:r>
    </w:p>
    <w:p w14:paraId="700CFACA" w14:textId="77777777" w:rsidR="008D0810" w:rsidRDefault="00417F9F">
      <w:pPr>
        <w:snapToGrid w:val="0"/>
        <w:spacing w:line="360" w:lineRule="auto"/>
        <w:ind w:firstLineChars="200" w:firstLine="480"/>
        <w:rPr>
          <w:rFonts w:asciiTheme="minorEastAsia" w:hAnsiTheme="minorEastAsia" w:cs="Times New Roman" w:hint="eastAsia"/>
          <w:szCs w:val="20"/>
        </w:rPr>
        <w:sectPr w:rsidR="008D0810">
          <w:footerReference w:type="default" r:id="rId21"/>
          <w:pgSz w:w="11906" w:h="16838"/>
          <w:pgMar w:top="1440" w:right="1800" w:bottom="1440" w:left="1800" w:header="851" w:footer="992" w:gutter="0"/>
          <w:pgNumType w:chapStyle="1"/>
          <w:cols w:space="720"/>
          <w:docGrid w:type="lines" w:linePitch="312"/>
        </w:sectPr>
      </w:pPr>
      <w:r>
        <w:rPr>
          <w:rFonts w:asciiTheme="minorEastAsia" w:hAnsiTheme="minorEastAsia" w:cs="Times New Roman"/>
          <w:sz w:val="24"/>
          <w:szCs w:val="24"/>
        </w:rPr>
        <w:t xml:space="preserve"> </w:t>
      </w:r>
      <w:bookmarkStart w:id="162" w:name="_Toc263092316"/>
      <w:bookmarkStart w:id="163" w:name="_Toc214873597"/>
      <w:bookmarkStart w:id="164" w:name="_Toc21073391"/>
      <w:bookmarkStart w:id="165" w:name="_Toc147463118"/>
      <w:bookmarkStart w:id="166" w:name="_Toc416264544"/>
      <w:bookmarkStart w:id="167" w:name="_Toc12357171"/>
      <w:bookmarkStart w:id="168" w:name="_Toc123051455"/>
      <w:bookmarkStart w:id="169" w:name="_Toc141703889"/>
      <w:bookmarkStart w:id="170" w:name="_Toc18769"/>
      <w:bookmarkStart w:id="171" w:name="_Toc3080"/>
      <w:bookmarkStart w:id="172" w:name="_Toc725"/>
      <w:bookmarkStart w:id="173" w:name="_Toc10398"/>
      <w:bookmarkStart w:id="174" w:name="_Toc21735"/>
      <w:bookmarkStart w:id="175" w:name="_Toc123112237"/>
      <w:bookmarkStart w:id="176" w:name="_Toc1745"/>
      <w:bookmarkStart w:id="177" w:name="_Toc352229755"/>
      <w:bookmarkStart w:id="178" w:name="_Toc139991739"/>
      <w:bookmarkStart w:id="179" w:name="_Toc3963"/>
      <w:bookmarkStart w:id="180" w:name="_Toc98560355"/>
      <w:bookmarkStart w:id="181" w:name="_Toc18206"/>
      <w:bookmarkStart w:id="182" w:name="_Toc3572"/>
      <w:bookmarkStart w:id="183" w:name="_Toc31821"/>
      <w:bookmarkStart w:id="184" w:name="_Toc123102456"/>
      <w:bookmarkStart w:id="185" w:name="_Toc1616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CFE1B55" w14:textId="77777777" w:rsidR="008D0810" w:rsidRDefault="00417F9F">
      <w:pPr>
        <w:pStyle w:val="1"/>
        <w:jc w:val="center"/>
        <w:rPr>
          <w:rFonts w:asciiTheme="minorEastAsia" w:eastAsiaTheme="minorEastAsia" w:hAnsiTheme="minorEastAsia" w:cs="Arial" w:hint="eastAsia"/>
          <w:bCs/>
          <w:sz w:val="30"/>
          <w:szCs w:val="30"/>
        </w:rPr>
      </w:pPr>
      <w:bookmarkStart w:id="186" w:name="_Toc146096084"/>
      <w:r>
        <w:rPr>
          <w:rFonts w:asciiTheme="minorEastAsia" w:eastAsiaTheme="minorEastAsia" w:hAnsiTheme="minorEastAsia" w:hint="eastAsia"/>
          <w:sz w:val="30"/>
          <w:szCs w:val="30"/>
        </w:rPr>
        <w:lastRenderedPageBreak/>
        <w:t>第八部分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基金份额的申购与赎回</w:t>
      </w:r>
      <w:bookmarkEnd w:id="162"/>
      <w:bookmarkEnd w:id="163"/>
      <w:bookmarkEnd w:id="164"/>
      <w:bookmarkEnd w:id="165"/>
      <w:bookmarkEnd w:id="166"/>
      <w:bookmarkEnd w:id="167"/>
      <w:bookmarkEnd w:id="186"/>
    </w:p>
    <w:p w14:paraId="7B6B60C5" w14:textId="77777777" w:rsidR="008D0810" w:rsidRDefault="00417F9F">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616C5E0D"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相关公告中列明。基金管理人可根据情况变更或增减销售机构，并在管理人网站公示。基金投资者应当在销售机构办理基金销售业务的营业场所或按销售机构提供的其他方式办理基金份额的申购与赎回。</w:t>
      </w:r>
    </w:p>
    <w:p w14:paraId="1560F590"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若基金管理人或其指定的销售机构开通电话、传真或网上等交易方式，投资人可以通过上述方式进行申购与赎回，具体办法由基金管理人或其指定的销售机构另行公告。</w:t>
      </w:r>
    </w:p>
    <w:p w14:paraId="43B94AD0" w14:textId="77777777" w:rsidR="008D0810" w:rsidRDefault="00417F9F">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3677DB90"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bookmarkStart w:id="187" w:name="_Toc510842719"/>
      <w:r>
        <w:rPr>
          <w:rFonts w:asciiTheme="minorEastAsia" w:hAnsiTheme="minorEastAsia" w:cs="Arial"/>
          <w:sz w:val="24"/>
          <w:szCs w:val="24"/>
        </w:rPr>
        <w:t>1、开放日及开放时间</w:t>
      </w:r>
    </w:p>
    <w:p w14:paraId="2F2F0086"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933ED05"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w:t>
      </w:r>
      <w:r>
        <w:rPr>
          <w:rFonts w:asciiTheme="minorEastAsia" w:hAnsiTheme="minorEastAsia" w:cs="Arial"/>
          <w:sz w:val="24"/>
          <w:szCs w:val="24"/>
        </w:rPr>
        <w:t>/期货交易市场、证券/期货交易所交易时间变更或其他特殊情况，基金管理人将视情况对前述开放日及开放时间进行相应的调整，但应在实施日前依照《信息披露办法》的有关规定在指定媒介上公告。</w:t>
      </w:r>
    </w:p>
    <w:p w14:paraId="1818B894"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2、申购、赎回开始日及业务办理时间</w:t>
      </w:r>
    </w:p>
    <w:p w14:paraId="076DBE7D"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w:t>
      </w:r>
      <w:r>
        <w:rPr>
          <w:rFonts w:asciiTheme="minorEastAsia" w:hAnsiTheme="minorEastAsia" w:cs="Arial"/>
          <w:sz w:val="24"/>
          <w:szCs w:val="24"/>
        </w:rPr>
        <w:t>2018年3月5日开始办理申购、赎回业务。</w:t>
      </w:r>
    </w:p>
    <w:p w14:paraId="18318825"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别基金份额申购、赎回的价格。</w:t>
      </w:r>
    </w:p>
    <w:bookmarkEnd w:id="187"/>
    <w:p w14:paraId="3F40B8E6" w14:textId="77777777" w:rsidR="008D0810" w:rsidRDefault="00417F9F">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31023802"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、“未知价”原则，即申购、赎回价格以申请当日收市后计算的某一类别基金份额净值为基准进行计算；</w:t>
      </w:r>
    </w:p>
    <w:p w14:paraId="3D2B6025"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、“金额申购、份额赎回”原则，即申购以金额申请，赎回以份额申请；</w:t>
      </w:r>
    </w:p>
    <w:p w14:paraId="441446DB"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、当日的申购与赎回申请可以在基金管理人规定的时间以内撤销；</w:t>
      </w:r>
    </w:p>
    <w:p w14:paraId="58EF0A1C"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、赎回遵循“先进先出”原则，即按照投资人认购、申购的先后次序进行</w:t>
      </w:r>
      <w:r>
        <w:rPr>
          <w:rFonts w:asciiTheme="minorEastAsia" w:hAnsiTheme="minorEastAsia" w:cs="Arial" w:hint="eastAsia"/>
          <w:sz w:val="24"/>
          <w:szCs w:val="24"/>
        </w:rPr>
        <w:lastRenderedPageBreak/>
        <w:t>顺序赎回；</w:t>
      </w:r>
    </w:p>
    <w:p w14:paraId="6563CA1B"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5、投资者办理申购、赎回等业务时应提交的文件和办理手续、办理时间、处理规则等在遵守基金合同和招募说明书规定的前提下，以各销售机构的具体规定为准。</w:t>
      </w:r>
    </w:p>
    <w:p w14:paraId="404D6A44"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基金管理人可在法律法规允许的情况下，对上述原则进行调整。基金管理人必须在新规则开始实施前依照《信息披露办法》的有关规定在指定媒介上公告。</w:t>
      </w:r>
    </w:p>
    <w:p w14:paraId="74F2813A" w14:textId="77777777" w:rsidR="008D0810" w:rsidRDefault="00417F9F">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165475B3"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、申购和赎回的申请方式</w:t>
      </w:r>
    </w:p>
    <w:p w14:paraId="41340F98"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05472392"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、申购和赎回的款项支付</w:t>
      </w:r>
    </w:p>
    <w:p w14:paraId="152C5A5B"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投资人申购基金份额时，必须全额交付申购款项，投资人在规定时间前全额交付申购款项，申购成立；登记机构确认基金份额时，申购生效。</w:t>
      </w:r>
    </w:p>
    <w:p w14:paraId="6192FF04"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基金份额持有人递交赎回申请，赎回成立；登记机构确认赎回时，赎回生效。投资人赎回申请成功后，基金管理人将在</w:t>
      </w:r>
      <w:r>
        <w:rPr>
          <w:rFonts w:asciiTheme="minorEastAsia" w:hAnsiTheme="minorEastAsia" w:cs="Arial"/>
          <w:sz w:val="24"/>
          <w:szCs w:val="24"/>
        </w:rPr>
        <w:t>T</w:t>
      </w:r>
      <w:r>
        <w:rPr>
          <w:rFonts w:asciiTheme="minorEastAsia" w:hAnsiTheme="minorEastAsia" w:cs="Arial" w:hint="eastAsia"/>
          <w:sz w:val="24"/>
          <w:szCs w:val="24"/>
        </w:rPr>
        <w:t>＋</w:t>
      </w:r>
      <w:r>
        <w:rPr>
          <w:rFonts w:asciiTheme="minorEastAsia" w:hAnsiTheme="minorEastAsia" w:cs="Arial"/>
          <w:sz w:val="24"/>
          <w:szCs w:val="24"/>
        </w:rPr>
        <w:t>7</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内支付赎回款项。在发生巨额赎回时，款项的支付办法参照基金合同有关条款处理。</w:t>
      </w:r>
    </w:p>
    <w:p w14:paraId="5F4E31DD"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、申购和赎回申请的确认</w:t>
      </w:r>
    </w:p>
    <w:p w14:paraId="55DBDD53"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w:t>
      </w:r>
      <w:r>
        <w:rPr>
          <w:rFonts w:asciiTheme="minorEastAsia" w:hAnsiTheme="minorEastAsia" w:cs="Arial"/>
          <w:sz w:val="24"/>
          <w:szCs w:val="24"/>
        </w:rPr>
        <w:t>(T</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，在正常情况下，本基金登记机构在</w:t>
      </w:r>
      <w:r>
        <w:rPr>
          <w:rFonts w:asciiTheme="minorEastAsia" w:hAnsiTheme="minorEastAsia" w:cs="Arial"/>
          <w:sz w:val="24"/>
          <w:szCs w:val="24"/>
        </w:rPr>
        <w:t>T+1</w:t>
      </w:r>
      <w:r>
        <w:rPr>
          <w:rFonts w:asciiTheme="minorEastAsia" w:hAnsiTheme="minorEastAsia" w:cs="Arial" w:hint="eastAsia"/>
          <w:sz w:val="24"/>
          <w:szCs w:val="24"/>
        </w:rPr>
        <w:t>日内对该交易的有效性进行确认。</w:t>
      </w:r>
      <w:r>
        <w:rPr>
          <w:rFonts w:asciiTheme="minorEastAsia" w:hAnsiTheme="minorEastAsia" w:cs="Arial"/>
          <w:sz w:val="24"/>
          <w:szCs w:val="24"/>
        </w:rPr>
        <w:t>T</w:t>
      </w:r>
      <w:r>
        <w:rPr>
          <w:rFonts w:asciiTheme="minorEastAsia" w:hAnsiTheme="minorEastAsia" w:cs="Arial" w:hint="eastAsia"/>
          <w:sz w:val="24"/>
          <w:szCs w:val="24"/>
        </w:rPr>
        <w:t>日提交的有效申请，投资人应在</w:t>
      </w:r>
      <w:r>
        <w:rPr>
          <w:rFonts w:asciiTheme="minorEastAsia" w:hAnsiTheme="minorEastAsia" w:cs="Arial"/>
          <w:sz w:val="24"/>
          <w:szCs w:val="24"/>
        </w:rPr>
        <w:t>T+2</w:t>
      </w:r>
      <w:r>
        <w:rPr>
          <w:rFonts w:asciiTheme="minorEastAsia" w:hAnsiTheme="minorEastAsia" w:cs="Arial" w:hint="eastAsia"/>
          <w:sz w:val="24"/>
          <w:szCs w:val="24"/>
        </w:rPr>
        <w:t>日后</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及时到销售网点柜台或以销售机构规定的其他方式查询申请的确认情况。若申购不成功，则申购款项退还给投资人。</w:t>
      </w:r>
    </w:p>
    <w:p w14:paraId="6EC6A486"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基金销售机构对申购、赎回申请的受理并不代表申请一定成功，而仅代表销售机构确实接收到申请。申购、赎回申请的确认以登记机构的确认结果为准。对于申请的确认情况，投资者应及时查询。</w:t>
      </w:r>
    </w:p>
    <w:p w14:paraId="55A28DAF"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基金管理人可以在法律法规和基金合同允许的范围内，对上述业务办理时间进行调整，并在调整实施前依照《信息披露办法》的有关规定在指定媒介上公告。</w:t>
      </w:r>
    </w:p>
    <w:p w14:paraId="582246B8" w14:textId="77777777" w:rsidR="008D0810" w:rsidRDefault="00417F9F">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五、申购与赎回的数额限制</w:t>
      </w:r>
    </w:p>
    <w:p w14:paraId="35FFDA02"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 xml:space="preserve">1、投资人申购 A </w:t>
      </w:r>
      <w:r>
        <w:rPr>
          <w:rFonts w:asciiTheme="minorEastAsia" w:hAnsiTheme="minorEastAsia" w:cs="Arial" w:hint="eastAsia"/>
          <w:sz w:val="24"/>
          <w:szCs w:val="24"/>
        </w:rPr>
        <w:t>类基金份额，首次最低申购金额为人民币</w:t>
      </w:r>
      <w:r>
        <w:rPr>
          <w:rFonts w:asciiTheme="minorEastAsia" w:hAnsiTheme="minorEastAsia" w:cs="Arial"/>
          <w:sz w:val="24"/>
          <w:szCs w:val="24"/>
        </w:rPr>
        <w:t xml:space="preserve"> 1.00 </w:t>
      </w:r>
      <w:r>
        <w:rPr>
          <w:rFonts w:asciiTheme="minorEastAsia" w:hAnsiTheme="minorEastAsia" w:cs="Arial" w:hint="eastAsia"/>
          <w:sz w:val="24"/>
          <w:szCs w:val="24"/>
        </w:rPr>
        <w:t>元，追加申购单笔最低金额为人民币</w:t>
      </w:r>
      <w:r>
        <w:rPr>
          <w:rFonts w:asciiTheme="minorEastAsia" w:hAnsiTheme="minorEastAsia" w:cs="Arial"/>
          <w:sz w:val="24"/>
          <w:szCs w:val="24"/>
        </w:rPr>
        <w:t xml:space="preserve"> 1.00 </w:t>
      </w:r>
      <w:r>
        <w:rPr>
          <w:rFonts w:asciiTheme="minorEastAsia" w:hAnsiTheme="minorEastAsia" w:cs="Arial" w:hint="eastAsia"/>
          <w:sz w:val="24"/>
          <w:szCs w:val="24"/>
        </w:rPr>
        <w:t>元。投资人申购</w:t>
      </w:r>
      <w:r>
        <w:rPr>
          <w:rFonts w:asciiTheme="minorEastAsia" w:hAnsiTheme="minorEastAsia" w:cs="Arial"/>
          <w:sz w:val="24"/>
          <w:szCs w:val="24"/>
        </w:rPr>
        <w:t xml:space="preserve"> C </w:t>
      </w:r>
      <w:r>
        <w:rPr>
          <w:rFonts w:asciiTheme="minorEastAsia" w:hAnsiTheme="minorEastAsia" w:cs="Arial" w:hint="eastAsia"/>
          <w:sz w:val="24"/>
          <w:szCs w:val="24"/>
        </w:rPr>
        <w:t>类基金份额，首次最低申</w:t>
      </w:r>
      <w:r>
        <w:rPr>
          <w:rFonts w:asciiTheme="minorEastAsia" w:hAnsiTheme="minorEastAsia" w:cs="Arial" w:hint="eastAsia"/>
          <w:sz w:val="24"/>
          <w:szCs w:val="24"/>
        </w:rPr>
        <w:lastRenderedPageBreak/>
        <w:t>购金额为人民币</w:t>
      </w:r>
      <w:r>
        <w:rPr>
          <w:rFonts w:asciiTheme="minorEastAsia" w:hAnsiTheme="minorEastAsia" w:cs="Arial"/>
          <w:sz w:val="24"/>
          <w:szCs w:val="24"/>
        </w:rPr>
        <w:t>1.00</w:t>
      </w:r>
      <w:r>
        <w:rPr>
          <w:rFonts w:asciiTheme="minorEastAsia" w:hAnsiTheme="minorEastAsia" w:cs="Arial" w:hint="eastAsia"/>
          <w:sz w:val="24"/>
          <w:szCs w:val="24"/>
        </w:rPr>
        <w:t>元，追加申购单笔最低金额为人民币</w:t>
      </w:r>
      <w:r>
        <w:rPr>
          <w:rFonts w:asciiTheme="minorEastAsia" w:hAnsiTheme="minorEastAsia" w:cs="Arial"/>
          <w:sz w:val="24"/>
          <w:szCs w:val="24"/>
        </w:rPr>
        <w:t>1.00</w:t>
      </w:r>
      <w:r>
        <w:rPr>
          <w:rFonts w:asciiTheme="minorEastAsia" w:hAnsiTheme="minorEastAsia" w:cs="Arial" w:hint="eastAsia"/>
          <w:sz w:val="24"/>
          <w:szCs w:val="24"/>
        </w:rPr>
        <w:t>元。各销售机构在不低于上述规定的前提下，可根据自己的情况调整首次最低申购金额和追加单笔最低申购金额限制，具体以销售机构公布的为准。</w:t>
      </w:r>
    </w:p>
    <w:p w14:paraId="335B5E69"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 xml:space="preserve">2、基金份额持有人在销售机构赎回时，每个交易账户最低持有某一类别基金份额余额为 1 </w:t>
      </w:r>
      <w:r>
        <w:rPr>
          <w:rFonts w:asciiTheme="minorEastAsia" w:hAnsiTheme="minorEastAsia" w:cs="Arial" w:hint="eastAsia"/>
          <w:sz w:val="24"/>
          <w:szCs w:val="24"/>
        </w:rPr>
        <w:t>份，若某笔赎回导致单个交易账户的某一类别基金份额余额少于</w:t>
      </w:r>
      <w:r>
        <w:rPr>
          <w:rFonts w:asciiTheme="minorEastAsia" w:hAnsiTheme="minorEastAsia" w:cs="Arial"/>
          <w:sz w:val="24"/>
          <w:szCs w:val="24"/>
        </w:rPr>
        <w:t xml:space="preserve"> 1 </w:t>
      </w:r>
      <w:r>
        <w:rPr>
          <w:rFonts w:asciiTheme="minorEastAsia" w:hAnsiTheme="minorEastAsia" w:cs="Arial" w:hint="eastAsia"/>
          <w:sz w:val="24"/>
          <w:szCs w:val="24"/>
        </w:rPr>
        <w:t>份时，该类份额余额部分基金份额必须一同赎回。</w:t>
      </w:r>
    </w:p>
    <w:p w14:paraId="5341BA42"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3、基金管理人可以规定单个投资者累计持有的某一类别基金份额数量限制，具体规定见定期更新的招募说明书或相关公告。</w:t>
      </w:r>
    </w:p>
    <w:p w14:paraId="1B936732"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w:t>
      </w:r>
      <w:r>
        <w:rPr>
          <w:rFonts w:asciiTheme="minorEastAsia" w:hAnsiTheme="minorEastAsia"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0EAAE41"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w:t>
      </w:r>
      <w:r>
        <w:rPr>
          <w:rFonts w:asciiTheme="minorEastAsia" w:hAnsiTheme="minorEastAsia" w:hint="eastAsia"/>
          <w:bCs/>
          <w:sz w:val="24"/>
          <w:szCs w:val="24"/>
        </w:rPr>
        <w:t>、基金管理人可在法律法规允许的情况下，调整上述规定申购金额和赎回份额等数量限制。基金管理人必须在调整实施前依照《信息披露办法》的有关规定在指定媒介上公告并报中国证监会备案。</w:t>
      </w:r>
    </w:p>
    <w:p w14:paraId="462B92DC" w14:textId="77777777" w:rsidR="008D0810" w:rsidRDefault="00417F9F">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10ADD1F3"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775C15EA" w14:textId="77777777" w:rsidR="008D0810" w:rsidRDefault="00417F9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p w14:paraId="22C1AC85" w14:textId="77777777" w:rsidR="008D0810" w:rsidRDefault="008D081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4313"/>
      </w:tblGrid>
      <w:tr w:rsidR="008D0810" w14:paraId="67E0C773" w14:textId="77777777">
        <w:trPr>
          <w:trHeight w:val="187"/>
          <w:jc w:val="center"/>
        </w:trPr>
        <w:tc>
          <w:tcPr>
            <w:tcW w:w="5000" w:type="pct"/>
            <w:gridSpan w:val="2"/>
            <w:tcBorders>
              <w:top w:val="single" w:sz="4" w:space="0" w:color="auto"/>
              <w:left w:val="single" w:sz="4" w:space="0" w:color="auto"/>
              <w:bottom w:val="single" w:sz="4" w:space="0" w:color="auto"/>
              <w:right w:val="single" w:sz="4" w:space="0" w:color="auto"/>
            </w:tcBorders>
          </w:tcPr>
          <w:p w14:paraId="7B041D30" w14:textId="77777777" w:rsidR="008D0810" w:rsidRDefault="00417F9F">
            <w:pPr>
              <w:widowControl/>
              <w:spacing w:line="264" w:lineRule="auto"/>
              <w:jc w:val="center"/>
              <w:rPr>
                <w:rFonts w:asciiTheme="minorEastAsia" w:hAnsiTheme="minorEastAsia" w:cs="Arial" w:hint="eastAsia"/>
                <w:bCs/>
                <w:kern w:val="0"/>
                <w:szCs w:val="24"/>
              </w:rPr>
            </w:pPr>
            <w:r>
              <w:rPr>
                <w:rFonts w:asciiTheme="minorEastAsia" w:hAnsiTheme="minorEastAsia" w:cs="Arial"/>
                <w:b/>
                <w:bCs/>
                <w:kern w:val="0"/>
                <w:szCs w:val="24"/>
              </w:rPr>
              <w:t>A类基金份额</w:t>
            </w:r>
          </w:p>
        </w:tc>
      </w:tr>
      <w:tr w:rsidR="008D0810" w14:paraId="05136743" w14:textId="77777777">
        <w:trPr>
          <w:trHeight w:val="187"/>
          <w:jc w:val="center"/>
        </w:trPr>
        <w:tc>
          <w:tcPr>
            <w:tcW w:w="2401" w:type="pct"/>
            <w:tcBorders>
              <w:top w:val="single" w:sz="4" w:space="0" w:color="auto"/>
              <w:left w:val="single" w:sz="4" w:space="0" w:color="auto"/>
              <w:bottom w:val="single" w:sz="4" w:space="0" w:color="auto"/>
              <w:right w:val="single" w:sz="4" w:space="0" w:color="auto"/>
            </w:tcBorders>
          </w:tcPr>
          <w:p w14:paraId="35508149" w14:textId="77777777" w:rsidR="008D0810" w:rsidRDefault="00417F9F">
            <w:pPr>
              <w:widowControl/>
              <w:spacing w:line="336" w:lineRule="auto"/>
              <w:jc w:val="center"/>
              <w:rPr>
                <w:rFonts w:asciiTheme="minorEastAsia" w:hAnsiTheme="minorEastAsia" w:cs="Arial" w:hint="eastAsia"/>
                <w:bCs/>
                <w:kern w:val="0"/>
                <w:szCs w:val="24"/>
              </w:rPr>
            </w:pPr>
            <w:r>
              <w:rPr>
                <w:rFonts w:asciiTheme="minorEastAsia" w:hAnsiTheme="minorEastAsia" w:cs="Arial" w:hint="eastAsia"/>
                <w:bCs/>
                <w:kern w:val="0"/>
                <w:szCs w:val="24"/>
              </w:rPr>
              <w:t>申购金额（</w:t>
            </w:r>
            <w:r>
              <w:rPr>
                <w:rFonts w:asciiTheme="minorEastAsia" w:hAnsiTheme="minorEastAsia" w:cs="Arial"/>
                <w:bCs/>
                <w:kern w:val="0"/>
                <w:szCs w:val="24"/>
              </w:rPr>
              <w:t>M）</w:t>
            </w:r>
          </w:p>
        </w:tc>
        <w:tc>
          <w:tcPr>
            <w:tcW w:w="2599" w:type="pct"/>
            <w:tcBorders>
              <w:top w:val="single" w:sz="4" w:space="0" w:color="auto"/>
              <w:left w:val="single" w:sz="4" w:space="0" w:color="auto"/>
              <w:bottom w:val="single" w:sz="4" w:space="0" w:color="auto"/>
              <w:right w:val="single" w:sz="4" w:space="0" w:color="auto"/>
            </w:tcBorders>
          </w:tcPr>
          <w:p w14:paraId="6C7CA6AF"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hint="eastAsia"/>
                <w:bCs/>
                <w:kern w:val="0"/>
                <w:szCs w:val="24"/>
              </w:rPr>
              <w:t>申购费率</w:t>
            </w:r>
          </w:p>
        </w:tc>
      </w:tr>
      <w:tr w:rsidR="008D0810" w14:paraId="458DCC60" w14:textId="77777777">
        <w:trPr>
          <w:trHeight w:val="187"/>
          <w:jc w:val="center"/>
        </w:trPr>
        <w:tc>
          <w:tcPr>
            <w:tcW w:w="2401" w:type="pct"/>
            <w:tcBorders>
              <w:top w:val="single" w:sz="4" w:space="0" w:color="auto"/>
              <w:left w:val="single" w:sz="4" w:space="0" w:color="auto"/>
              <w:bottom w:val="single" w:sz="4" w:space="0" w:color="auto"/>
              <w:right w:val="single" w:sz="4" w:space="0" w:color="auto"/>
            </w:tcBorders>
          </w:tcPr>
          <w:p w14:paraId="546D272B" w14:textId="77777777" w:rsidR="008D0810" w:rsidRDefault="00417F9F">
            <w:pPr>
              <w:widowControl/>
              <w:spacing w:line="336" w:lineRule="auto"/>
              <w:jc w:val="center"/>
              <w:rPr>
                <w:rFonts w:asciiTheme="minorEastAsia" w:hAnsiTheme="minorEastAsia" w:cs="Arial" w:hint="eastAsia"/>
                <w:kern w:val="0"/>
                <w:szCs w:val="24"/>
              </w:rPr>
            </w:pPr>
            <w:r>
              <w:rPr>
                <w:rFonts w:asciiTheme="minorEastAsia" w:hAnsiTheme="minorEastAsia" w:cs="Arial"/>
                <w:kern w:val="0"/>
                <w:szCs w:val="24"/>
              </w:rPr>
              <w:t>M＜100万元</w:t>
            </w:r>
          </w:p>
        </w:tc>
        <w:tc>
          <w:tcPr>
            <w:tcW w:w="2599" w:type="pct"/>
            <w:tcBorders>
              <w:top w:val="single" w:sz="4" w:space="0" w:color="auto"/>
              <w:left w:val="single" w:sz="4" w:space="0" w:color="auto"/>
              <w:bottom w:val="single" w:sz="4" w:space="0" w:color="auto"/>
              <w:right w:val="single" w:sz="4" w:space="0" w:color="auto"/>
            </w:tcBorders>
          </w:tcPr>
          <w:p w14:paraId="7A846E71"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1.50%</w:t>
            </w:r>
          </w:p>
        </w:tc>
      </w:tr>
      <w:tr w:rsidR="008D0810" w14:paraId="34EEE498" w14:textId="77777777">
        <w:trPr>
          <w:trHeight w:val="187"/>
          <w:jc w:val="center"/>
        </w:trPr>
        <w:tc>
          <w:tcPr>
            <w:tcW w:w="2401" w:type="pct"/>
            <w:tcBorders>
              <w:top w:val="single" w:sz="4" w:space="0" w:color="auto"/>
              <w:left w:val="single" w:sz="4" w:space="0" w:color="auto"/>
              <w:bottom w:val="single" w:sz="4" w:space="0" w:color="auto"/>
              <w:right w:val="single" w:sz="4" w:space="0" w:color="auto"/>
            </w:tcBorders>
          </w:tcPr>
          <w:p w14:paraId="6BE66B4B"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100万元≤M＜500万元</w:t>
            </w:r>
          </w:p>
        </w:tc>
        <w:tc>
          <w:tcPr>
            <w:tcW w:w="2599" w:type="pct"/>
            <w:tcBorders>
              <w:top w:val="single" w:sz="4" w:space="0" w:color="auto"/>
              <w:left w:val="single" w:sz="4" w:space="0" w:color="auto"/>
              <w:bottom w:val="single" w:sz="4" w:space="0" w:color="auto"/>
              <w:right w:val="single" w:sz="4" w:space="0" w:color="auto"/>
            </w:tcBorders>
          </w:tcPr>
          <w:p w14:paraId="01AF1615"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1.00%</w:t>
            </w:r>
          </w:p>
        </w:tc>
      </w:tr>
      <w:tr w:rsidR="008D0810" w14:paraId="5B4063EC" w14:textId="77777777">
        <w:trPr>
          <w:trHeight w:val="187"/>
          <w:jc w:val="center"/>
        </w:trPr>
        <w:tc>
          <w:tcPr>
            <w:tcW w:w="2401" w:type="pct"/>
            <w:tcBorders>
              <w:top w:val="single" w:sz="4" w:space="0" w:color="auto"/>
              <w:left w:val="single" w:sz="4" w:space="0" w:color="auto"/>
              <w:bottom w:val="single" w:sz="4" w:space="0" w:color="auto"/>
              <w:right w:val="single" w:sz="4" w:space="0" w:color="auto"/>
            </w:tcBorders>
          </w:tcPr>
          <w:p w14:paraId="4BC46134"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500万元≤M＜1000万元</w:t>
            </w:r>
          </w:p>
        </w:tc>
        <w:tc>
          <w:tcPr>
            <w:tcW w:w="2599" w:type="pct"/>
            <w:tcBorders>
              <w:top w:val="single" w:sz="4" w:space="0" w:color="auto"/>
              <w:left w:val="single" w:sz="4" w:space="0" w:color="auto"/>
              <w:bottom w:val="single" w:sz="4" w:space="0" w:color="auto"/>
              <w:right w:val="single" w:sz="4" w:space="0" w:color="auto"/>
            </w:tcBorders>
          </w:tcPr>
          <w:p w14:paraId="47D1EB65"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0.30%</w:t>
            </w:r>
          </w:p>
        </w:tc>
      </w:tr>
      <w:tr w:rsidR="008D0810" w14:paraId="286C5BF8" w14:textId="77777777">
        <w:trPr>
          <w:trHeight w:val="187"/>
          <w:jc w:val="center"/>
        </w:trPr>
        <w:tc>
          <w:tcPr>
            <w:tcW w:w="2401" w:type="pct"/>
            <w:tcBorders>
              <w:top w:val="single" w:sz="4" w:space="0" w:color="auto"/>
              <w:left w:val="single" w:sz="4" w:space="0" w:color="auto"/>
              <w:bottom w:val="single" w:sz="4" w:space="0" w:color="auto"/>
              <w:right w:val="single" w:sz="4" w:space="0" w:color="auto"/>
            </w:tcBorders>
          </w:tcPr>
          <w:p w14:paraId="50463398"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M≥1000万元</w:t>
            </w:r>
          </w:p>
        </w:tc>
        <w:tc>
          <w:tcPr>
            <w:tcW w:w="2599" w:type="pct"/>
            <w:tcBorders>
              <w:top w:val="single" w:sz="4" w:space="0" w:color="auto"/>
              <w:left w:val="single" w:sz="4" w:space="0" w:color="auto"/>
              <w:bottom w:val="single" w:sz="4" w:space="0" w:color="auto"/>
              <w:right w:val="single" w:sz="4" w:space="0" w:color="auto"/>
            </w:tcBorders>
          </w:tcPr>
          <w:p w14:paraId="30362669" w14:textId="77777777" w:rsidR="008D0810" w:rsidRDefault="00417F9F">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1000元/笔</w:t>
            </w:r>
          </w:p>
        </w:tc>
      </w:tr>
      <w:tr w:rsidR="008D0810" w14:paraId="0655D770" w14:textId="77777777">
        <w:trPr>
          <w:trHeight w:val="409"/>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010FA0E" w14:textId="77777777" w:rsidR="008D0810" w:rsidRDefault="00417F9F">
            <w:pPr>
              <w:widowControl/>
              <w:spacing w:line="264" w:lineRule="auto"/>
              <w:ind w:firstLineChars="200" w:firstLine="422"/>
              <w:jc w:val="center"/>
              <w:rPr>
                <w:rFonts w:asciiTheme="minorEastAsia" w:hAnsiTheme="minorEastAsia" w:cs="Arial" w:hint="eastAsia"/>
                <w:b/>
                <w:kern w:val="0"/>
                <w:szCs w:val="24"/>
              </w:rPr>
            </w:pPr>
            <w:r>
              <w:rPr>
                <w:rFonts w:asciiTheme="minorEastAsia" w:hAnsiTheme="minorEastAsia" w:cs="Arial"/>
                <w:b/>
                <w:bCs/>
                <w:kern w:val="0"/>
                <w:szCs w:val="24"/>
              </w:rPr>
              <w:t>C类基金份额</w:t>
            </w:r>
          </w:p>
        </w:tc>
      </w:tr>
      <w:tr w:rsidR="008D0810" w14:paraId="15524EF4" w14:textId="77777777">
        <w:trPr>
          <w:trHeight w:val="409"/>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63689D4" w14:textId="77777777" w:rsidR="008D0810" w:rsidRDefault="00417F9F">
            <w:pPr>
              <w:widowControl/>
              <w:spacing w:line="264" w:lineRule="auto"/>
              <w:ind w:firstLineChars="200" w:firstLine="420"/>
              <w:jc w:val="center"/>
              <w:rPr>
                <w:rFonts w:asciiTheme="minorEastAsia" w:hAnsiTheme="minorEastAsia" w:cs="Arial" w:hint="eastAsia"/>
                <w:kern w:val="0"/>
                <w:szCs w:val="24"/>
              </w:rPr>
            </w:pPr>
            <w:r>
              <w:rPr>
                <w:rFonts w:asciiTheme="minorEastAsia" w:hAnsiTheme="minorEastAsia" w:cs="Arial" w:hint="eastAsia"/>
                <w:bCs/>
                <w:kern w:val="0"/>
                <w:szCs w:val="24"/>
              </w:rPr>
              <w:t>申</w:t>
            </w:r>
            <w:r>
              <w:rPr>
                <w:rFonts w:asciiTheme="minorEastAsia" w:hAnsiTheme="minorEastAsia" w:cs="Arial" w:hint="eastAsia"/>
                <w:kern w:val="0"/>
                <w:szCs w:val="24"/>
              </w:rPr>
              <w:t>购费率为零</w:t>
            </w:r>
          </w:p>
        </w:tc>
      </w:tr>
    </w:tbl>
    <w:p w14:paraId="11AB9E51" w14:textId="77777777" w:rsidR="008D0810" w:rsidRDefault="008D081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7FE53B53" w14:textId="77777777" w:rsidR="008D0810" w:rsidRDefault="00417F9F">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本基金的申购费用由申购基金份额的投资人承担，不列入基金资产，用于基</w:t>
      </w:r>
      <w:r>
        <w:rPr>
          <w:rFonts w:asciiTheme="minorEastAsia" w:hAnsiTheme="minorEastAsia" w:cs="Arial" w:hint="eastAsia"/>
          <w:sz w:val="24"/>
          <w:szCs w:val="24"/>
        </w:rPr>
        <w:lastRenderedPageBreak/>
        <w:t>金的市场推广、销售、登记等各项费用。</w:t>
      </w:r>
    </w:p>
    <w:p w14:paraId="1821DE4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665A399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093"/>
        <w:gridCol w:w="2247"/>
      </w:tblGrid>
      <w:tr w:rsidR="008D0810" w14:paraId="10A1BEEF" w14:textId="77777777">
        <w:trPr>
          <w:trHeight w:val="108"/>
          <w:jc w:val="center"/>
        </w:trPr>
        <w:tc>
          <w:tcPr>
            <w:tcW w:w="3978" w:type="dxa"/>
            <w:tcBorders>
              <w:top w:val="single" w:sz="4" w:space="0" w:color="auto"/>
              <w:left w:val="single" w:sz="4" w:space="0" w:color="auto"/>
              <w:bottom w:val="single" w:sz="4" w:space="0" w:color="auto"/>
              <w:right w:val="single" w:sz="4" w:space="0" w:color="auto"/>
            </w:tcBorders>
          </w:tcPr>
          <w:p w14:paraId="2E612FBA" w14:textId="77777777" w:rsidR="008D0810" w:rsidRDefault="00417F9F">
            <w:pPr>
              <w:ind w:firstLineChars="200" w:firstLine="422"/>
              <w:jc w:val="center"/>
              <w:rPr>
                <w:rFonts w:asciiTheme="minorEastAsia" w:hAnsiTheme="minorEastAsia" w:cs="Arial" w:hint="eastAsia"/>
                <w:b/>
                <w:color w:val="000000"/>
                <w:szCs w:val="24"/>
              </w:rPr>
            </w:pPr>
            <w:r>
              <w:rPr>
                <w:rFonts w:asciiTheme="minorEastAsia" w:hAnsiTheme="minorEastAsia" w:cs="Arial" w:hint="eastAsia"/>
                <w:b/>
                <w:color w:val="000000"/>
                <w:szCs w:val="24"/>
              </w:rPr>
              <w:t>持有基金份额期限（</w:t>
            </w:r>
            <w:r>
              <w:rPr>
                <w:rFonts w:asciiTheme="minorEastAsia" w:hAnsiTheme="minorEastAsia" w:cs="Arial"/>
                <w:b/>
                <w:color w:val="000000"/>
                <w:szCs w:val="24"/>
              </w:rPr>
              <w:t>Y）</w:t>
            </w:r>
          </w:p>
        </w:tc>
        <w:tc>
          <w:tcPr>
            <w:tcW w:w="2093" w:type="dxa"/>
            <w:tcBorders>
              <w:top w:val="single" w:sz="4" w:space="0" w:color="auto"/>
              <w:left w:val="single" w:sz="4" w:space="0" w:color="auto"/>
              <w:bottom w:val="single" w:sz="4" w:space="0" w:color="auto"/>
              <w:right w:val="single" w:sz="4" w:space="0" w:color="auto"/>
            </w:tcBorders>
          </w:tcPr>
          <w:p w14:paraId="6170B76D" w14:textId="77777777" w:rsidR="008D0810" w:rsidRDefault="00417F9F">
            <w:pPr>
              <w:jc w:val="center"/>
              <w:rPr>
                <w:rFonts w:asciiTheme="minorEastAsia" w:hAnsiTheme="minorEastAsia" w:cs="Arial" w:hint="eastAsia"/>
                <w:b/>
                <w:color w:val="000000"/>
                <w:szCs w:val="24"/>
              </w:rPr>
            </w:pPr>
            <w:r>
              <w:rPr>
                <w:rFonts w:asciiTheme="minorEastAsia" w:hAnsiTheme="minorEastAsia" w:cs="Arial"/>
                <w:b/>
                <w:color w:val="000000"/>
                <w:szCs w:val="24"/>
              </w:rPr>
              <w:t>A类份额赎回费</w:t>
            </w:r>
            <w:r>
              <w:rPr>
                <w:rFonts w:asciiTheme="minorEastAsia" w:hAnsiTheme="minorEastAsia" w:cs="Arial" w:hint="eastAsia"/>
                <w:b/>
                <w:color w:val="000000"/>
                <w:szCs w:val="24"/>
              </w:rPr>
              <w:t>率</w:t>
            </w:r>
          </w:p>
        </w:tc>
        <w:tc>
          <w:tcPr>
            <w:tcW w:w="2247" w:type="dxa"/>
            <w:tcBorders>
              <w:top w:val="single" w:sz="4" w:space="0" w:color="auto"/>
              <w:left w:val="single" w:sz="4" w:space="0" w:color="auto"/>
              <w:bottom w:val="single" w:sz="4" w:space="0" w:color="auto"/>
              <w:right w:val="single" w:sz="4" w:space="0" w:color="auto"/>
            </w:tcBorders>
          </w:tcPr>
          <w:p w14:paraId="3C39CE07" w14:textId="77777777" w:rsidR="008D0810" w:rsidRDefault="00417F9F">
            <w:pPr>
              <w:jc w:val="center"/>
              <w:rPr>
                <w:rFonts w:asciiTheme="minorEastAsia" w:hAnsiTheme="minorEastAsia" w:cs="Arial" w:hint="eastAsia"/>
                <w:b/>
                <w:color w:val="000000"/>
                <w:szCs w:val="24"/>
              </w:rPr>
            </w:pPr>
            <w:r>
              <w:rPr>
                <w:rFonts w:asciiTheme="minorEastAsia" w:hAnsiTheme="minorEastAsia" w:cs="Arial"/>
                <w:b/>
                <w:color w:val="000000"/>
                <w:szCs w:val="24"/>
              </w:rPr>
              <w:t>C类份额赎回费率</w:t>
            </w:r>
          </w:p>
        </w:tc>
      </w:tr>
      <w:tr w:rsidR="008D0810" w14:paraId="15C72341" w14:textId="77777777">
        <w:trPr>
          <w:trHeight w:val="108"/>
          <w:jc w:val="center"/>
        </w:trPr>
        <w:tc>
          <w:tcPr>
            <w:tcW w:w="3978" w:type="dxa"/>
            <w:tcBorders>
              <w:top w:val="single" w:sz="4" w:space="0" w:color="auto"/>
              <w:left w:val="single" w:sz="4" w:space="0" w:color="auto"/>
              <w:bottom w:val="single" w:sz="4" w:space="0" w:color="auto"/>
              <w:right w:val="single" w:sz="4" w:space="0" w:color="auto"/>
            </w:tcBorders>
          </w:tcPr>
          <w:p w14:paraId="282688E1" w14:textId="77777777" w:rsidR="008D0810" w:rsidRDefault="00417F9F">
            <w:pPr>
              <w:widowControl/>
              <w:spacing w:line="336" w:lineRule="auto"/>
              <w:jc w:val="center"/>
              <w:rPr>
                <w:rFonts w:asciiTheme="minorEastAsia" w:hAnsiTheme="minorEastAsia" w:cs="Arial" w:hint="eastAsia"/>
                <w:bCs/>
                <w:kern w:val="0"/>
                <w:szCs w:val="24"/>
              </w:rPr>
            </w:pPr>
            <w:r>
              <w:rPr>
                <w:rFonts w:asciiTheme="minorEastAsia" w:hAnsiTheme="minorEastAsia" w:cs="Arial"/>
                <w:bCs/>
                <w:kern w:val="0"/>
                <w:szCs w:val="24"/>
              </w:rPr>
              <w:t>Y＜7日</w:t>
            </w:r>
          </w:p>
        </w:tc>
        <w:tc>
          <w:tcPr>
            <w:tcW w:w="2093" w:type="dxa"/>
            <w:tcBorders>
              <w:top w:val="single" w:sz="4" w:space="0" w:color="auto"/>
              <w:left w:val="single" w:sz="4" w:space="0" w:color="auto"/>
              <w:bottom w:val="single" w:sz="4" w:space="0" w:color="auto"/>
              <w:right w:val="single" w:sz="4" w:space="0" w:color="auto"/>
            </w:tcBorders>
          </w:tcPr>
          <w:p w14:paraId="695DE019"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1.50%</w:t>
            </w:r>
          </w:p>
        </w:tc>
        <w:tc>
          <w:tcPr>
            <w:tcW w:w="2247" w:type="dxa"/>
            <w:tcBorders>
              <w:top w:val="single" w:sz="4" w:space="0" w:color="auto"/>
              <w:left w:val="single" w:sz="4" w:space="0" w:color="auto"/>
              <w:bottom w:val="single" w:sz="4" w:space="0" w:color="auto"/>
              <w:right w:val="single" w:sz="4" w:space="0" w:color="auto"/>
            </w:tcBorders>
          </w:tcPr>
          <w:p w14:paraId="516B2068" w14:textId="77777777" w:rsidR="008D0810" w:rsidRDefault="00417F9F">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1.50%</w:t>
            </w:r>
          </w:p>
        </w:tc>
      </w:tr>
      <w:tr w:rsidR="008D0810" w14:paraId="731D732E" w14:textId="77777777">
        <w:trPr>
          <w:trHeight w:val="108"/>
          <w:jc w:val="center"/>
        </w:trPr>
        <w:tc>
          <w:tcPr>
            <w:tcW w:w="3978" w:type="dxa"/>
            <w:tcBorders>
              <w:top w:val="single" w:sz="4" w:space="0" w:color="auto"/>
              <w:left w:val="single" w:sz="4" w:space="0" w:color="auto"/>
              <w:bottom w:val="single" w:sz="4" w:space="0" w:color="auto"/>
              <w:right w:val="single" w:sz="4" w:space="0" w:color="auto"/>
            </w:tcBorders>
          </w:tcPr>
          <w:p w14:paraId="13A0368E"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 xml:space="preserve">7日 ≤ Y </w:t>
            </w:r>
            <w:r>
              <w:rPr>
                <w:rFonts w:asciiTheme="minorEastAsia" w:hAnsiTheme="minorEastAsia" w:cs="Arial" w:hint="eastAsia"/>
                <w:bCs/>
                <w:kern w:val="0"/>
                <w:szCs w:val="24"/>
              </w:rPr>
              <w:t>＜</w:t>
            </w:r>
            <w:r>
              <w:rPr>
                <w:rFonts w:asciiTheme="minorEastAsia" w:hAnsiTheme="minorEastAsia" w:cs="Arial"/>
                <w:bCs/>
                <w:kern w:val="0"/>
                <w:szCs w:val="24"/>
              </w:rPr>
              <w:t xml:space="preserve"> 30日</w:t>
            </w:r>
          </w:p>
        </w:tc>
        <w:tc>
          <w:tcPr>
            <w:tcW w:w="2093" w:type="dxa"/>
            <w:tcBorders>
              <w:top w:val="single" w:sz="4" w:space="0" w:color="auto"/>
              <w:left w:val="single" w:sz="4" w:space="0" w:color="auto"/>
              <w:bottom w:val="single" w:sz="4" w:space="0" w:color="auto"/>
              <w:right w:val="single" w:sz="4" w:space="0" w:color="auto"/>
            </w:tcBorders>
          </w:tcPr>
          <w:p w14:paraId="04599312"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0.75%</w:t>
            </w:r>
          </w:p>
        </w:tc>
        <w:tc>
          <w:tcPr>
            <w:tcW w:w="2247" w:type="dxa"/>
            <w:tcBorders>
              <w:top w:val="single" w:sz="4" w:space="0" w:color="auto"/>
              <w:left w:val="single" w:sz="4" w:space="0" w:color="auto"/>
              <w:bottom w:val="single" w:sz="4" w:space="0" w:color="auto"/>
              <w:right w:val="single" w:sz="4" w:space="0" w:color="auto"/>
            </w:tcBorders>
          </w:tcPr>
          <w:p w14:paraId="7B6BD6D4" w14:textId="77777777" w:rsidR="008D0810" w:rsidRDefault="00417F9F">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0.50%</w:t>
            </w:r>
          </w:p>
        </w:tc>
      </w:tr>
      <w:tr w:rsidR="008D0810" w14:paraId="2556A88C" w14:textId="77777777">
        <w:trPr>
          <w:trHeight w:val="108"/>
          <w:jc w:val="center"/>
        </w:trPr>
        <w:tc>
          <w:tcPr>
            <w:tcW w:w="3978" w:type="dxa"/>
            <w:tcBorders>
              <w:top w:val="single" w:sz="4" w:space="0" w:color="auto"/>
              <w:left w:val="single" w:sz="4" w:space="0" w:color="auto"/>
              <w:bottom w:val="single" w:sz="4" w:space="0" w:color="auto"/>
              <w:right w:val="single" w:sz="4" w:space="0" w:color="auto"/>
            </w:tcBorders>
          </w:tcPr>
          <w:p w14:paraId="4BD8A8C4"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 xml:space="preserve">30日 ≤ Y </w:t>
            </w:r>
            <w:r>
              <w:rPr>
                <w:rFonts w:asciiTheme="minorEastAsia" w:hAnsiTheme="minorEastAsia" w:cs="Arial" w:hint="eastAsia"/>
                <w:bCs/>
                <w:kern w:val="0"/>
                <w:szCs w:val="24"/>
              </w:rPr>
              <w:t>＜</w:t>
            </w:r>
            <w:r>
              <w:rPr>
                <w:rFonts w:asciiTheme="minorEastAsia" w:hAnsiTheme="minorEastAsia" w:cs="Arial"/>
                <w:bCs/>
                <w:kern w:val="0"/>
                <w:szCs w:val="24"/>
              </w:rPr>
              <w:t xml:space="preserve"> 6个月</w:t>
            </w:r>
          </w:p>
        </w:tc>
        <w:tc>
          <w:tcPr>
            <w:tcW w:w="2093" w:type="dxa"/>
            <w:tcBorders>
              <w:top w:val="single" w:sz="4" w:space="0" w:color="auto"/>
              <w:left w:val="single" w:sz="4" w:space="0" w:color="auto"/>
              <w:bottom w:val="single" w:sz="4" w:space="0" w:color="auto"/>
              <w:right w:val="single" w:sz="4" w:space="0" w:color="auto"/>
            </w:tcBorders>
          </w:tcPr>
          <w:p w14:paraId="51CF472F"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0.50%</w:t>
            </w:r>
          </w:p>
        </w:tc>
        <w:tc>
          <w:tcPr>
            <w:tcW w:w="2247" w:type="dxa"/>
            <w:tcBorders>
              <w:top w:val="single" w:sz="4" w:space="0" w:color="auto"/>
              <w:left w:val="single" w:sz="4" w:space="0" w:color="auto"/>
              <w:bottom w:val="single" w:sz="4" w:space="0" w:color="auto"/>
              <w:right w:val="single" w:sz="4" w:space="0" w:color="auto"/>
            </w:tcBorders>
          </w:tcPr>
          <w:p w14:paraId="17EACA11" w14:textId="77777777" w:rsidR="008D0810" w:rsidRDefault="00417F9F">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w:t>
            </w:r>
          </w:p>
        </w:tc>
      </w:tr>
      <w:tr w:rsidR="008D0810" w14:paraId="0945DEFD" w14:textId="77777777">
        <w:trPr>
          <w:trHeight w:val="108"/>
          <w:jc w:val="center"/>
        </w:trPr>
        <w:tc>
          <w:tcPr>
            <w:tcW w:w="3978" w:type="dxa"/>
            <w:tcBorders>
              <w:top w:val="single" w:sz="4" w:space="0" w:color="auto"/>
              <w:left w:val="single" w:sz="4" w:space="0" w:color="auto"/>
              <w:bottom w:val="single" w:sz="4" w:space="0" w:color="auto"/>
              <w:right w:val="single" w:sz="4" w:space="0" w:color="auto"/>
            </w:tcBorders>
          </w:tcPr>
          <w:p w14:paraId="088CC972"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Y≥6个月</w:t>
            </w:r>
          </w:p>
        </w:tc>
        <w:tc>
          <w:tcPr>
            <w:tcW w:w="2093" w:type="dxa"/>
            <w:tcBorders>
              <w:top w:val="single" w:sz="4" w:space="0" w:color="auto"/>
              <w:left w:val="single" w:sz="4" w:space="0" w:color="auto"/>
              <w:bottom w:val="single" w:sz="4" w:space="0" w:color="auto"/>
              <w:right w:val="single" w:sz="4" w:space="0" w:color="auto"/>
            </w:tcBorders>
          </w:tcPr>
          <w:p w14:paraId="1C18D1F0" w14:textId="77777777" w:rsidR="008D0810" w:rsidRDefault="00417F9F">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w:t>
            </w:r>
          </w:p>
        </w:tc>
        <w:tc>
          <w:tcPr>
            <w:tcW w:w="2247" w:type="dxa"/>
            <w:tcBorders>
              <w:top w:val="single" w:sz="4" w:space="0" w:color="auto"/>
              <w:left w:val="single" w:sz="4" w:space="0" w:color="auto"/>
              <w:bottom w:val="single" w:sz="4" w:space="0" w:color="auto"/>
              <w:right w:val="single" w:sz="4" w:space="0" w:color="auto"/>
            </w:tcBorders>
          </w:tcPr>
          <w:p w14:paraId="7F3AAE83" w14:textId="77777777" w:rsidR="008D0810" w:rsidRDefault="00417F9F">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w:t>
            </w:r>
          </w:p>
        </w:tc>
      </w:tr>
    </w:tbl>
    <w:p w14:paraId="58884C14" w14:textId="77777777" w:rsidR="008D0810" w:rsidRDefault="008D0810">
      <w:pPr>
        <w:adjustRightInd w:val="0"/>
        <w:snapToGrid w:val="0"/>
        <w:spacing w:line="360" w:lineRule="auto"/>
        <w:rPr>
          <w:rFonts w:asciiTheme="minorEastAsia" w:hAnsiTheme="minorEastAsia" w:cs="Arial" w:hint="eastAsia"/>
          <w:sz w:val="24"/>
          <w:szCs w:val="24"/>
        </w:rPr>
      </w:pPr>
    </w:p>
    <w:p w14:paraId="7FDB6FA2" w14:textId="77777777" w:rsidR="008D0810" w:rsidRDefault="00417F9F">
      <w:pPr>
        <w:adjustRightInd w:val="0"/>
        <w:snapToGrid w:val="0"/>
        <w:spacing w:line="360" w:lineRule="auto"/>
        <w:rPr>
          <w:rFonts w:asciiTheme="minorEastAsia" w:hAnsiTheme="minorEastAsia" w:cs="Arial" w:hint="eastAsia"/>
          <w:sz w:val="24"/>
          <w:szCs w:val="24"/>
        </w:rPr>
      </w:pPr>
      <w:r>
        <w:rPr>
          <w:rFonts w:asciiTheme="minorEastAsia" w:hAnsiTheme="minorEastAsia" w:cs="Arial" w:hint="eastAsia"/>
          <w:sz w:val="24"/>
          <w:szCs w:val="24"/>
        </w:rPr>
        <w:t>（注：一月为</w:t>
      </w:r>
      <w:r>
        <w:rPr>
          <w:rFonts w:asciiTheme="minorEastAsia" w:hAnsiTheme="minorEastAsia" w:cs="Arial"/>
          <w:sz w:val="24"/>
          <w:szCs w:val="24"/>
        </w:rPr>
        <w:t>30</w:t>
      </w:r>
      <w:r>
        <w:rPr>
          <w:rFonts w:asciiTheme="minorEastAsia" w:hAnsiTheme="minorEastAsia" w:cs="Arial" w:hint="eastAsia"/>
          <w:sz w:val="24"/>
          <w:szCs w:val="24"/>
        </w:rPr>
        <w:t>日）</w:t>
      </w:r>
    </w:p>
    <w:p w14:paraId="205687E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32A93C2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w:t>
      </w:r>
      <w:r>
        <w:rPr>
          <w:rFonts w:asciiTheme="minorEastAsia" w:hAnsiTheme="minorEastAsia" w:cs="Arial"/>
          <w:sz w:val="24"/>
          <w:szCs w:val="24"/>
        </w:rPr>
        <w:t>A类基金份额，</w:t>
      </w:r>
      <w:r>
        <w:rPr>
          <w:rFonts w:asciiTheme="minorEastAsia" w:hAnsiTheme="minorEastAsia" w:cs="Arial" w:hint="eastAsia"/>
          <w:sz w:val="24"/>
          <w:szCs w:val="24"/>
        </w:rPr>
        <w:t>对持续持有期少于</w:t>
      </w:r>
      <w:r>
        <w:rPr>
          <w:rFonts w:asciiTheme="minorEastAsia" w:hAnsiTheme="minorEastAsia" w:cs="Arial"/>
          <w:sz w:val="24"/>
          <w:szCs w:val="24"/>
        </w:rPr>
        <w:t>30日的投资人收取的赎回费全额计入基金财产；对持续持有期不少于30日但少于3个月的投资人收取的赎回费总额的75%计入基金财产；对持续持有期不少于3个月但少于6个月的投资人收取的赎回费总额的50%计入基金财产；</w:t>
      </w:r>
      <w:r>
        <w:rPr>
          <w:rFonts w:asciiTheme="minorEastAsia" w:hAnsiTheme="minorEastAsia" w:cs="Arial" w:hint="eastAsia"/>
          <w:sz w:val="24"/>
          <w:szCs w:val="24"/>
        </w:rPr>
        <w:t>就</w:t>
      </w:r>
      <w:r>
        <w:rPr>
          <w:rFonts w:asciiTheme="minorEastAsia" w:hAnsiTheme="minorEastAsia" w:cs="Arial"/>
          <w:sz w:val="24"/>
          <w:szCs w:val="24"/>
        </w:rPr>
        <w:t>C类基金份额，收取的赎回费全额计入基金财产</w:t>
      </w:r>
      <w:r>
        <w:rPr>
          <w:rFonts w:asciiTheme="minorEastAsia" w:hAnsiTheme="minorEastAsia" w:cs="Arial" w:hint="eastAsia"/>
          <w:sz w:val="24"/>
          <w:szCs w:val="24"/>
        </w:rPr>
        <w:t>。上述未纳入基金财产的赎回费用于支付登记费和其他必要的手续费。</w:t>
      </w:r>
    </w:p>
    <w:p w14:paraId="21749E3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、基金管理人可以在基金合同约定的范围内调整费率或收费方式，并最迟应于新的费率或收费方式实施日前依照《信息披露办法》的有关规定在指定媒介上公告。</w:t>
      </w:r>
    </w:p>
    <w:p w14:paraId="11E5C6B3" w14:textId="77777777" w:rsidR="008D0810" w:rsidRDefault="00417F9F">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赎回费率。</w:t>
      </w:r>
    </w:p>
    <w:p w14:paraId="37046F09" w14:textId="77777777" w:rsidR="008D0810" w:rsidRDefault="00417F9F">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402473F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1、A类基金份额</w:t>
      </w:r>
      <w:r>
        <w:rPr>
          <w:rFonts w:asciiTheme="minorEastAsia" w:hAnsiTheme="minorEastAsia" w:cs="Arial" w:hint="eastAsia"/>
          <w:sz w:val="24"/>
          <w:szCs w:val="24"/>
        </w:rPr>
        <w:t>申购份额的计算方式：</w:t>
      </w:r>
    </w:p>
    <w:p w14:paraId="5182112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1）当申购费</w:t>
      </w:r>
      <w:r>
        <w:rPr>
          <w:rFonts w:asciiTheme="minorEastAsia" w:hAnsiTheme="minorEastAsia" w:cs="Arial" w:hint="eastAsia"/>
          <w:sz w:val="24"/>
          <w:szCs w:val="24"/>
        </w:rPr>
        <w:t>用适用比例费率时，申购份额的计算公式如下：</w:t>
      </w:r>
    </w:p>
    <w:p w14:paraId="05D86B5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w:t>
      </w:r>
      <w:r>
        <w:rPr>
          <w:rFonts w:asciiTheme="minorEastAsia" w:hAnsiTheme="minorEastAsia" w:cs="Arial"/>
          <w:sz w:val="24"/>
          <w:szCs w:val="24"/>
        </w:rPr>
        <w:t>=申购金额/（1+申购费率）</w:t>
      </w:r>
    </w:p>
    <w:p w14:paraId="5A99E91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w:t>
      </w:r>
      <w:r>
        <w:rPr>
          <w:rFonts w:asciiTheme="minorEastAsia" w:hAnsiTheme="minorEastAsia" w:cs="Arial"/>
          <w:sz w:val="24"/>
          <w:szCs w:val="24"/>
        </w:rPr>
        <w:t>=申购金额－净申购金额</w:t>
      </w:r>
    </w:p>
    <w:p w14:paraId="5D8F784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申购份额</w:t>
      </w:r>
      <w:r>
        <w:rPr>
          <w:rFonts w:asciiTheme="minorEastAsia" w:hAnsiTheme="minorEastAsia" w:cs="Arial"/>
          <w:sz w:val="24"/>
          <w:szCs w:val="24"/>
        </w:rPr>
        <w:t xml:space="preserve">=净申购金额/T </w:t>
      </w:r>
      <w:r>
        <w:rPr>
          <w:rFonts w:asciiTheme="minorEastAsia" w:hAnsiTheme="minorEastAsia" w:cs="Arial" w:hint="eastAsia"/>
          <w:sz w:val="24"/>
          <w:szCs w:val="24"/>
        </w:rPr>
        <w:t>日</w:t>
      </w:r>
      <w:r>
        <w:rPr>
          <w:rFonts w:asciiTheme="minorEastAsia" w:hAnsiTheme="minorEastAsia" w:cs="Arial"/>
          <w:sz w:val="24"/>
          <w:szCs w:val="24"/>
        </w:rPr>
        <w:t>A类</w:t>
      </w:r>
      <w:r>
        <w:rPr>
          <w:rFonts w:asciiTheme="minorEastAsia" w:hAnsiTheme="minorEastAsia" w:cs="Arial" w:hint="eastAsia"/>
          <w:sz w:val="24"/>
          <w:szCs w:val="24"/>
        </w:rPr>
        <w:t>基金份额净值</w:t>
      </w:r>
    </w:p>
    <w:p w14:paraId="64056D9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2）当申购费用为固定金额时，申购份额的计算方法如下：</w:t>
      </w:r>
    </w:p>
    <w:p w14:paraId="3F493B9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77805A4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121580F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w:t>
      </w:r>
      <w:r>
        <w:rPr>
          <w:rFonts w:asciiTheme="minorEastAsia" w:hAnsiTheme="minorEastAsia" w:cs="Arial"/>
          <w:sz w:val="24"/>
          <w:szCs w:val="24"/>
        </w:rPr>
        <w:t>/T日A类</w:t>
      </w:r>
      <w:r>
        <w:rPr>
          <w:rFonts w:asciiTheme="minorEastAsia" w:hAnsiTheme="minorEastAsia" w:cs="Arial" w:hint="eastAsia"/>
          <w:sz w:val="24"/>
          <w:szCs w:val="24"/>
        </w:rPr>
        <w:t>基金份额净值</w:t>
      </w:r>
    </w:p>
    <w:p w14:paraId="5E01255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6D039CB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w:t>
      </w:r>
      <w:r>
        <w:rPr>
          <w:rFonts w:asciiTheme="minorEastAsia" w:hAnsiTheme="minorEastAsia" w:cs="Arial"/>
          <w:sz w:val="24"/>
          <w:szCs w:val="24"/>
        </w:rPr>
        <w:t xml:space="preserve">50,000 </w:t>
      </w:r>
      <w:r>
        <w:rPr>
          <w:rFonts w:asciiTheme="minorEastAsia" w:hAnsiTheme="minorEastAsia" w:cs="Arial" w:hint="eastAsia"/>
          <w:sz w:val="24"/>
          <w:szCs w:val="24"/>
        </w:rPr>
        <w:t>元申购本基金</w:t>
      </w:r>
      <w:r>
        <w:rPr>
          <w:rFonts w:asciiTheme="minorEastAsia" w:hAnsiTheme="minorEastAsia" w:cs="Arial"/>
          <w:sz w:val="24"/>
          <w:szCs w:val="24"/>
        </w:rPr>
        <w:t>A类基金份额，且该申购申请被全额确认，对应的申购费率为1.5%，假定申购当日A类</w:t>
      </w:r>
      <w:r>
        <w:rPr>
          <w:rFonts w:asciiTheme="minorEastAsia" w:hAnsiTheme="minorEastAsia" w:cs="Arial" w:hint="eastAsia"/>
          <w:sz w:val="24"/>
          <w:szCs w:val="24"/>
        </w:rPr>
        <w:t>基金份额净值为</w:t>
      </w:r>
      <w:r>
        <w:rPr>
          <w:rFonts w:asciiTheme="minorEastAsia" w:hAnsiTheme="minorEastAsia" w:cs="Arial"/>
          <w:sz w:val="24"/>
          <w:szCs w:val="24"/>
        </w:rPr>
        <w:t>1.0500元，则可得到的申购份额为：</w:t>
      </w:r>
    </w:p>
    <w:p w14:paraId="3E9F948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w:t>
      </w:r>
      <w:r>
        <w:rPr>
          <w:rFonts w:asciiTheme="minorEastAsia" w:hAnsiTheme="minorEastAsia" w:cs="Arial"/>
          <w:sz w:val="24"/>
          <w:szCs w:val="24"/>
        </w:rPr>
        <w:t>50,000/(1+1.5%)＝49,261.08元</w:t>
      </w:r>
    </w:p>
    <w:p w14:paraId="0B11277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w:t>
      </w:r>
      <w:r>
        <w:rPr>
          <w:rFonts w:asciiTheme="minorEastAsia" w:hAnsiTheme="minorEastAsia" w:cs="Arial"/>
          <w:sz w:val="24"/>
          <w:szCs w:val="24"/>
        </w:rPr>
        <w:t>50,000－49,261.08＝738.92元</w:t>
      </w:r>
    </w:p>
    <w:p w14:paraId="2C235A0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 xml:space="preserve">49,261.08/1.0500＝46,915.31 </w:t>
      </w:r>
      <w:r>
        <w:rPr>
          <w:rFonts w:asciiTheme="minorEastAsia" w:hAnsiTheme="minorEastAsia" w:cs="Arial" w:hint="eastAsia"/>
          <w:sz w:val="24"/>
          <w:szCs w:val="24"/>
        </w:rPr>
        <w:t>份</w:t>
      </w:r>
    </w:p>
    <w:p w14:paraId="6341333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w:t>
      </w:r>
      <w:r>
        <w:rPr>
          <w:rFonts w:asciiTheme="minorEastAsia" w:hAnsiTheme="minorEastAsia" w:cs="Arial"/>
          <w:kern w:val="0"/>
          <w:sz w:val="24"/>
          <w:szCs w:val="24"/>
        </w:rPr>
        <w:t xml:space="preserve">50,000 </w:t>
      </w:r>
      <w:r>
        <w:rPr>
          <w:rFonts w:asciiTheme="minorEastAsia" w:hAnsiTheme="minorEastAsia" w:cs="Arial" w:hint="eastAsia"/>
          <w:kern w:val="0"/>
          <w:sz w:val="24"/>
          <w:szCs w:val="24"/>
        </w:rPr>
        <w:t>元申购本基金</w:t>
      </w:r>
      <w:r>
        <w:rPr>
          <w:rFonts w:asciiTheme="minorEastAsia" w:hAnsiTheme="minorEastAsia" w:cs="Arial"/>
          <w:kern w:val="0"/>
          <w:sz w:val="24"/>
          <w:szCs w:val="24"/>
        </w:rPr>
        <w:t>A类基金份额，假定申购当日A类基金份额净值为1.0500元，可得到46,915.31份A类</w:t>
      </w:r>
      <w:r>
        <w:rPr>
          <w:rFonts w:asciiTheme="minorEastAsia" w:hAnsiTheme="minorEastAsia" w:cs="Arial" w:hint="eastAsia"/>
          <w:kern w:val="0"/>
          <w:sz w:val="24"/>
          <w:szCs w:val="24"/>
        </w:rPr>
        <w:t>基金份额。</w:t>
      </w:r>
    </w:p>
    <w:p w14:paraId="575727D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2、C类基金份额申购份额的计算方式：</w:t>
      </w:r>
    </w:p>
    <w:p w14:paraId="45A1236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w:t>
      </w:r>
      <w:r>
        <w:rPr>
          <w:rFonts w:asciiTheme="minorEastAsia" w:hAnsiTheme="minorEastAsia" w:cs="Arial"/>
          <w:sz w:val="24"/>
          <w:szCs w:val="24"/>
        </w:rPr>
        <w:t>/T日C类基金份额净值</w:t>
      </w:r>
    </w:p>
    <w:p w14:paraId="51D8D3C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0641689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w:t>
      </w:r>
      <w:r>
        <w:rPr>
          <w:rFonts w:asciiTheme="minorEastAsia" w:hAnsiTheme="minorEastAsia" w:cs="Arial"/>
          <w:sz w:val="24"/>
          <w:szCs w:val="24"/>
        </w:rPr>
        <w:t xml:space="preserve">5,000,000 </w:t>
      </w:r>
      <w:r>
        <w:rPr>
          <w:rFonts w:asciiTheme="minorEastAsia" w:hAnsiTheme="minorEastAsia" w:cs="Arial" w:hint="eastAsia"/>
          <w:sz w:val="24"/>
          <w:szCs w:val="24"/>
        </w:rPr>
        <w:t>元申购本基金</w:t>
      </w:r>
      <w:r>
        <w:rPr>
          <w:rFonts w:asciiTheme="minorEastAsia" w:hAnsiTheme="minorEastAsia" w:cs="Arial"/>
          <w:sz w:val="24"/>
          <w:szCs w:val="24"/>
        </w:rPr>
        <w:t>C类基金份额，且该申购申请被全额确认，假定申购当日C类基金份额净值为1.2300元，则可得到的申购份额为：</w:t>
      </w:r>
    </w:p>
    <w:p w14:paraId="16552C0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5,000,000/1.2500=4,000,000份</w:t>
      </w:r>
    </w:p>
    <w:p w14:paraId="5C87394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w:t>
      </w:r>
      <w:r>
        <w:rPr>
          <w:rFonts w:asciiTheme="minorEastAsia" w:hAnsiTheme="minorEastAsia" w:cs="Arial"/>
          <w:sz w:val="24"/>
          <w:szCs w:val="24"/>
        </w:rPr>
        <w:t xml:space="preserve">5,000,000 </w:t>
      </w:r>
      <w:r>
        <w:rPr>
          <w:rFonts w:asciiTheme="minorEastAsia" w:hAnsiTheme="minorEastAsia" w:cs="Arial" w:hint="eastAsia"/>
          <w:sz w:val="24"/>
          <w:szCs w:val="24"/>
        </w:rPr>
        <w:t>元申购本基金</w:t>
      </w:r>
      <w:r>
        <w:rPr>
          <w:rFonts w:asciiTheme="minorEastAsia" w:hAnsiTheme="minorEastAsia" w:cs="Arial"/>
          <w:sz w:val="24"/>
          <w:szCs w:val="24"/>
        </w:rPr>
        <w:t>C类基金份额，假定申购当日C类基金份额净值为1.2500</w:t>
      </w:r>
      <w:r>
        <w:rPr>
          <w:rFonts w:asciiTheme="minorEastAsia" w:hAnsiTheme="minorEastAsia" w:cs="Arial" w:hint="eastAsia"/>
          <w:sz w:val="24"/>
          <w:szCs w:val="24"/>
        </w:rPr>
        <w:t>元，可得到</w:t>
      </w:r>
      <w:r>
        <w:rPr>
          <w:rFonts w:asciiTheme="minorEastAsia" w:hAnsiTheme="minorEastAsia" w:cs="Arial"/>
          <w:sz w:val="24"/>
          <w:szCs w:val="24"/>
        </w:rPr>
        <w:t>4,000,000份C类基金份额。</w:t>
      </w:r>
    </w:p>
    <w:p w14:paraId="4AAE054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110C76FE"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263DA2B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259872BE"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6476AD3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w:t>
      </w:r>
      <w:r>
        <w:rPr>
          <w:rFonts w:asciiTheme="minorEastAsia" w:hAnsiTheme="minorEastAsia" w:cs="Arial"/>
          <w:sz w:val="24"/>
          <w:szCs w:val="24"/>
        </w:rPr>
        <w:t>2位，由此产生的收益或</w:t>
      </w:r>
      <w:r>
        <w:rPr>
          <w:rFonts w:asciiTheme="minorEastAsia" w:hAnsiTheme="minorEastAsia" w:cs="Arial" w:hint="eastAsia"/>
          <w:sz w:val="24"/>
          <w:szCs w:val="24"/>
        </w:rPr>
        <w:lastRenderedPageBreak/>
        <w:t>损失由基金财产承担。</w:t>
      </w:r>
    </w:p>
    <w:p w14:paraId="37DF76F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w:t>
      </w:r>
      <w:r>
        <w:rPr>
          <w:rFonts w:asciiTheme="minorEastAsia" w:hAnsiTheme="minorEastAsia" w:cs="Arial"/>
          <w:sz w:val="24"/>
          <w:szCs w:val="24"/>
        </w:rPr>
        <w:t>1</w:t>
      </w:r>
      <w:r>
        <w:rPr>
          <w:rFonts w:asciiTheme="minorEastAsia" w:hAnsiTheme="minorEastAsia" w:cs="Arial" w:hint="eastAsia"/>
          <w:sz w:val="24"/>
          <w:szCs w:val="24"/>
        </w:rPr>
        <w:t>：某投资者赎回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Pr>
          <w:rFonts w:asciiTheme="minorEastAsia" w:hAnsiTheme="minorEastAsia" w:cs="Arial"/>
          <w:sz w:val="24"/>
          <w:szCs w:val="24"/>
        </w:rPr>
        <w:t>3个月</w:t>
      </w:r>
      <w:r>
        <w:rPr>
          <w:rFonts w:asciiTheme="minorEastAsia" w:hAnsiTheme="minorEastAsia" w:cs="Arial" w:hint="eastAsia"/>
          <w:sz w:val="24"/>
          <w:szCs w:val="24"/>
        </w:rPr>
        <w:t>，赎回费率为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 xml:space="preserve">1.0680 </w:t>
      </w:r>
      <w:r>
        <w:rPr>
          <w:rFonts w:asciiTheme="minorEastAsia" w:hAnsiTheme="minorEastAsia" w:cs="Arial" w:hint="eastAsia"/>
          <w:sz w:val="24"/>
          <w:szCs w:val="24"/>
        </w:rPr>
        <w:t>元，则可得到的赎回金额为：</w:t>
      </w:r>
    </w:p>
    <w:p w14:paraId="12E48C3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 xml:space="preserve">1.0680= 10,680.00 </w:t>
      </w:r>
      <w:r>
        <w:rPr>
          <w:rFonts w:asciiTheme="minorEastAsia" w:hAnsiTheme="minorEastAsia" w:cs="Arial" w:hint="eastAsia"/>
          <w:sz w:val="24"/>
          <w:szCs w:val="24"/>
        </w:rPr>
        <w:t>元</w:t>
      </w:r>
    </w:p>
    <w:p w14:paraId="64E5198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4411960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71B47A2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Pr>
          <w:rFonts w:asciiTheme="minorEastAsia" w:hAnsiTheme="minorEastAsia" w:cs="Arial"/>
          <w:sz w:val="24"/>
          <w:szCs w:val="24"/>
        </w:rPr>
        <w:t>3个月</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 xml:space="preserve">1.0680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33BF298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w:t>
      </w:r>
      <w:r>
        <w:rPr>
          <w:rFonts w:asciiTheme="minorEastAsia" w:hAnsiTheme="minorEastAsia" w:cs="Arial"/>
          <w:sz w:val="24"/>
          <w:szCs w:val="24"/>
        </w:rPr>
        <w:t>2：某投资人赎回本基金10,000</w:t>
      </w:r>
      <w:r>
        <w:rPr>
          <w:rFonts w:asciiTheme="minorEastAsia" w:hAnsiTheme="minorEastAsia" w:cs="Arial" w:hint="eastAsia"/>
          <w:sz w:val="24"/>
          <w:szCs w:val="24"/>
        </w:rPr>
        <w:t>份</w:t>
      </w:r>
      <w:r>
        <w:rPr>
          <w:rFonts w:asciiTheme="minorEastAsia" w:hAnsiTheme="minorEastAsia" w:cs="Arial"/>
          <w:sz w:val="24"/>
          <w:szCs w:val="24"/>
        </w:rPr>
        <w:t>C类基金份额，持有时间为20日，对应的赎回费率为0.5%，假设赎回当日C类基金份额净值是1.0680元，则其可得到的赎回金额为：</w:t>
      </w:r>
    </w:p>
    <w:p w14:paraId="47A9B19B"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=10,000×1.0680=10,680元</w:t>
      </w:r>
    </w:p>
    <w:p w14:paraId="540F67A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=10,680×0.5%=53.40元</w:t>
      </w:r>
    </w:p>
    <w:p w14:paraId="6E08D53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w:t>
      </w:r>
      <w:r>
        <w:rPr>
          <w:rFonts w:asciiTheme="minorEastAsia" w:hAnsiTheme="minorEastAsia" w:cs="Arial"/>
          <w:sz w:val="24"/>
          <w:szCs w:val="24"/>
        </w:rPr>
        <w:t>=10,680-53.40=10,626.60元</w:t>
      </w:r>
    </w:p>
    <w:p w14:paraId="63E8DE3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w:t>
      </w:r>
      <w:r>
        <w:rPr>
          <w:rFonts w:asciiTheme="minorEastAsia" w:hAnsiTheme="minorEastAsia" w:cs="Arial"/>
          <w:sz w:val="24"/>
          <w:szCs w:val="24"/>
        </w:rPr>
        <w:t>10,000</w:t>
      </w:r>
      <w:r>
        <w:rPr>
          <w:rFonts w:asciiTheme="minorEastAsia" w:hAnsiTheme="minorEastAsia" w:cs="Arial" w:hint="eastAsia"/>
          <w:sz w:val="24"/>
          <w:szCs w:val="24"/>
        </w:rPr>
        <w:t>份</w:t>
      </w:r>
      <w:r>
        <w:rPr>
          <w:rFonts w:asciiTheme="minorEastAsia" w:hAnsiTheme="minorEastAsia" w:cs="Arial"/>
          <w:sz w:val="24"/>
          <w:szCs w:val="24"/>
        </w:rPr>
        <w:t>C类基金份额，持有期限为20日，假设赎回当日本基金C类基金份额净值是1.0680元，则其可得到的净赎回金额为10,626.60元。</w:t>
      </w:r>
    </w:p>
    <w:p w14:paraId="77A112FB"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w:t>
      </w:r>
      <w:r>
        <w:rPr>
          <w:rFonts w:asciiTheme="minorEastAsia" w:hAnsiTheme="minorEastAsia" w:cs="Times New Roman"/>
          <w:sz w:val="24"/>
          <w:szCs w:val="24"/>
        </w:rPr>
        <w:t>4</w:t>
      </w:r>
      <w:r>
        <w:rPr>
          <w:rFonts w:asciiTheme="minorEastAsia" w:hAnsiTheme="minorEastAsia" w:cs="Times New Roman" w:hint="eastAsia"/>
          <w:sz w:val="24"/>
          <w:szCs w:val="24"/>
        </w:rPr>
        <w:t>位，小数点后第</w:t>
      </w:r>
      <w:r>
        <w:rPr>
          <w:rFonts w:asciiTheme="minorEastAsia" w:hAnsiTheme="minorEastAsia" w:cs="Times New Roman"/>
          <w:sz w:val="24"/>
          <w:szCs w:val="24"/>
        </w:rPr>
        <w:t>5</w:t>
      </w:r>
      <w:r>
        <w:rPr>
          <w:rFonts w:asciiTheme="minorEastAsia" w:hAnsiTheme="minorEastAsia" w:cs="Times New Roman" w:hint="eastAsia"/>
          <w:sz w:val="24"/>
          <w:szCs w:val="24"/>
        </w:rPr>
        <w:t>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796219D2" w14:textId="77777777" w:rsidR="008D0810" w:rsidRDefault="00417F9F">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43858A3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7513723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0611577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lastRenderedPageBreak/>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在指定媒介公告。</w:t>
      </w:r>
    </w:p>
    <w:p w14:paraId="6256102E" w14:textId="77777777" w:rsidR="008D0810" w:rsidRDefault="00417F9F">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1AB79047" w14:textId="77777777" w:rsidR="008D0810" w:rsidRDefault="00417F9F">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0F26A5E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、因不可抗力导致基金无法正常运作。</w:t>
      </w:r>
    </w:p>
    <w:p w14:paraId="58B8161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、发生基金合同规定的暂停基金资产估值情况时，基金管理人可暂停接受投资人的申购申请。</w:t>
      </w:r>
    </w:p>
    <w:p w14:paraId="2933610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、证券、期货交易所交易时间非正常停市，导致基金管理人无法计算当日基金资产净值。</w:t>
      </w:r>
    </w:p>
    <w:p w14:paraId="331DC44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、基金管理人接受某笔或某些申购申请会损害现有基金份额持有人利益</w:t>
      </w:r>
      <w:r>
        <w:rPr>
          <w:rFonts w:asciiTheme="minorEastAsia" w:hAnsiTheme="minorEastAsia" w:hint="eastAsia"/>
          <w:bCs/>
          <w:sz w:val="24"/>
          <w:szCs w:val="24"/>
        </w:rPr>
        <w:t>或对存量基金份额持有人利益构成潜在重大不利影响</w:t>
      </w:r>
      <w:r>
        <w:rPr>
          <w:rFonts w:asciiTheme="minorEastAsia" w:hAnsiTheme="minorEastAsia" w:cs="Arial" w:hint="eastAsia"/>
          <w:sz w:val="24"/>
          <w:szCs w:val="24"/>
        </w:rPr>
        <w:t>时。</w:t>
      </w:r>
    </w:p>
    <w:p w14:paraId="18007C6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w:t>
      </w:r>
      <w:r>
        <w:rPr>
          <w:rFonts w:asciiTheme="minorEastAsia" w:hAnsiTheme="minorEastAsia" w:cs="Arial" w:hint="eastAsia"/>
          <w:sz w:val="24"/>
          <w:szCs w:val="24"/>
        </w:rPr>
        <w:t>、基金资产规模过大，使基金管理人无法找到合适的投资品种，或其他可能对基金业绩产生负面影响，或发生其他损害现有基金份额持有人利益的情形。</w:t>
      </w:r>
    </w:p>
    <w:p w14:paraId="65B0C79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w:t>
      </w:r>
      <w:r>
        <w:rPr>
          <w:rFonts w:asciiTheme="minorEastAsia" w:hAnsiTheme="minorEastAsia" w:cs="Arial" w:hint="eastAsia"/>
          <w:sz w:val="24"/>
          <w:szCs w:val="24"/>
        </w:rPr>
        <w:t>、基金管理人、基金托管人、销售机构或登记机构的技术故障等异常情况导致基金销售系统、基金注册登记系统或基金会计系统无法正常运行。</w:t>
      </w:r>
    </w:p>
    <w:p w14:paraId="49E4EB34"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7、基金管理人接受某笔或者某些申购申请有可能导致单一投资者持有基金份额的比例达到或者超过50%，或者变相规避50%集中度的情形时。</w:t>
      </w:r>
    </w:p>
    <w:p w14:paraId="6E200873"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8、当前一估值日基金资产净值50%以上的资产出现无可参考的活跃市场价格且采用估值技术仍导致公允价值存在重大不确定性时，经与基金托管人协商确认后，基金管理人应当采取延缓支付赎回款项或暂停接受基金申购赎回申请的措施。</w:t>
      </w:r>
    </w:p>
    <w:p w14:paraId="5DF10675"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9、法律法规规定或中国证监会认定的其他情形。</w:t>
      </w:r>
    </w:p>
    <w:p w14:paraId="029198E4"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发生上述第1、2、</w:t>
      </w:r>
      <w:r>
        <w:rPr>
          <w:rFonts w:asciiTheme="minorEastAsia" w:hAnsiTheme="minorEastAsia"/>
          <w:bCs/>
          <w:sz w:val="24"/>
          <w:szCs w:val="24"/>
        </w:rPr>
        <w:t>3</w:t>
      </w:r>
      <w:r>
        <w:rPr>
          <w:rFonts w:asciiTheme="minorEastAsia" w:hAnsiTheme="minorEastAsia" w:hint="eastAsia"/>
          <w:bCs/>
          <w:sz w:val="24"/>
          <w:szCs w:val="24"/>
        </w:rPr>
        <w:t>、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6A302E6" w14:textId="77777777" w:rsidR="008D0810" w:rsidRDefault="00417F9F">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十、暂停赎回或延缓支付赎回款项的情形及处理</w:t>
      </w:r>
    </w:p>
    <w:p w14:paraId="56B3018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发生下列情形时，基金管理人可暂停接受投资人的赎回申请或延缓支付赎回款项：</w:t>
      </w:r>
    </w:p>
    <w:p w14:paraId="2C4D9B70"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1、因不可抗力导致基金管理人不能支付赎回款项。</w:t>
      </w:r>
    </w:p>
    <w:p w14:paraId="3850EEE8"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2、发生基金合同规定的暂停基金资产估值情况时，基金管理人可暂停接受投资人的赎回申请或延缓支付赎回款项。</w:t>
      </w:r>
    </w:p>
    <w:p w14:paraId="13E9FE3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3、证券、期货交易所交易时间非正常停市，导致基金管理人无法计算当日基金资产净值。</w:t>
      </w:r>
    </w:p>
    <w:p w14:paraId="12CB60B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4、连续两个或两个以上开放日发生巨额赎回。</w:t>
      </w:r>
    </w:p>
    <w:p w14:paraId="1F49742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5、继续接受赎回申请将损害现有基金份额持有人利益的情形时，基金管理人可暂停接受投资人的赎回申请。</w:t>
      </w:r>
    </w:p>
    <w:p w14:paraId="5FF95CF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szCs w:val="24"/>
        </w:rPr>
        <w:t>6、</w:t>
      </w:r>
      <w:r>
        <w:rPr>
          <w:rFonts w:asciiTheme="minorEastAsia" w:hAnsiTheme="minorEastAsia" w:hint="eastAsia"/>
          <w:bCs/>
          <w:sz w:val="24"/>
        </w:rPr>
        <w:t>当前一估值日基金资产净值50%以上的资产出现无可参考的活跃市场价格且采用估值技术仍导致公允价值存在重大不确定性时，经与基金托管人协商确认后，基金管理人暂停基金估值并采取延缓支付赎回款项或暂停接受基金赎回申请的措施。</w:t>
      </w:r>
    </w:p>
    <w:p w14:paraId="7C718D42" w14:textId="77777777" w:rsidR="008D0810" w:rsidRDefault="00417F9F">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7</w:t>
      </w:r>
      <w:r>
        <w:rPr>
          <w:rFonts w:asciiTheme="minorEastAsia" w:hAnsiTheme="minorEastAsia" w:hint="eastAsia"/>
          <w:bCs/>
          <w:sz w:val="24"/>
          <w:szCs w:val="24"/>
        </w:rPr>
        <w:t>、法律法规规定或中国证监会认定的其他情形。</w:t>
      </w:r>
    </w:p>
    <w:p w14:paraId="2B450906"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发生上述情形之一且基金管理人决定拒绝接受或暂停接受基金份额持有人的赎回申请时，基金管理人应在当日报中国证监会备案，已确认的赎回申请，基金管理人应足额支付；如暂时不能足额支付，</w:t>
      </w:r>
      <w:r>
        <w:rPr>
          <w:rFonts w:asciiTheme="minorEastAsia" w:hAnsiTheme="minorEastAsia" w:hint="eastAsia"/>
          <w:bCs/>
          <w:sz w:val="24"/>
        </w:rPr>
        <w:t>应将可支付部分按单个账户申请量占申请总量的比例分配给赎回申请人，</w:t>
      </w:r>
      <w:r>
        <w:rPr>
          <w:rFonts w:asciiTheme="minorEastAsia" w:hAnsiTheme="minorEastAsia" w:cs="Arial" w:hint="eastAsia"/>
          <w:sz w:val="24"/>
          <w:szCs w:val="24"/>
        </w:rPr>
        <w:t>未支付部分可延期支付。若出现上述第</w:t>
      </w:r>
      <w:r>
        <w:rPr>
          <w:rFonts w:asciiTheme="minorEastAsia" w:hAnsiTheme="minorEastAsia" w:cs="Arial"/>
          <w:sz w:val="24"/>
          <w:szCs w:val="24"/>
        </w:rPr>
        <w:t>4项所述情形，按基金合同的相关条款处理。基金份额持有人在申请赎回时可事先选择将当日可能未获受理部分予以撤销。在暂停赎回的情况消除时，基金管理人应及时恢复赎回业务的办理并公告。</w:t>
      </w:r>
      <w:bookmarkStart w:id="188" w:name="_Toc416264545"/>
      <w:bookmarkStart w:id="189" w:name="_Toc29408"/>
      <w:bookmarkStart w:id="190" w:name="_Toc141703890"/>
      <w:bookmarkStart w:id="191" w:name="_Toc3329"/>
      <w:bookmarkStart w:id="192" w:name="_Toc139991740"/>
      <w:bookmarkStart w:id="193" w:name="_Toc32584"/>
      <w:bookmarkStart w:id="194" w:name="_Toc48649708"/>
      <w:bookmarkStart w:id="195" w:name="_Toc20976"/>
      <w:bookmarkStart w:id="196" w:name="_Toc739"/>
      <w:bookmarkStart w:id="197" w:name="_Toc8791"/>
      <w:bookmarkStart w:id="198" w:name="_Toc17920"/>
      <w:bookmarkStart w:id="199" w:name="_Toc32092"/>
      <w:bookmarkStart w:id="200" w:name="_Toc352229756"/>
      <w:bookmarkStart w:id="201" w:name="_Toc123051456"/>
      <w:bookmarkStart w:id="202" w:name="_Toc79392622"/>
      <w:bookmarkStart w:id="203" w:name="_Toc17198"/>
      <w:bookmarkStart w:id="204" w:name="_Toc21237"/>
      <w:bookmarkStart w:id="205" w:name="_Toc123102457"/>
      <w:bookmarkStart w:id="206" w:name="_Toc5170"/>
      <w:bookmarkStart w:id="207" w:name="_Toc123112238"/>
      <w:bookmarkStart w:id="208" w:name="_Toc9856035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2780253"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20FDE725"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1、巨额赎回的认定</w:t>
      </w:r>
    </w:p>
    <w:p w14:paraId="47994ABC"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heme="minorEastAsia" w:hAnsiTheme="minorEastAsia" w:cs="Arial"/>
          <w:sz w:val="24"/>
          <w:szCs w:val="24"/>
        </w:rPr>
        <w:t>10%，即认为是发生了巨额赎回。</w:t>
      </w:r>
    </w:p>
    <w:p w14:paraId="5ED4F566"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2、巨额赎回的处理方式</w:t>
      </w:r>
    </w:p>
    <w:p w14:paraId="2AD7217F"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1A2CDE01"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1）全额赎回：当基金管理人认为有能力支付投资人的全部赎回申请时，按正常赎回程序执行。</w:t>
      </w:r>
    </w:p>
    <w:p w14:paraId="464D902C" w14:textId="77777777" w:rsidR="008D0810" w:rsidRDefault="00417F9F">
      <w:pPr>
        <w:spacing w:line="360" w:lineRule="auto"/>
        <w:ind w:firstLineChars="200" w:firstLine="480"/>
        <w:rPr>
          <w:rFonts w:asciiTheme="minorEastAsia" w:hAnsiTheme="minorEastAsia" w:hint="eastAsia"/>
          <w:b/>
          <w:bCs/>
          <w:sz w:val="24"/>
          <w:szCs w:val="24"/>
        </w:rPr>
      </w:pPr>
      <w:r>
        <w:rPr>
          <w:rFonts w:asciiTheme="minorEastAsia" w:hAnsiTheme="minorEastAsia" w:hint="eastAsia"/>
          <w:bCs/>
          <w:sz w:val="24"/>
          <w:szCs w:val="24"/>
        </w:rPr>
        <w:lastRenderedPageBreak/>
        <w:t>（</w:t>
      </w:r>
      <w:r>
        <w:rPr>
          <w:rFonts w:asciiTheme="minorEastAsia" w:hAnsiTheme="minorEastAsia"/>
          <w:bCs/>
          <w:sz w:val="24"/>
          <w:szCs w:val="24"/>
        </w:rPr>
        <w:t>2</w:t>
      </w:r>
      <w:r>
        <w:rPr>
          <w:rFonts w:asciiTheme="minorEastAsia" w:hAnsiTheme="minorEastAsia" w:hint="eastAsia"/>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heme="minorEastAsia" w:hAnsiTheme="minorEastAsia"/>
          <w:bCs/>
          <w:sz w:val="24"/>
          <w:szCs w:val="24"/>
        </w:rPr>
        <w:t>10%</w:t>
      </w:r>
      <w:r>
        <w:rPr>
          <w:rFonts w:asciiTheme="minorEastAsia" w:hAnsiTheme="minorEastAsia" w:hint="eastAsia"/>
          <w:bCs/>
          <w:sz w:val="24"/>
          <w:szCs w:val="24"/>
        </w:rPr>
        <w:t>的前提下，可对其余赎回申请延期办理。若进行上述延期办理，对于单个基金份额持有人当日赎回申请超过上一开放日基金总份额</w:t>
      </w:r>
      <w:r>
        <w:rPr>
          <w:rFonts w:asciiTheme="minorEastAsia" w:hAnsiTheme="minorEastAsia"/>
          <w:bCs/>
          <w:sz w:val="24"/>
          <w:szCs w:val="24"/>
        </w:rPr>
        <w:t>50</w:t>
      </w:r>
      <w:r>
        <w:rPr>
          <w:rFonts w:asciiTheme="minorEastAsia" w:hAnsiTheme="minorEastAsia" w:hint="eastAsia"/>
          <w:bCs/>
          <w:sz w:val="24"/>
          <w:szCs w:val="24"/>
        </w:rPr>
        <w:t>%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某一类别的基金份额净值为基础计算赎回金额，以此类推，直到全部赎回为止。如投资人在提交赎回申请时未作明确选择，投资人未能赎回部分作自动延期赎回处理。部分延期赎回不受单笔赎回最低份额的限制。</w:t>
      </w:r>
    </w:p>
    <w:p w14:paraId="28A0D096"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3C6ED3D9"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3、巨额赎回的公告</w:t>
      </w:r>
    </w:p>
    <w:p w14:paraId="02C1FF02"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w:t>
      </w:r>
      <w:r>
        <w:rPr>
          <w:rFonts w:asciiTheme="minorEastAsia" w:hAnsiTheme="minorEastAsia" w:cs="Arial"/>
          <w:sz w:val="24"/>
          <w:szCs w:val="24"/>
        </w:rPr>
        <w:t>3个交易日内通知基金份额持有人，说明有关处理方法，</w:t>
      </w:r>
      <w:r>
        <w:rPr>
          <w:rFonts w:asciiTheme="minorEastAsia" w:hAnsiTheme="minorEastAsia" w:cs="Arial" w:hint="eastAsia"/>
          <w:sz w:val="24"/>
          <w:szCs w:val="24"/>
        </w:rPr>
        <w:t>并在</w:t>
      </w:r>
      <w:r>
        <w:rPr>
          <w:rFonts w:asciiTheme="minorEastAsia" w:hAnsiTheme="minorEastAsia" w:cs="Arial"/>
          <w:sz w:val="24"/>
          <w:szCs w:val="24"/>
        </w:rPr>
        <w:t>2日内在指定媒介上刊登公告。</w:t>
      </w:r>
    </w:p>
    <w:p w14:paraId="676094AA"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7F342CA7"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1、发生上述暂停申购或赎回情况的，</w:t>
      </w:r>
      <w:r>
        <w:rPr>
          <w:rFonts w:asciiTheme="minorEastAsia" w:hAnsiTheme="minorEastAsia" w:cs="Arial" w:hint="eastAsia"/>
          <w:sz w:val="24"/>
          <w:szCs w:val="24"/>
        </w:rPr>
        <w:t>基金管理人应在规定期限内在指定媒介上刊登暂停公告。</w:t>
      </w:r>
    </w:p>
    <w:p w14:paraId="0FA1ECEB"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20ABCBA"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lastRenderedPageBreak/>
        <w:t>3、上述暂停申购或赎回情况消除的，基金管理人应于重新开放日公布最近1个工作日两类基金份额净值。</w:t>
      </w:r>
    </w:p>
    <w:p w14:paraId="00F6FEBF"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1E978A54"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6A2810C"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十四、基金份额的转让</w:t>
      </w:r>
    </w:p>
    <w:p w14:paraId="133D881C"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A9B54C4"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十五、基金的非交易过户</w:t>
      </w:r>
    </w:p>
    <w:p w14:paraId="740FBEB0"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B135DD3"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03331B"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十六、基金的转托管</w:t>
      </w:r>
    </w:p>
    <w:p w14:paraId="02CC6948"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76EF93CB"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十七、定期定额投资计划</w:t>
      </w:r>
    </w:p>
    <w:p w14:paraId="6005CC21"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w:t>
      </w:r>
      <w:r>
        <w:rPr>
          <w:rFonts w:asciiTheme="minorEastAsia" w:hAnsiTheme="minorEastAsia" w:cs="Arial" w:hint="eastAsia"/>
          <w:sz w:val="24"/>
          <w:szCs w:val="24"/>
        </w:rPr>
        <w:lastRenderedPageBreak/>
        <w:t>金额必须不低于基金管理人在相关公告或更新的招募说明书中所规定的定期定额投资计划最低申购金额。</w:t>
      </w:r>
    </w:p>
    <w:p w14:paraId="597508CB" w14:textId="77777777" w:rsidR="008D0810" w:rsidRDefault="00417F9F">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十八、基金份额的冻结、解冻与质押</w:t>
      </w:r>
    </w:p>
    <w:p w14:paraId="79DF48C8" w14:textId="77777777" w:rsidR="008D0810" w:rsidRDefault="00417F9F">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p>
    <w:p w14:paraId="05F81639"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基金份额被冻结的，被冻结部分产生的权益一并冻结，被冻结部分份额仍然参与收益分配。法律法规或监管机构另有规定的除外。</w:t>
      </w:r>
    </w:p>
    <w:p w14:paraId="19793C09" w14:textId="77777777" w:rsidR="008D0810" w:rsidRDefault="00417F9F">
      <w:pPr>
        <w:widowControl/>
        <w:spacing w:line="360" w:lineRule="auto"/>
        <w:ind w:firstLineChars="200" w:firstLine="480"/>
        <w:jc w:val="left"/>
        <w:rPr>
          <w:rFonts w:asciiTheme="minorEastAsia" w:hAnsiTheme="minorEastAsia" w:cs="Arial" w:hint="eastAsia"/>
          <w:szCs w:val="21"/>
        </w:rPr>
        <w:sectPr w:rsidR="008D0810">
          <w:footerReference w:type="default" r:id="rId22"/>
          <w:pgSz w:w="11906" w:h="16838"/>
          <w:pgMar w:top="1440" w:right="1800" w:bottom="1440" w:left="1800" w:header="851" w:footer="992" w:gutter="0"/>
          <w:pgNumType w:chapStyle="1"/>
          <w:cols w:space="720"/>
          <w:docGrid w:type="lines" w:linePitch="312"/>
        </w:sectPr>
      </w:pPr>
      <w:r>
        <w:rPr>
          <w:rFonts w:asciiTheme="minorEastAsia" w:hAnsiTheme="minorEastAsia" w:cs="Arial" w:hint="eastAsia"/>
          <w:sz w:val="24"/>
          <w:szCs w:val="24"/>
        </w:rPr>
        <w:t>如相关法律法规允许基金管理人办理基金份额的质押业务或其他基金业务，基金管理人将制定和实施相应的业务规则。</w:t>
      </w:r>
    </w:p>
    <w:p w14:paraId="5B00E901" w14:textId="77777777" w:rsidR="008D0810" w:rsidRDefault="00417F9F">
      <w:pPr>
        <w:pStyle w:val="1"/>
        <w:jc w:val="center"/>
        <w:rPr>
          <w:rFonts w:asciiTheme="minorEastAsia" w:eastAsiaTheme="minorEastAsia" w:hAnsiTheme="minorEastAsia" w:hint="eastAsia"/>
          <w:sz w:val="30"/>
          <w:szCs w:val="30"/>
        </w:rPr>
      </w:pPr>
      <w:bookmarkStart w:id="209" w:name="_Toc146096085"/>
      <w:r>
        <w:rPr>
          <w:rFonts w:asciiTheme="minorEastAsia" w:eastAsiaTheme="minorEastAsia" w:hAnsiTheme="minorEastAsia" w:hint="eastAsia"/>
          <w:sz w:val="30"/>
          <w:szCs w:val="30"/>
        </w:rPr>
        <w:lastRenderedPageBreak/>
        <w:t>第九部分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基金的投资</w:t>
      </w:r>
      <w:bookmarkEnd w:id="188"/>
      <w:bookmarkEnd w:id="209"/>
    </w:p>
    <w:p w14:paraId="4CF7ACFF"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一、投资目标</w:t>
      </w:r>
    </w:p>
    <w:p w14:paraId="54B4801D"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本基金通过对多种投资策略的有机结合，在严格控制风险的基础上，力求取得超越基金业绩比较基准的收益。</w:t>
      </w:r>
    </w:p>
    <w:p w14:paraId="2BA3AB55"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二、投资范围</w:t>
      </w:r>
    </w:p>
    <w:p w14:paraId="40F0AAB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本基金的投资范围主要为具有良好流动性的金融工具，包括国内依法发行上市的股票（包括中小板、创业板及其他经中国证监会核准上市的股票）</w:t>
      </w:r>
      <w:r>
        <w:rPr>
          <w:rFonts w:asciiTheme="minorEastAsia" w:hAnsiTheme="minorEastAsia" w:cs="Times New Roman" w:hint="eastAsia"/>
          <w:bCs/>
          <w:sz w:val="24"/>
          <w:szCs w:val="24"/>
        </w:rPr>
        <w:t>、存托凭证</w:t>
      </w:r>
      <w:r>
        <w:rPr>
          <w:rFonts w:asciiTheme="minorEastAsia" w:hAnsiTheme="minorEastAsia" w:hint="eastAsia"/>
          <w:bCs/>
          <w:sz w:val="24"/>
        </w:rPr>
        <w:t>，债券（含国债、金融债、企业债、公司债、央行票据、中期票据、短期融资券、超短期融资券、政府支持机构债、地方政府债、公开发行的次级债、可转换债券、可交换债券、中小企业私募债及其他经中国证监会允许投资的债券或票据）、货币市场工具（含同业存单等）、资产支持证券、衍生品（包括权证、股指期货、股票期权、国债期货等）以及法律法规或中国证监会允许基金投资的其他金融工具（但须符合中国证监会的相关规定）。如法律法规或监管机构以后允许基金投资其他品种，基金管理人在履行适当程序后，可以将其纳入投资范围。</w:t>
      </w:r>
    </w:p>
    <w:p w14:paraId="6BD19886"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hint="eastAsia"/>
          <w:bCs/>
          <w:sz w:val="24"/>
        </w:rPr>
        <w:t>基金的投资组合比例为：股票资产占基金资产的</w:t>
      </w:r>
      <w:r>
        <w:rPr>
          <w:rFonts w:asciiTheme="minorEastAsia" w:hAnsiTheme="minorEastAsia"/>
          <w:bCs/>
          <w:sz w:val="24"/>
        </w:rPr>
        <w:t>5</w:t>
      </w:r>
      <w:r>
        <w:rPr>
          <w:rFonts w:asciiTheme="minorEastAsia" w:hAnsiTheme="minorEastAsia" w:hint="eastAsia"/>
          <w:bCs/>
          <w:sz w:val="24"/>
        </w:rPr>
        <w:t>0%-95%；每个交易日日终在扣除股指期货、国债期货合约需缴纳的保证金以后，本基金保留的现金或到期日在一年以内的政府债券不低于基金资产净值的5%，其中现金不包括结算备付金、存出保证金、应收申购款等；权证投资占基金资产净值的0-3%</w:t>
      </w:r>
      <w:r>
        <w:rPr>
          <w:rFonts w:asciiTheme="minorEastAsia" w:hAnsiTheme="minorEastAsia" w:cs="Times New Roman" w:hint="eastAsia"/>
          <w:bCs/>
          <w:sz w:val="24"/>
          <w:szCs w:val="24"/>
        </w:rPr>
        <w:t>。</w:t>
      </w:r>
    </w:p>
    <w:p w14:paraId="62D5446A" w14:textId="77777777" w:rsidR="008D0810" w:rsidRDefault="00417F9F">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2AAE7A8A"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三、投资策略</w:t>
      </w:r>
    </w:p>
    <w:p w14:paraId="029FC66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（一）资产配置策略</w:t>
      </w:r>
    </w:p>
    <w:p w14:paraId="468BB8E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将通过跟踪考量通常的宏观经济变量（包括GDP增长率、CPI走势、M2的绝对水平和增长率、利率水平与走势等）以及各项国家政策（包括财政、税收、货币、汇率政策等），并结合美林时钟等科学严谨的资产配置模型，动态评估不同资产大类在不同时期的投资价值及其风险收益特征，追求股票、债券和货币等大类资产的灵活配置和稳健收益。</w:t>
      </w:r>
    </w:p>
    <w:p w14:paraId="794090E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（二）债券投资策略</w:t>
      </w:r>
    </w:p>
    <w:p w14:paraId="3D04578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本基金债券投资将采取久期策略、收益率曲线策略、骑乘策略、息差策略、</w:t>
      </w:r>
      <w:r>
        <w:rPr>
          <w:rFonts w:asciiTheme="minorEastAsia" w:hAnsiTheme="minorEastAsia" w:hint="eastAsia"/>
          <w:bCs/>
          <w:sz w:val="24"/>
        </w:rPr>
        <w:lastRenderedPageBreak/>
        <w:t>个券选择策略、信用策略、中小企业私募债投资策略、可转债投资策略等积极投资策略，灵活地调整组合的券种搭配，精选个券，力争实现投资组合的保值增值。</w:t>
      </w:r>
    </w:p>
    <w:p w14:paraId="6A9F571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1、久期策略</w:t>
      </w:r>
    </w:p>
    <w:p w14:paraId="7DDE221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久期管理是债券投资的重要考量因素，本基金将采用以“目标久期”为中心、</w:t>
      </w:r>
      <w:r>
        <w:rPr>
          <w:rFonts w:asciiTheme="minorEastAsia" w:hAnsiTheme="minorEastAsia"/>
          <w:bCs/>
          <w:sz w:val="24"/>
        </w:rPr>
        <w:t xml:space="preserve"> </w:t>
      </w:r>
      <w:r>
        <w:rPr>
          <w:rFonts w:asciiTheme="minorEastAsia" w:hAnsiTheme="minorEastAsia" w:hint="eastAsia"/>
          <w:bCs/>
          <w:sz w:val="24"/>
        </w:rPr>
        <w:t>自上而下的组合久期管理策略。</w:t>
      </w:r>
    </w:p>
    <w:p w14:paraId="4DCFBB4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2、收益率曲线策略</w:t>
      </w:r>
    </w:p>
    <w:p w14:paraId="35507FA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收益率曲线的形状变化是判断市场整体走向的一个重要依据，本基金将据此调整组合长、中、短期债券的搭配，并进行动态调整。</w:t>
      </w:r>
    </w:p>
    <w:p w14:paraId="6C3E73A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3、骑乘策略</w:t>
      </w:r>
    </w:p>
    <w:p w14:paraId="32E8824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本基金将采用基于收益率曲线分析对债券组合进行适时调整的骑乘策略，</w:t>
      </w:r>
      <w:r>
        <w:rPr>
          <w:rFonts w:asciiTheme="minorEastAsia" w:hAnsiTheme="minorEastAsia"/>
          <w:bCs/>
          <w:sz w:val="24"/>
        </w:rPr>
        <w:t xml:space="preserve"> </w:t>
      </w:r>
      <w:r>
        <w:rPr>
          <w:rFonts w:asciiTheme="minorEastAsia" w:hAnsiTheme="minorEastAsia" w:hint="eastAsia"/>
          <w:bCs/>
          <w:sz w:val="24"/>
        </w:rPr>
        <w:t>以达到增强组合的持有期收益的目的。</w:t>
      </w:r>
    </w:p>
    <w:p w14:paraId="1CDB7E5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4、息差策略</w:t>
      </w:r>
    </w:p>
    <w:p w14:paraId="2B8ABC8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本基金将采用息差策略，以达到更好地利用杠杆放大债券投资的收益的目的。</w:t>
      </w:r>
    </w:p>
    <w:p w14:paraId="04704B1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5、个券选择策略</w:t>
      </w:r>
    </w:p>
    <w:p w14:paraId="62FE3B8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本基金将根据单个债券到期收益率相对于市场收益率曲线的偏离程度，结合信用等级、流动性、选择权条款、税赋特点等因素，确定其投资价值，选择定价合理或价值被低估的债券进行投资。</w:t>
      </w:r>
    </w:p>
    <w:p w14:paraId="4E3D7E8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6、信用策略</w:t>
      </w:r>
    </w:p>
    <w:p w14:paraId="282C09D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通过主动承担适度的信用风险来获取信用溢价，根据内、外部信用评级结果，结合对类似债券信用利差的分析以及对未来信用利差走势的判断，选择信用利差被高估、未来信用利差可能下降的信用债进行投资。</w:t>
      </w:r>
    </w:p>
    <w:p w14:paraId="3C8330B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7、中小企业私募债券策略</w:t>
      </w:r>
    </w:p>
    <w:p w14:paraId="0FEF9BC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中小企业私募债券是在中国境内以非公开方式发行和转让，约定在一定期限还本付息的公司债券。由于其非公开性及条款可协商性，普遍具有较高收益。</w:t>
      </w:r>
      <w:r>
        <w:rPr>
          <w:rFonts w:asciiTheme="minorEastAsia" w:hAnsiTheme="minorEastAsia"/>
          <w:bCs/>
          <w:sz w:val="24"/>
        </w:rPr>
        <w:t xml:space="preserve"> </w:t>
      </w:r>
      <w:r>
        <w:rPr>
          <w:rFonts w:asciiTheme="minorEastAsia" w:hAnsiTheme="minorEastAsia" w:hint="eastAsia"/>
          <w:bCs/>
          <w:sz w:val="24"/>
        </w:rPr>
        <w:t>本基金将深入研究发行人资信及公司运营情况，合理合规合格地进行中小企业私募债券投资。本基金在投资过程中密切监控债券信用等级或发行人信用等级变化情况，尽力规避风险，并获取超额收益。</w:t>
      </w:r>
    </w:p>
    <w:p w14:paraId="7637812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8、可转债投资策略</w:t>
      </w:r>
    </w:p>
    <w:p w14:paraId="4A626B9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可转债兼具权益类证券与固定收益类证券的特性，本基金一方面将对发债主</w:t>
      </w:r>
      <w:r>
        <w:rPr>
          <w:rFonts w:asciiTheme="minorEastAsia" w:hAnsiTheme="minorEastAsia" w:hint="eastAsia"/>
          <w:bCs/>
          <w:sz w:val="24"/>
        </w:rPr>
        <w:lastRenderedPageBreak/>
        <w:t>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14:paraId="3CC56EB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（三）股票投资策略</w:t>
      </w:r>
    </w:p>
    <w:p w14:paraId="7D3568E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通过自上而下及自下而上相结合的方法挖掘优质的上市公司构建投资组合：自上而下地分析行业的增长前景、行业结构、商业模式、竞争要素等分析把握其投资机会；自下而上地评判企业的产品、核心竞争力、管理层、治理结构等；并结合企业基本面和估值水平进行综合的研判，力争实现组合的保值增值。</w:t>
      </w:r>
    </w:p>
    <w:p w14:paraId="05063A8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1、自上而下的行业遴选</w:t>
      </w:r>
    </w:p>
    <w:p w14:paraId="5AFF904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w:t>
      </w:r>
      <w:r>
        <w:rPr>
          <w:rFonts w:asciiTheme="minorEastAsia" w:hAnsiTheme="minorEastAsia"/>
          <w:bCs/>
          <w:sz w:val="24"/>
        </w:rPr>
        <w:t xml:space="preserve"> </w:t>
      </w:r>
      <w:r>
        <w:rPr>
          <w:rFonts w:asciiTheme="minorEastAsia" w:hAnsiTheme="minorEastAsia" w:hint="eastAsia"/>
          <w:bCs/>
          <w:sz w:val="24"/>
        </w:rPr>
        <w:t>特别是业内竞争的方式、业内竞争的激烈程度、以及业内厂商的谈判能力等。基于对行业结构的分析形成对业内竞争的关键成功要素的判断，为预测企业经营环境的变化建立起扎实的基础。</w:t>
      </w:r>
    </w:p>
    <w:p w14:paraId="194EC1B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2、自下而上的个股选择</w:t>
      </w:r>
    </w:p>
    <w:p w14:paraId="7D6A861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主要从两方面进行自下而上的个股选择：一方面是竞争力分析，通过对公司竞争策略和核心竞争力的分析，选择具有可持续竞争优势的上市公司或未来具有广阔成长空间的公司。就公司竞争策略，基于行业分析的结果判断策略的有效性、策略的实施支持和策略的执行成果；就核心竞争力，分析公司的现有核心竞争力，并判断公司能否利用现有的资源、能力和定位取得可持续竞争优势。</w:t>
      </w:r>
    </w:p>
    <w:p w14:paraId="7AA6D67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另一方面是管理层分析，在国内监管体系落后、公司治理结构不完善的基础上，上市公司的命运对管理团队的依赖度大大增加。本基金将着重考察公司的管理层以及管理制度。</w:t>
      </w:r>
    </w:p>
    <w:p w14:paraId="6D7DFFA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3、综合研判</w:t>
      </w:r>
    </w:p>
    <w:p w14:paraId="15C65A1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本基金在自上而下和自下而上的基础上，结合估值分析，力争实现组合的保值增值。通过对估值方法的选择和估值倍数的比较，选择股价相对低估的股票。</w:t>
      </w:r>
      <w:r>
        <w:rPr>
          <w:rFonts w:asciiTheme="minorEastAsia" w:hAnsiTheme="minorEastAsia" w:hint="eastAsia"/>
          <w:bCs/>
          <w:sz w:val="24"/>
        </w:rPr>
        <w:lastRenderedPageBreak/>
        <w:t>就估值方法而言，基于行业的特点确定对股价最有影响力的关键估值方法（包括PE、PEG、PB、PS、EV/EBITDA等）；就估值倍数而言，通过业内比较、历史比较和增长性分析，确定具有上升基础的股价水平。</w:t>
      </w:r>
    </w:p>
    <w:p w14:paraId="757B719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bookmarkStart w:id="210" w:name="_Toc386095938"/>
      <w:r>
        <w:rPr>
          <w:rFonts w:asciiTheme="minorEastAsia" w:hAnsiTheme="minorEastAsia" w:hint="eastAsia"/>
          <w:bCs/>
          <w:sz w:val="24"/>
        </w:rPr>
        <w:t>（四）金融衍生品投资策略</w:t>
      </w:r>
      <w:bookmarkEnd w:id="210"/>
    </w:p>
    <w:p w14:paraId="1BC14EA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1</w:t>
      </w:r>
      <w:r>
        <w:rPr>
          <w:rFonts w:asciiTheme="minorEastAsia" w:hAnsiTheme="minorEastAsia" w:hint="eastAsia"/>
          <w:bCs/>
          <w:sz w:val="24"/>
        </w:rPr>
        <w:t>、权证投资策略</w:t>
      </w:r>
    </w:p>
    <w:p w14:paraId="61F40BE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权证为本基金辅助性投资工具，投资原则为有利于基金资产增值、控制下跌风险。本基金在权证投资方面将以价值分析为基础，在采用数量化模型分析其合理定价的基础上，立足于无风险套利，力求稳健的投资收益。</w:t>
      </w:r>
    </w:p>
    <w:p w14:paraId="6A797A9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2</w:t>
      </w:r>
      <w:r>
        <w:rPr>
          <w:rFonts w:asciiTheme="minorEastAsia" w:hAnsiTheme="minorEastAsia" w:hint="eastAsia"/>
          <w:bCs/>
          <w:sz w:val="24"/>
        </w:rPr>
        <w:t>、股指期货投资策略</w:t>
      </w:r>
    </w:p>
    <w:p w14:paraId="51605B8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本基金将根据风险管理的原则，以套期保值为目的，在风险可控的前提下，本着谨慎原则，参与股指期货的投资，以管理投资组合的系统性风险，改善组合的风险收益特性。</w:t>
      </w:r>
    </w:p>
    <w:p w14:paraId="78A51D9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3、股票期权投资策略</w:t>
      </w:r>
    </w:p>
    <w:p w14:paraId="716E17B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本基金按照风险管理的原则，在严格控制风险的前提下，以套期保值为目的，选择流动性好、交易活跃的股票期权合约进行投资。本基金基于证券市场的判断，结合期权定价模型，选择估值合理的股票期权合约。</w:t>
      </w:r>
    </w:p>
    <w:p w14:paraId="279138F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本基金投资股票期权，基金管理人将根据审慎原则，建立期权交易决策部门或小组，授权特定的管理人员负责期权的投资审批事项，以防范期权投资的风险。</w:t>
      </w:r>
    </w:p>
    <w:p w14:paraId="094392C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4、国债期货投资策略</w:t>
      </w:r>
    </w:p>
    <w:p w14:paraId="0062D2D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本基金投资国债期货，将根据风险管理的原则，以套期保值为目的，充分考虑国债期货的流动性和风险收益特征，在风险可控的前提下，适度参与国债期货投资。</w:t>
      </w:r>
    </w:p>
    <w:p w14:paraId="6A3EF67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未来，根据市场情况，基金可相应调整和更新相关投资策略，并在招募说明书更新中公告。</w:t>
      </w:r>
    </w:p>
    <w:p w14:paraId="0C8313B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（五）资产支持证券投资策略</w:t>
      </w:r>
    </w:p>
    <w:p w14:paraId="1B976650" w14:textId="77777777" w:rsidR="008D0810" w:rsidRDefault="00417F9F">
      <w:pPr>
        <w:autoSpaceDE w:val="0"/>
        <w:autoSpaceDN w:val="0"/>
        <w:spacing w:line="360" w:lineRule="auto"/>
        <w:ind w:firstLineChars="200" w:firstLine="480"/>
        <w:textAlignment w:val="bottom"/>
        <w:rPr>
          <w:bCs/>
          <w:sz w:val="24"/>
        </w:rPr>
      </w:pPr>
      <w:r>
        <w:rPr>
          <w:rFonts w:asciiTheme="minorEastAsia" w:hAnsiTheme="minorEastAsia" w:hint="eastAsia"/>
          <w:bCs/>
          <w:sz w:val="24"/>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1A3CCBF4" w14:textId="77777777" w:rsidR="008D0810" w:rsidRDefault="00417F9F">
      <w:pPr>
        <w:autoSpaceDE w:val="0"/>
        <w:autoSpaceDN w:val="0"/>
        <w:spacing w:line="360" w:lineRule="auto"/>
        <w:ind w:firstLineChars="200" w:firstLine="480"/>
        <w:textAlignment w:val="bottom"/>
        <w:rPr>
          <w:bCs/>
          <w:sz w:val="24"/>
        </w:rPr>
      </w:pPr>
      <w:r>
        <w:rPr>
          <w:rFonts w:hint="eastAsia"/>
          <w:bCs/>
          <w:sz w:val="24"/>
        </w:rPr>
        <w:lastRenderedPageBreak/>
        <w:t>（六）存托凭证投资策略</w:t>
      </w:r>
    </w:p>
    <w:p w14:paraId="29690EA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hint="eastAsia"/>
          <w:bCs/>
          <w:sz w:val="24"/>
        </w:rPr>
        <w:t>本基金将在控制风险的前提下，依照基金投资目标和股票投资策略，基于对基础证券投资价值的深入研究和判断，通过定性分析和定量分析相结合的方式，精选出具有比较优势的存托凭证。</w:t>
      </w:r>
    </w:p>
    <w:p w14:paraId="3E6413A8"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hint="eastAsia"/>
          <w:bCs/>
          <w:sz w:val="24"/>
        </w:rPr>
        <w:t>未来随着证券市场投资工具的发展和丰富，在符合有关法律法规规定的前提下，本基金可相应调整和更新相关投资策略。</w:t>
      </w:r>
    </w:p>
    <w:p w14:paraId="2052D898"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四、投资限制</w:t>
      </w:r>
    </w:p>
    <w:p w14:paraId="254BFA6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1、组合限制</w:t>
      </w:r>
    </w:p>
    <w:p w14:paraId="6ED27B0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基金的投资组合应遵循以下限制：</w:t>
      </w:r>
    </w:p>
    <w:p w14:paraId="1BC61F5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（1）股票投资占基金资产的比例为</w:t>
      </w:r>
      <w:r>
        <w:rPr>
          <w:rFonts w:asciiTheme="minorEastAsia" w:hAnsiTheme="minorEastAsia"/>
          <w:bCs/>
          <w:sz w:val="24"/>
        </w:rPr>
        <w:t>5</w:t>
      </w:r>
      <w:r>
        <w:rPr>
          <w:rFonts w:asciiTheme="minorEastAsia" w:hAnsiTheme="minorEastAsia" w:hint="eastAsia"/>
          <w:bCs/>
          <w:sz w:val="24"/>
        </w:rPr>
        <w:t>0%–95%；</w:t>
      </w:r>
    </w:p>
    <w:p w14:paraId="1AAE4DF7"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）每个交易日日终在扣除股指期货、国债期货合约需缴纳的交易保证金后，保持不低于基金资产净值5％的现金或者到期日在一年以内的政府债券，其中现金不包括结算备付金、存出保证金、应收申购款等；</w:t>
      </w:r>
    </w:p>
    <w:p w14:paraId="2BF1B707"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w:t>
      </w:r>
      <w:r>
        <w:rPr>
          <w:rStyle w:val="fontstyle01"/>
          <w:rFonts w:asciiTheme="minorEastAsia" w:eastAsiaTheme="minorEastAsia" w:hAnsiTheme="minorEastAsia" w:hint="default"/>
        </w:rPr>
        <w:t>本基金持有一家公司发行的证券</w:t>
      </w:r>
      <w:r>
        <w:rPr>
          <w:rFonts w:asciiTheme="minorEastAsia" w:hAnsiTheme="minorEastAsia" w:hint="eastAsia"/>
          <w:bCs/>
          <w:sz w:val="24"/>
        </w:rPr>
        <w:t>，其市值不超过基金资产净值的10％；</w:t>
      </w:r>
    </w:p>
    <w:p w14:paraId="73074728"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）本基金管理人管理的全部基金持有一家公司发行的证券，不超过该证券的10％；</w:t>
      </w:r>
    </w:p>
    <w:p w14:paraId="7941AB89"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5</w:t>
      </w:r>
      <w:r>
        <w:rPr>
          <w:rFonts w:asciiTheme="minorEastAsia" w:hAnsiTheme="minorEastAsia" w:hint="eastAsia"/>
          <w:bCs/>
          <w:sz w:val="24"/>
        </w:rPr>
        <w:t>）本基金持有的全部权证，其市值不得超过基金资产净值的3％；</w:t>
      </w:r>
    </w:p>
    <w:p w14:paraId="675E9716"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6</w:t>
      </w:r>
      <w:r>
        <w:rPr>
          <w:rFonts w:asciiTheme="minorEastAsia" w:hAnsiTheme="minorEastAsia" w:hint="eastAsia"/>
          <w:bCs/>
          <w:sz w:val="24"/>
        </w:rPr>
        <w:t>）本基金管理人管理的全部基金持有的同一权证，不得超过该权证的</w:t>
      </w:r>
      <w:r>
        <w:rPr>
          <w:rFonts w:asciiTheme="minorEastAsia" w:hAnsiTheme="minorEastAsia"/>
          <w:bCs/>
          <w:sz w:val="24"/>
        </w:rPr>
        <w:t xml:space="preserve">   </w:t>
      </w:r>
      <w:r>
        <w:rPr>
          <w:rFonts w:asciiTheme="minorEastAsia" w:hAnsiTheme="minorEastAsia" w:hint="eastAsia"/>
          <w:bCs/>
          <w:sz w:val="24"/>
        </w:rPr>
        <w:t>10％；</w:t>
      </w:r>
    </w:p>
    <w:p w14:paraId="32D70B9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7</w:t>
      </w:r>
      <w:r>
        <w:rPr>
          <w:rFonts w:asciiTheme="minorEastAsia" w:hAnsiTheme="minorEastAsia" w:hint="eastAsia"/>
          <w:bCs/>
          <w:sz w:val="24"/>
        </w:rPr>
        <w:t>）本基金在任何交易日买入权证的总金额，不得超过上一交易日基金资产净值的0.5％；</w:t>
      </w:r>
    </w:p>
    <w:p w14:paraId="7EE5AA6D"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8</w:t>
      </w:r>
      <w:r>
        <w:rPr>
          <w:rFonts w:asciiTheme="minorEastAsia" w:hAnsiTheme="minorEastAsia" w:hint="eastAsia"/>
          <w:bCs/>
          <w:sz w:val="24"/>
        </w:rPr>
        <w:t>）本基金投资于同一原始权益人的各类资产支持证券的比例，不得超过基金资产净值的10％；</w:t>
      </w:r>
    </w:p>
    <w:p w14:paraId="4BC8055E"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9</w:t>
      </w:r>
      <w:r>
        <w:rPr>
          <w:rFonts w:asciiTheme="minorEastAsia" w:hAnsiTheme="minorEastAsia" w:hint="eastAsia"/>
          <w:bCs/>
          <w:sz w:val="24"/>
        </w:rPr>
        <w:t>）本基金持有的全部资产支持证券，其市值不得超过基金资产净值的20％，中国证监会规定的特殊品种除外；</w:t>
      </w:r>
    </w:p>
    <w:p w14:paraId="5382C508"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10</w:t>
      </w:r>
      <w:r>
        <w:rPr>
          <w:rFonts w:asciiTheme="minorEastAsia" w:hAnsiTheme="minorEastAsia" w:hint="eastAsia"/>
          <w:bCs/>
          <w:sz w:val="24"/>
        </w:rPr>
        <w:t>）本基金持有的同一(指同一信用级别)资产支持证券的比例，不得超过该资产支持证券规模的10％；</w:t>
      </w:r>
    </w:p>
    <w:p w14:paraId="5ACDB499"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1</w:t>
      </w:r>
      <w:r>
        <w:rPr>
          <w:rFonts w:asciiTheme="minorEastAsia" w:hAnsiTheme="minorEastAsia" w:hint="eastAsia"/>
          <w:bCs/>
          <w:sz w:val="24"/>
        </w:rPr>
        <w:t>）本基金管理人管理的全部基金投资于同一原始权益人的各类资产支持证券，不得超过其各类资产支持证券合计规模的10％；</w:t>
      </w:r>
    </w:p>
    <w:p w14:paraId="2096329E"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lastRenderedPageBreak/>
        <w:t>（1</w:t>
      </w:r>
      <w:r>
        <w:rPr>
          <w:rFonts w:asciiTheme="minorEastAsia" w:hAnsiTheme="minorEastAsia"/>
          <w:bCs/>
          <w:sz w:val="24"/>
        </w:rPr>
        <w:t>2</w:t>
      </w:r>
      <w:r>
        <w:rPr>
          <w:rFonts w:asciiTheme="minorEastAsia" w:hAnsiTheme="minorEastAsia"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3D20937E"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3</w:t>
      </w:r>
      <w:r>
        <w:rPr>
          <w:rFonts w:asciiTheme="minorEastAsia" w:hAnsiTheme="minorEastAsia" w:hint="eastAsia"/>
          <w:bCs/>
          <w:sz w:val="24"/>
        </w:rPr>
        <w:t>）基金财产参与股票发行申购，本基金所申报的金额不超过本基金的总资产，本基金所申报的股票数量不超过拟发行股票公司本次发行股票的总量；</w:t>
      </w:r>
    </w:p>
    <w:p w14:paraId="25C7162D"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4</w:t>
      </w:r>
      <w:r>
        <w:rPr>
          <w:rFonts w:asciiTheme="minorEastAsia" w:hAnsiTheme="minorEastAsia" w:hint="eastAsia"/>
          <w:bCs/>
          <w:sz w:val="24"/>
        </w:rPr>
        <w:t>）本基金进入全国银行间同业市场进行债券回购的资金余额不得超过基金资产净值的40%，在全国银行间同业市场的债券回购最长期限为1年，债券回购到期后不得展期；</w:t>
      </w:r>
    </w:p>
    <w:p w14:paraId="61AA882C"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（15）本基金总资产不得超过基金净资产的</w:t>
      </w:r>
      <w:r>
        <w:rPr>
          <w:rFonts w:asciiTheme="minorEastAsia" w:hAnsiTheme="minorEastAsia"/>
          <w:bCs/>
          <w:sz w:val="24"/>
        </w:rPr>
        <w:t xml:space="preserve"> </w:t>
      </w:r>
      <w:r>
        <w:rPr>
          <w:rFonts w:asciiTheme="minorEastAsia" w:hAnsiTheme="minorEastAsia" w:hint="eastAsia"/>
          <w:bCs/>
          <w:sz w:val="24"/>
        </w:rPr>
        <w:t>140%；</w:t>
      </w:r>
    </w:p>
    <w:p w14:paraId="6636F94B"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（16）本基金持有单只中小企业私募债券，其市值不得超过本基金资产净值的10%；基金投资于中小企业私募债的比例不超过基金资产净值的</w:t>
      </w:r>
      <w:r>
        <w:rPr>
          <w:rFonts w:asciiTheme="minorEastAsia" w:hAnsiTheme="minorEastAsia"/>
          <w:bCs/>
          <w:sz w:val="24"/>
        </w:rPr>
        <w:t>20%</w:t>
      </w:r>
      <w:r>
        <w:rPr>
          <w:rFonts w:asciiTheme="minorEastAsia" w:hAnsiTheme="minorEastAsia" w:hint="eastAsia"/>
          <w:bCs/>
          <w:sz w:val="24"/>
        </w:rPr>
        <w:t>；</w:t>
      </w:r>
    </w:p>
    <w:p w14:paraId="66068F0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（17）本基金参与股指期货、国债期货交易，需遵守下列规定：</w:t>
      </w:r>
    </w:p>
    <w:p w14:paraId="24A9149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1）本基金在任何交易日日终，持有的买入股指期货合约价值，不得超过基金资产净值的10%；</w:t>
      </w:r>
    </w:p>
    <w:p w14:paraId="0588E9E3"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70815FE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3）本基金在任何交易日日终，持有的卖出股指期货合约价值不得超过基金持有的股票总市值的20%；</w:t>
      </w:r>
    </w:p>
    <w:p w14:paraId="2E4A560D"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4）本基金在任何交易日内交易（不包括平仓）的股指期货合约的成交金额不得超过上一交易日基金资产净值的20%；</w:t>
      </w:r>
    </w:p>
    <w:p w14:paraId="74D3FED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5）本基金所持有的股票市值和买入、卖出股指期货合约价值，合计（轧差计算）应当符合基金合同关于股票投资比例的有关规定；</w:t>
      </w:r>
    </w:p>
    <w:p w14:paraId="03E59C2A"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6）本基金在任何交易日日终，持有的买入国债期货合约价值，不得超过基金资产净值的15%；</w:t>
      </w:r>
    </w:p>
    <w:p w14:paraId="1AA4A125"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7）本基金在任何交易日日终，持有的卖出国债期货合约价值不得超过基金持有的债券总市值的30%；</w:t>
      </w:r>
    </w:p>
    <w:p w14:paraId="38C6D086"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8）本基金在任何交易日内交易（不包括平仓）的国债期货合约的成交金额</w:t>
      </w:r>
      <w:r>
        <w:rPr>
          <w:rFonts w:asciiTheme="minorEastAsia" w:hAnsiTheme="minorEastAsia" w:hint="eastAsia"/>
          <w:bCs/>
          <w:sz w:val="24"/>
        </w:rPr>
        <w:lastRenderedPageBreak/>
        <w:t>不得超过上一交易日基金资产净值的30%；</w:t>
      </w:r>
    </w:p>
    <w:p w14:paraId="3E3A747B" w14:textId="77777777"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（18）本基金参与股票期权交易，需遵守下列投资比例限制：</w:t>
      </w:r>
    </w:p>
    <w:p w14:paraId="63935751" w14:textId="77777777"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1）本基金因未平仓的期权合约支付和收取的权利金总额不得超过基金资产净值的10%；</w:t>
      </w:r>
    </w:p>
    <w:p w14:paraId="2689A6F4" w14:textId="77777777"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2）本基金开仓卖出认购期权的，应持有足额标的证券；开仓卖出认沽期权的，应持有合约行权所需的全额现金或交易所规则认可的可冲抵期权保证金的现金等价物；</w:t>
      </w:r>
    </w:p>
    <w:p w14:paraId="09D6A108"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sz w:val="24"/>
        </w:rPr>
        <w:t>3）本基金未平仓的期权合约面值不得超过基金资产净值的20%。其中，合约面值按照行权价乘以合约乘数计算；</w:t>
      </w:r>
    </w:p>
    <w:p w14:paraId="09EC60D7"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C4BBCAC"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（20）本基金主动投资于流动性受限资产的市值合计不得超过基金资产净值的15%；</w:t>
      </w:r>
    </w:p>
    <w:p w14:paraId="1091DE8A"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因证券市场波动、上市公司股票停牌、基金规模变动等基金管理人之外的因素致使基金不符合前款所规定比例限制的，基金管理人不得主动新增流动性受限资产的投资；</w:t>
      </w:r>
    </w:p>
    <w:p w14:paraId="4713159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（21）本基金与私募类证券资管产品及中国证监会认定的其他主体为交易对手开展逆回购交易的，可接受质押品的资质要求应当与基金合同约定的投资范围保持一致；</w:t>
      </w:r>
    </w:p>
    <w:p w14:paraId="42314529" w14:textId="77777777" w:rsidR="008D0810" w:rsidRDefault="00417F9F">
      <w:pPr>
        <w:autoSpaceDE w:val="0"/>
        <w:autoSpaceDN w:val="0"/>
        <w:spacing w:line="360" w:lineRule="auto"/>
        <w:ind w:firstLineChars="200" w:firstLine="480"/>
        <w:textAlignment w:val="bottom"/>
        <w:rPr>
          <w:bCs/>
          <w:sz w:val="24"/>
        </w:rPr>
      </w:pPr>
      <w:r>
        <w:rPr>
          <w:rFonts w:asciiTheme="minorEastAsia" w:hAnsiTheme="minorEastAsia" w:hint="eastAsia"/>
          <w:bCs/>
          <w:sz w:val="24"/>
        </w:rPr>
        <w:t>（22）</w:t>
      </w:r>
      <w:r>
        <w:rPr>
          <w:rFonts w:hint="eastAsia"/>
          <w:bCs/>
          <w:sz w:val="24"/>
        </w:rPr>
        <w:t>本基金投资存托凭证的比例限制依照境内上市交易的股票执行，与境内上市交易的股票合并计算；</w:t>
      </w:r>
    </w:p>
    <w:p w14:paraId="77370BE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hint="eastAsia"/>
          <w:bCs/>
          <w:sz w:val="24"/>
        </w:rPr>
        <w:t>（</w:t>
      </w:r>
      <w:r>
        <w:rPr>
          <w:rFonts w:hint="eastAsia"/>
          <w:bCs/>
          <w:sz w:val="24"/>
        </w:rPr>
        <w:t>23</w:t>
      </w:r>
      <w:r>
        <w:rPr>
          <w:rFonts w:hint="eastAsia"/>
          <w:bCs/>
          <w:sz w:val="24"/>
        </w:rPr>
        <w:t>）</w:t>
      </w:r>
      <w:r>
        <w:rPr>
          <w:rFonts w:asciiTheme="minorEastAsia" w:hAnsiTheme="minorEastAsia" w:hint="eastAsia"/>
          <w:bCs/>
          <w:sz w:val="24"/>
        </w:rPr>
        <w:t>法律法规及中国证监会规定的和《基金合同》约定的其他投资限制。</w:t>
      </w:r>
    </w:p>
    <w:p w14:paraId="15D0D79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除上述第（2）、（1</w:t>
      </w:r>
      <w:r>
        <w:rPr>
          <w:rFonts w:asciiTheme="minorEastAsia" w:hAnsiTheme="minorEastAsia"/>
          <w:bCs/>
          <w:sz w:val="24"/>
        </w:rPr>
        <w:t>2</w:t>
      </w:r>
      <w:r>
        <w:rPr>
          <w:rFonts w:asciiTheme="minorEastAsia" w:hAnsiTheme="minorEastAsia" w:hint="eastAsia"/>
          <w:bCs/>
          <w:sz w:val="24"/>
        </w:rPr>
        <w:t>）、（</w:t>
      </w:r>
      <w:r>
        <w:rPr>
          <w:rFonts w:asciiTheme="minorEastAsia" w:hAnsiTheme="minorEastAsia"/>
          <w:bCs/>
          <w:sz w:val="24"/>
        </w:rPr>
        <w:t>20</w:t>
      </w:r>
      <w:r>
        <w:rPr>
          <w:rFonts w:asciiTheme="minorEastAsia" w:hAnsiTheme="minorEastAsia" w:hint="eastAsia"/>
          <w:bCs/>
          <w:sz w:val="24"/>
        </w:rPr>
        <w:t>）、（21）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14:paraId="07EA9B2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基金管理人应当自基金合同生效之日起6个月内使基金的投资组合比例符合</w:t>
      </w:r>
      <w:r>
        <w:rPr>
          <w:rFonts w:asciiTheme="minorEastAsia" w:hAnsiTheme="minorEastAsia" w:hint="eastAsia"/>
          <w:bCs/>
          <w:sz w:val="24"/>
        </w:rPr>
        <w:lastRenderedPageBreak/>
        <w:t>基金合同的有关约定。在上述期间内，本基金的投资范围、投资策略应当符合基金合同的约定。基金托管人对基金的投资的监督与检查自基金合同生效之日起开始。</w:t>
      </w:r>
    </w:p>
    <w:p w14:paraId="4E4E4FC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法律法规或监管部门取消或调整上述限制，如适用于本基金，基金管理人在履行适当程序后，则本基金投资不再受相关限制或按调整后的规定执行。</w:t>
      </w:r>
    </w:p>
    <w:p w14:paraId="2D584D4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2、禁止行为</w:t>
      </w:r>
    </w:p>
    <w:p w14:paraId="2F98920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为维护基金份额持有人的合法权益，基金财产不得用于下列投资或者活动：</w:t>
      </w:r>
    </w:p>
    <w:p w14:paraId="0B26E11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（1）承销证券；</w:t>
      </w:r>
    </w:p>
    <w:p w14:paraId="6D964BA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（2）违反规定向他人贷款或者提供担保；</w:t>
      </w:r>
    </w:p>
    <w:p w14:paraId="39E1422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（3）从事承担无限责任的投资；</w:t>
      </w:r>
    </w:p>
    <w:p w14:paraId="11B2943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（4）买卖其他基金份额，但是中国证监会另有规定的除外；</w:t>
      </w:r>
    </w:p>
    <w:p w14:paraId="0AED3D4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（5）向其基金管理人、基金托管人出资；</w:t>
      </w:r>
    </w:p>
    <w:p w14:paraId="4A5590B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（6）从事内幕交易、操纵证券交易价格及其他不正当的证券交易活动；</w:t>
      </w:r>
    </w:p>
    <w:p w14:paraId="4F9D528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（7）法律、行政法规和中国证监会规定禁止的其他活动。</w:t>
      </w:r>
    </w:p>
    <w:p w14:paraId="61732E8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CBC636"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hint="eastAsia"/>
          <w:bCs/>
          <w:sz w:val="24"/>
        </w:rPr>
        <w:t>法律、行政法规或监管部门取消上述禁止性规定，如适用于本基金，则本基金投资不再受相关限制。</w:t>
      </w:r>
    </w:p>
    <w:p w14:paraId="167FB3B3"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五、业绩比较基准</w:t>
      </w:r>
    </w:p>
    <w:p w14:paraId="3C1DA8B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本基金的业绩比较基准为：中证全债指数收益率×</w:t>
      </w:r>
      <w:r>
        <w:rPr>
          <w:rFonts w:asciiTheme="minorEastAsia" w:hAnsiTheme="minorEastAsia"/>
          <w:bCs/>
          <w:sz w:val="24"/>
        </w:rPr>
        <w:t>3</w:t>
      </w:r>
      <w:r>
        <w:rPr>
          <w:rFonts w:asciiTheme="minorEastAsia" w:hAnsiTheme="minorEastAsia" w:hint="eastAsia"/>
          <w:bCs/>
          <w:sz w:val="24"/>
        </w:rPr>
        <w:t>0%+沪深300指数收益率×</w:t>
      </w:r>
      <w:r>
        <w:rPr>
          <w:rFonts w:asciiTheme="minorEastAsia" w:hAnsiTheme="minorEastAsia"/>
          <w:bCs/>
          <w:sz w:val="24"/>
        </w:rPr>
        <w:t>70%</w:t>
      </w:r>
    </w:p>
    <w:p w14:paraId="58DDD09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中证全债指数的选样债券的信用类别覆盖全面，期限构成宽泛，适于做基金债券资产的业绩比较基准。沪深</w:t>
      </w:r>
      <w:r>
        <w:rPr>
          <w:rFonts w:asciiTheme="minorEastAsia" w:hAnsiTheme="minorEastAsia"/>
          <w:bCs/>
          <w:sz w:val="24"/>
        </w:rPr>
        <w:t xml:space="preserve"> 300 </w:t>
      </w:r>
      <w:r>
        <w:rPr>
          <w:rFonts w:asciiTheme="minorEastAsia" w:hAnsiTheme="minorEastAsia" w:hint="eastAsia"/>
          <w:bCs/>
          <w:sz w:val="24"/>
        </w:rPr>
        <w:t>指数选样科学客观，行业代表性好，流动性高，抗操纵性强，是目前市场上较有影响力的股票投资业绩比较基准。基于本</w:t>
      </w:r>
      <w:r>
        <w:rPr>
          <w:rFonts w:asciiTheme="minorEastAsia" w:hAnsiTheme="minorEastAsia" w:hint="eastAsia"/>
          <w:bCs/>
          <w:sz w:val="24"/>
        </w:rPr>
        <w:lastRenderedPageBreak/>
        <w:t>基金的投资范围和投资比例限制，选用上述业绩比较基准能够忠实反映本基金的风险收益特征。</w:t>
      </w:r>
    </w:p>
    <w:p w14:paraId="50980A78"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hint="eastAsia"/>
          <w:bCs/>
          <w:sz w:val="24"/>
        </w:rPr>
        <w:t>如果今后法律法规发生变化，或者有更权威的、更能为市场普遍接受的业绩比较基准推出，或者是市场上出现更加适合用于本基金的业绩比较基准时，基金管理人经与基金托管人协商一致，在履行适当程序后变更本基金业绩比较基准并及时公告，而无需召开基金份额持有人大会。</w:t>
      </w:r>
    </w:p>
    <w:p w14:paraId="73D680B9"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六、风险收益特征</w:t>
      </w:r>
    </w:p>
    <w:p w14:paraId="07151EF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本基金属于混合型基金，其预期风险和预期收益高于货币市场基金、债券基金，低于股票型基金，属于证券投资基金中中高风险、中高预期收益的品种。</w:t>
      </w:r>
    </w:p>
    <w:p w14:paraId="5051909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七、基金管理人代表基金行使股东和债权人权利的处理原则及方法</w:t>
      </w:r>
    </w:p>
    <w:p w14:paraId="6425E1A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1、基金管理人按照国家有关规定代表基金独立行使股东和债权人权利，保护基金份额持有人的利益；</w:t>
      </w:r>
    </w:p>
    <w:p w14:paraId="1C4E9ED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2、不谋求对上市公司的控股，不参与所投资上市公司的经营管理；</w:t>
      </w:r>
    </w:p>
    <w:p w14:paraId="0F31139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3、有利于基金财产的安全与增值；</w:t>
      </w:r>
    </w:p>
    <w:p w14:paraId="68C8A3F9"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
          <w:kern w:val="0"/>
          <w:sz w:val="30"/>
          <w:szCs w:val="30"/>
        </w:rPr>
      </w:pPr>
      <w:r>
        <w:rPr>
          <w:rFonts w:asciiTheme="minorEastAsia" w:hAnsiTheme="minorEastAsia" w:hint="eastAsia"/>
          <w:bCs/>
          <w:sz w:val="24"/>
        </w:rPr>
        <w:t>4、不通过关联交易为自身、雇员、授权代理人或任何存在利害关系的第三人牟取任何不当利益。</w:t>
      </w:r>
    </w:p>
    <w:p w14:paraId="744782C9"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八、基金投资组合报告</w:t>
      </w:r>
    </w:p>
    <w:p w14:paraId="76715878"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的董事会及董事保证本报告所载资料不存在虚假记载、误导性陈述或重大遗漏，并对其内容的真实性、准确性和完整性承担个别及连带责任。基金托管人中国光大银行股份有限公司根据本基金合同规定，已复核了本报告中的财务指标、净值表现和投资组合报告等内容，保证复核内容不存在虚假记载、误导性陈述或者重大遗漏。</w:t>
      </w:r>
    </w:p>
    <w:p w14:paraId="755BF2BE" w14:textId="24B50364"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本投资组合报告所载数据</w:t>
      </w:r>
      <w:r w:rsidR="00C83E86" w:rsidRPr="00987B6D">
        <w:rPr>
          <w:rFonts w:asciiTheme="minorEastAsia" w:hAnsiTheme="minorEastAsia" w:hint="eastAsia"/>
          <w:bCs/>
          <w:sz w:val="24"/>
          <w:szCs w:val="24"/>
        </w:rPr>
        <w:t>取自本基金2025年第2季度报告</w:t>
      </w:r>
      <w:r>
        <w:rPr>
          <w:rFonts w:asciiTheme="minorEastAsia" w:hAnsiTheme="minorEastAsia" w:cs="Times New Roman"/>
          <w:bCs/>
          <w:sz w:val="24"/>
          <w:szCs w:val="24"/>
        </w:rPr>
        <w:t>，本报告中所列财务数据未经审计。</w:t>
      </w:r>
    </w:p>
    <w:p w14:paraId="637C6CAA" w14:textId="77777777" w:rsidR="008D0810" w:rsidRDefault="00417F9F">
      <w:pPr>
        <w:autoSpaceDE w:val="0"/>
        <w:autoSpaceDN w:val="0"/>
        <w:spacing w:line="360" w:lineRule="auto"/>
        <w:textAlignment w:val="bottom"/>
        <w:rPr>
          <w:rFonts w:asciiTheme="minorEastAsia" w:hAnsiTheme="minorEastAsia" w:cs="Times New Roman" w:hint="eastAsia"/>
          <w:bCs/>
          <w:sz w:val="24"/>
          <w:szCs w:val="24"/>
        </w:rPr>
      </w:pPr>
      <w:r>
        <w:rPr>
          <w:rFonts w:asciiTheme="minorEastAsia" w:hAnsiTheme="minorEastAsia" w:cs="Times New Roman"/>
          <w:bCs/>
          <w:sz w:val="24"/>
          <w:szCs w:val="24"/>
        </w:rPr>
        <w:t>1、报告期末基金资产组合情况</w:t>
      </w:r>
    </w:p>
    <w:tbl>
      <w:tblPr>
        <w:tblW w:w="0" w:type="auto"/>
        <w:tblInd w:w="108" w:type="dxa"/>
        <w:tblLook w:val="04A0" w:firstRow="1" w:lastRow="0" w:firstColumn="1" w:lastColumn="0" w:noHBand="0" w:noVBand="1"/>
      </w:tblPr>
      <w:tblGrid>
        <w:gridCol w:w="762"/>
        <w:gridCol w:w="2906"/>
        <w:gridCol w:w="2252"/>
        <w:gridCol w:w="2494"/>
      </w:tblGrid>
      <w:tr w:rsidR="008D0810" w14:paraId="24C42F48" w14:textId="77777777">
        <w:tc>
          <w:tcPr>
            <w:tcW w:w="762" w:type="dxa"/>
            <w:tcBorders>
              <w:top w:val="single" w:sz="8" w:space="0" w:color="000000"/>
              <w:left w:val="single" w:sz="8" w:space="0" w:color="000000"/>
              <w:bottom w:val="single" w:sz="6" w:space="0" w:color="000000"/>
              <w:right w:val="single" w:sz="8" w:space="0" w:color="000000"/>
            </w:tcBorders>
            <w:vAlign w:val="center"/>
          </w:tcPr>
          <w:p w14:paraId="3761A986" w14:textId="77777777" w:rsidR="008D0810" w:rsidRDefault="00417F9F">
            <w:pPr>
              <w:pStyle w:val="biaogecenter"/>
              <w:wordWrap w:val="0"/>
              <w:rPr>
                <w:rFonts w:hint="eastAsia"/>
              </w:rPr>
            </w:pPr>
            <w:r>
              <w:rPr>
                <w:rFonts w:hAnsi="等线" w:hint="eastAsia"/>
                <w:color w:val="000000"/>
              </w:rPr>
              <w:t>序号</w:t>
            </w:r>
          </w:p>
        </w:tc>
        <w:tc>
          <w:tcPr>
            <w:tcW w:w="2906" w:type="dxa"/>
            <w:tcBorders>
              <w:top w:val="single" w:sz="8" w:space="0" w:color="000000"/>
              <w:left w:val="single" w:sz="8" w:space="0" w:color="000000"/>
              <w:bottom w:val="single" w:sz="6" w:space="0" w:color="000000"/>
              <w:right w:val="single" w:sz="8" w:space="0" w:color="000000"/>
            </w:tcBorders>
            <w:vAlign w:val="center"/>
          </w:tcPr>
          <w:p w14:paraId="38B14582" w14:textId="77777777" w:rsidR="008D0810" w:rsidRDefault="00417F9F">
            <w:pPr>
              <w:pStyle w:val="biaogecenter"/>
              <w:wordWrap w:val="0"/>
              <w:rPr>
                <w:rFonts w:hint="eastAsia"/>
              </w:rPr>
            </w:pPr>
            <w:r>
              <w:rPr>
                <w:rFonts w:hAnsi="等线" w:hint="eastAsia"/>
                <w:color w:val="000000"/>
              </w:rPr>
              <w:t>项目</w:t>
            </w:r>
          </w:p>
        </w:tc>
        <w:tc>
          <w:tcPr>
            <w:tcW w:w="2252" w:type="dxa"/>
            <w:tcBorders>
              <w:top w:val="single" w:sz="8" w:space="0" w:color="000000"/>
              <w:left w:val="single" w:sz="8" w:space="0" w:color="000000"/>
              <w:bottom w:val="single" w:sz="6" w:space="0" w:color="000000"/>
              <w:right w:val="single" w:sz="8" w:space="0" w:color="000000"/>
            </w:tcBorders>
            <w:vAlign w:val="center"/>
          </w:tcPr>
          <w:p w14:paraId="03C45F2D" w14:textId="77777777" w:rsidR="008D0810" w:rsidRDefault="00417F9F">
            <w:pPr>
              <w:pStyle w:val="biaogecenter"/>
              <w:wordWrap w:val="0"/>
              <w:rPr>
                <w:rFonts w:hint="eastAsia"/>
              </w:rPr>
            </w:pPr>
            <w:r>
              <w:rPr>
                <w:rFonts w:hAnsi="等线" w:hint="eastAsia"/>
                <w:color w:val="000000"/>
              </w:rPr>
              <w:t>金额(元)</w:t>
            </w:r>
          </w:p>
        </w:tc>
        <w:tc>
          <w:tcPr>
            <w:tcW w:w="2494" w:type="dxa"/>
            <w:tcBorders>
              <w:top w:val="single" w:sz="8" w:space="0" w:color="000000"/>
              <w:left w:val="single" w:sz="8" w:space="0" w:color="000000"/>
              <w:bottom w:val="single" w:sz="6" w:space="0" w:color="000000"/>
              <w:right w:val="single" w:sz="8" w:space="0" w:color="000000"/>
            </w:tcBorders>
            <w:vAlign w:val="center"/>
          </w:tcPr>
          <w:p w14:paraId="1F83F7BF" w14:textId="77777777" w:rsidR="008D0810" w:rsidRDefault="00417F9F">
            <w:pPr>
              <w:pStyle w:val="biaogecenter"/>
              <w:wordWrap w:val="0"/>
              <w:rPr>
                <w:rFonts w:hint="eastAsia"/>
              </w:rPr>
            </w:pPr>
            <w:r>
              <w:rPr>
                <w:rFonts w:hAnsi="等线" w:hint="eastAsia"/>
                <w:color w:val="000000"/>
              </w:rPr>
              <w:t>占基金总资产的比例（%）</w:t>
            </w:r>
          </w:p>
        </w:tc>
      </w:tr>
      <w:tr w:rsidR="005B7208" w14:paraId="0C69A6E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556AF48" w14:textId="77777777" w:rsidR="005B7208" w:rsidRDefault="005B7208" w:rsidP="005B7208">
            <w:pPr>
              <w:pStyle w:val="biaogecenter"/>
              <w:wordWrap w:val="0"/>
              <w:rPr>
                <w:rFonts w:hint="eastAsia"/>
              </w:rPr>
            </w:pPr>
            <w:r>
              <w:rPr>
                <w:rFonts w:hAnsi="等线" w:hint="eastAsia"/>
                <w:color w:val="000000"/>
              </w:rPr>
              <w:t>1</w:t>
            </w:r>
          </w:p>
        </w:tc>
        <w:tc>
          <w:tcPr>
            <w:tcW w:w="2906" w:type="dxa"/>
            <w:tcBorders>
              <w:top w:val="single" w:sz="8" w:space="0" w:color="000000"/>
              <w:left w:val="single" w:sz="8" w:space="0" w:color="000000"/>
              <w:bottom w:val="single" w:sz="6" w:space="0" w:color="000000"/>
              <w:right w:val="single" w:sz="8" w:space="0" w:color="000000"/>
            </w:tcBorders>
            <w:vAlign w:val="center"/>
          </w:tcPr>
          <w:p w14:paraId="398F13A1" w14:textId="77777777" w:rsidR="005B7208" w:rsidRDefault="005B7208" w:rsidP="005B7208">
            <w:pPr>
              <w:pStyle w:val="biaogeleft"/>
              <w:wordWrap w:val="0"/>
              <w:rPr>
                <w:rFonts w:hint="eastAsia"/>
              </w:rPr>
            </w:pPr>
            <w:r>
              <w:rPr>
                <w:rFonts w:hint="eastAsia"/>
              </w:rPr>
              <w:t>权益投资</w:t>
            </w:r>
          </w:p>
        </w:tc>
        <w:tc>
          <w:tcPr>
            <w:tcW w:w="2252" w:type="dxa"/>
            <w:tcBorders>
              <w:top w:val="single" w:sz="8" w:space="0" w:color="000000"/>
              <w:left w:val="single" w:sz="8" w:space="0" w:color="000000"/>
              <w:bottom w:val="single" w:sz="8" w:space="0" w:color="000000"/>
              <w:right w:val="single" w:sz="8" w:space="0" w:color="000000"/>
            </w:tcBorders>
            <w:vAlign w:val="center"/>
          </w:tcPr>
          <w:p w14:paraId="40F0E35A" w14:textId="4F4FD33E" w:rsidR="005B7208" w:rsidRDefault="005B7208" w:rsidP="005B7208">
            <w:pPr>
              <w:pStyle w:val="biaogeright"/>
              <w:wordWrap w:val="0"/>
              <w:rPr>
                <w:rFonts w:hint="eastAsia"/>
              </w:rPr>
            </w:pPr>
            <w:r w:rsidRPr="00206ABF">
              <w:rPr>
                <w:rFonts w:hAnsi="等线"/>
                <w:color w:val="000000"/>
              </w:rPr>
              <w:t>5,500,745.20</w:t>
            </w:r>
          </w:p>
        </w:tc>
        <w:tc>
          <w:tcPr>
            <w:tcW w:w="2494" w:type="dxa"/>
            <w:tcBorders>
              <w:top w:val="single" w:sz="8" w:space="0" w:color="000000"/>
              <w:left w:val="single" w:sz="8" w:space="0" w:color="000000"/>
              <w:bottom w:val="single" w:sz="8" w:space="0" w:color="000000"/>
              <w:right w:val="single" w:sz="8" w:space="0" w:color="000000"/>
            </w:tcBorders>
            <w:vAlign w:val="center"/>
          </w:tcPr>
          <w:p w14:paraId="744EC1B1" w14:textId="4467C90A" w:rsidR="005B7208" w:rsidRDefault="005B7208" w:rsidP="005B7208">
            <w:pPr>
              <w:pStyle w:val="biaogeright"/>
              <w:wordWrap w:val="0"/>
              <w:rPr>
                <w:rFonts w:hint="eastAsia"/>
              </w:rPr>
            </w:pPr>
            <w:r w:rsidRPr="00206ABF">
              <w:rPr>
                <w:rFonts w:hAnsi="等线"/>
                <w:color w:val="000000"/>
              </w:rPr>
              <w:t>81.94</w:t>
            </w:r>
          </w:p>
        </w:tc>
      </w:tr>
      <w:tr w:rsidR="005B7208" w14:paraId="0BE5B22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C33B7B7" w14:textId="77777777" w:rsidR="005B7208" w:rsidRDefault="005B7208" w:rsidP="005B7208">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tcPr>
          <w:p w14:paraId="771BC73C" w14:textId="77777777" w:rsidR="005B7208" w:rsidRDefault="005B7208" w:rsidP="005B7208">
            <w:pPr>
              <w:pStyle w:val="biaogeleft"/>
              <w:wordWrap w:val="0"/>
              <w:rPr>
                <w:rFonts w:hint="eastAsia"/>
              </w:rPr>
            </w:pPr>
            <w:r>
              <w:rPr>
                <w:rFonts w:hint="eastAsia"/>
              </w:rPr>
              <w:t>其中：股票</w:t>
            </w:r>
          </w:p>
        </w:tc>
        <w:tc>
          <w:tcPr>
            <w:tcW w:w="2252" w:type="dxa"/>
            <w:tcBorders>
              <w:top w:val="single" w:sz="8" w:space="0" w:color="000000"/>
              <w:left w:val="single" w:sz="8" w:space="0" w:color="000000"/>
              <w:bottom w:val="single" w:sz="8" w:space="0" w:color="000000"/>
              <w:right w:val="single" w:sz="8" w:space="0" w:color="000000"/>
            </w:tcBorders>
            <w:vAlign w:val="center"/>
          </w:tcPr>
          <w:p w14:paraId="7FB74E3E" w14:textId="5C986477" w:rsidR="005B7208" w:rsidRDefault="005B7208" w:rsidP="005B7208">
            <w:pPr>
              <w:pStyle w:val="biaogeright"/>
              <w:wordWrap w:val="0"/>
              <w:rPr>
                <w:rFonts w:hint="eastAsia"/>
              </w:rPr>
            </w:pPr>
            <w:r w:rsidRPr="00206ABF">
              <w:rPr>
                <w:rFonts w:hAnsi="等线"/>
                <w:color w:val="000000"/>
              </w:rPr>
              <w:t>5,500,745.20</w:t>
            </w:r>
          </w:p>
        </w:tc>
        <w:tc>
          <w:tcPr>
            <w:tcW w:w="2494" w:type="dxa"/>
            <w:tcBorders>
              <w:top w:val="single" w:sz="8" w:space="0" w:color="000000"/>
              <w:left w:val="single" w:sz="8" w:space="0" w:color="000000"/>
              <w:bottom w:val="single" w:sz="8" w:space="0" w:color="000000"/>
              <w:right w:val="single" w:sz="8" w:space="0" w:color="000000"/>
            </w:tcBorders>
            <w:vAlign w:val="center"/>
          </w:tcPr>
          <w:p w14:paraId="36418DB2" w14:textId="5D530F48" w:rsidR="005B7208" w:rsidRDefault="005B7208" w:rsidP="005B7208">
            <w:pPr>
              <w:pStyle w:val="biaogeright"/>
              <w:wordWrap w:val="0"/>
              <w:rPr>
                <w:rFonts w:hint="eastAsia"/>
              </w:rPr>
            </w:pPr>
            <w:r w:rsidRPr="00206ABF">
              <w:rPr>
                <w:rFonts w:hAnsi="等线"/>
                <w:color w:val="000000"/>
              </w:rPr>
              <w:t>81.94</w:t>
            </w:r>
          </w:p>
        </w:tc>
      </w:tr>
      <w:tr w:rsidR="005B7208" w14:paraId="2D44761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5F0E08F" w14:textId="77777777" w:rsidR="005B7208" w:rsidRDefault="005B7208" w:rsidP="005B7208">
            <w:pPr>
              <w:pStyle w:val="biaogecenter"/>
              <w:wordWrap w:val="0"/>
              <w:rPr>
                <w:rFonts w:hint="eastAsia"/>
              </w:rPr>
            </w:pPr>
            <w:r>
              <w:rPr>
                <w:rFonts w:hAnsi="等线" w:hint="eastAsia"/>
                <w:color w:val="000000"/>
              </w:rPr>
              <w:t>2</w:t>
            </w:r>
          </w:p>
        </w:tc>
        <w:tc>
          <w:tcPr>
            <w:tcW w:w="2906" w:type="dxa"/>
            <w:tcBorders>
              <w:top w:val="single" w:sz="8" w:space="0" w:color="000000"/>
              <w:left w:val="single" w:sz="8" w:space="0" w:color="000000"/>
              <w:bottom w:val="single" w:sz="6" w:space="0" w:color="000000"/>
              <w:right w:val="single" w:sz="8" w:space="0" w:color="000000"/>
            </w:tcBorders>
            <w:vAlign w:val="center"/>
          </w:tcPr>
          <w:p w14:paraId="04E385A0" w14:textId="77777777" w:rsidR="005B7208" w:rsidRDefault="005B7208" w:rsidP="005B7208">
            <w:pPr>
              <w:pStyle w:val="biaogeleft"/>
              <w:wordWrap w:val="0"/>
              <w:rPr>
                <w:rFonts w:hint="eastAsia"/>
              </w:rPr>
            </w:pPr>
            <w:r>
              <w:rPr>
                <w:rFonts w:hint="eastAsia"/>
              </w:rPr>
              <w:t>基金投资</w:t>
            </w:r>
          </w:p>
        </w:tc>
        <w:tc>
          <w:tcPr>
            <w:tcW w:w="2252" w:type="dxa"/>
            <w:tcBorders>
              <w:top w:val="single" w:sz="8" w:space="0" w:color="000000"/>
              <w:left w:val="single" w:sz="8" w:space="0" w:color="000000"/>
              <w:bottom w:val="single" w:sz="8" w:space="0" w:color="000000"/>
              <w:right w:val="single" w:sz="8" w:space="0" w:color="000000"/>
            </w:tcBorders>
            <w:vAlign w:val="center"/>
          </w:tcPr>
          <w:p w14:paraId="2789FD07" w14:textId="567E2621" w:rsidR="005B7208" w:rsidRDefault="005B7208" w:rsidP="005B7208">
            <w:pPr>
              <w:pStyle w:val="biaogeright"/>
              <w:wordWrap w:val="0"/>
              <w:rPr>
                <w:rFonts w:hint="eastAsia"/>
              </w:rPr>
            </w:pPr>
            <w:r w:rsidRPr="00206ABF">
              <w:rPr>
                <w:rFonts w:hAnsi="等线"/>
                <w:color w:val="000000"/>
              </w:rPr>
              <w:t>-</w:t>
            </w:r>
          </w:p>
        </w:tc>
        <w:tc>
          <w:tcPr>
            <w:tcW w:w="2494" w:type="dxa"/>
            <w:tcBorders>
              <w:top w:val="single" w:sz="8" w:space="0" w:color="000000"/>
              <w:left w:val="single" w:sz="8" w:space="0" w:color="000000"/>
              <w:bottom w:val="single" w:sz="8" w:space="0" w:color="000000"/>
              <w:right w:val="single" w:sz="8" w:space="0" w:color="000000"/>
            </w:tcBorders>
            <w:vAlign w:val="center"/>
          </w:tcPr>
          <w:p w14:paraId="73BCCE55" w14:textId="4089AC2F" w:rsidR="005B7208" w:rsidRDefault="005B7208" w:rsidP="005B7208">
            <w:pPr>
              <w:pStyle w:val="biaogeright"/>
              <w:wordWrap w:val="0"/>
              <w:rPr>
                <w:rFonts w:hint="eastAsia"/>
              </w:rPr>
            </w:pPr>
            <w:r w:rsidRPr="00206ABF">
              <w:rPr>
                <w:rFonts w:hAnsi="等线"/>
                <w:color w:val="000000"/>
              </w:rPr>
              <w:t>-</w:t>
            </w:r>
          </w:p>
        </w:tc>
      </w:tr>
      <w:tr w:rsidR="005B7208" w14:paraId="7C8D468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672F05A" w14:textId="77777777" w:rsidR="005B7208" w:rsidRDefault="005B7208" w:rsidP="005B7208">
            <w:pPr>
              <w:pStyle w:val="biaogecenter"/>
              <w:wordWrap w:val="0"/>
              <w:rPr>
                <w:rFonts w:hint="eastAsia"/>
              </w:rPr>
            </w:pPr>
            <w:r>
              <w:rPr>
                <w:rFonts w:hAnsi="等线" w:hint="eastAsia"/>
                <w:color w:val="000000"/>
              </w:rPr>
              <w:lastRenderedPageBreak/>
              <w:t>3</w:t>
            </w:r>
          </w:p>
        </w:tc>
        <w:tc>
          <w:tcPr>
            <w:tcW w:w="2906" w:type="dxa"/>
            <w:tcBorders>
              <w:top w:val="single" w:sz="8" w:space="0" w:color="000000"/>
              <w:left w:val="single" w:sz="8" w:space="0" w:color="000000"/>
              <w:bottom w:val="single" w:sz="6" w:space="0" w:color="000000"/>
              <w:right w:val="single" w:sz="8" w:space="0" w:color="000000"/>
            </w:tcBorders>
            <w:vAlign w:val="center"/>
          </w:tcPr>
          <w:p w14:paraId="727B75AC" w14:textId="77777777" w:rsidR="005B7208" w:rsidRDefault="005B7208" w:rsidP="005B7208">
            <w:pPr>
              <w:pStyle w:val="biaogeleft"/>
              <w:wordWrap w:val="0"/>
              <w:rPr>
                <w:rFonts w:hint="eastAsia"/>
              </w:rPr>
            </w:pPr>
            <w:r>
              <w:rPr>
                <w:rFonts w:hint="eastAsia"/>
              </w:rPr>
              <w:t>固定收益投资</w:t>
            </w:r>
          </w:p>
        </w:tc>
        <w:tc>
          <w:tcPr>
            <w:tcW w:w="2252" w:type="dxa"/>
            <w:tcBorders>
              <w:top w:val="single" w:sz="8" w:space="0" w:color="000000"/>
              <w:left w:val="single" w:sz="8" w:space="0" w:color="000000"/>
              <w:bottom w:val="single" w:sz="8" w:space="0" w:color="000000"/>
              <w:right w:val="single" w:sz="8" w:space="0" w:color="000000"/>
            </w:tcBorders>
            <w:vAlign w:val="center"/>
          </w:tcPr>
          <w:p w14:paraId="055E448B" w14:textId="7C9F6C00" w:rsidR="005B7208" w:rsidRDefault="005B7208" w:rsidP="005B7208">
            <w:pPr>
              <w:pStyle w:val="biaogeright"/>
              <w:wordWrap w:val="0"/>
              <w:rPr>
                <w:rFonts w:hint="eastAsia"/>
              </w:rPr>
            </w:pPr>
            <w:r w:rsidRPr="00206ABF">
              <w:rPr>
                <w:rFonts w:hAnsi="等线"/>
                <w:color w:val="000000"/>
              </w:rPr>
              <w:t>403,589.26</w:t>
            </w:r>
          </w:p>
        </w:tc>
        <w:tc>
          <w:tcPr>
            <w:tcW w:w="2494" w:type="dxa"/>
            <w:tcBorders>
              <w:top w:val="single" w:sz="8" w:space="0" w:color="000000"/>
              <w:left w:val="single" w:sz="8" w:space="0" w:color="000000"/>
              <w:bottom w:val="single" w:sz="8" w:space="0" w:color="000000"/>
              <w:right w:val="single" w:sz="8" w:space="0" w:color="000000"/>
            </w:tcBorders>
            <w:vAlign w:val="center"/>
          </w:tcPr>
          <w:p w14:paraId="0C78421F" w14:textId="0AFF2F8B" w:rsidR="005B7208" w:rsidRDefault="005B7208" w:rsidP="005B7208">
            <w:pPr>
              <w:pStyle w:val="biaogeright"/>
              <w:wordWrap w:val="0"/>
              <w:rPr>
                <w:rFonts w:hint="eastAsia"/>
              </w:rPr>
            </w:pPr>
            <w:r w:rsidRPr="00206ABF">
              <w:rPr>
                <w:rFonts w:hAnsi="等线"/>
                <w:color w:val="000000"/>
              </w:rPr>
              <w:t>6.01</w:t>
            </w:r>
          </w:p>
        </w:tc>
      </w:tr>
      <w:tr w:rsidR="005B7208" w14:paraId="189A106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2D76369" w14:textId="77777777" w:rsidR="005B7208" w:rsidRDefault="005B7208" w:rsidP="005B7208">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tcPr>
          <w:p w14:paraId="2C0DA02B" w14:textId="77777777" w:rsidR="005B7208" w:rsidRDefault="005B7208" w:rsidP="005B7208">
            <w:pPr>
              <w:pStyle w:val="biaogeleft"/>
              <w:wordWrap w:val="0"/>
              <w:rPr>
                <w:rFonts w:hint="eastAsia"/>
              </w:rPr>
            </w:pPr>
            <w:r>
              <w:rPr>
                <w:rFonts w:hint="eastAsia"/>
              </w:rPr>
              <w:t>其中：债券</w:t>
            </w:r>
          </w:p>
        </w:tc>
        <w:tc>
          <w:tcPr>
            <w:tcW w:w="2252" w:type="dxa"/>
            <w:tcBorders>
              <w:top w:val="single" w:sz="8" w:space="0" w:color="000000"/>
              <w:left w:val="single" w:sz="8" w:space="0" w:color="000000"/>
              <w:bottom w:val="single" w:sz="8" w:space="0" w:color="000000"/>
              <w:right w:val="single" w:sz="8" w:space="0" w:color="000000"/>
            </w:tcBorders>
            <w:vAlign w:val="center"/>
          </w:tcPr>
          <w:p w14:paraId="21C6501D" w14:textId="7ACF9E91" w:rsidR="005B7208" w:rsidRDefault="005B7208" w:rsidP="005B7208">
            <w:pPr>
              <w:pStyle w:val="biaogeright"/>
              <w:wordWrap w:val="0"/>
              <w:rPr>
                <w:rFonts w:hint="eastAsia"/>
              </w:rPr>
            </w:pPr>
            <w:r w:rsidRPr="00206ABF">
              <w:rPr>
                <w:rFonts w:hAnsi="等线"/>
                <w:color w:val="000000"/>
              </w:rPr>
              <w:t>403,589.26</w:t>
            </w:r>
          </w:p>
        </w:tc>
        <w:tc>
          <w:tcPr>
            <w:tcW w:w="2494" w:type="dxa"/>
            <w:tcBorders>
              <w:top w:val="single" w:sz="8" w:space="0" w:color="000000"/>
              <w:left w:val="single" w:sz="8" w:space="0" w:color="000000"/>
              <w:bottom w:val="single" w:sz="8" w:space="0" w:color="000000"/>
              <w:right w:val="single" w:sz="8" w:space="0" w:color="000000"/>
            </w:tcBorders>
            <w:vAlign w:val="center"/>
          </w:tcPr>
          <w:p w14:paraId="4FFC2EBE" w14:textId="0A030DED" w:rsidR="005B7208" w:rsidRDefault="005B7208" w:rsidP="005B7208">
            <w:pPr>
              <w:pStyle w:val="biaogeright"/>
              <w:wordWrap w:val="0"/>
              <w:rPr>
                <w:rFonts w:hint="eastAsia"/>
              </w:rPr>
            </w:pPr>
            <w:r w:rsidRPr="00206ABF">
              <w:rPr>
                <w:rFonts w:hAnsi="等线"/>
                <w:color w:val="000000"/>
              </w:rPr>
              <w:t>6.01</w:t>
            </w:r>
          </w:p>
        </w:tc>
      </w:tr>
      <w:tr w:rsidR="005B7208" w14:paraId="7606DB2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9752AE5" w14:textId="77777777" w:rsidR="005B7208" w:rsidRDefault="005B7208" w:rsidP="005B7208">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tcPr>
          <w:p w14:paraId="4EFB725A" w14:textId="77777777" w:rsidR="005B7208" w:rsidRDefault="005B7208" w:rsidP="005B7208">
            <w:pPr>
              <w:pStyle w:val="biaogeleft"/>
              <w:wordWrap w:val="0"/>
              <w:ind w:left="750"/>
              <w:rPr>
                <w:rFonts w:hint="eastAsia"/>
              </w:rPr>
            </w:pPr>
            <w:r>
              <w:rPr>
                <w:rFonts w:hint="eastAsia"/>
              </w:rPr>
              <w:t>资产支持证券</w:t>
            </w:r>
          </w:p>
        </w:tc>
        <w:tc>
          <w:tcPr>
            <w:tcW w:w="2252" w:type="dxa"/>
            <w:tcBorders>
              <w:top w:val="single" w:sz="8" w:space="0" w:color="000000"/>
              <w:left w:val="single" w:sz="8" w:space="0" w:color="000000"/>
              <w:bottom w:val="single" w:sz="8" w:space="0" w:color="000000"/>
              <w:right w:val="single" w:sz="8" w:space="0" w:color="000000"/>
            </w:tcBorders>
            <w:vAlign w:val="center"/>
          </w:tcPr>
          <w:p w14:paraId="1F5EB466" w14:textId="3239EA48" w:rsidR="005B7208" w:rsidRDefault="005B7208" w:rsidP="005B7208">
            <w:pPr>
              <w:pStyle w:val="biaogeright"/>
              <w:wordWrap w:val="0"/>
              <w:rPr>
                <w:rFonts w:hint="eastAsia"/>
              </w:rPr>
            </w:pPr>
            <w:r w:rsidRPr="00206ABF">
              <w:rPr>
                <w:rFonts w:hAnsi="等线"/>
                <w:color w:val="000000"/>
              </w:rPr>
              <w:t>-</w:t>
            </w:r>
          </w:p>
        </w:tc>
        <w:tc>
          <w:tcPr>
            <w:tcW w:w="2494" w:type="dxa"/>
            <w:tcBorders>
              <w:top w:val="single" w:sz="8" w:space="0" w:color="000000"/>
              <w:left w:val="single" w:sz="8" w:space="0" w:color="000000"/>
              <w:bottom w:val="single" w:sz="8" w:space="0" w:color="000000"/>
              <w:right w:val="single" w:sz="8" w:space="0" w:color="000000"/>
            </w:tcBorders>
            <w:vAlign w:val="center"/>
          </w:tcPr>
          <w:p w14:paraId="0F3B6E65" w14:textId="72DD93EF" w:rsidR="005B7208" w:rsidRDefault="005B7208" w:rsidP="005B7208">
            <w:pPr>
              <w:pStyle w:val="biaogeright"/>
              <w:wordWrap w:val="0"/>
              <w:rPr>
                <w:rFonts w:hint="eastAsia"/>
              </w:rPr>
            </w:pPr>
            <w:r w:rsidRPr="00206ABF">
              <w:rPr>
                <w:rFonts w:hAnsi="等线"/>
                <w:color w:val="000000"/>
              </w:rPr>
              <w:t>-</w:t>
            </w:r>
          </w:p>
        </w:tc>
      </w:tr>
      <w:tr w:rsidR="005B7208" w14:paraId="68589AF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012456F" w14:textId="77777777" w:rsidR="005B7208" w:rsidRDefault="005B7208" w:rsidP="005B7208">
            <w:pPr>
              <w:pStyle w:val="biaogecenter"/>
              <w:wordWrap w:val="0"/>
              <w:rPr>
                <w:rFonts w:hint="eastAsia"/>
              </w:rPr>
            </w:pPr>
            <w:r>
              <w:rPr>
                <w:rFonts w:hAnsi="等线" w:hint="eastAsia"/>
                <w:color w:val="000000"/>
              </w:rPr>
              <w:t>4</w:t>
            </w:r>
          </w:p>
        </w:tc>
        <w:tc>
          <w:tcPr>
            <w:tcW w:w="2906" w:type="dxa"/>
            <w:tcBorders>
              <w:top w:val="single" w:sz="8" w:space="0" w:color="000000"/>
              <w:left w:val="single" w:sz="8" w:space="0" w:color="000000"/>
              <w:bottom w:val="single" w:sz="6" w:space="0" w:color="000000"/>
              <w:right w:val="single" w:sz="8" w:space="0" w:color="000000"/>
            </w:tcBorders>
            <w:vAlign w:val="center"/>
          </w:tcPr>
          <w:p w14:paraId="57FE53EB" w14:textId="77777777" w:rsidR="005B7208" w:rsidRDefault="005B7208" w:rsidP="005B7208">
            <w:pPr>
              <w:pStyle w:val="biaogeleft"/>
              <w:wordWrap w:val="0"/>
              <w:rPr>
                <w:rFonts w:hint="eastAsia"/>
              </w:rPr>
            </w:pPr>
            <w:r>
              <w:rPr>
                <w:rFonts w:hint="eastAsia"/>
              </w:rPr>
              <w:t>贵金属投资</w:t>
            </w:r>
          </w:p>
        </w:tc>
        <w:tc>
          <w:tcPr>
            <w:tcW w:w="2252" w:type="dxa"/>
            <w:tcBorders>
              <w:top w:val="single" w:sz="8" w:space="0" w:color="000000"/>
              <w:left w:val="single" w:sz="8" w:space="0" w:color="000000"/>
              <w:bottom w:val="single" w:sz="8" w:space="0" w:color="000000"/>
              <w:right w:val="single" w:sz="8" w:space="0" w:color="000000"/>
            </w:tcBorders>
            <w:vAlign w:val="center"/>
          </w:tcPr>
          <w:p w14:paraId="52E638BC" w14:textId="3981387A" w:rsidR="005B7208" w:rsidRDefault="005B7208" w:rsidP="005B7208">
            <w:pPr>
              <w:pStyle w:val="biaogeright"/>
              <w:wordWrap w:val="0"/>
              <w:rPr>
                <w:rFonts w:hint="eastAsia"/>
              </w:rPr>
            </w:pPr>
            <w:r w:rsidRPr="00206ABF">
              <w:rPr>
                <w:rFonts w:hAnsi="等线"/>
                <w:color w:val="000000"/>
              </w:rPr>
              <w:t>-</w:t>
            </w:r>
          </w:p>
        </w:tc>
        <w:tc>
          <w:tcPr>
            <w:tcW w:w="2494" w:type="dxa"/>
            <w:tcBorders>
              <w:top w:val="single" w:sz="8" w:space="0" w:color="000000"/>
              <w:left w:val="single" w:sz="8" w:space="0" w:color="000000"/>
              <w:bottom w:val="single" w:sz="8" w:space="0" w:color="000000"/>
              <w:right w:val="single" w:sz="8" w:space="0" w:color="000000"/>
            </w:tcBorders>
            <w:vAlign w:val="center"/>
          </w:tcPr>
          <w:p w14:paraId="651B6E05" w14:textId="2D607584" w:rsidR="005B7208" w:rsidRDefault="005B7208" w:rsidP="005B7208">
            <w:pPr>
              <w:pStyle w:val="biaogeright"/>
              <w:wordWrap w:val="0"/>
              <w:rPr>
                <w:rFonts w:hint="eastAsia"/>
              </w:rPr>
            </w:pPr>
            <w:r w:rsidRPr="00206ABF">
              <w:rPr>
                <w:rFonts w:hAnsi="等线"/>
                <w:color w:val="000000"/>
              </w:rPr>
              <w:t>-</w:t>
            </w:r>
          </w:p>
        </w:tc>
      </w:tr>
      <w:tr w:rsidR="005B7208" w14:paraId="0159CA6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A3DFE2D" w14:textId="77777777" w:rsidR="005B7208" w:rsidRDefault="005B7208" w:rsidP="005B7208">
            <w:pPr>
              <w:pStyle w:val="biaogecenter"/>
              <w:wordWrap w:val="0"/>
              <w:rPr>
                <w:rFonts w:hint="eastAsia"/>
              </w:rPr>
            </w:pPr>
            <w:r>
              <w:rPr>
                <w:rFonts w:hAnsi="等线" w:hint="eastAsia"/>
                <w:color w:val="000000"/>
              </w:rPr>
              <w:t>5</w:t>
            </w:r>
          </w:p>
        </w:tc>
        <w:tc>
          <w:tcPr>
            <w:tcW w:w="2906" w:type="dxa"/>
            <w:tcBorders>
              <w:top w:val="single" w:sz="8" w:space="0" w:color="000000"/>
              <w:left w:val="single" w:sz="8" w:space="0" w:color="000000"/>
              <w:bottom w:val="single" w:sz="6" w:space="0" w:color="000000"/>
              <w:right w:val="single" w:sz="8" w:space="0" w:color="000000"/>
            </w:tcBorders>
            <w:vAlign w:val="center"/>
          </w:tcPr>
          <w:p w14:paraId="274CD546" w14:textId="77777777" w:rsidR="005B7208" w:rsidRDefault="005B7208" w:rsidP="005B7208">
            <w:pPr>
              <w:pStyle w:val="biaogeleft"/>
              <w:wordWrap w:val="0"/>
              <w:rPr>
                <w:rFonts w:hint="eastAsia"/>
              </w:rPr>
            </w:pPr>
            <w:r>
              <w:rPr>
                <w:rFonts w:hint="eastAsia"/>
              </w:rPr>
              <w:t>金融衍生品投资</w:t>
            </w:r>
          </w:p>
        </w:tc>
        <w:tc>
          <w:tcPr>
            <w:tcW w:w="2252" w:type="dxa"/>
            <w:tcBorders>
              <w:top w:val="single" w:sz="8" w:space="0" w:color="000000"/>
              <w:left w:val="single" w:sz="8" w:space="0" w:color="000000"/>
              <w:bottom w:val="single" w:sz="8" w:space="0" w:color="000000"/>
              <w:right w:val="single" w:sz="8" w:space="0" w:color="000000"/>
            </w:tcBorders>
            <w:vAlign w:val="center"/>
          </w:tcPr>
          <w:p w14:paraId="499E9880" w14:textId="68891095" w:rsidR="005B7208" w:rsidRDefault="005B7208" w:rsidP="005B7208">
            <w:pPr>
              <w:pStyle w:val="biaogeright"/>
              <w:wordWrap w:val="0"/>
              <w:rPr>
                <w:rFonts w:hint="eastAsia"/>
              </w:rPr>
            </w:pPr>
            <w:r w:rsidRPr="00206ABF">
              <w:rPr>
                <w:rFonts w:hAnsi="等线"/>
                <w:color w:val="000000"/>
              </w:rPr>
              <w:t>-</w:t>
            </w:r>
          </w:p>
        </w:tc>
        <w:tc>
          <w:tcPr>
            <w:tcW w:w="2494" w:type="dxa"/>
            <w:tcBorders>
              <w:top w:val="single" w:sz="8" w:space="0" w:color="000000"/>
              <w:left w:val="single" w:sz="8" w:space="0" w:color="000000"/>
              <w:bottom w:val="single" w:sz="8" w:space="0" w:color="000000"/>
              <w:right w:val="single" w:sz="8" w:space="0" w:color="000000"/>
            </w:tcBorders>
            <w:vAlign w:val="center"/>
          </w:tcPr>
          <w:p w14:paraId="644D3792" w14:textId="6D4E16D7" w:rsidR="005B7208" w:rsidRDefault="005B7208" w:rsidP="005B7208">
            <w:pPr>
              <w:pStyle w:val="biaogeright"/>
              <w:wordWrap w:val="0"/>
              <w:rPr>
                <w:rFonts w:hint="eastAsia"/>
              </w:rPr>
            </w:pPr>
            <w:r w:rsidRPr="00206ABF">
              <w:rPr>
                <w:rFonts w:hAnsi="等线"/>
                <w:color w:val="000000"/>
              </w:rPr>
              <w:t>-</w:t>
            </w:r>
          </w:p>
        </w:tc>
      </w:tr>
      <w:tr w:rsidR="005B7208" w14:paraId="00FE4BB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CB6E6F9" w14:textId="77777777" w:rsidR="005B7208" w:rsidRDefault="005B7208" w:rsidP="005B7208">
            <w:pPr>
              <w:pStyle w:val="biaogecenter"/>
              <w:wordWrap w:val="0"/>
              <w:rPr>
                <w:rFonts w:hint="eastAsia"/>
              </w:rPr>
            </w:pPr>
            <w:r>
              <w:rPr>
                <w:rFonts w:hAnsi="等线" w:hint="eastAsia"/>
                <w:color w:val="000000"/>
              </w:rPr>
              <w:t>6</w:t>
            </w:r>
          </w:p>
        </w:tc>
        <w:tc>
          <w:tcPr>
            <w:tcW w:w="2906" w:type="dxa"/>
            <w:tcBorders>
              <w:top w:val="single" w:sz="8" w:space="0" w:color="000000"/>
              <w:left w:val="single" w:sz="8" w:space="0" w:color="000000"/>
              <w:bottom w:val="single" w:sz="6" w:space="0" w:color="000000"/>
              <w:right w:val="single" w:sz="8" w:space="0" w:color="000000"/>
            </w:tcBorders>
            <w:vAlign w:val="center"/>
          </w:tcPr>
          <w:p w14:paraId="3FC7CD94" w14:textId="77777777" w:rsidR="005B7208" w:rsidRDefault="005B7208" w:rsidP="005B7208">
            <w:pPr>
              <w:pStyle w:val="biaogeleft"/>
              <w:wordWrap w:val="0"/>
              <w:rPr>
                <w:rFonts w:hint="eastAsia"/>
              </w:rPr>
            </w:pPr>
            <w:r>
              <w:rPr>
                <w:rFonts w:hint="eastAsia"/>
              </w:rPr>
              <w:t>买入返售金融资产</w:t>
            </w:r>
          </w:p>
        </w:tc>
        <w:tc>
          <w:tcPr>
            <w:tcW w:w="2252" w:type="dxa"/>
            <w:tcBorders>
              <w:top w:val="single" w:sz="8" w:space="0" w:color="000000"/>
              <w:left w:val="single" w:sz="8" w:space="0" w:color="000000"/>
              <w:bottom w:val="single" w:sz="8" w:space="0" w:color="000000"/>
              <w:right w:val="single" w:sz="8" w:space="0" w:color="000000"/>
            </w:tcBorders>
            <w:vAlign w:val="center"/>
          </w:tcPr>
          <w:p w14:paraId="6F26742A" w14:textId="67CF39D4" w:rsidR="005B7208" w:rsidRDefault="005B7208" w:rsidP="005B7208">
            <w:pPr>
              <w:pStyle w:val="biaogeright"/>
              <w:wordWrap w:val="0"/>
              <w:rPr>
                <w:rFonts w:hint="eastAsia"/>
              </w:rPr>
            </w:pPr>
            <w:r w:rsidRPr="00206ABF">
              <w:rPr>
                <w:rFonts w:hAnsi="等线"/>
                <w:color w:val="000000"/>
              </w:rPr>
              <w:t>-</w:t>
            </w:r>
          </w:p>
        </w:tc>
        <w:tc>
          <w:tcPr>
            <w:tcW w:w="2494" w:type="dxa"/>
            <w:tcBorders>
              <w:top w:val="single" w:sz="8" w:space="0" w:color="000000"/>
              <w:left w:val="single" w:sz="8" w:space="0" w:color="000000"/>
              <w:bottom w:val="single" w:sz="8" w:space="0" w:color="000000"/>
              <w:right w:val="single" w:sz="8" w:space="0" w:color="000000"/>
            </w:tcBorders>
            <w:vAlign w:val="center"/>
          </w:tcPr>
          <w:p w14:paraId="31436173" w14:textId="13EA6072" w:rsidR="005B7208" w:rsidRDefault="005B7208" w:rsidP="005B7208">
            <w:pPr>
              <w:pStyle w:val="biaogeright"/>
              <w:wordWrap w:val="0"/>
              <w:rPr>
                <w:rFonts w:hint="eastAsia"/>
              </w:rPr>
            </w:pPr>
            <w:r w:rsidRPr="00206ABF">
              <w:rPr>
                <w:rFonts w:hAnsi="等线"/>
                <w:color w:val="000000"/>
              </w:rPr>
              <w:t>-</w:t>
            </w:r>
          </w:p>
        </w:tc>
      </w:tr>
      <w:tr w:rsidR="005B7208" w14:paraId="3636970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6ABD4F8" w14:textId="77777777" w:rsidR="005B7208" w:rsidRDefault="005B7208" w:rsidP="005B7208">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tcPr>
          <w:p w14:paraId="791602FC" w14:textId="77777777" w:rsidR="005B7208" w:rsidRDefault="005B7208" w:rsidP="005B7208">
            <w:pPr>
              <w:pStyle w:val="biaogeleft"/>
              <w:wordWrap w:val="0"/>
              <w:rPr>
                <w:rFonts w:hint="eastAsia"/>
              </w:rPr>
            </w:pPr>
            <w:r>
              <w:rPr>
                <w:rFonts w:hint="eastAsia"/>
              </w:rPr>
              <w:t>其中：买断式回购的买入返售金融资产</w:t>
            </w:r>
          </w:p>
        </w:tc>
        <w:tc>
          <w:tcPr>
            <w:tcW w:w="2252" w:type="dxa"/>
            <w:tcBorders>
              <w:top w:val="single" w:sz="8" w:space="0" w:color="000000"/>
              <w:left w:val="single" w:sz="8" w:space="0" w:color="000000"/>
              <w:bottom w:val="single" w:sz="8" w:space="0" w:color="000000"/>
              <w:right w:val="single" w:sz="8" w:space="0" w:color="000000"/>
            </w:tcBorders>
            <w:vAlign w:val="center"/>
          </w:tcPr>
          <w:p w14:paraId="5C7D817F" w14:textId="2182B482" w:rsidR="005B7208" w:rsidRDefault="005B7208" w:rsidP="005B7208">
            <w:pPr>
              <w:pStyle w:val="biaogeright"/>
              <w:wordWrap w:val="0"/>
              <w:rPr>
                <w:rFonts w:hint="eastAsia"/>
              </w:rPr>
            </w:pPr>
            <w:r w:rsidRPr="00206ABF">
              <w:rPr>
                <w:rFonts w:hAnsi="等线"/>
                <w:color w:val="000000"/>
              </w:rPr>
              <w:t>-</w:t>
            </w:r>
          </w:p>
        </w:tc>
        <w:tc>
          <w:tcPr>
            <w:tcW w:w="2494" w:type="dxa"/>
            <w:tcBorders>
              <w:top w:val="single" w:sz="8" w:space="0" w:color="000000"/>
              <w:left w:val="single" w:sz="8" w:space="0" w:color="000000"/>
              <w:bottom w:val="single" w:sz="8" w:space="0" w:color="000000"/>
              <w:right w:val="single" w:sz="8" w:space="0" w:color="000000"/>
            </w:tcBorders>
            <w:vAlign w:val="center"/>
          </w:tcPr>
          <w:p w14:paraId="55DDBA08" w14:textId="2E539075" w:rsidR="005B7208" w:rsidRDefault="005B7208" w:rsidP="005B7208">
            <w:pPr>
              <w:pStyle w:val="biaogeright"/>
              <w:wordWrap w:val="0"/>
              <w:rPr>
                <w:rFonts w:hint="eastAsia"/>
              </w:rPr>
            </w:pPr>
            <w:r w:rsidRPr="00206ABF">
              <w:rPr>
                <w:rFonts w:hAnsi="等线"/>
                <w:color w:val="000000"/>
              </w:rPr>
              <w:t>-</w:t>
            </w:r>
          </w:p>
        </w:tc>
      </w:tr>
      <w:tr w:rsidR="005B7208" w14:paraId="6E2E447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74CC461" w14:textId="77777777" w:rsidR="005B7208" w:rsidRDefault="005B7208" w:rsidP="005B7208">
            <w:pPr>
              <w:pStyle w:val="biaogecenter"/>
              <w:wordWrap w:val="0"/>
              <w:rPr>
                <w:rFonts w:hint="eastAsia"/>
              </w:rPr>
            </w:pPr>
            <w:r>
              <w:rPr>
                <w:rFonts w:hAnsi="等线" w:hint="eastAsia"/>
                <w:color w:val="000000"/>
              </w:rPr>
              <w:t>7</w:t>
            </w:r>
          </w:p>
        </w:tc>
        <w:tc>
          <w:tcPr>
            <w:tcW w:w="2906" w:type="dxa"/>
            <w:tcBorders>
              <w:top w:val="single" w:sz="8" w:space="0" w:color="000000"/>
              <w:left w:val="single" w:sz="8" w:space="0" w:color="000000"/>
              <w:bottom w:val="single" w:sz="6" w:space="0" w:color="000000"/>
              <w:right w:val="single" w:sz="8" w:space="0" w:color="000000"/>
            </w:tcBorders>
            <w:vAlign w:val="center"/>
          </w:tcPr>
          <w:p w14:paraId="0716991B" w14:textId="77777777" w:rsidR="005B7208" w:rsidRDefault="005B7208" w:rsidP="005B7208">
            <w:pPr>
              <w:pStyle w:val="biaogeleft"/>
              <w:wordWrap w:val="0"/>
              <w:rPr>
                <w:rFonts w:hint="eastAsia"/>
              </w:rPr>
            </w:pPr>
            <w:r>
              <w:rPr>
                <w:rFonts w:hint="eastAsia"/>
              </w:rPr>
              <w:t>银行存款和结算备付金合计</w:t>
            </w:r>
          </w:p>
        </w:tc>
        <w:tc>
          <w:tcPr>
            <w:tcW w:w="2252" w:type="dxa"/>
            <w:tcBorders>
              <w:top w:val="single" w:sz="8" w:space="0" w:color="000000"/>
              <w:left w:val="single" w:sz="8" w:space="0" w:color="000000"/>
              <w:bottom w:val="single" w:sz="8" w:space="0" w:color="000000"/>
              <w:right w:val="single" w:sz="8" w:space="0" w:color="000000"/>
            </w:tcBorders>
            <w:vAlign w:val="center"/>
          </w:tcPr>
          <w:p w14:paraId="08FC4873" w14:textId="56D998F1" w:rsidR="005B7208" w:rsidRDefault="005B7208" w:rsidP="005B7208">
            <w:pPr>
              <w:pStyle w:val="biaogeright"/>
              <w:wordWrap w:val="0"/>
              <w:rPr>
                <w:rFonts w:hint="eastAsia"/>
              </w:rPr>
            </w:pPr>
            <w:r w:rsidRPr="00206ABF">
              <w:rPr>
                <w:rFonts w:hAnsi="等线"/>
                <w:color w:val="000000"/>
              </w:rPr>
              <w:t>393,833.75</w:t>
            </w:r>
          </w:p>
        </w:tc>
        <w:tc>
          <w:tcPr>
            <w:tcW w:w="2494" w:type="dxa"/>
            <w:tcBorders>
              <w:top w:val="single" w:sz="8" w:space="0" w:color="000000"/>
              <w:left w:val="single" w:sz="8" w:space="0" w:color="000000"/>
              <w:bottom w:val="single" w:sz="8" w:space="0" w:color="000000"/>
              <w:right w:val="single" w:sz="8" w:space="0" w:color="000000"/>
            </w:tcBorders>
            <w:vAlign w:val="center"/>
          </w:tcPr>
          <w:p w14:paraId="51741AA0" w14:textId="74CD377B" w:rsidR="005B7208" w:rsidRDefault="005B7208" w:rsidP="005B7208">
            <w:pPr>
              <w:pStyle w:val="biaogeright"/>
              <w:wordWrap w:val="0"/>
              <w:rPr>
                <w:rFonts w:hint="eastAsia"/>
              </w:rPr>
            </w:pPr>
            <w:r w:rsidRPr="00206ABF">
              <w:rPr>
                <w:rFonts w:hAnsi="等线"/>
                <w:color w:val="000000"/>
              </w:rPr>
              <w:t>5.87</w:t>
            </w:r>
          </w:p>
        </w:tc>
      </w:tr>
      <w:tr w:rsidR="005B7208" w14:paraId="7F254D0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00568FE" w14:textId="77777777" w:rsidR="005B7208" w:rsidRDefault="005B7208" w:rsidP="005B7208">
            <w:pPr>
              <w:pStyle w:val="biaogecenter"/>
              <w:wordWrap w:val="0"/>
              <w:rPr>
                <w:rFonts w:hint="eastAsia"/>
              </w:rPr>
            </w:pPr>
            <w:r>
              <w:rPr>
                <w:rFonts w:hAnsi="等线" w:hint="eastAsia"/>
                <w:color w:val="000000"/>
              </w:rPr>
              <w:t>8</w:t>
            </w:r>
          </w:p>
        </w:tc>
        <w:tc>
          <w:tcPr>
            <w:tcW w:w="2906" w:type="dxa"/>
            <w:tcBorders>
              <w:top w:val="single" w:sz="8" w:space="0" w:color="000000"/>
              <w:left w:val="single" w:sz="8" w:space="0" w:color="000000"/>
              <w:bottom w:val="single" w:sz="6" w:space="0" w:color="000000"/>
              <w:right w:val="single" w:sz="8" w:space="0" w:color="000000"/>
            </w:tcBorders>
            <w:vAlign w:val="center"/>
          </w:tcPr>
          <w:p w14:paraId="6A999124" w14:textId="77777777" w:rsidR="005B7208" w:rsidRDefault="005B7208" w:rsidP="005B7208">
            <w:pPr>
              <w:pStyle w:val="biaogeleft"/>
              <w:wordWrap w:val="0"/>
              <w:rPr>
                <w:rFonts w:hint="eastAsia"/>
              </w:rPr>
            </w:pPr>
            <w:r>
              <w:rPr>
                <w:rFonts w:hint="eastAsia"/>
              </w:rPr>
              <w:t>其他资产</w:t>
            </w:r>
          </w:p>
        </w:tc>
        <w:tc>
          <w:tcPr>
            <w:tcW w:w="2252" w:type="dxa"/>
            <w:tcBorders>
              <w:top w:val="single" w:sz="8" w:space="0" w:color="000000"/>
              <w:left w:val="single" w:sz="8" w:space="0" w:color="000000"/>
              <w:bottom w:val="single" w:sz="8" w:space="0" w:color="000000"/>
              <w:right w:val="single" w:sz="8" w:space="0" w:color="000000"/>
            </w:tcBorders>
            <w:vAlign w:val="center"/>
          </w:tcPr>
          <w:p w14:paraId="20620D1D" w14:textId="7FD65307" w:rsidR="005B7208" w:rsidRDefault="005B7208" w:rsidP="005B7208">
            <w:pPr>
              <w:pStyle w:val="biaogeright"/>
              <w:wordWrap w:val="0"/>
              <w:rPr>
                <w:rFonts w:hint="eastAsia"/>
              </w:rPr>
            </w:pPr>
            <w:r w:rsidRPr="00206ABF">
              <w:rPr>
                <w:rFonts w:hAnsi="等线"/>
                <w:color w:val="000000"/>
              </w:rPr>
              <w:t>414,602.18</w:t>
            </w:r>
          </w:p>
        </w:tc>
        <w:tc>
          <w:tcPr>
            <w:tcW w:w="2494" w:type="dxa"/>
            <w:tcBorders>
              <w:top w:val="single" w:sz="8" w:space="0" w:color="000000"/>
              <w:left w:val="single" w:sz="8" w:space="0" w:color="000000"/>
              <w:bottom w:val="single" w:sz="8" w:space="0" w:color="000000"/>
              <w:right w:val="single" w:sz="8" w:space="0" w:color="000000"/>
            </w:tcBorders>
            <w:vAlign w:val="center"/>
          </w:tcPr>
          <w:p w14:paraId="6C9DDC9C" w14:textId="5C3C42BB" w:rsidR="005B7208" w:rsidRDefault="005B7208" w:rsidP="005B7208">
            <w:pPr>
              <w:pStyle w:val="biaogeright"/>
              <w:wordWrap w:val="0"/>
              <w:rPr>
                <w:rFonts w:hint="eastAsia"/>
              </w:rPr>
            </w:pPr>
            <w:r w:rsidRPr="00206ABF">
              <w:rPr>
                <w:rFonts w:hAnsi="等线"/>
                <w:color w:val="000000"/>
              </w:rPr>
              <w:t>6.18</w:t>
            </w:r>
          </w:p>
        </w:tc>
      </w:tr>
      <w:tr w:rsidR="005B7208" w14:paraId="32524DC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508BEDD" w14:textId="77777777" w:rsidR="005B7208" w:rsidRDefault="005B7208" w:rsidP="005B7208">
            <w:pPr>
              <w:pStyle w:val="biaogecenter"/>
              <w:wordWrap w:val="0"/>
              <w:rPr>
                <w:rFonts w:hint="eastAsia"/>
              </w:rPr>
            </w:pPr>
            <w:r>
              <w:rPr>
                <w:rFonts w:hint="eastAsia"/>
              </w:rPr>
              <w:t>9</w:t>
            </w:r>
          </w:p>
        </w:tc>
        <w:tc>
          <w:tcPr>
            <w:tcW w:w="2906" w:type="dxa"/>
            <w:tcBorders>
              <w:top w:val="single" w:sz="8" w:space="0" w:color="000000"/>
              <w:left w:val="single" w:sz="8" w:space="0" w:color="000000"/>
              <w:bottom w:val="single" w:sz="6" w:space="0" w:color="000000"/>
              <w:right w:val="single" w:sz="8" w:space="0" w:color="000000"/>
            </w:tcBorders>
            <w:vAlign w:val="center"/>
          </w:tcPr>
          <w:p w14:paraId="4B8EFC7A" w14:textId="77777777" w:rsidR="005B7208" w:rsidRDefault="005B7208" w:rsidP="005B7208">
            <w:pPr>
              <w:pStyle w:val="biaogeleft"/>
              <w:wordWrap w:val="0"/>
              <w:rPr>
                <w:rFonts w:hint="eastAsia"/>
              </w:rPr>
            </w:pPr>
            <w:r>
              <w:rPr>
                <w:rFonts w:hint="eastAsia"/>
              </w:rPr>
              <w:t>合计</w:t>
            </w:r>
          </w:p>
        </w:tc>
        <w:tc>
          <w:tcPr>
            <w:tcW w:w="2252" w:type="dxa"/>
            <w:tcBorders>
              <w:top w:val="single" w:sz="8" w:space="0" w:color="000000"/>
              <w:left w:val="single" w:sz="8" w:space="0" w:color="000000"/>
              <w:bottom w:val="single" w:sz="8" w:space="0" w:color="000000"/>
              <w:right w:val="single" w:sz="8" w:space="0" w:color="000000"/>
            </w:tcBorders>
            <w:vAlign w:val="center"/>
          </w:tcPr>
          <w:p w14:paraId="4778A624" w14:textId="0ED8DE46" w:rsidR="005B7208" w:rsidRDefault="005B7208" w:rsidP="005B7208">
            <w:pPr>
              <w:pStyle w:val="biaogeright"/>
              <w:wordWrap w:val="0"/>
              <w:rPr>
                <w:rFonts w:hint="eastAsia"/>
              </w:rPr>
            </w:pPr>
            <w:r w:rsidRPr="00206ABF">
              <w:rPr>
                <w:rFonts w:hAnsi="等线"/>
                <w:color w:val="000000"/>
              </w:rPr>
              <w:t>6,712,770.39</w:t>
            </w:r>
          </w:p>
        </w:tc>
        <w:tc>
          <w:tcPr>
            <w:tcW w:w="2494" w:type="dxa"/>
            <w:tcBorders>
              <w:top w:val="single" w:sz="8" w:space="0" w:color="000000"/>
              <w:left w:val="single" w:sz="8" w:space="0" w:color="000000"/>
              <w:bottom w:val="single" w:sz="8" w:space="0" w:color="000000"/>
              <w:right w:val="single" w:sz="8" w:space="0" w:color="000000"/>
            </w:tcBorders>
            <w:vAlign w:val="center"/>
          </w:tcPr>
          <w:p w14:paraId="7A8A9A67" w14:textId="30D3CAD8" w:rsidR="005B7208" w:rsidRDefault="005B7208" w:rsidP="005B7208">
            <w:pPr>
              <w:pStyle w:val="biaogeright"/>
              <w:wordWrap w:val="0"/>
              <w:rPr>
                <w:rFonts w:hint="eastAsia"/>
              </w:rPr>
            </w:pPr>
            <w:r w:rsidRPr="00206ABF">
              <w:rPr>
                <w:rFonts w:hAnsi="等线"/>
                <w:color w:val="000000"/>
              </w:rPr>
              <w:t>100.00</w:t>
            </w:r>
          </w:p>
        </w:tc>
      </w:tr>
    </w:tbl>
    <w:p w14:paraId="1A7E24DB"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7458B86D"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bCs/>
          <w:sz w:val="24"/>
          <w:szCs w:val="24"/>
        </w:rPr>
        <w:t>2、报告期末按行业分类的股票投资组合</w:t>
      </w:r>
    </w:p>
    <w:p w14:paraId="0AA829C2" w14:textId="77777777" w:rsidR="008D0810" w:rsidRDefault="00417F9F">
      <w:pPr>
        <w:autoSpaceDE w:val="0"/>
        <w:autoSpaceDN w:val="0"/>
        <w:spacing w:line="360" w:lineRule="auto"/>
        <w:ind w:firstLineChars="150" w:firstLine="36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1）报告期末按行业分类的境内股票投资组合</w:t>
      </w:r>
    </w:p>
    <w:tbl>
      <w:tblPr>
        <w:tblW w:w="0" w:type="auto"/>
        <w:tblInd w:w="108" w:type="dxa"/>
        <w:tblLook w:val="04A0" w:firstRow="1" w:lastRow="0" w:firstColumn="1" w:lastColumn="0" w:noHBand="0" w:noVBand="1"/>
      </w:tblPr>
      <w:tblGrid>
        <w:gridCol w:w="780"/>
        <w:gridCol w:w="3101"/>
        <w:gridCol w:w="1937"/>
        <w:gridCol w:w="2596"/>
      </w:tblGrid>
      <w:tr w:rsidR="008D0810" w14:paraId="2C15A236" w14:textId="77777777">
        <w:tc>
          <w:tcPr>
            <w:tcW w:w="780" w:type="dxa"/>
            <w:tcBorders>
              <w:top w:val="single" w:sz="8" w:space="0" w:color="000000"/>
              <w:left w:val="single" w:sz="8" w:space="0" w:color="000000"/>
              <w:bottom w:val="single" w:sz="6" w:space="0" w:color="000000"/>
              <w:right w:val="single" w:sz="8" w:space="0" w:color="000000"/>
            </w:tcBorders>
            <w:vAlign w:val="center"/>
          </w:tcPr>
          <w:p w14:paraId="7056AA33" w14:textId="77777777" w:rsidR="008D0810" w:rsidRDefault="00417F9F">
            <w:pPr>
              <w:pStyle w:val="biaogecenter"/>
              <w:wordWrap w:val="0"/>
              <w:rPr>
                <w:rFonts w:hint="eastAsia"/>
              </w:rPr>
            </w:pPr>
            <w:r>
              <w:rPr>
                <w:rFonts w:hAnsi="等线" w:hint="eastAsia"/>
                <w:color w:val="000000"/>
              </w:rPr>
              <w:t>代码</w:t>
            </w:r>
          </w:p>
        </w:tc>
        <w:tc>
          <w:tcPr>
            <w:tcW w:w="3101" w:type="dxa"/>
            <w:tcBorders>
              <w:top w:val="single" w:sz="8" w:space="0" w:color="000000"/>
              <w:left w:val="single" w:sz="8" w:space="0" w:color="000000"/>
              <w:bottom w:val="single" w:sz="6" w:space="0" w:color="000000"/>
              <w:right w:val="single" w:sz="8" w:space="0" w:color="000000"/>
            </w:tcBorders>
            <w:vAlign w:val="center"/>
          </w:tcPr>
          <w:p w14:paraId="47CC659B" w14:textId="77777777" w:rsidR="008D0810" w:rsidRDefault="00417F9F">
            <w:pPr>
              <w:pStyle w:val="biaogecenter"/>
              <w:wordWrap w:val="0"/>
              <w:rPr>
                <w:rFonts w:hint="eastAsia"/>
              </w:rPr>
            </w:pPr>
            <w:r>
              <w:rPr>
                <w:rFonts w:hAnsi="等线" w:hint="eastAsia"/>
                <w:color w:val="000000"/>
              </w:rPr>
              <w:t>行业类别</w:t>
            </w:r>
          </w:p>
        </w:tc>
        <w:tc>
          <w:tcPr>
            <w:tcW w:w="1937" w:type="dxa"/>
            <w:tcBorders>
              <w:top w:val="single" w:sz="8" w:space="0" w:color="000000"/>
              <w:left w:val="single" w:sz="8" w:space="0" w:color="000000"/>
              <w:bottom w:val="single" w:sz="6" w:space="0" w:color="000000"/>
              <w:right w:val="single" w:sz="8" w:space="0" w:color="000000"/>
            </w:tcBorders>
            <w:vAlign w:val="center"/>
          </w:tcPr>
          <w:p w14:paraId="0762C78D" w14:textId="77777777" w:rsidR="008D0810" w:rsidRDefault="00417F9F">
            <w:pPr>
              <w:pStyle w:val="biaogecenter"/>
              <w:wordWrap w:val="0"/>
              <w:rPr>
                <w:rFonts w:hint="eastAsia"/>
              </w:rPr>
            </w:pPr>
            <w:r>
              <w:rPr>
                <w:rFonts w:hAnsi="等线" w:hint="eastAsia"/>
                <w:color w:val="000000"/>
              </w:rPr>
              <w:t>公允价值(元)</w:t>
            </w:r>
          </w:p>
        </w:tc>
        <w:tc>
          <w:tcPr>
            <w:tcW w:w="2596" w:type="dxa"/>
            <w:tcBorders>
              <w:top w:val="single" w:sz="8" w:space="0" w:color="000000"/>
              <w:left w:val="single" w:sz="8" w:space="0" w:color="000000"/>
              <w:bottom w:val="single" w:sz="6" w:space="0" w:color="000000"/>
              <w:right w:val="single" w:sz="8" w:space="0" w:color="000000"/>
            </w:tcBorders>
            <w:vAlign w:val="center"/>
          </w:tcPr>
          <w:p w14:paraId="738E1056" w14:textId="77777777" w:rsidR="008D0810" w:rsidRDefault="00417F9F">
            <w:pPr>
              <w:pStyle w:val="biaogecenter"/>
              <w:wordWrap w:val="0"/>
              <w:rPr>
                <w:rFonts w:hint="eastAsia"/>
              </w:rPr>
            </w:pPr>
            <w:r>
              <w:rPr>
                <w:rFonts w:hAnsi="等线" w:hint="eastAsia"/>
                <w:color w:val="000000"/>
              </w:rPr>
              <w:t>占基金资产净值比例（%）</w:t>
            </w:r>
          </w:p>
        </w:tc>
      </w:tr>
      <w:tr w:rsidR="005B7208" w14:paraId="017793E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4FCCBE8" w14:textId="77777777" w:rsidR="005B7208" w:rsidRDefault="005B7208" w:rsidP="005B7208">
            <w:pPr>
              <w:pStyle w:val="biaogecenter"/>
              <w:wordWrap w:val="0"/>
              <w:rPr>
                <w:rFonts w:hint="eastAsia"/>
              </w:rPr>
            </w:pPr>
            <w:r>
              <w:rPr>
                <w:rFonts w:hint="eastAsia"/>
              </w:rPr>
              <w:t>A</w:t>
            </w:r>
          </w:p>
        </w:tc>
        <w:tc>
          <w:tcPr>
            <w:tcW w:w="3101" w:type="dxa"/>
            <w:tcBorders>
              <w:top w:val="single" w:sz="8" w:space="0" w:color="000000"/>
              <w:left w:val="single" w:sz="8" w:space="0" w:color="000000"/>
              <w:bottom w:val="single" w:sz="6" w:space="0" w:color="000000"/>
              <w:right w:val="single" w:sz="8" w:space="0" w:color="000000"/>
            </w:tcBorders>
            <w:vAlign w:val="center"/>
          </w:tcPr>
          <w:p w14:paraId="01275867" w14:textId="77777777" w:rsidR="005B7208" w:rsidRDefault="005B7208" w:rsidP="005B7208">
            <w:pPr>
              <w:pStyle w:val="biaogeleft"/>
              <w:wordWrap w:val="0"/>
              <w:rPr>
                <w:rFonts w:hint="eastAsia"/>
              </w:rPr>
            </w:pPr>
            <w:r>
              <w:rPr>
                <w:rFonts w:hint="eastAsia"/>
              </w:rPr>
              <w:t>农、林、牧、渔业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5D772814" w14:textId="481988C6"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3F497E1A" w14:textId="16A0F8A3" w:rsidR="005B7208" w:rsidRDefault="005B7208" w:rsidP="005B7208">
            <w:pPr>
              <w:pStyle w:val="biaogeright"/>
              <w:wordWrap w:val="0"/>
              <w:rPr>
                <w:rFonts w:hint="eastAsia"/>
              </w:rPr>
            </w:pPr>
            <w:r w:rsidRPr="00206ABF">
              <w:rPr>
                <w:rFonts w:hAnsi="等线"/>
                <w:color w:val="000000"/>
              </w:rPr>
              <w:t>-</w:t>
            </w:r>
          </w:p>
        </w:tc>
      </w:tr>
      <w:tr w:rsidR="005B7208" w14:paraId="2D7C359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37199F9" w14:textId="77777777" w:rsidR="005B7208" w:rsidRDefault="005B7208" w:rsidP="005B7208">
            <w:pPr>
              <w:pStyle w:val="biaogecenter"/>
              <w:wordWrap w:val="0"/>
              <w:rPr>
                <w:rFonts w:hint="eastAsia"/>
              </w:rPr>
            </w:pPr>
            <w:r>
              <w:rPr>
                <w:rFonts w:hint="eastAsia"/>
              </w:rPr>
              <w:t>B</w:t>
            </w:r>
          </w:p>
        </w:tc>
        <w:tc>
          <w:tcPr>
            <w:tcW w:w="3101" w:type="dxa"/>
            <w:tcBorders>
              <w:top w:val="single" w:sz="8" w:space="0" w:color="000000"/>
              <w:left w:val="single" w:sz="8" w:space="0" w:color="000000"/>
              <w:bottom w:val="single" w:sz="6" w:space="0" w:color="000000"/>
              <w:right w:val="single" w:sz="8" w:space="0" w:color="000000"/>
            </w:tcBorders>
            <w:vAlign w:val="center"/>
          </w:tcPr>
          <w:p w14:paraId="182CC0E0" w14:textId="77777777" w:rsidR="005B7208" w:rsidRDefault="005B7208" w:rsidP="005B7208">
            <w:pPr>
              <w:pStyle w:val="biaogeleft"/>
              <w:wordWrap w:val="0"/>
              <w:rPr>
                <w:rFonts w:hint="eastAsia"/>
              </w:rPr>
            </w:pPr>
            <w:r>
              <w:rPr>
                <w:rFonts w:hint="eastAsia"/>
              </w:rPr>
              <w:t>采矿业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07F00108" w14:textId="386F3D7D" w:rsidR="005B7208" w:rsidRDefault="005B7208" w:rsidP="005B7208">
            <w:pPr>
              <w:pStyle w:val="biaogeright"/>
              <w:wordWrap w:val="0"/>
              <w:rPr>
                <w:rFonts w:hint="eastAsia"/>
              </w:rPr>
            </w:pPr>
            <w:r w:rsidRPr="00206ABF">
              <w:rPr>
                <w:rFonts w:hAnsi="等线"/>
                <w:color w:val="000000"/>
              </w:rPr>
              <w:t>374,099.00</w:t>
            </w:r>
          </w:p>
        </w:tc>
        <w:tc>
          <w:tcPr>
            <w:tcW w:w="2596" w:type="dxa"/>
            <w:tcBorders>
              <w:top w:val="single" w:sz="8" w:space="0" w:color="000000"/>
              <w:left w:val="single" w:sz="8" w:space="0" w:color="000000"/>
              <w:bottom w:val="single" w:sz="8" w:space="0" w:color="000000"/>
              <w:right w:val="single" w:sz="8" w:space="0" w:color="000000"/>
            </w:tcBorders>
            <w:vAlign w:val="center"/>
          </w:tcPr>
          <w:p w14:paraId="1D645777" w14:textId="1E96A7B3" w:rsidR="005B7208" w:rsidRDefault="005B7208" w:rsidP="005B7208">
            <w:pPr>
              <w:pStyle w:val="biaogeright"/>
              <w:wordWrap w:val="0"/>
              <w:rPr>
                <w:rFonts w:hint="eastAsia"/>
              </w:rPr>
            </w:pPr>
            <w:r w:rsidRPr="00206ABF">
              <w:rPr>
                <w:rFonts w:hAnsi="等线"/>
                <w:color w:val="000000"/>
              </w:rPr>
              <w:t>6.32</w:t>
            </w:r>
          </w:p>
        </w:tc>
      </w:tr>
      <w:tr w:rsidR="005B7208" w14:paraId="7500663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121A985" w14:textId="77777777" w:rsidR="005B7208" w:rsidRDefault="005B7208" w:rsidP="005B7208">
            <w:pPr>
              <w:pStyle w:val="biaogecenter"/>
              <w:wordWrap w:val="0"/>
              <w:rPr>
                <w:rFonts w:hint="eastAsia"/>
              </w:rPr>
            </w:pPr>
            <w:r>
              <w:rPr>
                <w:rFonts w:hint="eastAsia"/>
              </w:rPr>
              <w:t>C</w:t>
            </w:r>
          </w:p>
        </w:tc>
        <w:tc>
          <w:tcPr>
            <w:tcW w:w="3101" w:type="dxa"/>
            <w:tcBorders>
              <w:top w:val="single" w:sz="8" w:space="0" w:color="000000"/>
              <w:left w:val="single" w:sz="8" w:space="0" w:color="000000"/>
              <w:bottom w:val="single" w:sz="6" w:space="0" w:color="000000"/>
              <w:right w:val="single" w:sz="8" w:space="0" w:color="000000"/>
            </w:tcBorders>
            <w:vAlign w:val="center"/>
          </w:tcPr>
          <w:p w14:paraId="537112DB" w14:textId="77777777" w:rsidR="005B7208" w:rsidRDefault="005B7208" w:rsidP="005B7208">
            <w:pPr>
              <w:pStyle w:val="biaogeleft"/>
              <w:wordWrap w:val="0"/>
              <w:rPr>
                <w:rFonts w:hint="eastAsia"/>
              </w:rPr>
            </w:pPr>
            <w:r>
              <w:rPr>
                <w:rFonts w:hint="eastAsia"/>
              </w:rPr>
              <w:t>制造业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33ED3699" w14:textId="14AC35DA" w:rsidR="005B7208" w:rsidRDefault="005B7208" w:rsidP="005B7208">
            <w:pPr>
              <w:pStyle w:val="biaogeright"/>
              <w:wordWrap w:val="0"/>
              <w:rPr>
                <w:rFonts w:hint="eastAsia"/>
              </w:rPr>
            </w:pPr>
            <w:r w:rsidRPr="00206ABF">
              <w:rPr>
                <w:rFonts w:hAnsi="等线"/>
                <w:color w:val="000000"/>
              </w:rPr>
              <w:t>3,507,791.80</w:t>
            </w:r>
          </w:p>
        </w:tc>
        <w:tc>
          <w:tcPr>
            <w:tcW w:w="2596" w:type="dxa"/>
            <w:tcBorders>
              <w:top w:val="single" w:sz="8" w:space="0" w:color="000000"/>
              <w:left w:val="single" w:sz="8" w:space="0" w:color="000000"/>
              <w:bottom w:val="single" w:sz="8" w:space="0" w:color="000000"/>
              <w:right w:val="single" w:sz="8" w:space="0" w:color="000000"/>
            </w:tcBorders>
            <w:vAlign w:val="center"/>
          </w:tcPr>
          <w:p w14:paraId="2E5459A9" w14:textId="2D9AAC09" w:rsidR="005B7208" w:rsidRDefault="005B7208" w:rsidP="005B7208">
            <w:pPr>
              <w:pStyle w:val="biaogeright"/>
              <w:wordWrap w:val="0"/>
              <w:rPr>
                <w:rFonts w:hint="eastAsia"/>
              </w:rPr>
            </w:pPr>
            <w:r w:rsidRPr="00206ABF">
              <w:rPr>
                <w:rFonts w:hAnsi="等线"/>
                <w:color w:val="000000"/>
              </w:rPr>
              <w:t>59.25</w:t>
            </w:r>
          </w:p>
        </w:tc>
      </w:tr>
      <w:tr w:rsidR="005B7208" w14:paraId="09DAD78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B5DF9D7" w14:textId="77777777" w:rsidR="005B7208" w:rsidRDefault="005B7208" w:rsidP="005B7208">
            <w:pPr>
              <w:pStyle w:val="biaogecenter"/>
              <w:wordWrap w:val="0"/>
              <w:rPr>
                <w:rFonts w:hint="eastAsia"/>
              </w:rPr>
            </w:pPr>
            <w:r>
              <w:rPr>
                <w:rFonts w:hAnsi="等线" w:hint="eastAsia"/>
                <w:color w:val="000000"/>
              </w:rPr>
              <w:t>D</w:t>
            </w:r>
          </w:p>
        </w:tc>
        <w:tc>
          <w:tcPr>
            <w:tcW w:w="3101" w:type="dxa"/>
            <w:tcBorders>
              <w:top w:val="single" w:sz="8" w:space="0" w:color="000000"/>
              <w:left w:val="single" w:sz="8" w:space="0" w:color="000000"/>
              <w:bottom w:val="single" w:sz="6" w:space="0" w:color="000000"/>
              <w:right w:val="single" w:sz="8" w:space="0" w:color="000000"/>
            </w:tcBorders>
            <w:vAlign w:val="center"/>
          </w:tcPr>
          <w:p w14:paraId="4F4666E0" w14:textId="77777777" w:rsidR="005B7208" w:rsidRDefault="005B7208" w:rsidP="005B7208">
            <w:pPr>
              <w:pStyle w:val="biaogeleft"/>
              <w:wordWrap w:val="0"/>
              <w:rPr>
                <w:rFonts w:hint="eastAsia"/>
              </w:rPr>
            </w:pPr>
            <w:r>
              <w:rPr>
                <w:rFonts w:hint="eastAsia"/>
              </w:rPr>
              <w:t>电力、热力、燃气及水生产和供应业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5AE57AF0" w14:textId="21C6A5D2" w:rsidR="005B7208" w:rsidRDefault="005B7208" w:rsidP="005B7208">
            <w:pPr>
              <w:pStyle w:val="biaogeright"/>
              <w:wordWrap w:val="0"/>
              <w:rPr>
                <w:rFonts w:hint="eastAsia"/>
              </w:rPr>
            </w:pPr>
            <w:r w:rsidRPr="00206ABF">
              <w:rPr>
                <w:rFonts w:hAnsi="等线"/>
                <w:color w:val="000000"/>
              </w:rPr>
              <w:t>368,592.40</w:t>
            </w:r>
          </w:p>
        </w:tc>
        <w:tc>
          <w:tcPr>
            <w:tcW w:w="2596" w:type="dxa"/>
            <w:tcBorders>
              <w:top w:val="single" w:sz="8" w:space="0" w:color="000000"/>
              <w:left w:val="single" w:sz="8" w:space="0" w:color="000000"/>
              <w:bottom w:val="single" w:sz="8" w:space="0" w:color="000000"/>
              <w:right w:val="single" w:sz="8" w:space="0" w:color="000000"/>
            </w:tcBorders>
            <w:vAlign w:val="center"/>
          </w:tcPr>
          <w:p w14:paraId="30AA21AE" w14:textId="5CD426E1" w:rsidR="005B7208" w:rsidRDefault="005B7208" w:rsidP="005B7208">
            <w:pPr>
              <w:pStyle w:val="biaogeright"/>
              <w:wordWrap w:val="0"/>
              <w:rPr>
                <w:rFonts w:hint="eastAsia"/>
              </w:rPr>
            </w:pPr>
            <w:r w:rsidRPr="00206ABF">
              <w:rPr>
                <w:rFonts w:hAnsi="等线"/>
                <w:color w:val="000000"/>
              </w:rPr>
              <w:t>6.23</w:t>
            </w:r>
          </w:p>
        </w:tc>
      </w:tr>
      <w:tr w:rsidR="005B7208" w14:paraId="4813A12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B8BC657" w14:textId="77777777" w:rsidR="005B7208" w:rsidRDefault="005B7208" w:rsidP="005B7208">
            <w:pPr>
              <w:pStyle w:val="biaogecenter"/>
              <w:wordWrap w:val="0"/>
              <w:rPr>
                <w:rFonts w:hint="eastAsia"/>
              </w:rPr>
            </w:pPr>
            <w:r>
              <w:rPr>
                <w:rFonts w:hint="eastAsia"/>
              </w:rPr>
              <w:t>E</w:t>
            </w:r>
          </w:p>
        </w:tc>
        <w:tc>
          <w:tcPr>
            <w:tcW w:w="3101" w:type="dxa"/>
            <w:tcBorders>
              <w:top w:val="single" w:sz="8" w:space="0" w:color="000000"/>
              <w:left w:val="single" w:sz="8" w:space="0" w:color="000000"/>
              <w:bottom w:val="single" w:sz="6" w:space="0" w:color="000000"/>
              <w:right w:val="single" w:sz="8" w:space="0" w:color="000000"/>
            </w:tcBorders>
            <w:vAlign w:val="center"/>
          </w:tcPr>
          <w:p w14:paraId="2C44BF17" w14:textId="77777777" w:rsidR="005B7208" w:rsidRDefault="005B7208" w:rsidP="005B7208">
            <w:pPr>
              <w:pStyle w:val="biaogeleft"/>
              <w:wordWrap w:val="0"/>
              <w:rPr>
                <w:rFonts w:hint="eastAsia"/>
              </w:rPr>
            </w:pPr>
            <w:r>
              <w:rPr>
                <w:rFonts w:hint="eastAsia"/>
              </w:rPr>
              <w:t>建筑业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646393C5" w14:textId="51E46B6A"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5B28D22B" w14:textId="42F9AE01" w:rsidR="005B7208" w:rsidRDefault="005B7208" w:rsidP="005B7208">
            <w:pPr>
              <w:pStyle w:val="biaogeright"/>
              <w:wordWrap w:val="0"/>
              <w:rPr>
                <w:rFonts w:hint="eastAsia"/>
              </w:rPr>
            </w:pPr>
            <w:r w:rsidRPr="00206ABF">
              <w:rPr>
                <w:rFonts w:hAnsi="等线"/>
                <w:color w:val="000000"/>
              </w:rPr>
              <w:t>-</w:t>
            </w:r>
          </w:p>
        </w:tc>
      </w:tr>
      <w:tr w:rsidR="005B7208" w14:paraId="23C4C0A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41A0D5E" w14:textId="77777777" w:rsidR="005B7208" w:rsidRDefault="005B7208" w:rsidP="005B7208">
            <w:pPr>
              <w:pStyle w:val="biaogecenter"/>
              <w:wordWrap w:val="0"/>
              <w:rPr>
                <w:rFonts w:hint="eastAsia"/>
              </w:rPr>
            </w:pPr>
            <w:r>
              <w:rPr>
                <w:rFonts w:hAnsi="等线" w:hint="eastAsia"/>
                <w:color w:val="000000"/>
              </w:rPr>
              <w:t>F</w:t>
            </w:r>
          </w:p>
        </w:tc>
        <w:tc>
          <w:tcPr>
            <w:tcW w:w="3101" w:type="dxa"/>
            <w:tcBorders>
              <w:top w:val="single" w:sz="8" w:space="0" w:color="000000"/>
              <w:left w:val="single" w:sz="8" w:space="0" w:color="000000"/>
              <w:bottom w:val="single" w:sz="6" w:space="0" w:color="000000"/>
              <w:right w:val="single" w:sz="8" w:space="0" w:color="000000"/>
            </w:tcBorders>
            <w:vAlign w:val="center"/>
          </w:tcPr>
          <w:p w14:paraId="667F8B77" w14:textId="77777777" w:rsidR="005B7208" w:rsidRDefault="005B7208" w:rsidP="005B7208">
            <w:pPr>
              <w:pStyle w:val="biaogeleft"/>
              <w:wordWrap w:val="0"/>
              <w:rPr>
                <w:rFonts w:hint="eastAsia"/>
              </w:rPr>
            </w:pPr>
            <w:r>
              <w:rPr>
                <w:rFonts w:hint="eastAsia"/>
              </w:rPr>
              <w:t>批发和零售业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46163689" w14:textId="7F9536CC" w:rsidR="005B7208" w:rsidRDefault="005B7208" w:rsidP="005B7208">
            <w:pPr>
              <w:pStyle w:val="biaogeright"/>
              <w:wordWrap w:val="0"/>
              <w:rPr>
                <w:rFonts w:hint="eastAsia"/>
              </w:rPr>
            </w:pPr>
            <w:r w:rsidRPr="00206ABF">
              <w:rPr>
                <w:rFonts w:hAnsi="等线"/>
                <w:color w:val="000000"/>
              </w:rPr>
              <w:t>253,230.00</w:t>
            </w:r>
          </w:p>
        </w:tc>
        <w:tc>
          <w:tcPr>
            <w:tcW w:w="2596" w:type="dxa"/>
            <w:tcBorders>
              <w:top w:val="single" w:sz="8" w:space="0" w:color="000000"/>
              <w:left w:val="single" w:sz="8" w:space="0" w:color="000000"/>
              <w:bottom w:val="single" w:sz="8" w:space="0" w:color="000000"/>
              <w:right w:val="single" w:sz="8" w:space="0" w:color="000000"/>
            </w:tcBorders>
            <w:vAlign w:val="center"/>
          </w:tcPr>
          <w:p w14:paraId="5D370B98" w14:textId="1A643988" w:rsidR="005B7208" w:rsidRDefault="005B7208" w:rsidP="005B7208">
            <w:pPr>
              <w:pStyle w:val="biaogeright"/>
              <w:wordWrap w:val="0"/>
              <w:rPr>
                <w:rFonts w:hint="eastAsia"/>
              </w:rPr>
            </w:pPr>
            <w:r w:rsidRPr="00206ABF">
              <w:rPr>
                <w:rFonts w:hAnsi="等线"/>
                <w:color w:val="000000"/>
              </w:rPr>
              <w:t>4.28</w:t>
            </w:r>
          </w:p>
        </w:tc>
      </w:tr>
      <w:tr w:rsidR="005B7208" w14:paraId="7EE4D73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E1F98DD" w14:textId="77777777" w:rsidR="005B7208" w:rsidRDefault="005B7208" w:rsidP="005B7208">
            <w:pPr>
              <w:pStyle w:val="biaogecenter"/>
              <w:wordWrap w:val="0"/>
              <w:rPr>
                <w:rFonts w:hint="eastAsia"/>
              </w:rPr>
            </w:pPr>
            <w:r>
              <w:rPr>
                <w:rFonts w:hAnsi="等线" w:hint="eastAsia"/>
                <w:color w:val="000000"/>
              </w:rPr>
              <w:t>G</w:t>
            </w:r>
          </w:p>
        </w:tc>
        <w:tc>
          <w:tcPr>
            <w:tcW w:w="3101" w:type="dxa"/>
            <w:tcBorders>
              <w:top w:val="single" w:sz="8" w:space="0" w:color="000000"/>
              <w:left w:val="single" w:sz="8" w:space="0" w:color="000000"/>
              <w:bottom w:val="single" w:sz="6" w:space="0" w:color="000000"/>
              <w:right w:val="single" w:sz="8" w:space="0" w:color="000000"/>
            </w:tcBorders>
            <w:vAlign w:val="center"/>
          </w:tcPr>
          <w:p w14:paraId="2D383A17" w14:textId="77777777" w:rsidR="005B7208" w:rsidRDefault="005B7208" w:rsidP="005B7208">
            <w:pPr>
              <w:pStyle w:val="biaogeleft"/>
              <w:wordWrap w:val="0"/>
              <w:rPr>
                <w:rFonts w:hint="eastAsia"/>
              </w:rPr>
            </w:pPr>
            <w:r>
              <w:rPr>
                <w:rFonts w:hint="eastAsia"/>
              </w:rPr>
              <w:t>交通运输、仓储和邮政业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61195C18" w14:textId="11FFCEFB" w:rsidR="005B7208" w:rsidRDefault="005B7208" w:rsidP="005B7208">
            <w:pPr>
              <w:pStyle w:val="biaogeright"/>
              <w:wordWrap w:val="0"/>
              <w:rPr>
                <w:rFonts w:hint="eastAsia"/>
              </w:rPr>
            </w:pPr>
            <w:r w:rsidRPr="00206ABF">
              <w:rPr>
                <w:rFonts w:hAnsi="等线"/>
                <w:color w:val="000000"/>
              </w:rPr>
              <w:t>476,776.00</w:t>
            </w:r>
          </w:p>
        </w:tc>
        <w:tc>
          <w:tcPr>
            <w:tcW w:w="2596" w:type="dxa"/>
            <w:tcBorders>
              <w:top w:val="single" w:sz="8" w:space="0" w:color="000000"/>
              <w:left w:val="single" w:sz="8" w:space="0" w:color="000000"/>
              <w:bottom w:val="single" w:sz="8" w:space="0" w:color="000000"/>
              <w:right w:val="single" w:sz="8" w:space="0" w:color="000000"/>
            </w:tcBorders>
            <w:vAlign w:val="center"/>
          </w:tcPr>
          <w:p w14:paraId="24EEF976" w14:textId="1DB42BFB" w:rsidR="005B7208" w:rsidRDefault="005B7208" w:rsidP="005B7208">
            <w:pPr>
              <w:pStyle w:val="biaogeright"/>
              <w:wordWrap w:val="0"/>
              <w:rPr>
                <w:rFonts w:hint="eastAsia"/>
              </w:rPr>
            </w:pPr>
            <w:r w:rsidRPr="00206ABF">
              <w:rPr>
                <w:rFonts w:hAnsi="等线"/>
                <w:color w:val="000000"/>
              </w:rPr>
              <w:t>8.05</w:t>
            </w:r>
          </w:p>
        </w:tc>
      </w:tr>
      <w:tr w:rsidR="005B7208" w14:paraId="0A652B6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205CE7" w14:textId="77777777" w:rsidR="005B7208" w:rsidRDefault="005B7208" w:rsidP="005B7208">
            <w:pPr>
              <w:pStyle w:val="biaogecenter"/>
              <w:wordWrap w:val="0"/>
              <w:rPr>
                <w:rFonts w:hint="eastAsia"/>
              </w:rPr>
            </w:pPr>
            <w:r>
              <w:rPr>
                <w:rFonts w:hAnsi="等线" w:hint="eastAsia"/>
                <w:color w:val="000000"/>
              </w:rPr>
              <w:t>H</w:t>
            </w:r>
          </w:p>
        </w:tc>
        <w:tc>
          <w:tcPr>
            <w:tcW w:w="3101" w:type="dxa"/>
            <w:tcBorders>
              <w:top w:val="single" w:sz="8" w:space="0" w:color="000000"/>
              <w:left w:val="single" w:sz="8" w:space="0" w:color="000000"/>
              <w:bottom w:val="single" w:sz="6" w:space="0" w:color="000000"/>
              <w:right w:val="single" w:sz="8" w:space="0" w:color="000000"/>
            </w:tcBorders>
            <w:vAlign w:val="center"/>
          </w:tcPr>
          <w:p w14:paraId="7098C52F" w14:textId="77777777" w:rsidR="005B7208" w:rsidRDefault="005B7208" w:rsidP="005B7208">
            <w:pPr>
              <w:pStyle w:val="biaogeleft"/>
              <w:wordWrap w:val="0"/>
              <w:rPr>
                <w:rFonts w:hint="eastAsia"/>
              </w:rPr>
            </w:pPr>
            <w:r>
              <w:rPr>
                <w:rFonts w:hint="eastAsia"/>
              </w:rPr>
              <w:t>住宿和餐饮业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2FD18FEA" w14:textId="240809E3"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158AD6F5" w14:textId="63700ACD" w:rsidR="005B7208" w:rsidRDefault="005B7208" w:rsidP="005B7208">
            <w:pPr>
              <w:pStyle w:val="biaogeright"/>
              <w:wordWrap w:val="0"/>
              <w:rPr>
                <w:rFonts w:hint="eastAsia"/>
              </w:rPr>
            </w:pPr>
            <w:r w:rsidRPr="00206ABF">
              <w:rPr>
                <w:rFonts w:hAnsi="等线"/>
                <w:color w:val="000000"/>
              </w:rPr>
              <w:t>-</w:t>
            </w:r>
          </w:p>
        </w:tc>
      </w:tr>
      <w:tr w:rsidR="005B7208" w14:paraId="0CEAF43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63EE34F" w14:textId="77777777" w:rsidR="005B7208" w:rsidRDefault="005B7208" w:rsidP="005B7208">
            <w:pPr>
              <w:pStyle w:val="biaogecenter"/>
              <w:wordWrap w:val="0"/>
              <w:rPr>
                <w:rFonts w:hint="eastAsia"/>
              </w:rPr>
            </w:pPr>
            <w:r>
              <w:rPr>
                <w:rFonts w:hAnsi="等线" w:hint="eastAsia"/>
                <w:color w:val="000000"/>
              </w:rPr>
              <w:t>I</w:t>
            </w:r>
          </w:p>
        </w:tc>
        <w:tc>
          <w:tcPr>
            <w:tcW w:w="3101" w:type="dxa"/>
            <w:tcBorders>
              <w:top w:val="single" w:sz="8" w:space="0" w:color="000000"/>
              <w:left w:val="single" w:sz="8" w:space="0" w:color="000000"/>
              <w:bottom w:val="single" w:sz="6" w:space="0" w:color="000000"/>
              <w:right w:val="single" w:sz="8" w:space="0" w:color="000000"/>
            </w:tcBorders>
            <w:vAlign w:val="center"/>
          </w:tcPr>
          <w:p w14:paraId="15A34630" w14:textId="77777777" w:rsidR="005B7208" w:rsidRDefault="005B7208" w:rsidP="005B7208">
            <w:pPr>
              <w:pStyle w:val="biaogeleft"/>
              <w:wordWrap w:val="0"/>
              <w:rPr>
                <w:rFonts w:hint="eastAsia"/>
              </w:rPr>
            </w:pPr>
            <w:r>
              <w:rPr>
                <w:rFonts w:hint="eastAsia"/>
              </w:rPr>
              <w:t>信息传输、软件和信息技术服务业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33C855E9" w14:textId="5C5B434C" w:rsidR="005B7208" w:rsidRDefault="005B7208" w:rsidP="005B7208">
            <w:pPr>
              <w:pStyle w:val="biaogeright"/>
              <w:wordWrap w:val="0"/>
              <w:rPr>
                <w:rFonts w:hint="eastAsia"/>
              </w:rPr>
            </w:pPr>
            <w:r w:rsidRPr="00206ABF">
              <w:rPr>
                <w:rFonts w:hAnsi="等线"/>
                <w:color w:val="000000"/>
              </w:rPr>
              <w:t>151,370.00</w:t>
            </w:r>
          </w:p>
        </w:tc>
        <w:tc>
          <w:tcPr>
            <w:tcW w:w="2596" w:type="dxa"/>
            <w:tcBorders>
              <w:top w:val="single" w:sz="8" w:space="0" w:color="000000"/>
              <w:left w:val="single" w:sz="8" w:space="0" w:color="000000"/>
              <w:bottom w:val="single" w:sz="8" w:space="0" w:color="000000"/>
              <w:right w:val="single" w:sz="8" w:space="0" w:color="000000"/>
            </w:tcBorders>
            <w:vAlign w:val="center"/>
          </w:tcPr>
          <w:p w14:paraId="2794A782" w14:textId="343198DF" w:rsidR="005B7208" w:rsidRDefault="005B7208" w:rsidP="005B7208">
            <w:pPr>
              <w:pStyle w:val="biaogeright"/>
              <w:wordWrap w:val="0"/>
              <w:rPr>
                <w:rFonts w:hint="eastAsia"/>
              </w:rPr>
            </w:pPr>
            <w:r w:rsidRPr="00206ABF">
              <w:rPr>
                <w:rFonts w:hAnsi="等线"/>
                <w:color w:val="000000"/>
              </w:rPr>
              <w:t>2.56</w:t>
            </w:r>
          </w:p>
        </w:tc>
      </w:tr>
      <w:tr w:rsidR="005B7208" w14:paraId="1468359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A83248" w14:textId="77777777" w:rsidR="005B7208" w:rsidRDefault="005B7208" w:rsidP="005B7208">
            <w:pPr>
              <w:pStyle w:val="biaogecenter"/>
              <w:wordWrap w:val="0"/>
              <w:rPr>
                <w:rFonts w:hint="eastAsia"/>
              </w:rPr>
            </w:pPr>
            <w:r>
              <w:rPr>
                <w:rFonts w:hAnsi="等线" w:hint="eastAsia"/>
                <w:color w:val="000000"/>
              </w:rPr>
              <w:t>J</w:t>
            </w:r>
          </w:p>
        </w:tc>
        <w:tc>
          <w:tcPr>
            <w:tcW w:w="3101" w:type="dxa"/>
            <w:tcBorders>
              <w:top w:val="single" w:sz="8" w:space="0" w:color="000000"/>
              <w:left w:val="single" w:sz="8" w:space="0" w:color="000000"/>
              <w:bottom w:val="single" w:sz="6" w:space="0" w:color="000000"/>
              <w:right w:val="single" w:sz="8" w:space="0" w:color="000000"/>
            </w:tcBorders>
            <w:vAlign w:val="center"/>
          </w:tcPr>
          <w:p w14:paraId="4B9DCC7F" w14:textId="77777777" w:rsidR="005B7208" w:rsidRDefault="005B7208" w:rsidP="005B7208">
            <w:pPr>
              <w:pStyle w:val="biaogeleft"/>
              <w:wordWrap w:val="0"/>
              <w:rPr>
                <w:rFonts w:hint="eastAsia"/>
              </w:rPr>
            </w:pPr>
            <w:r>
              <w:rPr>
                <w:rFonts w:hint="eastAsia"/>
              </w:rPr>
              <w:t>金融业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7FBB03E4" w14:textId="6DC269D1"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44914747" w14:textId="566269B7" w:rsidR="005B7208" w:rsidRDefault="005B7208" w:rsidP="005B7208">
            <w:pPr>
              <w:pStyle w:val="biaogeright"/>
              <w:wordWrap w:val="0"/>
              <w:rPr>
                <w:rFonts w:hint="eastAsia"/>
              </w:rPr>
            </w:pPr>
            <w:r w:rsidRPr="00206ABF">
              <w:rPr>
                <w:rFonts w:hAnsi="等线"/>
                <w:color w:val="000000"/>
              </w:rPr>
              <w:t>-</w:t>
            </w:r>
          </w:p>
        </w:tc>
      </w:tr>
      <w:tr w:rsidR="005B7208" w14:paraId="702A32A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CDD215E" w14:textId="77777777" w:rsidR="005B7208" w:rsidRDefault="005B7208" w:rsidP="005B7208">
            <w:pPr>
              <w:pStyle w:val="biaogecenter"/>
              <w:wordWrap w:val="0"/>
              <w:rPr>
                <w:rFonts w:hint="eastAsia"/>
              </w:rPr>
            </w:pPr>
            <w:r>
              <w:rPr>
                <w:rFonts w:hAnsi="等线" w:hint="eastAsia"/>
                <w:color w:val="000000"/>
              </w:rPr>
              <w:t>K</w:t>
            </w:r>
          </w:p>
        </w:tc>
        <w:tc>
          <w:tcPr>
            <w:tcW w:w="3101" w:type="dxa"/>
            <w:tcBorders>
              <w:top w:val="single" w:sz="8" w:space="0" w:color="000000"/>
              <w:left w:val="single" w:sz="8" w:space="0" w:color="000000"/>
              <w:bottom w:val="single" w:sz="6" w:space="0" w:color="000000"/>
              <w:right w:val="single" w:sz="8" w:space="0" w:color="000000"/>
            </w:tcBorders>
            <w:vAlign w:val="center"/>
          </w:tcPr>
          <w:p w14:paraId="4A561DD7" w14:textId="77777777" w:rsidR="005B7208" w:rsidRDefault="005B7208" w:rsidP="005B7208">
            <w:pPr>
              <w:pStyle w:val="biaogeleft"/>
              <w:wordWrap w:val="0"/>
              <w:rPr>
                <w:rFonts w:hint="eastAsia"/>
              </w:rPr>
            </w:pPr>
            <w:r>
              <w:rPr>
                <w:rFonts w:hint="eastAsia"/>
              </w:rPr>
              <w:t>房地产业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64C3A356" w14:textId="187E75D0" w:rsidR="005B7208" w:rsidRDefault="005B7208" w:rsidP="005B7208">
            <w:pPr>
              <w:pStyle w:val="biaogeright"/>
              <w:wordWrap w:val="0"/>
              <w:rPr>
                <w:rFonts w:hint="eastAsia"/>
              </w:rPr>
            </w:pPr>
            <w:r w:rsidRPr="00206ABF">
              <w:rPr>
                <w:rFonts w:hAnsi="等线"/>
                <w:color w:val="000000"/>
              </w:rPr>
              <w:t>127,890.00</w:t>
            </w:r>
          </w:p>
        </w:tc>
        <w:tc>
          <w:tcPr>
            <w:tcW w:w="2596" w:type="dxa"/>
            <w:tcBorders>
              <w:top w:val="single" w:sz="8" w:space="0" w:color="000000"/>
              <w:left w:val="single" w:sz="8" w:space="0" w:color="000000"/>
              <w:bottom w:val="single" w:sz="8" w:space="0" w:color="000000"/>
              <w:right w:val="single" w:sz="8" w:space="0" w:color="000000"/>
            </w:tcBorders>
            <w:vAlign w:val="center"/>
          </w:tcPr>
          <w:p w14:paraId="405DF91A" w14:textId="467A685B" w:rsidR="005B7208" w:rsidRDefault="005B7208" w:rsidP="005B7208">
            <w:pPr>
              <w:pStyle w:val="biaogeright"/>
              <w:wordWrap w:val="0"/>
              <w:rPr>
                <w:rFonts w:hint="eastAsia"/>
              </w:rPr>
            </w:pPr>
            <w:r w:rsidRPr="00206ABF">
              <w:rPr>
                <w:rFonts w:hAnsi="等线"/>
                <w:color w:val="000000"/>
              </w:rPr>
              <w:t>2.16</w:t>
            </w:r>
          </w:p>
        </w:tc>
      </w:tr>
      <w:tr w:rsidR="005B7208" w14:paraId="0CA838A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DE5690A" w14:textId="77777777" w:rsidR="005B7208" w:rsidRDefault="005B7208" w:rsidP="005B7208">
            <w:pPr>
              <w:pStyle w:val="biaogecenter"/>
              <w:wordWrap w:val="0"/>
              <w:rPr>
                <w:rFonts w:hint="eastAsia"/>
              </w:rPr>
            </w:pPr>
            <w:r>
              <w:rPr>
                <w:rFonts w:hAnsi="等线" w:hint="eastAsia"/>
                <w:color w:val="000000"/>
              </w:rPr>
              <w:t>L</w:t>
            </w:r>
          </w:p>
        </w:tc>
        <w:tc>
          <w:tcPr>
            <w:tcW w:w="3101" w:type="dxa"/>
            <w:tcBorders>
              <w:top w:val="single" w:sz="8" w:space="0" w:color="000000"/>
              <w:left w:val="single" w:sz="8" w:space="0" w:color="000000"/>
              <w:bottom w:val="single" w:sz="6" w:space="0" w:color="000000"/>
              <w:right w:val="single" w:sz="8" w:space="0" w:color="000000"/>
            </w:tcBorders>
            <w:vAlign w:val="center"/>
          </w:tcPr>
          <w:p w14:paraId="04FB6599" w14:textId="77777777" w:rsidR="005B7208" w:rsidRDefault="005B7208" w:rsidP="005B7208">
            <w:pPr>
              <w:pStyle w:val="biaogeleft"/>
              <w:wordWrap w:val="0"/>
              <w:rPr>
                <w:rFonts w:hint="eastAsia"/>
              </w:rPr>
            </w:pPr>
            <w:r>
              <w:rPr>
                <w:rFonts w:hint="eastAsia"/>
              </w:rPr>
              <w:t>租赁和商务服务业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3B756491" w14:textId="610242F3"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219FDB2E" w14:textId="2ECF4097" w:rsidR="005B7208" w:rsidRDefault="005B7208" w:rsidP="005B7208">
            <w:pPr>
              <w:pStyle w:val="biaogeright"/>
              <w:wordWrap w:val="0"/>
              <w:rPr>
                <w:rFonts w:hint="eastAsia"/>
              </w:rPr>
            </w:pPr>
            <w:r w:rsidRPr="00206ABF">
              <w:rPr>
                <w:rFonts w:hAnsi="等线"/>
                <w:color w:val="000000"/>
              </w:rPr>
              <w:t>-</w:t>
            </w:r>
          </w:p>
        </w:tc>
      </w:tr>
      <w:tr w:rsidR="005B7208" w14:paraId="4985418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91EFFA" w14:textId="77777777" w:rsidR="005B7208" w:rsidRDefault="005B7208" w:rsidP="005B7208">
            <w:pPr>
              <w:pStyle w:val="biaogecenter"/>
              <w:wordWrap w:val="0"/>
              <w:rPr>
                <w:rFonts w:hint="eastAsia"/>
              </w:rPr>
            </w:pPr>
            <w:r>
              <w:rPr>
                <w:rFonts w:hAnsi="等线" w:hint="eastAsia"/>
                <w:color w:val="000000"/>
              </w:rPr>
              <w:t>M</w:t>
            </w:r>
          </w:p>
        </w:tc>
        <w:tc>
          <w:tcPr>
            <w:tcW w:w="3101" w:type="dxa"/>
            <w:tcBorders>
              <w:top w:val="single" w:sz="8" w:space="0" w:color="000000"/>
              <w:left w:val="single" w:sz="8" w:space="0" w:color="000000"/>
              <w:bottom w:val="single" w:sz="6" w:space="0" w:color="000000"/>
              <w:right w:val="single" w:sz="8" w:space="0" w:color="000000"/>
            </w:tcBorders>
            <w:vAlign w:val="center"/>
          </w:tcPr>
          <w:p w14:paraId="75B02215" w14:textId="77777777" w:rsidR="005B7208" w:rsidRDefault="005B7208" w:rsidP="005B7208">
            <w:pPr>
              <w:pStyle w:val="biaogeleft"/>
              <w:wordWrap w:val="0"/>
              <w:rPr>
                <w:rFonts w:hint="eastAsia"/>
              </w:rPr>
            </w:pPr>
            <w:r>
              <w:rPr>
                <w:rFonts w:hint="eastAsia"/>
              </w:rPr>
              <w:t>科学研究和技术服务业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01187EC9" w14:textId="5FEDB24D" w:rsidR="005B7208" w:rsidRDefault="005B7208" w:rsidP="005B7208">
            <w:pPr>
              <w:pStyle w:val="biaogeright"/>
              <w:wordWrap w:val="0"/>
              <w:rPr>
                <w:rFonts w:hint="eastAsia"/>
              </w:rPr>
            </w:pPr>
            <w:r w:rsidRPr="00206ABF">
              <w:rPr>
                <w:rFonts w:hAnsi="等线"/>
                <w:color w:val="000000"/>
              </w:rPr>
              <w:t>129,276.00</w:t>
            </w:r>
          </w:p>
        </w:tc>
        <w:tc>
          <w:tcPr>
            <w:tcW w:w="2596" w:type="dxa"/>
            <w:tcBorders>
              <w:top w:val="single" w:sz="8" w:space="0" w:color="000000"/>
              <w:left w:val="single" w:sz="8" w:space="0" w:color="000000"/>
              <w:bottom w:val="single" w:sz="8" w:space="0" w:color="000000"/>
              <w:right w:val="single" w:sz="8" w:space="0" w:color="000000"/>
            </w:tcBorders>
            <w:vAlign w:val="center"/>
          </w:tcPr>
          <w:p w14:paraId="23C4A1F0" w14:textId="3CDE1ED2" w:rsidR="005B7208" w:rsidRDefault="005B7208" w:rsidP="005B7208">
            <w:pPr>
              <w:pStyle w:val="biaogeright"/>
              <w:wordWrap w:val="0"/>
              <w:rPr>
                <w:rFonts w:hint="eastAsia"/>
              </w:rPr>
            </w:pPr>
            <w:r w:rsidRPr="00206ABF">
              <w:rPr>
                <w:rFonts w:hAnsi="等线"/>
                <w:color w:val="000000"/>
              </w:rPr>
              <w:t>2.18</w:t>
            </w:r>
          </w:p>
        </w:tc>
      </w:tr>
      <w:tr w:rsidR="005B7208" w14:paraId="2335FB5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82F3551" w14:textId="77777777" w:rsidR="005B7208" w:rsidRDefault="005B7208" w:rsidP="005B7208">
            <w:pPr>
              <w:pStyle w:val="biaogecenter"/>
              <w:wordWrap w:val="0"/>
              <w:rPr>
                <w:rFonts w:hint="eastAsia"/>
              </w:rPr>
            </w:pPr>
            <w:r>
              <w:rPr>
                <w:rFonts w:hAnsi="等线" w:hint="eastAsia"/>
                <w:color w:val="000000"/>
              </w:rPr>
              <w:t>N</w:t>
            </w:r>
          </w:p>
        </w:tc>
        <w:tc>
          <w:tcPr>
            <w:tcW w:w="3101" w:type="dxa"/>
            <w:tcBorders>
              <w:top w:val="single" w:sz="8" w:space="0" w:color="000000"/>
              <w:left w:val="single" w:sz="8" w:space="0" w:color="000000"/>
              <w:bottom w:val="single" w:sz="6" w:space="0" w:color="000000"/>
              <w:right w:val="single" w:sz="8" w:space="0" w:color="000000"/>
            </w:tcBorders>
            <w:vAlign w:val="center"/>
          </w:tcPr>
          <w:p w14:paraId="661D23D0" w14:textId="77777777" w:rsidR="005B7208" w:rsidRDefault="005B7208" w:rsidP="005B7208">
            <w:pPr>
              <w:pStyle w:val="biaogeleft"/>
              <w:wordWrap w:val="0"/>
              <w:rPr>
                <w:rFonts w:hint="eastAsia"/>
              </w:rPr>
            </w:pPr>
            <w:r>
              <w:rPr>
                <w:rFonts w:hint="eastAsia"/>
              </w:rPr>
              <w:t>水利、环境和公共设施管理</w:t>
            </w:r>
            <w:r>
              <w:rPr>
                <w:rFonts w:hint="eastAsia"/>
              </w:rPr>
              <w:lastRenderedPageBreak/>
              <w:t>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06F3D608" w14:textId="305138E1" w:rsidR="005B7208" w:rsidRDefault="005B7208" w:rsidP="005B7208">
            <w:pPr>
              <w:pStyle w:val="biaogeright"/>
              <w:wordWrap w:val="0"/>
              <w:rPr>
                <w:rFonts w:hint="eastAsia"/>
              </w:rPr>
            </w:pPr>
            <w:r w:rsidRPr="00206ABF">
              <w:rPr>
                <w:rFonts w:hAnsi="等线"/>
                <w:color w:val="000000"/>
              </w:rPr>
              <w:lastRenderedPageBreak/>
              <w:t>111,720.00</w:t>
            </w:r>
          </w:p>
        </w:tc>
        <w:tc>
          <w:tcPr>
            <w:tcW w:w="2596" w:type="dxa"/>
            <w:tcBorders>
              <w:top w:val="single" w:sz="8" w:space="0" w:color="000000"/>
              <w:left w:val="single" w:sz="8" w:space="0" w:color="000000"/>
              <w:bottom w:val="single" w:sz="8" w:space="0" w:color="000000"/>
              <w:right w:val="single" w:sz="8" w:space="0" w:color="000000"/>
            </w:tcBorders>
            <w:vAlign w:val="center"/>
          </w:tcPr>
          <w:p w14:paraId="5366A0DC" w14:textId="36FFDA5E" w:rsidR="005B7208" w:rsidRDefault="005B7208" w:rsidP="005B7208">
            <w:pPr>
              <w:pStyle w:val="biaogeright"/>
              <w:wordWrap w:val="0"/>
              <w:rPr>
                <w:rFonts w:hint="eastAsia"/>
              </w:rPr>
            </w:pPr>
            <w:r w:rsidRPr="00206ABF">
              <w:rPr>
                <w:rFonts w:hAnsi="等线"/>
                <w:color w:val="000000"/>
              </w:rPr>
              <w:t>1.89</w:t>
            </w:r>
          </w:p>
        </w:tc>
      </w:tr>
      <w:tr w:rsidR="005B7208" w14:paraId="1C836E8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8F886F5" w14:textId="77777777" w:rsidR="005B7208" w:rsidRDefault="005B7208" w:rsidP="005B7208">
            <w:pPr>
              <w:pStyle w:val="biaogecenter"/>
              <w:wordWrap w:val="0"/>
              <w:rPr>
                <w:rFonts w:hint="eastAsia"/>
              </w:rPr>
            </w:pPr>
            <w:r>
              <w:rPr>
                <w:rFonts w:hAnsi="等线" w:hint="eastAsia"/>
                <w:color w:val="000000"/>
              </w:rPr>
              <w:t>O</w:t>
            </w:r>
          </w:p>
        </w:tc>
        <w:tc>
          <w:tcPr>
            <w:tcW w:w="3101" w:type="dxa"/>
            <w:tcBorders>
              <w:top w:val="single" w:sz="8" w:space="0" w:color="000000"/>
              <w:left w:val="single" w:sz="8" w:space="0" w:color="000000"/>
              <w:bottom w:val="single" w:sz="6" w:space="0" w:color="000000"/>
              <w:right w:val="single" w:sz="8" w:space="0" w:color="000000"/>
            </w:tcBorders>
            <w:vAlign w:val="center"/>
          </w:tcPr>
          <w:p w14:paraId="215E47FD" w14:textId="77777777" w:rsidR="005B7208" w:rsidRDefault="005B7208" w:rsidP="005B7208">
            <w:pPr>
              <w:pStyle w:val="biaogeleft"/>
              <w:wordWrap w:val="0"/>
              <w:rPr>
                <w:rFonts w:hint="eastAsia"/>
              </w:rPr>
            </w:pPr>
            <w:r>
              <w:rPr>
                <w:rFonts w:hint="eastAsia"/>
              </w:rPr>
              <w:t>居民服务、修理和其他服务业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38FC665D" w14:textId="10691EB2"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45EFD321" w14:textId="2BCB3E46" w:rsidR="005B7208" w:rsidRDefault="005B7208" w:rsidP="005B7208">
            <w:pPr>
              <w:pStyle w:val="biaogeright"/>
              <w:wordWrap w:val="0"/>
              <w:rPr>
                <w:rFonts w:hint="eastAsia"/>
              </w:rPr>
            </w:pPr>
            <w:r w:rsidRPr="00206ABF">
              <w:rPr>
                <w:rFonts w:hAnsi="等线"/>
                <w:color w:val="000000"/>
              </w:rPr>
              <w:t>-</w:t>
            </w:r>
          </w:p>
        </w:tc>
      </w:tr>
      <w:tr w:rsidR="005B7208" w14:paraId="0CB40DC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935280E" w14:textId="77777777" w:rsidR="005B7208" w:rsidRDefault="005B7208" w:rsidP="005B7208">
            <w:pPr>
              <w:pStyle w:val="biaogecenter"/>
              <w:wordWrap w:val="0"/>
              <w:rPr>
                <w:rFonts w:hint="eastAsia"/>
              </w:rPr>
            </w:pPr>
            <w:r>
              <w:rPr>
                <w:rFonts w:hAnsi="等线" w:hint="eastAsia"/>
                <w:color w:val="000000"/>
              </w:rPr>
              <w:t>P</w:t>
            </w:r>
          </w:p>
        </w:tc>
        <w:tc>
          <w:tcPr>
            <w:tcW w:w="3101" w:type="dxa"/>
            <w:tcBorders>
              <w:top w:val="single" w:sz="8" w:space="0" w:color="000000"/>
              <w:left w:val="single" w:sz="8" w:space="0" w:color="000000"/>
              <w:bottom w:val="single" w:sz="6" w:space="0" w:color="000000"/>
              <w:right w:val="single" w:sz="8" w:space="0" w:color="000000"/>
            </w:tcBorders>
            <w:vAlign w:val="center"/>
          </w:tcPr>
          <w:p w14:paraId="074EA590" w14:textId="77777777" w:rsidR="005B7208" w:rsidRDefault="005B7208" w:rsidP="005B7208">
            <w:pPr>
              <w:pStyle w:val="biaogeleft"/>
              <w:wordWrap w:val="0"/>
              <w:rPr>
                <w:rFonts w:hint="eastAsia"/>
              </w:rPr>
            </w:pPr>
            <w:r>
              <w:rPr>
                <w:rFonts w:hint="eastAsia"/>
              </w:rPr>
              <w:t>教育</w:t>
            </w:r>
          </w:p>
        </w:tc>
        <w:tc>
          <w:tcPr>
            <w:tcW w:w="1937" w:type="dxa"/>
            <w:tcBorders>
              <w:top w:val="single" w:sz="8" w:space="0" w:color="000000"/>
              <w:left w:val="single" w:sz="8" w:space="0" w:color="000000"/>
              <w:bottom w:val="single" w:sz="8" w:space="0" w:color="000000"/>
              <w:right w:val="single" w:sz="8" w:space="0" w:color="000000"/>
            </w:tcBorders>
            <w:vAlign w:val="center"/>
          </w:tcPr>
          <w:p w14:paraId="6F323E2E" w14:textId="2F20D255"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758865BE" w14:textId="1931C49F" w:rsidR="005B7208" w:rsidRDefault="005B7208" w:rsidP="005B7208">
            <w:pPr>
              <w:pStyle w:val="biaogeright"/>
              <w:wordWrap w:val="0"/>
              <w:rPr>
                <w:rFonts w:hint="eastAsia"/>
              </w:rPr>
            </w:pPr>
            <w:r w:rsidRPr="00206ABF">
              <w:rPr>
                <w:rFonts w:hAnsi="等线"/>
                <w:color w:val="000000"/>
              </w:rPr>
              <w:t>-</w:t>
            </w:r>
          </w:p>
        </w:tc>
      </w:tr>
      <w:tr w:rsidR="005B7208" w14:paraId="47F7FF6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28075F5" w14:textId="77777777" w:rsidR="005B7208" w:rsidRDefault="005B7208" w:rsidP="005B7208">
            <w:pPr>
              <w:pStyle w:val="biaogecenter"/>
              <w:wordWrap w:val="0"/>
              <w:rPr>
                <w:rFonts w:hint="eastAsia"/>
              </w:rPr>
            </w:pPr>
            <w:r>
              <w:rPr>
                <w:rFonts w:hAnsi="等线" w:hint="eastAsia"/>
                <w:color w:val="000000"/>
              </w:rPr>
              <w:t>Q</w:t>
            </w:r>
          </w:p>
        </w:tc>
        <w:tc>
          <w:tcPr>
            <w:tcW w:w="3101" w:type="dxa"/>
            <w:tcBorders>
              <w:top w:val="single" w:sz="8" w:space="0" w:color="000000"/>
              <w:left w:val="single" w:sz="8" w:space="0" w:color="000000"/>
              <w:bottom w:val="single" w:sz="6" w:space="0" w:color="000000"/>
              <w:right w:val="single" w:sz="8" w:space="0" w:color="000000"/>
            </w:tcBorders>
            <w:vAlign w:val="center"/>
          </w:tcPr>
          <w:p w14:paraId="453A37D5" w14:textId="77777777" w:rsidR="005B7208" w:rsidRDefault="005B7208" w:rsidP="005B7208">
            <w:pPr>
              <w:pStyle w:val="biaogeleft"/>
              <w:wordWrap w:val="0"/>
              <w:rPr>
                <w:rFonts w:hint="eastAsia"/>
              </w:rPr>
            </w:pPr>
            <w:r>
              <w:rPr>
                <w:rFonts w:hint="eastAsia"/>
              </w:rPr>
              <w:t>卫生和社会工作</w:t>
            </w:r>
          </w:p>
        </w:tc>
        <w:tc>
          <w:tcPr>
            <w:tcW w:w="1937" w:type="dxa"/>
            <w:tcBorders>
              <w:top w:val="single" w:sz="8" w:space="0" w:color="000000"/>
              <w:left w:val="single" w:sz="8" w:space="0" w:color="000000"/>
              <w:bottom w:val="single" w:sz="8" w:space="0" w:color="000000"/>
              <w:right w:val="single" w:sz="8" w:space="0" w:color="000000"/>
            </w:tcBorders>
            <w:vAlign w:val="center"/>
          </w:tcPr>
          <w:p w14:paraId="657CBBB8" w14:textId="2550D504"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7D3A7DC6" w14:textId="2908B858" w:rsidR="005B7208" w:rsidRDefault="005B7208" w:rsidP="005B7208">
            <w:pPr>
              <w:pStyle w:val="biaogeright"/>
              <w:wordWrap w:val="0"/>
              <w:rPr>
                <w:rFonts w:hint="eastAsia"/>
              </w:rPr>
            </w:pPr>
            <w:r w:rsidRPr="00206ABF">
              <w:rPr>
                <w:rFonts w:hAnsi="等线"/>
                <w:color w:val="000000"/>
              </w:rPr>
              <w:t>-</w:t>
            </w:r>
          </w:p>
        </w:tc>
      </w:tr>
      <w:tr w:rsidR="005B7208" w14:paraId="2F71A0F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00DF09B" w14:textId="77777777" w:rsidR="005B7208" w:rsidRDefault="005B7208" w:rsidP="005B7208">
            <w:pPr>
              <w:pStyle w:val="biaogecenter"/>
              <w:wordWrap w:val="0"/>
              <w:rPr>
                <w:rFonts w:hint="eastAsia"/>
              </w:rPr>
            </w:pPr>
            <w:r>
              <w:rPr>
                <w:rFonts w:hAnsi="等线" w:hint="eastAsia"/>
                <w:color w:val="000000"/>
              </w:rPr>
              <w:t>R</w:t>
            </w:r>
          </w:p>
        </w:tc>
        <w:tc>
          <w:tcPr>
            <w:tcW w:w="3101" w:type="dxa"/>
            <w:tcBorders>
              <w:top w:val="single" w:sz="8" w:space="0" w:color="000000"/>
              <w:left w:val="single" w:sz="8" w:space="0" w:color="000000"/>
              <w:bottom w:val="single" w:sz="6" w:space="0" w:color="000000"/>
              <w:right w:val="single" w:sz="8" w:space="0" w:color="000000"/>
            </w:tcBorders>
            <w:vAlign w:val="center"/>
          </w:tcPr>
          <w:p w14:paraId="01D42A27" w14:textId="77777777" w:rsidR="005B7208" w:rsidRDefault="005B7208" w:rsidP="005B7208">
            <w:pPr>
              <w:pStyle w:val="biaogeleft"/>
              <w:wordWrap w:val="0"/>
              <w:rPr>
                <w:rFonts w:hint="eastAsia"/>
              </w:rPr>
            </w:pPr>
            <w:r>
              <w:rPr>
                <w:rFonts w:hint="eastAsia"/>
              </w:rPr>
              <w:t>文化、体育和娱乐业</w:t>
            </w:r>
          </w:p>
        </w:tc>
        <w:tc>
          <w:tcPr>
            <w:tcW w:w="1937" w:type="dxa"/>
            <w:tcBorders>
              <w:top w:val="single" w:sz="8" w:space="0" w:color="000000"/>
              <w:left w:val="single" w:sz="8" w:space="0" w:color="000000"/>
              <w:bottom w:val="single" w:sz="8" w:space="0" w:color="000000"/>
              <w:right w:val="single" w:sz="8" w:space="0" w:color="000000"/>
            </w:tcBorders>
            <w:vAlign w:val="center"/>
          </w:tcPr>
          <w:p w14:paraId="4361C45A" w14:textId="4E94E328"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18B694A8" w14:textId="40DB518B" w:rsidR="005B7208" w:rsidRDefault="005B7208" w:rsidP="005B7208">
            <w:pPr>
              <w:pStyle w:val="biaogeright"/>
              <w:wordWrap w:val="0"/>
              <w:rPr>
                <w:rFonts w:hint="eastAsia"/>
              </w:rPr>
            </w:pPr>
            <w:r w:rsidRPr="00206ABF">
              <w:rPr>
                <w:rFonts w:hAnsi="等线"/>
                <w:color w:val="000000"/>
              </w:rPr>
              <w:t>-</w:t>
            </w:r>
          </w:p>
        </w:tc>
      </w:tr>
      <w:tr w:rsidR="005B7208" w14:paraId="45F670C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539C6FA" w14:textId="77777777" w:rsidR="005B7208" w:rsidRDefault="005B7208" w:rsidP="005B7208">
            <w:pPr>
              <w:pStyle w:val="biaogecenter"/>
              <w:wordWrap w:val="0"/>
              <w:rPr>
                <w:rFonts w:hint="eastAsia"/>
              </w:rPr>
            </w:pPr>
            <w:r>
              <w:rPr>
                <w:rFonts w:hAnsi="等线" w:hint="eastAsia"/>
                <w:color w:val="000000"/>
              </w:rPr>
              <w:t>S</w:t>
            </w:r>
          </w:p>
        </w:tc>
        <w:tc>
          <w:tcPr>
            <w:tcW w:w="3101" w:type="dxa"/>
            <w:tcBorders>
              <w:top w:val="single" w:sz="8" w:space="0" w:color="000000"/>
              <w:left w:val="single" w:sz="8" w:space="0" w:color="000000"/>
              <w:bottom w:val="single" w:sz="6" w:space="0" w:color="000000"/>
              <w:right w:val="single" w:sz="8" w:space="0" w:color="000000"/>
            </w:tcBorders>
            <w:vAlign w:val="center"/>
          </w:tcPr>
          <w:p w14:paraId="04934016" w14:textId="77777777" w:rsidR="005B7208" w:rsidRDefault="005B7208" w:rsidP="005B7208">
            <w:pPr>
              <w:pStyle w:val="biaogeleft"/>
              <w:wordWrap w:val="0"/>
              <w:rPr>
                <w:rFonts w:hint="eastAsia"/>
              </w:rPr>
            </w:pPr>
            <w:r>
              <w:rPr>
                <w:rFonts w:hint="eastAsia"/>
              </w:rPr>
              <w:t>综合</w:t>
            </w:r>
          </w:p>
        </w:tc>
        <w:tc>
          <w:tcPr>
            <w:tcW w:w="1937" w:type="dxa"/>
            <w:tcBorders>
              <w:top w:val="single" w:sz="8" w:space="0" w:color="000000"/>
              <w:left w:val="single" w:sz="8" w:space="0" w:color="000000"/>
              <w:bottom w:val="single" w:sz="8" w:space="0" w:color="000000"/>
              <w:right w:val="single" w:sz="8" w:space="0" w:color="000000"/>
            </w:tcBorders>
            <w:vAlign w:val="center"/>
          </w:tcPr>
          <w:p w14:paraId="200E489D" w14:textId="38D41D6F" w:rsidR="005B7208" w:rsidRDefault="005B7208" w:rsidP="005B7208">
            <w:pPr>
              <w:pStyle w:val="biaogeright"/>
              <w:wordWrap w:val="0"/>
              <w:rPr>
                <w:rFonts w:hint="eastAsia"/>
              </w:rPr>
            </w:pPr>
            <w:r w:rsidRPr="00206ABF">
              <w:rPr>
                <w:rFonts w:hAnsi="等线"/>
                <w:color w:val="000000"/>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5F04607C" w14:textId="3C7A004B" w:rsidR="005B7208" w:rsidRDefault="005B7208" w:rsidP="005B7208">
            <w:pPr>
              <w:pStyle w:val="biaogeright"/>
              <w:wordWrap w:val="0"/>
              <w:rPr>
                <w:rFonts w:hint="eastAsia"/>
              </w:rPr>
            </w:pPr>
            <w:r w:rsidRPr="00206ABF">
              <w:rPr>
                <w:rFonts w:hAnsi="等线"/>
                <w:color w:val="000000"/>
              </w:rPr>
              <w:t>-</w:t>
            </w:r>
          </w:p>
        </w:tc>
      </w:tr>
      <w:tr w:rsidR="005B7208" w14:paraId="1A29D2D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A5071AF" w14:textId="77777777" w:rsidR="005B7208" w:rsidRDefault="005B7208" w:rsidP="005B7208">
            <w:pPr>
              <w:widowControl/>
              <w:jc w:val="left"/>
              <w:rPr>
                <w:rFonts w:cs="宋体"/>
                <w:kern w:val="0"/>
                <w:sz w:val="20"/>
                <w:szCs w:val="20"/>
              </w:rPr>
            </w:pPr>
          </w:p>
        </w:tc>
        <w:tc>
          <w:tcPr>
            <w:tcW w:w="3101" w:type="dxa"/>
            <w:tcBorders>
              <w:top w:val="single" w:sz="8" w:space="0" w:color="000000"/>
              <w:left w:val="single" w:sz="8" w:space="0" w:color="000000"/>
              <w:bottom w:val="single" w:sz="6" w:space="0" w:color="000000"/>
              <w:right w:val="single" w:sz="8" w:space="0" w:color="000000"/>
            </w:tcBorders>
            <w:vAlign w:val="center"/>
          </w:tcPr>
          <w:p w14:paraId="1B260AB0" w14:textId="77777777" w:rsidR="005B7208" w:rsidRDefault="005B7208" w:rsidP="005B7208">
            <w:pPr>
              <w:pStyle w:val="biaogeleft"/>
              <w:wordWrap w:val="0"/>
              <w:rPr>
                <w:rFonts w:hint="eastAsia"/>
              </w:rPr>
            </w:pPr>
            <w:r>
              <w:rPr>
                <w:rFonts w:hint="eastAsia"/>
              </w:rPr>
              <w:t>合计</w:t>
            </w:r>
          </w:p>
        </w:tc>
        <w:tc>
          <w:tcPr>
            <w:tcW w:w="1937" w:type="dxa"/>
            <w:tcBorders>
              <w:top w:val="single" w:sz="8" w:space="0" w:color="000000"/>
              <w:left w:val="single" w:sz="8" w:space="0" w:color="000000"/>
              <w:bottom w:val="single" w:sz="8" w:space="0" w:color="000000"/>
              <w:right w:val="single" w:sz="8" w:space="0" w:color="000000"/>
            </w:tcBorders>
            <w:vAlign w:val="center"/>
          </w:tcPr>
          <w:p w14:paraId="1D74B9B0" w14:textId="2F6A1656" w:rsidR="005B7208" w:rsidRDefault="005B7208" w:rsidP="005B7208">
            <w:pPr>
              <w:pStyle w:val="biaogeright"/>
              <w:wordWrap w:val="0"/>
              <w:rPr>
                <w:rFonts w:hint="eastAsia"/>
              </w:rPr>
            </w:pPr>
            <w:r w:rsidRPr="00206ABF">
              <w:rPr>
                <w:rFonts w:hAnsi="等线"/>
                <w:color w:val="000000"/>
              </w:rPr>
              <w:t>5,500,745.20</w:t>
            </w:r>
          </w:p>
        </w:tc>
        <w:tc>
          <w:tcPr>
            <w:tcW w:w="2596" w:type="dxa"/>
            <w:tcBorders>
              <w:top w:val="single" w:sz="8" w:space="0" w:color="000000"/>
              <w:left w:val="single" w:sz="8" w:space="0" w:color="000000"/>
              <w:bottom w:val="single" w:sz="8" w:space="0" w:color="000000"/>
              <w:right w:val="single" w:sz="8" w:space="0" w:color="000000"/>
            </w:tcBorders>
            <w:vAlign w:val="center"/>
          </w:tcPr>
          <w:p w14:paraId="22044DCF" w14:textId="13E7B9F6" w:rsidR="005B7208" w:rsidRDefault="005B7208" w:rsidP="005B7208">
            <w:pPr>
              <w:pStyle w:val="biaogeright"/>
              <w:wordWrap w:val="0"/>
              <w:rPr>
                <w:rFonts w:hint="eastAsia"/>
              </w:rPr>
            </w:pPr>
            <w:r w:rsidRPr="00206ABF">
              <w:rPr>
                <w:rFonts w:hAnsi="等线"/>
                <w:color w:val="000000"/>
              </w:rPr>
              <w:t>92.91</w:t>
            </w:r>
          </w:p>
        </w:tc>
      </w:tr>
    </w:tbl>
    <w:p w14:paraId="518B723A" w14:textId="77777777" w:rsidR="008D0810" w:rsidRDefault="008D0810">
      <w:pPr>
        <w:autoSpaceDE w:val="0"/>
        <w:autoSpaceDN w:val="0"/>
        <w:spacing w:line="360" w:lineRule="auto"/>
        <w:ind w:firstLineChars="150" w:firstLine="360"/>
        <w:textAlignment w:val="bottom"/>
        <w:rPr>
          <w:rFonts w:asciiTheme="minorEastAsia" w:hAnsiTheme="minorEastAsia" w:cs="Times New Roman" w:hint="eastAsia"/>
          <w:bCs/>
          <w:sz w:val="24"/>
          <w:szCs w:val="24"/>
        </w:rPr>
      </w:pPr>
    </w:p>
    <w:p w14:paraId="6DAA0444" w14:textId="77777777" w:rsidR="008D0810" w:rsidRDefault="00417F9F">
      <w:pPr>
        <w:autoSpaceDE w:val="0"/>
        <w:autoSpaceDN w:val="0"/>
        <w:spacing w:line="360" w:lineRule="auto"/>
        <w:ind w:firstLineChars="150" w:firstLine="36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2）报告期末按行业分类的港股通投资股票投资组合</w:t>
      </w:r>
    </w:p>
    <w:p w14:paraId="2E72A5CE" w14:textId="77777777" w:rsidR="008D0810" w:rsidRDefault="00417F9F">
      <w:pPr>
        <w:pStyle w:val="neirong"/>
        <w:spacing w:line="360" w:lineRule="auto"/>
        <w:ind w:leftChars="7" w:firstLineChars="200" w:firstLine="480"/>
        <w:rPr>
          <w:rFonts w:asciiTheme="minorEastAsia" w:eastAsiaTheme="minorEastAsia" w:hAnsiTheme="minorEastAsia" w:hint="eastAsia"/>
        </w:rPr>
      </w:pPr>
      <w:r>
        <w:rPr>
          <w:rFonts w:asciiTheme="minorEastAsia" w:eastAsiaTheme="minorEastAsia" w:hAnsiTheme="minorEastAsia" w:hint="eastAsia"/>
        </w:rPr>
        <w:t>本基金报告期末未持有港股通股票。</w:t>
      </w:r>
    </w:p>
    <w:p w14:paraId="7F4FA879"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2DFF2597"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bCs/>
          <w:sz w:val="24"/>
          <w:szCs w:val="24"/>
        </w:rPr>
        <w:t>3、报告期末按公允价值占基金资产净值比例大小排序的前十名股票投资明细</w:t>
      </w:r>
    </w:p>
    <w:tbl>
      <w:tblPr>
        <w:tblW w:w="0" w:type="auto"/>
        <w:tblInd w:w="108" w:type="dxa"/>
        <w:tblLook w:val="04A0" w:firstRow="1" w:lastRow="0" w:firstColumn="1" w:lastColumn="0" w:noHBand="0" w:noVBand="1"/>
      </w:tblPr>
      <w:tblGrid>
        <w:gridCol w:w="471"/>
        <w:gridCol w:w="1355"/>
        <w:gridCol w:w="1613"/>
        <w:gridCol w:w="1647"/>
        <w:gridCol w:w="1647"/>
        <w:gridCol w:w="1681"/>
      </w:tblGrid>
      <w:tr w:rsidR="008D0810" w14:paraId="16D175A4"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3051E09B" w14:textId="77777777" w:rsidR="008D0810" w:rsidRDefault="00417F9F">
            <w:pPr>
              <w:pStyle w:val="biaogecenter"/>
              <w:wordWrap w:val="0"/>
              <w:rPr>
                <w:rFonts w:hint="eastAsia"/>
              </w:rPr>
            </w:pPr>
            <w:r>
              <w:rPr>
                <w:rFonts w:hAnsi="等线" w:hint="eastAsia"/>
                <w:color w:val="000000"/>
              </w:rPr>
              <w:t>序号</w:t>
            </w:r>
          </w:p>
        </w:tc>
        <w:tc>
          <w:tcPr>
            <w:tcW w:w="1355" w:type="dxa"/>
            <w:tcBorders>
              <w:top w:val="single" w:sz="8" w:space="0" w:color="000000"/>
              <w:left w:val="single" w:sz="8" w:space="0" w:color="000000"/>
              <w:bottom w:val="single" w:sz="6" w:space="0" w:color="000000"/>
              <w:right w:val="single" w:sz="8" w:space="0" w:color="000000"/>
            </w:tcBorders>
            <w:vAlign w:val="center"/>
          </w:tcPr>
          <w:p w14:paraId="5022707A" w14:textId="77777777" w:rsidR="008D0810" w:rsidRDefault="00417F9F">
            <w:pPr>
              <w:pStyle w:val="biaogecenter"/>
              <w:wordWrap w:val="0"/>
              <w:rPr>
                <w:rFonts w:hint="eastAsia"/>
              </w:rPr>
            </w:pPr>
            <w:r>
              <w:rPr>
                <w:rFonts w:hAnsi="等线" w:hint="eastAsia"/>
                <w:color w:val="000000"/>
              </w:rPr>
              <w:t>股票代码</w:t>
            </w:r>
          </w:p>
        </w:tc>
        <w:tc>
          <w:tcPr>
            <w:tcW w:w="1613" w:type="dxa"/>
            <w:tcBorders>
              <w:top w:val="single" w:sz="8" w:space="0" w:color="000000"/>
              <w:left w:val="single" w:sz="8" w:space="0" w:color="000000"/>
              <w:bottom w:val="single" w:sz="6" w:space="0" w:color="000000"/>
              <w:right w:val="single" w:sz="8" w:space="0" w:color="000000"/>
            </w:tcBorders>
            <w:vAlign w:val="center"/>
          </w:tcPr>
          <w:p w14:paraId="5441CDD0" w14:textId="77777777" w:rsidR="008D0810" w:rsidRDefault="00417F9F">
            <w:pPr>
              <w:pStyle w:val="biaogecenter"/>
              <w:wordWrap w:val="0"/>
              <w:rPr>
                <w:rFonts w:hint="eastAsia"/>
              </w:rPr>
            </w:pPr>
            <w:r>
              <w:rPr>
                <w:rFonts w:hAnsi="等线" w:hint="eastAsia"/>
                <w:color w:val="000000"/>
              </w:rPr>
              <w:t>股票名称</w:t>
            </w:r>
          </w:p>
        </w:tc>
        <w:tc>
          <w:tcPr>
            <w:tcW w:w="1647" w:type="dxa"/>
            <w:tcBorders>
              <w:top w:val="single" w:sz="8" w:space="0" w:color="000000"/>
              <w:left w:val="single" w:sz="8" w:space="0" w:color="000000"/>
              <w:bottom w:val="single" w:sz="6" w:space="0" w:color="000000"/>
              <w:right w:val="single" w:sz="8" w:space="0" w:color="000000"/>
            </w:tcBorders>
            <w:vAlign w:val="center"/>
          </w:tcPr>
          <w:p w14:paraId="7B818810" w14:textId="77777777" w:rsidR="008D0810" w:rsidRDefault="00417F9F">
            <w:pPr>
              <w:pStyle w:val="biaogecenter"/>
              <w:wordWrap w:val="0"/>
              <w:rPr>
                <w:rFonts w:hint="eastAsia"/>
              </w:rPr>
            </w:pPr>
            <w:r>
              <w:rPr>
                <w:rFonts w:hAnsi="等线" w:hint="eastAsia"/>
                <w:color w:val="000000"/>
              </w:rPr>
              <w:t>数量(股)</w:t>
            </w:r>
          </w:p>
        </w:tc>
        <w:tc>
          <w:tcPr>
            <w:tcW w:w="1647" w:type="dxa"/>
            <w:tcBorders>
              <w:top w:val="single" w:sz="8" w:space="0" w:color="000000"/>
              <w:left w:val="single" w:sz="8" w:space="0" w:color="000000"/>
              <w:bottom w:val="single" w:sz="6" w:space="0" w:color="000000"/>
              <w:right w:val="single" w:sz="8" w:space="0" w:color="000000"/>
            </w:tcBorders>
            <w:vAlign w:val="center"/>
          </w:tcPr>
          <w:p w14:paraId="334DD668" w14:textId="77777777" w:rsidR="008D0810" w:rsidRDefault="00417F9F">
            <w:pPr>
              <w:pStyle w:val="biaogecenter"/>
              <w:wordWrap w:val="0"/>
              <w:rPr>
                <w:rFonts w:hint="eastAsia"/>
              </w:rPr>
            </w:pPr>
            <w:r>
              <w:rPr>
                <w:rFonts w:hAnsi="等线" w:hint="eastAsia"/>
                <w:color w:val="000000"/>
              </w:rPr>
              <w:t>公允价值(元)</w:t>
            </w:r>
          </w:p>
        </w:tc>
        <w:tc>
          <w:tcPr>
            <w:tcW w:w="1681" w:type="dxa"/>
            <w:tcBorders>
              <w:top w:val="single" w:sz="8" w:space="0" w:color="000000"/>
              <w:left w:val="single" w:sz="8" w:space="0" w:color="000000"/>
              <w:bottom w:val="single" w:sz="6" w:space="0" w:color="000000"/>
              <w:right w:val="single" w:sz="8" w:space="0" w:color="000000"/>
            </w:tcBorders>
            <w:vAlign w:val="center"/>
          </w:tcPr>
          <w:p w14:paraId="4C2732B7" w14:textId="77777777" w:rsidR="008D0810" w:rsidRDefault="00417F9F">
            <w:pPr>
              <w:pStyle w:val="biaogecenter"/>
              <w:wordWrap w:val="0"/>
              <w:rPr>
                <w:rFonts w:hint="eastAsia"/>
              </w:rPr>
            </w:pPr>
            <w:r>
              <w:rPr>
                <w:rFonts w:hAnsi="等线" w:hint="eastAsia"/>
                <w:color w:val="000000"/>
              </w:rPr>
              <w:t>占基金资产净值比例（％）</w:t>
            </w:r>
          </w:p>
        </w:tc>
      </w:tr>
      <w:tr w:rsidR="005B7208" w14:paraId="7720A7AB"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7C9AE247" w14:textId="77777777" w:rsidR="005B7208" w:rsidRDefault="005B7208" w:rsidP="005B7208">
            <w:pPr>
              <w:pStyle w:val="biaogecenter"/>
              <w:wordWrap w:val="0"/>
              <w:rPr>
                <w:rFonts w:hint="eastAsia"/>
              </w:rPr>
            </w:pPr>
            <w:r>
              <w:rPr>
                <w:rFonts w:hAnsi="等线" w:hint="eastAsia"/>
                <w:color w:val="000000"/>
              </w:rPr>
              <w:t>1</w:t>
            </w:r>
          </w:p>
        </w:tc>
        <w:tc>
          <w:tcPr>
            <w:tcW w:w="1355" w:type="dxa"/>
            <w:tcBorders>
              <w:top w:val="single" w:sz="8" w:space="0" w:color="000000"/>
              <w:left w:val="single" w:sz="8" w:space="0" w:color="000000"/>
              <w:bottom w:val="single" w:sz="6" w:space="0" w:color="000000"/>
              <w:right w:val="single" w:sz="8" w:space="0" w:color="000000"/>
            </w:tcBorders>
            <w:vAlign w:val="center"/>
          </w:tcPr>
          <w:p w14:paraId="5CE7A57E" w14:textId="3BD5C83E" w:rsidR="005B7208" w:rsidRDefault="005B7208" w:rsidP="005B7208">
            <w:pPr>
              <w:pStyle w:val="biaogeleft"/>
              <w:wordWrap w:val="0"/>
              <w:rPr>
                <w:rFonts w:hint="eastAsia"/>
              </w:rPr>
            </w:pPr>
            <w:r w:rsidRPr="00A67984">
              <w:rPr>
                <w:rFonts w:hAnsi="等线"/>
                <w:color w:val="000000"/>
              </w:rPr>
              <w:t>002999</w:t>
            </w:r>
          </w:p>
        </w:tc>
        <w:tc>
          <w:tcPr>
            <w:tcW w:w="1613" w:type="dxa"/>
            <w:tcBorders>
              <w:top w:val="single" w:sz="8" w:space="0" w:color="000000"/>
              <w:left w:val="single" w:sz="8" w:space="0" w:color="000000"/>
              <w:bottom w:val="single" w:sz="6" w:space="0" w:color="000000"/>
              <w:right w:val="single" w:sz="8" w:space="0" w:color="000000"/>
            </w:tcBorders>
            <w:vAlign w:val="center"/>
          </w:tcPr>
          <w:p w14:paraId="3DC4BB99" w14:textId="136FBD01" w:rsidR="005B7208" w:rsidRDefault="005B7208" w:rsidP="005B7208">
            <w:pPr>
              <w:pStyle w:val="biaogeleft"/>
              <w:wordWrap w:val="0"/>
              <w:rPr>
                <w:rFonts w:hint="eastAsia"/>
              </w:rPr>
            </w:pPr>
            <w:r w:rsidRPr="00A67984">
              <w:rPr>
                <w:rFonts w:hAnsi="等线"/>
                <w:color w:val="000000"/>
              </w:rPr>
              <w:t>天禾股份</w:t>
            </w:r>
          </w:p>
        </w:tc>
        <w:tc>
          <w:tcPr>
            <w:tcW w:w="1647" w:type="dxa"/>
            <w:tcBorders>
              <w:top w:val="single" w:sz="8" w:space="0" w:color="000000"/>
              <w:left w:val="single" w:sz="8" w:space="0" w:color="000000"/>
              <w:bottom w:val="single" w:sz="6" w:space="0" w:color="000000"/>
              <w:right w:val="single" w:sz="8" w:space="0" w:color="000000"/>
            </w:tcBorders>
            <w:vAlign w:val="center"/>
          </w:tcPr>
          <w:p w14:paraId="3F5DBAD8" w14:textId="40B297F8" w:rsidR="005B7208" w:rsidRDefault="005B7208" w:rsidP="005B7208">
            <w:pPr>
              <w:pStyle w:val="biaogeright"/>
              <w:wordWrap w:val="0"/>
              <w:rPr>
                <w:rFonts w:hint="eastAsia"/>
              </w:rPr>
            </w:pPr>
            <w:r w:rsidRPr="00A67984">
              <w:rPr>
                <w:rFonts w:hAnsi="等线"/>
                <w:color w:val="000000"/>
              </w:rPr>
              <w:t>21,700</w:t>
            </w:r>
          </w:p>
        </w:tc>
        <w:tc>
          <w:tcPr>
            <w:tcW w:w="1647" w:type="dxa"/>
            <w:tcBorders>
              <w:top w:val="single" w:sz="8" w:space="0" w:color="000000"/>
              <w:left w:val="single" w:sz="8" w:space="0" w:color="000000"/>
              <w:bottom w:val="single" w:sz="6" w:space="0" w:color="000000"/>
              <w:right w:val="single" w:sz="8" w:space="0" w:color="000000"/>
            </w:tcBorders>
            <w:vAlign w:val="center"/>
          </w:tcPr>
          <w:p w14:paraId="09D5B748" w14:textId="1E7CDF4F" w:rsidR="005B7208" w:rsidRDefault="005B7208" w:rsidP="005B7208">
            <w:pPr>
              <w:pStyle w:val="biaogeright"/>
              <w:wordWrap w:val="0"/>
              <w:rPr>
                <w:rFonts w:hint="eastAsia"/>
              </w:rPr>
            </w:pPr>
            <w:r w:rsidRPr="00A67984">
              <w:rPr>
                <w:rFonts w:hAnsi="等线"/>
                <w:color w:val="000000"/>
              </w:rPr>
              <w:t>151,466.00</w:t>
            </w:r>
          </w:p>
        </w:tc>
        <w:tc>
          <w:tcPr>
            <w:tcW w:w="1681" w:type="dxa"/>
            <w:tcBorders>
              <w:top w:val="single" w:sz="8" w:space="0" w:color="000000"/>
              <w:left w:val="single" w:sz="8" w:space="0" w:color="000000"/>
              <w:bottom w:val="single" w:sz="6" w:space="0" w:color="000000"/>
              <w:right w:val="single" w:sz="8" w:space="0" w:color="000000"/>
            </w:tcBorders>
            <w:vAlign w:val="center"/>
          </w:tcPr>
          <w:p w14:paraId="66E4EB38" w14:textId="378FA7DA" w:rsidR="005B7208" w:rsidRDefault="005B7208" w:rsidP="005B7208">
            <w:pPr>
              <w:pStyle w:val="biaogeright"/>
              <w:wordWrap w:val="0"/>
              <w:rPr>
                <w:rFonts w:hint="eastAsia"/>
              </w:rPr>
            </w:pPr>
            <w:r w:rsidRPr="00A67984">
              <w:rPr>
                <w:rFonts w:hAnsi="等线"/>
                <w:color w:val="000000"/>
              </w:rPr>
              <w:t>2.56</w:t>
            </w:r>
          </w:p>
        </w:tc>
      </w:tr>
      <w:tr w:rsidR="005B7208" w14:paraId="72964AC9"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3ACD53A4" w14:textId="77777777" w:rsidR="005B7208" w:rsidRDefault="005B7208" w:rsidP="005B7208">
            <w:pPr>
              <w:pStyle w:val="biaogecenter"/>
              <w:wordWrap w:val="0"/>
              <w:rPr>
                <w:rFonts w:hint="eastAsia"/>
              </w:rPr>
            </w:pPr>
            <w:r>
              <w:rPr>
                <w:rFonts w:hAnsi="等线" w:hint="eastAsia"/>
                <w:color w:val="000000"/>
              </w:rPr>
              <w:t>2</w:t>
            </w:r>
          </w:p>
        </w:tc>
        <w:tc>
          <w:tcPr>
            <w:tcW w:w="1355" w:type="dxa"/>
            <w:tcBorders>
              <w:top w:val="single" w:sz="8" w:space="0" w:color="000000"/>
              <w:left w:val="single" w:sz="8" w:space="0" w:color="000000"/>
              <w:bottom w:val="single" w:sz="6" w:space="0" w:color="000000"/>
              <w:right w:val="single" w:sz="8" w:space="0" w:color="000000"/>
            </w:tcBorders>
            <w:vAlign w:val="center"/>
          </w:tcPr>
          <w:p w14:paraId="720E929E" w14:textId="1D271AFB" w:rsidR="005B7208" w:rsidRDefault="005B7208" w:rsidP="005B7208">
            <w:pPr>
              <w:pStyle w:val="biaogeleft"/>
              <w:wordWrap w:val="0"/>
              <w:rPr>
                <w:rFonts w:hint="eastAsia"/>
              </w:rPr>
            </w:pPr>
            <w:r w:rsidRPr="00A67984">
              <w:rPr>
                <w:rFonts w:hAnsi="等线"/>
                <w:color w:val="000000"/>
              </w:rPr>
              <w:t>001231</w:t>
            </w:r>
          </w:p>
        </w:tc>
        <w:tc>
          <w:tcPr>
            <w:tcW w:w="1613" w:type="dxa"/>
            <w:tcBorders>
              <w:top w:val="single" w:sz="8" w:space="0" w:color="000000"/>
              <w:left w:val="single" w:sz="8" w:space="0" w:color="000000"/>
              <w:bottom w:val="single" w:sz="6" w:space="0" w:color="000000"/>
              <w:right w:val="single" w:sz="8" w:space="0" w:color="000000"/>
            </w:tcBorders>
            <w:vAlign w:val="center"/>
          </w:tcPr>
          <w:p w14:paraId="341BA1A6" w14:textId="0042DF49" w:rsidR="005B7208" w:rsidRDefault="005B7208" w:rsidP="005B7208">
            <w:pPr>
              <w:pStyle w:val="biaogeleft"/>
              <w:wordWrap w:val="0"/>
              <w:rPr>
                <w:rFonts w:hint="eastAsia"/>
              </w:rPr>
            </w:pPr>
            <w:r w:rsidRPr="00A67984">
              <w:rPr>
                <w:rFonts w:hAnsi="等线"/>
                <w:color w:val="000000"/>
              </w:rPr>
              <w:t>农心科技</w:t>
            </w:r>
          </w:p>
        </w:tc>
        <w:tc>
          <w:tcPr>
            <w:tcW w:w="1647" w:type="dxa"/>
            <w:tcBorders>
              <w:top w:val="single" w:sz="8" w:space="0" w:color="000000"/>
              <w:left w:val="single" w:sz="8" w:space="0" w:color="000000"/>
              <w:bottom w:val="single" w:sz="6" w:space="0" w:color="000000"/>
              <w:right w:val="single" w:sz="8" w:space="0" w:color="000000"/>
            </w:tcBorders>
            <w:vAlign w:val="center"/>
          </w:tcPr>
          <w:p w14:paraId="231526A9" w14:textId="207CADAB" w:rsidR="005B7208" w:rsidRDefault="005B7208" w:rsidP="005B7208">
            <w:pPr>
              <w:pStyle w:val="biaogeright"/>
              <w:wordWrap w:val="0"/>
              <w:rPr>
                <w:rFonts w:hint="eastAsia"/>
              </w:rPr>
            </w:pPr>
            <w:r w:rsidRPr="00A67984">
              <w:rPr>
                <w:rFonts w:hAnsi="等线"/>
                <w:color w:val="000000"/>
              </w:rPr>
              <w:t>7,400</w:t>
            </w:r>
          </w:p>
        </w:tc>
        <w:tc>
          <w:tcPr>
            <w:tcW w:w="1647" w:type="dxa"/>
            <w:tcBorders>
              <w:top w:val="single" w:sz="8" w:space="0" w:color="000000"/>
              <w:left w:val="single" w:sz="8" w:space="0" w:color="000000"/>
              <w:bottom w:val="single" w:sz="6" w:space="0" w:color="000000"/>
              <w:right w:val="single" w:sz="8" w:space="0" w:color="000000"/>
            </w:tcBorders>
            <w:vAlign w:val="center"/>
          </w:tcPr>
          <w:p w14:paraId="7D78F490" w14:textId="6A1F2ACC" w:rsidR="005B7208" w:rsidRDefault="005B7208" w:rsidP="005B7208">
            <w:pPr>
              <w:pStyle w:val="biaogeright"/>
              <w:wordWrap w:val="0"/>
              <w:rPr>
                <w:rFonts w:hint="eastAsia"/>
              </w:rPr>
            </w:pPr>
            <w:r w:rsidRPr="00A67984">
              <w:rPr>
                <w:rFonts w:hAnsi="等线"/>
                <w:color w:val="000000"/>
              </w:rPr>
              <w:t>148,888.00</w:t>
            </w:r>
          </w:p>
        </w:tc>
        <w:tc>
          <w:tcPr>
            <w:tcW w:w="1681" w:type="dxa"/>
            <w:tcBorders>
              <w:top w:val="single" w:sz="8" w:space="0" w:color="000000"/>
              <w:left w:val="single" w:sz="8" w:space="0" w:color="000000"/>
              <w:bottom w:val="single" w:sz="6" w:space="0" w:color="000000"/>
              <w:right w:val="single" w:sz="8" w:space="0" w:color="000000"/>
            </w:tcBorders>
            <w:vAlign w:val="center"/>
          </w:tcPr>
          <w:p w14:paraId="244B29FB" w14:textId="48B9CCBE" w:rsidR="005B7208" w:rsidRDefault="005B7208" w:rsidP="005B7208">
            <w:pPr>
              <w:pStyle w:val="biaogeright"/>
              <w:wordWrap w:val="0"/>
              <w:rPr>
                <w:rFonts w:hint="eastAsia"/>
              </w:rPr>
            </w:pPr>
            <w:r w:rsidRPr="00A67984">
              <w:rPr>
                <w:rFonts w:hAnsi="等线"/>
                <w:color w:val="000000"/>
              </w:rPr>
              <w:t>2.51</w:t>
            </w:r>
          </w:p>
        </w:tc>
      </w:tr>
      <w:tr w:rsidR="005B7208" w14:paraId="6E073404"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0AC0019A" w14:textId="77777777" w:rsidR="005B7208" w:rsidRDefault="005B7208" w:rsidP="005B7208">
            <w:pPr>
              <w:pStyle w:val="biaogecenter"/>
              <w:wordWrap w:val="0"/>
              <w:rPr>
                <w:rFonts w:hint="eastAsia"/>
              </w:rPr>
            </w:pPr>
            <w:r>
              <w:rPr>
                <w:rFonts w:hAnsi="等线" w:hint="eastAsia"/>
                <w:color w:val="000000"/>
              </w:rPr>
              <w:t>3</w:t>
            </w:r>
          </w:p>
        </w:tc>
        <w:tc>
          <w:tcPr>
            <w:tcW w:w="1355" w:type="dxa"/>
            <w:tcBorders>
              <w:top w:val="single" w:sz="8" w:space="0" w:color="000000"/>
              <w:left w:val="single" w:sz="8" w:space="0" w:color="000000"/>
              <w:bottom w:val="single" w:sz="6" w:space="0" w:color="000000"/>
              <w:right w:val="single" w:sz="8" w:space="0" w:color="000000"/>
            </w:tcBorders>
            <w:vAlign w:val="center"/>
          </w:tcPr>
          <w:p w14:paraId="030A18BC" w14:textId="1AF07FCD" w:rsidR="005B7208" w:rsidRDefault="005B7208" w:rsidP="005B7208">
            <w:pPr>
              <w:pStyle w:val="biaogeleft"/>
              <w:wordWrap w:val="0"/>
              <w:rPr>
                <w:rFonts w:hint="eastAsia"/>
              </w:rPr>
            </w:pPr>
            <w:r w:rsidRPr="00A67984">
              <w:rPr>
                <w:rFonts w:hAnsi="等线"/>
                <w:color w:val="000000"/>
              </w:rPr>
              <w:t>001210</w:t>
            </w:r>
          </w:p>
        </w:tc>
        <w:tc>
          <w:tcPr>
            <w:tcW w:w="1613" w:type="dxa"/>
            <w:tcBorders>
              <w:top w:val="single" w:sz="8" w:space="0" w:color="000000"/>
              <w:left w:val="single" w:sz="8" w:space="0" w:color="000000"/>
              <w:bottom w:val="single" w:sz="6" w:space="0" w:color="000000"/>
              <w:right w:val="single" w:sz="8" w:space="0" w:color="000000"/>
            </w:tcBorders>
            <w:vAlign w:val="center"/>
          </w:tcPr>
          <w:p w14:paraId="3563A915" w14:textId="176388BB" w:rsidR="005B7208" w:rsidRDefault="005B7208" w:rsidP="005B7208">
            <w:pPr>
              <w:pStyle w:val="biaogeleft"/>
              <w:wordWrap w:val="0"/>
              <w:rPr>
                <w:rFonts w:hint="eastAsia"/>
              </w:rPr>
            </w:pPr>
            <w:r w:rsidRPr="00A67984">
              <w:rPr>
                <w:rFonts w:hAnsi="等线"/>
                <w:color w:val="000000"/>
              </w:rPr>
              <w:t>金房能源</w:t>
            </w:r>
          </w:p>
        </w:tc>
        <w:tc>
          <w:tcPr>
            <w:tcW w:w="1647" w:type="dxa"/>
            <w:tcBorders>
              <w:top w:val="single" w:sz="8" w:space="0" w:color="000000"/>
              <w:left w:val="single" w:sz="8" w:space="0" w:color="000000"/>
              <w:bottom w:val="single" w:sz="6" w:space="0" w:color="000000"/>
              <w:right w:val="single" w:sz="8" w:space="0" w:color="000000"/>
            </w:tcBorders>
            <w:vAlign w:val="center"/>
          </w:tcPr>
          <w:p w14:paraId="4B5A5ABB" w14:textId="60813CAE" w:rsidR="005B7208" w:rsidRDefault="005B7208" w:rsidP="005B7208">
            <w:pPr>
              <w:pStyle w:val="biaogeright"/>
              <w:wordWrap w:val="0"/>
              <w:rPr>
                <w:rFonts w:hint="eastAsia"/>
              </w:rPr>
            </w:pPr>
            <w:r w:rsidRPr="00A67984">
              <w:rPr>
                <w:rFonts w:hAnsi="等线"/>
                <w:color w:val="000000"/>
              </w:rPr>
              <w:t>10,760</w:t>
            </w:r>
          </w:p>
        </w:tc>
        <w:tc>
          <w:tcPr>
            <w:tcW w:w="1647" w:type="dxa"/>
            <w:tcBorders>
              <w:top w:val="single" w:sz="8" w:space="0" w:color="000000"/>
              <w:left w:val="single" w:sz="8" w:space="0" w:color="000000"/>
              <w:bottom w:val="single" w:sz="6" w:space="0" w:color="000000"/>
              <w:right w:val="single" w:sz="8" w:space="0" w:color="000000"/>
            </w:tcBorders>
            <w:vAlign w:val="center"/>
          </w:tcPr>
          <w:p w14:paraId="64578914" w14:textId="5901DBBE" w:rsidR="005B7208" w:rsidRDefault="005B7208" w:rsidP="005B7208">
            <w:pPr>
              <w:pStyle w:val="biaogeright"/>
              <w:wordWrap w:val="0"/>
              <w:rPr>
                <w:rFonts w:hint="eastAsia"/>
              </w:rPr>
            </w:pPr>
            <w:r w:rsidRPr="00A67984">
              <w:rPr>
                <w:rFonts w:hAnsi="等线"/>
                <w:color w:val="000000"/>
              </w:rPr>
              <w:t>147,304.40</w:t>
            </w:r>
          </w:p>
        </w:tc>
        <w:tc>
          <w:tcPr>
            <w:tcW w:w="1681" w:type="dxa"/>
            <w:tcBorders>
              <w:top w:val="single" w:sz="8" w:space="0" w:color="000000"/>
              <w:left w:val="single" w:sz="8" w:space="0" w:color="000000"/>
              <w:bottom w:val="single" w:sz="6" w:space="0" w:color="000000"/>
              <w:right w:val="single" w:sz="8" w:space="0" w:color="000000"/>
            </w:tcBorders>
            <w:vAlign w:val="center"/>
          </w:tcPr>
          <w:p w14:paraId="0D32B99B" w14:textId="3757DD84" w:rsidR="005B7208" w:rsidRDefault="005B7208" w:rsidP="005B7208">
            <w:pPr>
              <w:pStyle w:val="biaogeright"/>
              <w:wordWrap w:val="0"/>
              <w:rPr>
                <w:rFonts w:hint="eastAsia"/>
              </w:rPr>
            </w:pPr>
            <w:r w:rsidRPr="00A67984">
              <w:rPr>
                <w:rFonts w:hAnsi="等线"/>
                <w:color w:val="000000"/>
              </w:rPr>
              <w:t>2.49</w:t>
            </w:r>
          </w:p>
        </w:tc>
      </w:tr>
      <w:tr w:rsidR="005B7208" w14:paraId="20700B9E"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25636CF3" w14:textId="77777777" w:rsidR="005B7208" w:rsidRDefault="005B7208" w:rsidP="005B7208">
            <w:pPr>
              <w:pStyle w:val="biaogecenter"/>
              <w:wordWrap w:val="0"/>
              <w:rPr>
                <w:rFonts w:hint="eastAsia"/>
              </w:rPr>
            </w:pPr>
            <w:r>
              <w:rPr>
                <w:rFonts w:hAnsi="等线" w:hint="eastAsia"/>
                <w:color w:val="000000"/>
              </w:rPr>
              <w:t>4</w:t>
            </w:r>
          </w:p>
        </w:tc>
        <w:tc>
          <w:tcPr>
            <w:tcW w:w="1355" w:type="dxa"/>
            <w:tcBorders>
              <w:top w:val="single" w:sz="8" w:space="0" w:color="000000"/>
              <w:left w:val="single" w:sz="8" w:space="0" w:color="000000"/>
              <w:bottom w:val="single" w:sz="6" w:space="0" w:color="000000"/>
              <w:right w:val="single" w:sz="8" w:space="0" w:color="000000"/>
            </w:tcBorders>
            <w:vAlign w:val="center"/>
          </w:tcPr>
          <w:p w14:paraId="7257648A" w14:textId="40D9F475" w:rsidR="005B7208" w:rsidRDefault="005B7208" w:rsidP="005B7208">
            <w:pPr>
              <w:pStyle w:val="biaogeleft"/>
              <w:wordWrap w:val="0"/>
              <w:rPr>
                <w:rFonts w:hint="eastAsia"/>
              </w:rPr>
            </w:pPr>
            <w:r w:rsidRPr="00A67984">
              <w:rPr>
                <w:rFonts w:hAnsi="等线"/>
                <w:color w:val="000000"/>
              </w:rPr>
              <w:t>301336</w:t>
            </w:r>
          </w:p>
        </w:tc>
        <w:tc>
          <w:tcPr>
            <w:tcW w:w="1613" w:type="dxa"/>
            <w:tcBorders>
              <w:top w:val="single" w:sz="8" w:space="0" w:color="000000"/>
              <w:left w:val="single" w:sz="8" w:space="0" w:color="000000"/>
              <w:bottom w:val="single" w:sz="6" w:space="0" w:color="000000"/>
              <w:right w:val="single" w:sz="8" w:space="0" w:color="000000"/>
            </w:tcBorders>
            <w:vAlign w:val="center"/>
          </w:tcPr>
          <w:p w14:paraId="1DB9002A" w14:textId="04840EBD" w:rsidR="005B7208" w:rsidRDefault="005B7208" w:rsidP="005B7208">
            <w:pPr>
              <w:pStyle w:val="biaogeleft"/>
              <w:wordWrap w:val="0"/>
              <w:rPr>
                <w:rFonts w:hint="eastAsia"/>
              </w:rPr>
            </w:pPr>
            <w:r w:rsidRPr="00A67984">
              <w:rPr>
                <w:rFonts w:hAnsi="等线"/>
                <w:color w:val="000000"/>
              </w:rPr>
              <w:t>趣睡科技</w:t>
            </w:r>
          </w:p>
        </w:tc>
        <w:tc>
          <w:tcPr>
            <w:tcW w:w="1647" w:type="dxa"/>
            <w:tcBorders>
              <w:top w:val="single" w:sz="8" w:space="0" w:color="000000"/>
              <w:left w:val="single" w:sz="8" w:space="0" w:color="000000"/>
              <w:bottom w:val="single" w:sz="6" w:space="0" w:color="000000"/>
              <w:right w:val="single" w:sz="8" w:space="0" w:color="000000"/>
            </w:tcBorders>
            <w:vAlign w:val="center"/>
          </w:tcPr>
          <w:p w14:paraId="5D4812D0" w14:textId="59362128" w:rsidR="005B7208" w:rsidRDefault="005B7208" w:rsidP="005B7208">
            <w:pPr>
              <w:pStyle w:val="biaogeright"/>
              <w:wordWrap w:val="0"/>
              <w:rPr>
                <w:rFonts w:hint="eastAsia"/>
              </w:rPr>
            </w:pPr>
            <w:r w:rsidRPr="00A67984">
              <w:rPr>
                <w:rFonts w:hAnsi="等线"/>
                <w:color w:val="000000"/>
              </w:rPr>
              <w:t>2,400</w:t>
            </w:r>
          </w:p>
        </w:tc>
        <w:tc>
          <w:tcPr>
            <w:tcW w:w="1647" w:type="dxa"/>
            <w:tcBorders>
              <w:top w:val="single" w:sz="8" w:space="0" w:color="000000"/>
              <w:left w:val="single" w:sz="8" w:space="0" w:color="000000"/>
              <w:bottom w:val="single" w:sz="6" w:space="0" w:color="000000"/>
              <w:right w:val="single" w:sz="8" w:space="0" w:color="000000"/>
            </w:tcBorders>
            <w:vAlign w:val="center"/>
          </w:tcPr>
          <w:p w14:paraId="3106A150" w14:textId="0CA2D3BA" w:rsidR="005B7208" w:rsidRDefault="005B7208" w:rsidP="005B7208">
            <w:pPr>
              <w:pStyle w:val="biaogeright"/>
              <w:wordWrap w:val="0"/>
              <w:rPr>
                <w:rFonts w:hint="eastAsia"/>
              </w:rPr>
            </w:pPr>
            <w:r w:rsidRPr="00A67984">
              <w:rPr>
                <w:rFonts w:hAnsi="等线"/>
                <w:color w:val="000000"/>
              </w:rPr>
              <w:t>135,360.00</w:t>
            </w:r>
          </w:p>
        </w:tc>
        <w:tc>
          <w:tcPr>
            <w:tcW w:w="1681" w:type="dxa"/>
            <w:tcBorders>
              <w:top w:val="single" w:sz="8" w:space="0" w:color="000000"/>
              <w:left w:val="single" w:sz="8" w:space="0" w:color="000000"/>
              <w:bottom w:val="single" w:sz="6" w:space="0" w:color="000000"/>
              <w:right w:val="single" w:sz="8" w:space="0" w:color="000000"/>
            </w:tcBorders>
            <w:vAlign w:val="center"/>
          </w:tcPr>
          <w:p w14:paraId="6667352E" w14:textId="5DA13207" w:rsidR="005B7208" w:rsidRDefault="005B7208" w:rsidP="005B7208">
            <w:pPr>
              <w:pStyle w:val="biaogeright"/>
              <w:wordWrap w:val="0"/>
              <w:rPr>
                <w:rFonts w:hint="eastAsia"/>
              </w:rPr>
            </w:pPr>
            <w:r w:rsidRPr="00A67984">
              <w:rPr>
                <w:rFonts w:hAnsi="等线"/>
                <w:color w:val="000000"/>
              </w:rPr>
              <w:t>2.29</w:t>
            </w:r>
          </w:p>
        </w:tc>
      </w:tr>
      <w:tr w:rsidR="005B7208" w14:paraId="23586798"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057A6114" w14:textId="77777777" w:rsidR="005B7208" w:rsidRDefault="005B7208" w:rsidP="005B7208">
            <w:pPr>
              <w:pStyle w:val="biaogecenter"/>
              <w:wordWrap w:val="0"/>
              <w:rPr>
                <w:rFonts w:hint="eastAsia"/>
              </w:rPr>
            </w:pPr>
            <w:r>
              <w:rPr>
                <w:rFonts w:hAnsi="等线" w:hint="eastAsia"/>
                <w:color w:val="000000"/>
              </w:rPr>
              <w:t>5</w:t>
            </w:r>
          </w:p>
        </w:tc>
        <w:tc>
          <w:tcPr>
            <w:tcW w:w="1355" w:type="dxa"/>
            <w:tcBorders>
              <w:top w:val="single" w:sz="8" w:space="0" w:color="000000"/>
              <w:left w:val="single" w:sz="8" w:space="0" w:color="000000"/>
              <w:bottom w:val="single" w:sz="6" w:space="0" w:color="000000"/>
              <w:right w:val="single" w:sz="8" w:space="0" w:color="000000"/>
            </w:tcBorders>
            <w:vAlign w:val="center"/>
          </w:tcPr>
          <w:p w14:paraId="42EAE3FA" w14:textId="0C091DDF" w:rsidR="005B7208" w:rsidRDefault="005B7208" w:rsidP="005B7208">
            <w:pPr>
              <w:pStyle w:val="biaogeleft"/>
              <w:wordWrap w:val="0"/>
              <w:rPr>
                <w:rFonts w:hint="eastAsia"/>
              </w:rPr>
            </w:pPr>
            <w:r w:rsidRPr="00A67984">
              <w:rPr>
                <w:rFonts w:hAnsi="等线"/>
                <w:color w:val="000000"/>
              </w:rPr>
              <w:t>603311</w:t>
            </w:r>
          </w:p>
        </w:tc>
        <w:tc>
          <w:tcPr>
            <w:tcW w:w="1613" w:type="dxa"/>
            <w:tcBorders>
              <w:top w:val="single" w:sz="8" w:space="0" w:color="000000"/>
              <w:left w:val="single" w:sz="8" w:space="0" w:color="000000"/>
              <w:bottom w:val="single" w:sz="6" w:space="0" w:color="000000"/>
              <w:right w:val="single" w:sz="8" w:space="0" w:color="000000"/>
            </w:tcBorders>
            <w:vAlign w:val="center"/>
          </w:tcPr>
          <w:p w14:paraId="4838D200" w14:textId="54CBB9FE" w:rsidR="005B7208" w:rsidRDefault="005B7208" w:rsidP="005B7208">
            <w:pPr>
              <w:pStyle w:val="biaogeleft"/>
              <w:wordWrap w:val="0"/>
              <w:rPr>
                <w:rFonts w:hint="eastAsia"/>
              </w:rPr>
            </w:pPr>
            <w:r w:rsidRPr="00A67984">
              <w:rPr>
                <w:rFonts w:hAnsi="等线"/>
                <w:color w:val="000000"/>
              </w:rPr>
              <w:t>金海高科</w:t>
            </w:r>
          </w:p>
        </w:tc>
        <w:tc>
          <w:tcPr>
            <w:tcW w:w="1647" w:type="dxa"/>
            <w:tcBorders>
              <w:top w:val="single" w:sz="8" w:space="0" w:color="000000"/>
              <w:left w:val="single" w:sz="8" w:space="0" w:color="000000"/>
              <w:bottom w:val="single" w:sz="6" w:space="0" w:color="000000"/>
              <w:right w:val="single" w:sz="8" w:space="0" w:color="000000"/>
            </w:tcBorders>
            <w:vAlign w:val="center"/>
          </w:tcPr>
          <w:p w14:paraId="46DD1E38" w14:textId="26AB3824" w:rsidR="005B7208" w:rsidRDefault="005B7208" w:rsidP="005B7208">
            <w:pPr>
              <w:pStyle w:val="biaogeright"/>
              <w:wordWrap w:val="0"/>
              <w:rPr>
                <w:rFonts w:hint="eastAsia"/>
              </w:rPr>
            </w:pPr>
            <w:r w:rsidRPr="00A67984">
              <w:rPr>
                <w:rFonts w:hAnsi="等线"/>
                <w:color w:val="000000"/>
              </w:rPr>
              <w:t>12,100</w:t>
            </w:r>
          </w:p>
        </w:tc>
        <w:tc>
          <w:tcPr>
            <w:tcW w:w="1647" w:type="dxa"/>
            <w:tcBorders>
              <w:top w:val="single" w:sz="8" w:space="0" w:color="000000"/>
              <w:left w:val="single" w:sz="8" w:space="0" w:color="000000"/>
              <w:bottom w:val="single" w:sz="6" w:space="0" w:color="000000"/>
              <w:right w:val="single" w:sz="8" w:space="0" w:color="000000"/>
            </w:tcBorders>
            <w:vAlign w:val="center"/>
          </w:tcPr>
          <w:p w14:paraId="2BDD2A7A" w14:textId="11958204" w:rsidR="005B7208" w:rsidRDefault="005B7208" w:rsidP="005B7208">
            <w:pPr>
              <w:pStyle w:val="biaogeright"/>
              <w:wordWrap w:val="0"/>
              <w:rPr>
                <w:rFonts w:hint="eastAsia"/>
              </w:rPr>
            </w:pPr>
            <w:r w:rsidRPr="00A67984">
              <w:rPr>
                <w:rFonts w:hAnsi="等线"/>
                <w:color w:val="000000"/>
              </w:rPr>
              <w:t>133,826.00</w:t>
            </w:r>
          </w:p>
        </w:tc>
        <w:tc>
          <w:tcPr>
            <w:tcW w:w="1681" w:type="dxa"/>
            <w:tcBorders>
              <w:top w:val="single" w:sz="8" w:space="0" w:color="000000"/>
              <w:left w:val="single" w:sz="8" w:space="0" w:color="000000"/>
              <w:bottom w:val="single" w:sz="6" w:space="0" w:color="000000"/>
              <w:right w:val="single" w:sz="8" w:space="0" w:color="000000"/>
            </w:tcBorders>
            <w:vAlign w:val="center"/>
          </w:tcPr>
          <w:p w14:paraId="5EB365E2" w14:textId="2FA98B20" w:rsidR="005B7208" w:rsidRDefault="005B7208" w:rsidP="005B7208">
            <w:pPr>
              <w:pStyle w:val="biaogeright"/>
              <w:wordWrap w:val="0"/>
              <w:rPr>
                <w:rFonts w:hint="eastAsia"/>
              </w:rPr>
            </w:pPr>
            <w:r w:rsidRPr="00A67984">
              <w:rPr>
                <w:rFonts w:hAnsi="等线"/>
                <w:color w:val="000000"/>
              </w:rPr>
              <w:t>2.26</w:t>
            </w:r>
          </w:p>
        </w:tc>
      </w:tr>
      <w:tr w:rsidR="005B7208" w14:paraId="52F8FFA2"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118AF98E" w14:textId="77777777" w:rsidR="005B7208" w:rsidRDefault="005B7208" w:rsidP="005B7208">
            <w:pPr>
              <w:pStyle w:val="biaogecenter"/>
              <w:wordWrap w:val="0"/>
              <w:rPr>
                <w:rFonts w:hint="eastAsia"/>
              </w:rPr>
            </w:pPr>
            <w:r>
              <w:rPr>
                <w:rFonts w:hAnsi="等线" w:hint="eastAsia"/>
                <w:color w:val="000000"/>
              </w:rPr>
              <w:t>6</w:t>
            </w:r>
          </w:p>
        </w:tc>
        <w:tc>
          <w:tcPr>
            <w:tcW w:w="1355" w:type="dxa"/>
            <w:tcBorders>
              <w:top w:val="single" w:sz="8" w:space="0" w:color="000000"/>
              <w:left w:val="single" w:sz="8" w:space="0" w:color="000000"/>
              <w:bottom w:val="single" w:sz="6" w:space="0" w:color="000000"/>
              <w:right w:val="single" w:sz="8" w:space="0" w:color="000000"/>
            </w:tcBorders>
            <w:vAlign w:val="center"/>
          </w:tcPr>
          <w:p w14:paraId="1B946D11" w14:textId="164B22E5" w:rsidR="005B7208" w:rsidRDefault="005B7208" w:rsidP="005B7208">
            <w:pPr>
              <w:pStyle w:val="biaogeleft"/>
              <w:wordWrap w:val="0"/>
              <w:rPr>
                <w:rFonts w:hint="eastAsia"/>
              </w:rPr>
            </w:pPr>
            <w:r w:rsidRPr="00A67984">
              <w:rPr>
                <w:rFonts w:hAnsi="等线"/>
                <w:color w:val="000000"/>
              </w:rPr>
              <w:t>002817</w:t>
            </w:r>
          </w:p>
        </w:tc>
        <w:tc>
          <w:tcPr>
            <w:tcW w:w="1613" w:type="dxa"/>
            <w:tcBorders>
              <w:top w:val="single" w:sz="8" w:space="0" w:color="000000"/>
              <w:left w:val="single" w:sz="8" w:space="0" w:color="000000"/>
              <w:bottom w:val="single" w:sz="6" w:space="0" w:color="000000"/>
              <w:right w:val="single" w:sz="8" w:space="0" w:color="000000"/>
            </w:tcBorders>
            <w:vAlign w:val="center"/>
          </w:tcPr>
          <w:p w14:paraId="2828ECA9" w14:textId="5B865D9E" w:rsidR="005B7208" w:rsidRDefault="005B7208" w:rsidP="005B7208">
            <w:pPr>
              <w:pStyle w:val="biaogeleft"/>
              <w:wordWrap w:val="0"/>
              <w:rPr>
                <w:rFonts w:hint="eastAsia"/>
              </w:rPr>
            </w:pPr>
            <w:r w:rsidRPr="00A67984">
              <w:rPr>
                <w:rFonts w:hAnsi="等线"/>
                <w:color w:val="000000"/>
              </w:rPr>
              <w:t>黄山胶囊</w:t>
            </w:r>
          </w:p>
        </w:tc>
        <w:tc>
          <w:tcPr>
            <w:tcW w:w="1647" w:type="dxa"/>
            <w:tcBorders>
              <w:top w:val="single" w:sz="8" w:space="0" w:color="000000"/>
              <w:left w:val="single" w:sz="8" w:space="0" w:color="000000"/>
              <w:bottom w:val="single" w:sz="6" w:space="0" w:color="000000"/>
              <w:right w:val="single" w:sz="8" w:space="0" w:color="000000"/>
            </w:tcBorders>
            <w:vAlign w:val="center"/>
          </w:tcPr>
          <w:p w14:paraId="450BCDCF" w14:textId="4CC2599A" w:rsidR="005B7208" w:rsidRDefault="005B7208" w:rsidP="005B7208">
            <w:pPr>
              <w:pStyle w:val="biaogeright"/>
              <w:wordWrap w:val="0"/>
              <w:rPr>
                <w:rFonts w:hint="eastAsia"/>
              </w:rPr>
            </w:pPr>
            <w:r w:rsidRPr="00A67984">
              <w:rPr>
                <w:rFonts w:hAnsi="等线"/>
                <w:color w:val="000000"/>
              </w:rPr>
              <w:t>18,000</w:t>
            </w:r>
          </w:p>
        </w:tc>
        <w:tc>
          <w:tcPr>
            <w:tcW w:w="1647" w:type="dxa"/>
            <w:tcBorders>
              <w:top w:val="single" w:sz="8" w:space="0" w:color="000000"/>
              <w:left w:val="single" w:sz="8" w:space="0" w:color="000000"/>
              <w:bottom w:val="single" w:sz="6" w:space="0" w:color="000000"/>
              <w:right w:val="single" w:sz="8" w:space="0" w:color="000000"/>
            </w:tcBorders>
            <w:vAlign w:val="center"/>
          </w:tcPr>
          <w:p w14:paraId="70E363CD" w14:textId="56F455AA" w:rsidR="005B7208" w:rsidRDefault="005B7208" w:rsidP="005B7208">
            <w:pPr>
              <w:pStyle w:val="biaogeright"/>
              <w:wordWrap w:val="0"/>
              <w:rPr>
                <w:rFonts w:hint="eastAsia"/>
              </w:rPr>
            </w:pPr>
            <w:r w:rsidRPr="00A67984">
              <w:rPr>
                <w:rFonts w:hAnsi="等线"/>
                <w:color w:val="000000"/>
              </w:rPr>
              <w:t>132,840.00</w:t>
            </w:r>
          </w:p>
        </w:tc>
        <w:tc>
          <w:tcPr>
            <w:tcW w:w="1681" w:type="dxa"/>
            <w:tcBorders>
              <w:top w:val="single" w:sz="8" w:space="0" w:color="000000"/>
              <w:left w:val="single" w:sz="8" w:space="0" w:color="000000"/>
              <w:bottom w:val="single" w:sz="6" w:space="0" w:color="000000"/>
              <w:right w:val="single" w:sz="8" w:space="0" w:color="000000"/>
            </w:tcBorders>
            <w:vAlign w:val="center"/>
          </w:tcPr>
          <w:p w14:paraId="5E789500" w14:textId="76874A19" w:rsidR="005B7208" w:rsidRDefault="005B7208" w:rsidP="005B7208">
            <w:pPr>
              <w:pStyle w:val="biaogeright"/>
              <w:wordWrap w:val="0"/>
              <w:rPr>
                <w:rFonts w:hint="eastAsia"/>
              </w:rPr>
            </w:pPr>
            <w:r w:rsidRPr="00A67984">
              <w:rPr>
                <w:rFonts w:hAnsi="等线"/>
                <w:color w:val="000000"/>
              </w:rPr>
              <w:t>2.24</w:t>
            </w:r>
          </w:p>
        </w:tc>
      </w:tr>
      <w:tr w:rsidR="005B7208" w14:paraId="1C305520"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3573D380" w14:textId="77777777" w:rsidR="005B7208" w:rsidRDefault="005B7208" w:rsidP="005B7208">
            <w:pPr>
              <w:pStyle w:val="biaogecenter"/>
              <w:wordWrap w:val="0"/>
              <w:rPr>
                <w:rFonts w:hint="eastAsia"/>
              </w:rPr>
            </w:pPr>
            <w:r>
              <w:rPr>
                <w:rFonts w:hAnsi="等线" w:hint="eastAsia"/>
                <w:color w:val="000000"/>
              </w:rPr>
              <w:t>7</w:t>
            </w:r>
          </w:p>
        </w:tc>
        <w:tc>
          <w:tcPr>
            <w:tcW w:w="1355" w:type="dxa"/>
            <w:tcBorders>
              <w:top w:val="single" w:sz="8" w:space="0" w:color="000000"/>
              <w:left w:val="single" w:sz="8" w:space="0" w:color="000000"/>
              <w:bottom w:val="single" w:sz="6" w:space="0" w:color="000000"/>
              <w:right w:val="single" w:sz="8" w:space="0" w:color="000000"/>
            </w:tcBorders>
            <w:vAlign w:val="center"/>
          </w:tcPr>
          <w:p w14:paraId="3785B3B0" w14:textId="3F329E23" w:rsidR="005B7208" w:rsidRDefault="005B7208" w:rsidP="005B7208">
            <w:pPr>
              <w:pStyle w:val="biaogeleft"/>
              <w:wordWrap w:val="0"/>
              <w:rPr>
                <w:rFonts w:hint="eastAsia"/>
              </w:rPr>
            </w:pPr>
            <w:r w:rsidRPr="00A67984">
              <w:rPr>
                <w:rFonts w:hAnsi="等线"/>
                <w:color w:val="000000"/>
              </w:rPr>
              <w:t>301300</w:t>
            </w:r>
          </w:p>
        </w:tc>
        <w:tc>
          <w:tcPr>
            <w:tcW w:w="1613" w:type="dxa"/>
            <w:tcBorders>
              <w:top w:val="single" w:sz="8" w:space="0" w:color="000000"/>
              <w:left w:val="single" w:sz="8" w:space="0" w:color="000000"/>
              <w:bottom w:val="single" w:sz="6" w:space="0" w:color="000000"/>
              <w:right w:val="single" w:sz="8" w:space="0" w:color="000000"/>
            </w:tcBorders>
            <w:vAlign w:val="center"/>
          </w:tcPr>
          <w:p w14:paraId="1F4B26C7" w14:textId="13E984B3" w:rsidR="005B7208" w:rsidRDefault="005B7208" w:rsidP="005B7208">
            <w:pPr>
              <w:pStyle w:val="biaogeleft"/>
              <w:wordWrap w:val="0"/>
              <w:rPr>
                <w:rFonts w:hint="eastAsia"/>
              </w:rPr>
            </w:pPr>
            <w:r w:rsidRPr="00A67984">
              <w:rPr>
                <w:rFonts w:hAnsi="等线"/>
                <w:color w:val="000000"/>
              </w:rPr>
              <w:t>远翔新材</w:t>
            </w:r>
          </w:p>
        </w:tc>
        <w:tc>
          <w:tcPr>
            <w:tcW w:w="1647" w:type="dxa"/>
            <w:tcBorders>
              <w:top w:val="single" w:sz="8" w:space="0" w:color="000000"/>
              <w:left w:val="single" w:sz="8" w:space="0" w:color="000000"/>
              <w:bottom w:val="single" w:sz="6" w:space="0" w:color="000000"/>
              <w:right w:val="single" w:sz="8" w:space="0" w:color="000000"/>
            </w:tcBorders>
            <w:vAlign w:val="center"/>
          </w:tcPr>
          <w:p w14:paraId="211B70D8" w14:textId="009494A8" w:rsidR="005B7208" w:rsidRDefault="005B7208" w:rsidP="005B7208">
            <w:pPr>
              <w:pStyle w:val="biaogeright"/>
              <w:wordWrap w:val="0"/>
              <w:rPr>
                <w:rFonts w:hint="eastAsia"/>
              </w:rPr>
            </w:pPr>
            <w:r w:rsidRPr="00A67984">
              <w:rPr>
                <w:rFonts w:hAnsi="等线"/>
                <w:color w:val="000000"/>
              </w:rPr>
              <w:t>3,700</w:t>
            </w:r>
          </w:p>
        </w:tc>
        <w:tc>
          <w:tcPr>
            <w:tcW w:w="1647" w:type="dxa"/>
            <w:tcBorders>
              <w:top w:val="single" w:sz="8" w:space="0" w:color="000000"/>
              <w:left w:val="single" w:sz="8" w:space="0" w:color="000000"/>
              <w:bottom w:val="single" w:sz="6" w:space="0" w:color="000000"/>
              <w:right w:val="single" w:sz="8" w:space="0" w:color="000000"/>
            </w:tcBorders>
            <w:vAlign w:val="center"/>
          </w:tcPr>
          <w:p w14:paraId="34C4CC10" w14:textId="5F17AB66" w:rsidR="005B7208" w:rsidRDefault="005B7208" w:rsidP="005B7208">
            <w:pPr>
              <w:pStyle w:val="biaogeright"/>
              <w:wordWrap w:val="0"/>
              <w:rPr>
                <w:rFonts w:hint="eastAsia"/>
              </w:rPr>
            </w:pPr>
            <w:r w:rsidRPr="00A67984">
              <w:rPr>
                <w:rFonts w:hAnsi="等线"/>
                <w:color w:val="000000"/>
              </w:rPr>
              <w:t>132,164.00</w:t>
            </w:r>
          </w:p>
        </w:tc>
        <w:tc>
          <w:tcPr>
            <w:tcW w:w="1681" w:type="dxa"/>
            <w:tcBorders>
              <w:top w:val="single" w:sz="8" w:space="0" w:color="000000"/>
              <w:left w:val="single" w:sz="8" w:space="0" w:color="000000"/>
              <w:bottom w:val="single" w:sz="6" w:space="0" w:color="000000"/>
              <w:right w:val="single" w:sz="8" w:space="0" w:color="000000"/>
            </w:tcBorders>
            <w:vAlign w:val="center"/>
          </w:tcPr>
          <w:p w14:paraId="7CD54120" w14:textId="2A175501" w:rsidR="005B7208" w:rsidRDefault="005B7208" w:rsidP="005B7208">
            <w:pPr>
              <w:pStyle w:val="biaogeright"/>
              <w:wordWrap w:val="0"/>
              <w:rPr>
                <w:rFonts w:hint="eastAsia"/>
              </w:rPr>
            </w:pPr>
            <w:r w:rsidRPr="00A67984">
              <w:rPr>
                <w:rFonts w:hAnsi="等线"/>
                <w:color w:val="000000"/>
              </w:rPr>
              <w:t>2.23</w:t>
            </w:r>
          </w:p>
        </w:tc>
      </w:tr>
      <w:tr w:rsidR="005B7208" w14:paraId="5B278C05"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053E60B4" w14:textId="77777777" w:rsidR="005B7208" w:rsidRDefault="005B7208" w:rsidP="005B7208">
            <w:pPr>
              <w:pStyle w:val="biaogecenter"/>
              <w:wordWrap w:val="0"/>
              <w:rPr>
                <w:rFonts w:hint="eastAsia"/>
              </w:rPr>
            </w:pPr>
            <w:r>
              <w:rPr>
                <w:rFonts w:hAnsi="等线" w:hint="eastAsia"/>
                <w:color w:val="000000"/>
              </w:rPr>
              <w:t>8</w:t>
            </w:r>
          </w:p>
        </w:tc>
        <w:tc>
          <w:tcPr>
            <w:tcW w:w="1355" w:type="dxa"/>
            <w:tcBorders>
              <w:top w:val="single" w:sz="8" w:space="0" w:color="000000"/>
              <w:left w:val="single" w:sz="8" w:space="0" w:color="000000"/>
              <w:bottom w:val="single" w:sz="6" w:space="0" w:color="000000"/>
              <w:right w:val="single" w:sz="8" w:space="0" w:color="000000"/>
            </w:tcBorders>
            <w:vAlign w:val="center"/>
          </w:tcPr>
          <w:p w14:paraId="45109615" w14:textId="5C24CA59" w:rsidR="005B7208" w:rsidRDefault="005B7208" w:rsidP="005B7208">
            <w:pPr>
              <w:pStyle w:val="biaogeleft"/>
              <w:wordWrap w:val="0"/>
              <w:rPr>
                <w:rFonts w:hint="eastAsia"/>
              </w:rPr>
            </w:pPr>
            <w:r w:rsidRPr="00A67984">
              <w:rPr>
                <w:rFonts w:hAnsi="等线"/>
                <w:color w:val="000000"/>
              </w:rPr>
              <w:t>301353</w:t>
            </w:r>
          </w:p>
        </w:tc>
        <w:tc>
          <w:tcPr>
            <w:tcW w:w="1613" w:type="dxa"/>
            <w:tcBorders>
              <w:top w:val="single" w:sz="8" w:space="0" w:color="000000"/>
              <w:left w:val="single" w:sz="8" w:space="0" w:color="000000"/>
              <w:bottom w:val="single" w:sz="6" w:space="0" w:color="000000"/>
              <w:right w:val="single" w:sz="8" w:space="0" w:color="000000"/>
            </w:tcBorders>
            <w:vAlign w:val="center"/>
          </w:tcPr>
          <w:p w14:paraId="285A826A" w14:textId="0A73A103" w:rsidR="005B7208" w:rsidRDefault="005B7208" w:rsidP="005B7208">
            <w:pPr>
              <w:pStyle w:val="biaogeleft"/>
              <w:wordWrap w:val="0"/>
              <w:rPr>
                <w:rFonts w:hint="eastAsia"/>
              </w:rPr>
            </w:pPr>
            <w:r w:rsidRPr="00A67984">
              <w:rPr>
                <w:rFonts w:hAnsi="等线"/>
                <w:color w:val="000000"/>
              </w:rPr>
              <w:t>普莱得</w:t>
            </w:r>
          </w:p>
        </w:tc>
        <w:tc>
          <w:tcPr>
            <w:tcW w:w="1647" w:type="dxa"/>
            <w:tcBorders>
              <w:top w:val="single" w:sz="8" w:space="0" w:color="000000"/>
              <w:left w:val="single" w:sz="8" w:space="0" w:color="000000"/>
              <w:bottom w:val="single" w:sz="6" w:space="0" w:color="000000"/>
              <w:right w:val="single" w:sz="8" w:space="0" w:color="000000"/>
            </w:tcBorders>
            <w:vAlign w:val="center"/>
          </w:tcPr>
          <w:p w14:paraId="3349EDBB" w14:textId="10F49A0E" w:rsidR="005B7208" w:rsidRDefault="005B7208" w:rsidP="005B7208">
            <w:pPr>
              <w:pStyle w:val="biaogeright"/>
              <w:wordWrap w:val="0"/>
              <w:rPr>
                <w:rFonts w:hint="eastAsia"/>
              </w:rPr>
            </w:pPr>
            <w:r w:rsidRPr="00A67984">
              <w:rPr>
                <w:rFonts w:hAnsi="等线"/>
                <w:color w:val="000000"/>
              </w:rPr>
              <w:t>5,160</w:t>
            </w:r>
          </w:p>
        </w:tc>
        <w:tc>
          <w:tcPr>
            <w:tcW w:w="1647" w:type="dxa"/>
            <w:tcBorders>
              <w:top w:val="single" w:sz="8" w:space="0" w:color="000000"/>
              <w:left w:val="single" w:sz="8" w:space="0" w:color="000000"/>
              <w:bottom w:val="single" w:sz="6" w:space="0" w:color="000000"/>
              <w:right w:val="single" w:sz="8" w:space="0" w:color="000000"/>
            </w:tcBorders>
            <w:vAlign w:val="center"/>
          </w:tcPr>
          <w:p w14:paraId="3631F4E1" w14:textId="12C6B3C6" w:rsidR="005B7208" w:rsidRDefault="005B7208" w:rsidP="005B7208">
            <w:pPr>
              <w:pStyle w:val="biaogeright"/>
              <w:wordWrap w:val="0"/>
              <w:rPr>
                <w:rFonts w:hint="eastAsia"/>
              </w:rPr>
            </w:pPr>
            <w:r w:rsidRPr="00A67984">
              <w:rPr>
                <w:rFonts w:hAnsi="等线"/>
                <w:color w:val="000000"/>
              </w:rPr>
              <w:t>130,651.20</w:t>
            </w:r>
          </w:p>
        </w:tc>
        <w:tc>
          <w:tcPr>
            <w:tcW w:w="1681" w:type="dxa"/>
            <w:tcBorders>
              <w:top w:val="single" w:sz="8" w:space="0" w:color="000000"/>
              <w:left w:val="single" w:sz="8" w:space="0" w:color="000000"/>
              <w:bottom w:val="single" w:sz="6" w:space="0" w:color="000000"/>
              <w:right w:val="single" w:sz="8" w:space="0" w:color="000000"/>
            </w:tcBorders>
            <w:vAlign w:val="center"/>
          </w:tcPr>
          <w:p w14:paraId="358C1C54" w14:textId="6BEB7E9B" w:rsidR="005B7208" w:rsidRDefault="005B7208" w:rsidP="005B7208">
            <w:pPr>
              <w:pStyle w:val="biaogeright"/>
              <w:wordWrap w:val="0"/>
              <w:rPr>
                <w:rFonts w:hint="eastAsia"/>
              </w:rPr>
            </w:pPr>
            <w:r w:rsidRPr="00A67984">
              <w:rPr>
                <w:rFonts w:hAnsi="等线"/>
                <w:color w:val="000000"/>
              </w:rPr>
              <w:t>2.21</w:t>
            </w:r>
          </w:p>
        </w:tc>
      </w:tr>
      <w:tr w:rsidR="005B7208" w14:paraId="6296D4A2"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17337CED" w14:textId="77777777" w:rsidR="005B7208" w:rsidRDefault="005B7208" w:rsidP="005B7208">
            <w:pPr>
              <w:pStyle w:val="biaogecenter"/>
              <w:wordWrap w:val="0"/>
              <w:rPr>
                <w:rFonts w:hint="eastAsia"/>
              </w:rPr>
            </w:pPr>
            <w:r>
              <w:rPr>
                <w:rFonts w:hAnsi="等线" w:hint="eastAsia"/>
                <w:color w:val="000000"/>
              </w:rPr>
              <w:t>9</w:t>
            </w:r>
          </w:p>
        </w:tc>
        <w:tc>
          <w:tcPr>
            <w:tcW w:w="1355" w:type="dxa"/>
            <w:tcBorders>
              <w:top w:val="single" w:sz="8" w:space="0" w:color="000000"/>
              <w:left w:val="single" w:sz="8" w:space="0" w:color="000000"/>
              <w:bottom w:val="single" w:sz="6" w:space="0" w:color="000000"/>
              <w:right w:val="single" w:sz="8" w:space="0" w:color="000000"/>
            </w:tcBorders>
            <w:vAlign w:val="center"/>
          </w:tcPr>
          <w:p w14:paraId="2D4C5329" w14:textId="4464EBAE" w:rsidR="005B7208" w:rsidRDefault="005B7208" w:rsidP="005B7208">
            <w:pPr>
              <w:pStyle w:val="biaogeleft"/>
              <w:wordWrap w:val="0"/>
              <w:rPr>
                <w:rFonts w:hint="eastAsia"/>
              </w:rPr>
            </w:pPr>
            <w:r w:rsidRPr="00A67984">
              <w:rPr>
                <w:rFonts w:hAnsi="等线"/>
                <w:color w:val="000000"/>
              </w:rPr>
              <w:t>300717</w:t>
            </w:r>
          </w:p>
        </w:tc>
        <w:tc>
          <w:tcPr>
            <w:tcW w:w="1613" w:type="dxa"/>
            <w:tcBorders>
              <w:top w:val="single" w:sz="8" w:space="0" w:color="000000"/>
              <w:left w:val="single" w:sz="8" w:space="0" w:color="000000"/>
              <w:bottom w:val="single" w:sz="6" w:space="0" w:color="000000"/>
              <w:right w:val="single" w:sz="8" w:space="0" w:color="000000"/>
            </w:tcBorders>
            <w:vAlign w:val="center"/>
          </w:tcPr>
          <w:p w14:paraId="641F152C" w14:textId="6EB25749" w:rsidR="005B7208" w:rsidRDefault="005B7208" w:rsidP="005B7208">
            <w:pPr>
              <w:pStyle w:val="biaogeleft"/>
              <w:wordWrap w:val="0"/>
              <w:rPr>
                <w:rFonts w:hint="eastAsia"/>
              </w:rPr>
            </w:pPr>
            <w:r w:rsidRPr="00A67984">
              <w:rPr>
                <w:rFonts w:hAnsi="等线"/>
                <w:color w:val="000000"/>
              </w:rPr>
              <w:t>华信新材</w:t>
            </w:r>
          </w:p>
        </w:tc>
        <w:tc>
          <w:tcPr>
            <w:tcW w:w="1647" w:type="dxa"/>
            <w:tcBorders>
              <w:top w:val="single" w:sz="8" w:space="0" w:color="000000"/>
              <w:left w:val="single" w:sz="8" w:space="0" w:color="000000"/>
              <w:bottom w:val="single" w:sz="6" w:space="0" w:color="000000"/>
              <w:right w:val="single" w:sz="8" w:space="0" w:color="000000"/>
            </w:tcBorders>
            <w:vAlign w:val="center"/>
          </w:tcPr>
          <w:p w14:paraId="177C2B8D" w14:textId="4ACB8CFF" w:rsidR="005B7208" w:rsidRDefault="005B7208" w:rsidP="005B7208">
            <w:pPr>
              <w:pStyle w:val="biaogeright"/>
              <w:wordWrap w:val="0"/>
              <w:rPr>
                <w:rFonts w:hint="eastAsia"/>
              </w:rPr>
            </w:pPr>
            <w:r w:rsidRPr="00A67984">
              <w:rPr>
                <w:rFonts w:hAnsi="等线"/>
                <w:color w:val="000000"/>
              </w:rPr>
              <w:t>7,200</w:t>
            </w:r>
          </w:p>
        </w:tc>
        <w:tc>
          <w:tcPr>
            <w:tcW w:w="1647" w:type="dxa"/>
            <w:tcBorders>
              <w:top w:val="single" w:sz="8" w:space="0" w:color="000000"/>
              <w:left w:val="single" w:sz="8" w:space="0" w:color="000000"/>
              <w:bottom w:val="single" w:sz="6" w:space="0" w:color="000000"/>
              <w:right w:val="single" w:sz="8" w:space="0" w:color="000000"/>
            </w:tcBorders>
            <w:vAlign w:val="center"/>
          </w:tcPr>
          <w:p w14:paraId="119F8FA6" w14:textId="7DECE7AD" w:rsidR="005B7208" w:rsidRDefault="005B7208" w:rsidP="005B7208">
            <w:pPr>
              <w:pStyle w:val="biaogeright"/>
              <w:wordWrap w:val="0"/>
              <w:rPr>
                <w:rFonts w:hint="eastAsia"/>
              </w:rPr>
            </w:pPr>
            <w:r w:rsidRPr="00A67984">
              <w:rPr>
                <w:rFonts w:hAnsi="等线"/>
                <w:color w:val="000000"/>
              </w:rPr>
              <w:t>130,536.00</w:t>
            </w:r>
          </w:p>
        </w:tc>
        <w:tc>
          <w:tcPr>
            <w:tcW w:w="1681" w:type="dxa"/>
            <w:tcBorders>
              <w:top w:val="single" w:sz="8" w:space="0" w:color="000000"/>
              <w:left w:val="single" w:sz="8" w:space="0" w:color="000000"/>
              <w:bottom w:val="single" w:sz="6" w:space="0" w:color="000000"/>
              <w:right w:val="single" w:sz="8" w:space="0" w:color="000000"/>
            </w:tcBorders>
            <w:vAlign w:val="center"/>
          </w:tcPr>
          <w:p w14:paraId="31569B76" w14:textId="0480DE46" w:rsidR="005B7208" w:rsidRDefault="005B7208" w:rsidP="005B7208">
            <w:pPr>
              <w:pStyle w:val="biaogeright"/>
              <w:wordWrap w:val="0"/>
              <w:rPr>
                <w:rFonts w:hint="eastAsia"/>
              </w:rPr>
            </w:pPr>
            <w:r w:rsidRPr="00A67984">
              <w:rPr>
                <w:rFonts w:hAnsi="等线"/>
                <w:color w:val="000000"/>
              </w:rPr>
              <w:t>2.20</w:t>
            </w:r>
          </w:p>
        </w:tc>
      </w:tr>
      <w:tr w:rsidR="005B7208" w14:paraId="522A589C" w14:textId="77777777">
        <w:tc>
          <w:tcPr>
            <w:tcW w:w="471" w:type="dxa"/>
            <w:tcBorders>
              <w:top w:val="single" w:sz="8" w:space="0" w:color="000000"/>
              <w:left w:val="single" w:sz="8" w:space="0" w:color="000000"/>
              <w:bottom w:val="single" w:sz="6" w:space="0" w:color="000000"/>
              <w:right w:val="single" w:sz="8" w:space="0" w:color="000000"/>
            </w:tcBorders>
            <w:vAlign w:val="center"/>
          </w:tcPr>
          <w:p w14:paraId="4F6831BA" w14:textId="77777777" w:rsidR="005B7208" w:rsidRDefault="005B7208" w:rsidP="005B7208">
            <w:pPr>
              <w:pStyle w:val="biaogecenter"/>
              <w:wordWrap w:val="0"/>
              <w:rPr>
                <w:rFonts w:hint="eastAsia"/>
              </w:rPr>
            </w:pPr>
            <w:r>
              <w:rPr>
                <w:rFonts w:hAnsi="等线" w:hint="eastAsia"/>
                <w:color w:val="000000"/>
              </w:rPr>
              <w:t>10</w:t>
            </w:r>
          </w:p>
        </w:tc>
        <w:tc>
          <w:tcPr>
            <w:tcW w:w="1355" w:type="dxa"/>
            <w:tcBorders>
              <w:top w:val="single" w:sz="8" w:space="0" w:color="000000"/>
              <w:left w:val="single" w:sz="8" w:space="0" w:color="000000"/>
              <w:bottom w:val="single" w:sz="6" w:space="0" w:color="000000"/>
              <w:right w:val="single" w:sz="8" w:space="0" w:color="000000"/>
            </w:tcBorders>
            <w:vAlign w:val="center"/>
          </w:tcPr>
          <w:p w14:paraId="6B489578" w14:textId="5EDBD1CF" w:rsidR="005B7208" w:rsidRDefault="005B7208" w:rsidP="005B7208">
            <w:pPr>
              <w:pStyle w:val="biaogeleft"/>
              <w:wordWrap w:val="0"/>
              <w:rPr>
                <w:rFonts w:hint="eastAsia"/>
              </w:rPr>
            </w:pPr>
            <w:r w:rsidRPr="00A67984">
              <w:rPr>
                <w:rFonts w:hAnsi="等线"/>
                <w:color w:val="000000"/>
              </w:rPr>
              <w:t>301555</w:t>
            </w:r>
          </w:p>
        </w:tc>
        <w:tc>
          <w:tcPr>
            <w:tcW w:w="1613" w:type="dxa"/>
            <w:tcBorders>
              <w:top w:val="single" w:sz="8" w:space="0" w:color="000000"/>
              <w:left w:val="single" w:sz="8" w:space="0" w:color="000000"/>
              <w:bottom w:val="single" w:sz="6" w:space="0" w:color="000000"/>
              <w:right w:val="single" w:sz="8" w:space="0" w:color="000000"/>
            </w:tcBorders>
            <w:vAlign w:val="center"/>
          </w:tcPr>
          <w:p w14:paraId="5A9B01D2" w14:textId="320CDCC0" w:rsidR="005B7208" w:rsidRDefault="005B7208" w:rsidP="005B7208">
            <w:pPr>
              <w:pStyle w:val="biaogeleft"/>
              <w:wordWrap w:val="0"/>
              <w:rPr>
                <w:rFonts w:hint="eastAsia"/>
              </w:rPr>
            </w:pPr>
            <w:r w:rsidRPr="00A67984">
              <w:rPr>
                <w:rFonts w:hAnsi="等线"/>
                <w:color w:val="000000"/>
              </w:rPr>
              <w:t>惠柏新材</w:t>
            </w:r>
          </w:p>
        </w:tc>
        <w:tc>
          <w:tcPr>
            <w:tcW w:w="1647" w:type="dxa"/>
            <w:tcBorders>
              <w:top w:val="single" w:sz="8" w:space="0" w:color="000000"/>
              <w:left w:val="single" w:sz="8" w:space="0" w:color="000000"/>
              <w:bottom w:val="single" w:sz="6" w:space="0" w:color="000000"/>
              <w:right w:val="single" w:sz="8" w:space="0" w:color="000000"/>
            </w:tcBorders>
            <w:vAlign w:val="center"/>
          </w:tcPr>
          <w:p w14:paraId="07A1BE6B" w14:textId="327D7077" w:rsidR="005B7208" w:rsidRDefault="005B7208" w:rsidP="005B7208">
            <w:pPr>
              <w:pStyle w:val="biaogeright"/>
              <w:wordWrap w:val="0"/>
              <w:rPr>
                <w:rFonts w:hint="eastAsia"/>
              </w:rPr>
            </w:pPr>
            <w:r w:rsidRPr="00A67984">
              <w:rPr>
                <w:rFonts w:hAnsi="等线"/>
                <w:color w:val="000000"/>
              </w:rPr>
              <w:t>4,700</w:t>
            </w:r>
          </w:p>
        </w:tc>
        <w:tc>
          <w:tcPr>
            <w:tcW w:w="1647" w:type="dxa"/>
            <w:tcBorders>
              <w:top w:val="single" w:sz="8" w:space="0" w:color="000000"/>
              <w:left w:val="single" w:sz="8" w:space="0" w:color="000000"/>
              <w:bottom w:val="single" w:sz="6" w:space="0" w:color="000000"/>
              <w:right w:val="single" w:sz="8" w:space="0" w:color="000000"/>
            </w:tcBorders>
            <w:vAlign w:val="center"/>
          </w:tcPr>
          <w:p w14:paraId="6312BC47" w14:textId="11506059" w:rsidR="005B7208" w:rsidRDefault="005B7208" w:rsidP="005B7208">
            <w:pPr>
              <w:pStyle w:val="biaogeright"/>
              <w:wordWrap w:val="0"/>
              <w:rPr>
                <w:rFonts w:hint="eastAsia"/>
              </w:rPr>
            </w:pPr>
            <w:r w:rsidRPr="00A67984">
              <w:rPr>
                <w:rFonts w:hAnsi="等线"/>
                <w:color w:val="000000"/>
              </w:rPr>
              <w:t>129,391.00</w:t>
            </w:r>
          </w:p>
        </w:tc>
        <w:tc>
          <w:tcPr>
            <w:tcW w:w="1681" w:type="dxa"/>
            <w:tcBorders>
              <w:top w:val="single" w:sz="8" w:space="0" w:color="000000"/>
              <w:left w:val="single" w:sz="8" w:space="0" w:color="000000"/>
              <w:bottom w:val="single" w:sz="6" w:space="0" w:color="000000"/>
              <w:right w:val="single" w:sz="8" w:space="0" w:color="000000"/>
            </w:tcBorders>
            <w:vAlign w:val="center"/>
          </w:tcPr>
          <w:p w14:paraId="60CDCC7A" w14:textId="538CE503" w:rsidR="005B7208" w:rsidRDefault="005B7208" w:rsidP="005B7208">
            <w:pPr>
              <w:pStyle w:val="biaogeright"/>
              <w:wordWrap w:val="0"/>
              <w:rPr>
                <w:rFonts w:hint="eastAsia"/>
              </w:rPr>
            </w:pPr>
            <w:r w:rsidRPr="00A67984">
              <w:rPr>
                <w:rFonts w:hAnsi="等线"/>
                <w:color w:val="000000"/>
              </w:rPr>
              <w:t>2.19</w:t>
            </w:r>
          </w:p>
        </w:tc>
      </w:tr>
    </w:tbl>
    <w:p w14:paraId="3D962EEA"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4592A378" w14:textId="77777777" w:rsidR="008D0810" w:rsidRDefault="00417F9F">
      <w:pPr>
        <w:autoSpaceDE w:val="0"/>
        <w:autoSpaceDN w:val="0"/>
        <w:spacing w:line="360" w:lineRule="auto"/>
        <w:ind w:firstLineChars="200" w:firstLine="480"/>
        <w:textAlignment w:val="bottom"/>
        <w:rPr>
          <w:rFonts w:asciiTheme="minorEastAsia" w:hAnsiTheme="minorEastAsia" w:hint="eastAsia"/>
          <w:kern w:val="0"/>
          <w:sz w:val="24"/>
        </w:rPr>
      </w:pPr>
      <w:r>
        <w:rPr>
          <w:rFonts w:asciiTheme="minorEastAsia" w:hAnsiTheme="minorEastAsia" w:cs="Times New Roman"/>
          <w:bCs/>
          <w:sz w:val="24"/>
          <w:szCs w:val="24"/>
        </w:rPr>
        <w:t>4、报告期末按债券品种分类的</w:t>
      </w:r>
      <w:r>
        <w:rPr>
          <w:rFonts w:asciiTheme="minorEastAsia" w:hAnsiTheme="minorEastAsia"/>
          <w:kern w:val="0"/>
          <w:sz w:val="24"/>
        </w:rPr>
        <w:t>债券投资组合</w:t>
      </w:r>
    </w:p>
    <w:tbl>
      <w:tblPr>
        <w:tblW w:w="9080" w:type="dxa"/>
        <w:tblInd w:w="108" w:type="dxa"/>
        <w:tblLook w:val="04A0" w:firstRow="1" w:lastRow="0" w:firstColumn="1" w:lastColumn="0" w:noHBand="0" w:noVBand="1"/>
      </w:tblPr>
      <w:tblGrid>
        <w:gridCol w:w="1210"/>
        <w:gridCol w:w="3481"/>
        <w:gridCol w:w="2573"/>
        <w:gridCol w:w="1816"/>
      </w:tblGrid>
      <w:tr w:rsidR="008D0810" w14:paraId="46B35FC6"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259611FB" w14:textId="77777777" w:rsidR="008D0810" w:rsidRDefault="00417F9F">
            <w:pPr>
              <w:pStyle w:val="biaogecenter"/>
              <w:wordWrap w:val="0"/>
              <w:rPr>
                <w:rFonts w:hint="eastAsia"/>
              </w:rPr>
            </w:pPr>
            <w:r>
              <w:rPr>
                <w:rFonts w:hAnsi="等线"/>
                <w:color w:val="000000"/>
              </w:rPr>
              <w:t>序号</w:t>
            </w:r>
          </w:p>
        </w:tc>
        <w:tc>
          <w:tcPr>
            <w:tcW w:w="3481" w:type="dxa"/>
            <w:tcBorders>
              <w:top w:val="single" w:sz="8" w:space="0" w:color="000000"/>
              <w:left w:val="single" w:sz="8" w:space="0" w:color="000000"/>
              <w:bottom w:val="single" w:sz="6" w:space="0" w:color="000000"/>
              <w:right w:val="single" w:sz="8" w:space="0" w:color="000000"/>
            </w:tcBorders>
            <w:vAlign w:val="center"/>
          </w:tcPr>
          <w:p w14:paraId="093C866E" w14:textId="77777777" w:rsidR="008D0810" w:rsidRDefault="00417F9F">
            <w:pPr>
              <w:pStyle w:val="biaogecenter"/>
              <w:wordWrap w:val="0"/>
              <w:rPr>
                <w:rFonts w:hint="eastAsia"/>
              </w:rPr>
            </w:pPr>
            <w:r>
              <w:rPr>
                <w:rFonts w:hAnsi="等线"/>
                <w:color w:val="000000"/>
              </w:rPr>
              <w:t>债券品种</w:t>
            </w:r>
          </w:p>
        </w:tc>
        <w:tc>
          <w:tcPr>
            <w:tcW w:w="2573" w:type="dxa"/>
            <w:tcBorders>
              <w:top w:val="single" w:sz="8" w:space="0" w:color="000000"/>
              <w:left w:val="single" w:sz="8" w:space="0" w:color="000000"/>
              <w:bottom w:val="single" w:sz="6" w:space="0" w:color="000000"/>
              <w:right w:val="single" w:sz="8" w:space="0" w:color="000000"/>
            </w:tcBorders>
            <w:vAlign w:val="center"/>
          </w:tcPr>
          <w:p w14:paraId="71FDDEEF" w14:textId="77777777" w:rsidR="008D0810" w:rsidRDefault="00417F9F">
            <w:pPr>
              <w:pStyle w:val="biaogecenter"/>
              <w:wordWrap w:val="0"/>
              <w:rPr>
                <w:rFonts w:hint="eastAsia"/>
              </w:rPr>
            </w:pPr>
            <w:r>
              <w:rPr>
                <w:rFonts w:hAnsi="等线"/>
                <w:color w:val="000000"/>
              </w:rPr>
              <w:t>公允价值(元)</w:t>
            </w:r>
          </w:p>
        </w:tc>
        <w:tc>
          <w:tcPr>
            <w:tcW w:w="1816" w:type="dxa"/>
            <w:tcBorders>
              <w:top w:val="single" w:sz="8" w:space="0" w:color="000000"/>
              <w:left w:val="single" w:sz="8" w:space="0" w:color="000000"/>
              <w:bottom w:val="single" w:sz="6" w:space="0" w:color="000000"/>
              <w:right w:val="single" w:sz="8" w:space="0" w:color="000000"/>
            </w:tcBorders>
            <w:vAlign w:val="center"/>
          </w:tcPr>
          <w:p w14:paraId="335E60C6" w14:textId="77777777" w:rsidR="008D0810" w:rsidRDefault="00417F9F">
            <w:pPr>
              <w:pStyle w:val="biaogecenter"/>
              <w:wordWrap w:val="0"/>
              <w:rPr>
                <w:rFonts w:hint="eastAsia"/>
              </w:rPr>
            </w:pPr>
            <w:r>
              <w:rPr>
                <w:rFonts w:hAnsi="等线"/>
                <w:color w:val="000000"/>
              </w:rPr>
              <w:t>占基金资产净值比例（％）</w:t>
            </w:r>
          </w:p>
        </w:tc>
      </w:tr>
      <w:tr w:rsidR="005B7208" w14:paraId="211EEFF2"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6A6E1295" w14:textId="77777777" w:rsidR="005B7208" w:rsidRDefault="005B7208" w:rsidP="005B7208">
            <w:pPr>
              <w:pStyle w:val="biaogecenter"/>
              <w:wordWrap w:val="0"/>
              <w:rPr>
                <w:rFonts w:hint="eastAsia"/>
              </w:rPr>
            </w:pPr>
            <w:r>
              <w:rPr>
                <w:rFonts w:hAnsi="等线"/>
                <w:color w:val="000000"/>
              </w:rPr>
              <w:t>1</w:t>
            </w:r>
          </w:p>
        </w:tc>
        <w:tc>
          <w:tcPr>
            <w:tcW w:w="3481" w:type="dxa"/>
            <w:tcBorders>
              <w:top w:val="single" w:sz="8" w:space="0" w:color="000000"/>
              <w:left w:val="single" w:sz="8" w:space="0" w:color="000000"/>
              <w:bottom w:val="single" w:sz="6" w:space="0" w:color="000000"/>
              <w:right w:val="single" w:sz="8" w:space="0" w:color="000000"/>
            </w:tcBorders>
            <w:vAlign w:val="center"/>
          </w:tcPr>
          <w:p w14:paraId="1BCBCE4D" w14:textId="77777777" w:rsidR="005B7208" w:rsidRDefault="005B7208" w:rsidP="005B7208">
            <w:pPr>
              <w:pStyle w:val="biaogeleft"/>
              <w:wordWrap w:val="0"/>
              <w:rPr>
                <w:rFonts w:hint="eastAsia"/>
              </w:rPr>
            </w:pPr>
            <w:r>
              <w:rPr>
                <w:rFonts w:hAnsi="等线"/>
                <w:color w:val="000000"/>
              </w:rPr>
              <w:t>国家债券</w:t>
            </w:r>
          </w:p>
        </w:tc>
        <w:tc>
          <w:tcPr>
            <w:tcW w:w="2573" w:type="dxa"/>
            <w:tcBorders>
              <w:top w:val="single" w:sz="8" w:space="0" w:color="000000"/>
              <w:left w:val="single" w:sz="8" w:space="0" w:color="000000"/>
              <w:bottom w:val="single" w:sz="6" w:space="0" w:color="000000"/>
              <w:right w:val="single" w:sz="8" w:space="0" w:color="000000"/>
            </w:tcBorders>
            <w:vAlign w:val="center"/>
          </w:tcPr>
          <w:p w14:paraId="74B61039" w14:textId="5F3A8425" w:rsidR="005B7208" w:rsidRDefault="005B7208" w:rsidP="005B7208">
            <w:pPr>
              <w:pStyle w:val="biaogeright"/>
              <w:wordWrap w:val="0"/>
              <w:rPr>
                <w:rFonts w:hint="eastAsia"/>
              </w:rPr>
            </w:pPr>
            <w:r w:rsidRPr="00A67984">
              <w:rPr>
                <w:rFonts w:hAnsi="等线"/>
                <w:color w:val="000000"/>
              </w:rPr>
              <w:t>403,589.26</w:t>
            </w:r>
          </w:p>
        </w:tc>
        <w:tc>
          <w:tcPr>
            <w:tcW w:w="1816" w:type="dxa"/>
            <w:tcBorders>
              <w:top w:val="single" w:sz="8" w:space="0" w:color="000000"/>
              <w:left w:val="single" w:sz="8" w:space="0" w:color="000000"/>
              <w:bottom w:val="single" w:sz="6" w:space="0" w:color="000000"/>
              <w:right w:val="single" w:sz="8" w:space="0" w:color="000000"/>
            </w:tcBorders>
            <w:vAlign w:val="center"/>
          </w:tcPr>
          <w:p w14:paraId="07995A04" w14:textId="62EC7A66" w:rsidR="005B7208" w:rsidRDefault="005B7208" w:rsidP="005B7208">
            <w:pPr>
              <w:pStyle w:val="biaogeright"/>
              <w:wordWrap w:val="0"/>
              <w:rPr>
                <w:rFonts w:hint="eastAsia"/>
              </w:rPr>
            </w:pPr>
            <w:r w:rsidRPr="00A67984">
              <w:rPr>
                <w:rFonts w:hAnsi="等线"/>
                <w:color w:val="000000"/>
              </w:rPr>
              <w:t>6.82</w:t>
            </w:r>
          </w:p>
        </w:tc>
      </w:tr>
      <w:tr w:rsidR="005B7208" w14:paraId="6E247A0D"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3AE7DC00" w14:textId="77777777" w:rsidR="005B7208" w:rsidRDefault="005B7208" w:rsidP="005B7208">
            <w:pPr>
              <w:pStyle w:val="biaogecenter"/>
              <w:wordWrap w:val="0"/>
              <w:rPr>
                <w:rFonts w:hint="eastAsia"/>
              </w:rPr>
            </w:pPr>
            <w:r>
              <w:rPr>
                <w:rFonts w:hAnsi="等线"/>
                <w:color w:val="000000"/>
              </w:rPr>
              <w:t>2</w:t>
            </w:r>
          </w:p>
        </w:tc>
        <w:tc>
          <w:tcPr>
            <w:tcW w:w="3481" w:type="dxa"/>
            <w:tcBorders>
              <w:top w:val="single" w:sz="8" w:space="0" w:color="000000"/>
              <w:left w:val="single" w:sz="8" w:space="0" w:color="000000"/>
              <w:bottom w:val="single" w:sz="6" w:space="0" w:color="000000"/>
              <w:right w:val="single" w:sz="8" w:space="0" w:color="000000"/>
            </w:tcBorders>
            <w:vAlign w:val="center"/>
          </w:tcPr>
          <w:p w14:paraId="6BEFB19B" w14:textId="77777777" w:rsidR="005B7208" w:rsidRDefault="005B7208" w:rsidP="005B7208">
            <w:pPr>
              <w:pStyle w:val="biaogeleft"/>
              <w:wordWrap w:val="0"/>
              <w:rPr>
                <w:rFonts w:hint="eastAsia"/>
              </w:rPr>
            </w:pPr>
            <w:r>
              <w:rPr>
                <w:rFonts w:hAnsi="等线"/>
                <w:color w:val="000000"/>
              </w:rPr>
              <w:t>央行票据</w:t>
            </w:r>
          </w:p>
        </w:tc>
        <w:tc>
          <w:tcPr>
            <w:tcW w:w="2573" w:type="dxa"/>
            <w:tcBorders>
              <w:top w:val="single" w:sz="8" w:space="0" w:color="000000"/>
              <w:left w:val="single" w:sz="8" w:space="0" w:color="000000"/>
              <w:bottom w:val="single" w:sz="6" w:space="0" w:color="000000"/>
              <w:right w:val="single" w:sz="8" w:space="0" w:color="000000"/>
            </w:tcBorders>
            <w:vAlign w:val="center"/>
          </w:tcPr>
          <w:p w14:paraId="657D7DB1" w14:textId="252077AB"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1A4BEF35" w14:textId="699BA213" w:rsidR="005B7208" w:rsidRDefault="005B7208" w:rsidP="005B7208">
            <w:pPr>
              <w:pStyle w:val="biaogeright"/>
              <w:wordWrap w:val="0"/>
              <w:rPr>
                <w:rFonts w:hint="eastAsia"/>
              </w:rPr>
            </w:pPr>
            <w:r w:rsidRPr="00A67984">
              <w:rPr>
                <w:rFonts w:hAnsi="等线"/>
                <w:color w:val="000000"/>
              </w:rPr>
              <w:t>-</w:t>
            </w:r>
          </w:p>
        </w:tc>
      </w:tr>
      <w:tr w:rsidR="005B7208" w14:paraId="40D48B6E"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086B2E9A" w14:textId="77777777" w:rsidR="005B7208" w:rsidRDefault="005B7208" w:rsidP="005B7208">
            <w:pPr>
              <w:pStyle w:val="biaogecenter"/>
              <w:wordWrap w:val="0"/>
              <w:rPr>
                <w:rFonts w:hint="eastAsia"/>
              </w:rPr>
            </w:pPr>
            <w:r>
              <w:rPr>
                <w:rFonts w:hAnsi="等线"/>
                <w:color w:val="000000"/>
              </w:rPr>
              <w:lastRenderedPageBreak/>
              <w:t>3</w:t>
            </w:r>
          </w:p>
        </w:tc>
        <w:tc>
          <w:tcPr>
            <w:tcW w:w="3481" w:type="dxa"/>
            <w:tcBorders>
              <w:top w:val="single" w:sz="8" w:space="0" w:color="000000"/>
              <w:left w:val="single" w:sz="8" w:space="0" w:color="000000"/>
              <w:bottom w:val="single" w:sz="6" w:space="0" w:color="000000"/>
              <w:right w:val="single" w:sz="8" w:space="0" w:color="000000"/>
            </w:tcBorders>
            <w:vAlign w:val="center"/>
          </w:tcPr>
          <w:p w14:paraId="12E77063" w14:textId="77777777" w:rsidR="005B7208" w:rsidRDefault="005B7208" w:rsidP="005B7208">
            <w:pPr>
              <w:pStyle w:val="biaogeleft"/>
              <w:wordWrap w:val="0"/>
              <w:rPr>
                <w:rFonts w:hint="eastAsia"/>
              </w:rPr>
            </w:pPr>
            <w:r>
              <w:rPr>
                <w:rFonts w:hAnsi="等线"/>
                <w:color w:val="000000"/>
              </w:rPr>
              <w:t>金融债券</w:t>
            </w:r>
          </w:p>
        </w:tc>
        <w:tc>
          <w:tcPr>
            <w:tcW w:w="2573" w:type="dxa"/>
            <w:tcBorders>
              <w:top w:val="single" w:sz="8" w:space="0" w:color="000000"/>
              <w:left w:val="single" w:sz="8" w:space="0" w:color="000000"/>
              <w:bottom w:val="single" w:sz="6" w:space="0" w:color="000000"/>
              <w:right w:val="single" w:sz="8" w:space="0" w:color="000000"/>
            </w:tcBorders>
            <w:vAlign w:val="center"/>
          </w:tcPr>
          <w:p w14:paraId="53CF4068" w14:textId="12A5B3A2"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50E6C9B2" w14:textId="79E90392" w:rsidR="005B7208" w:rsidRDefault="005B7208" w:rsidP="005B7208">
            <w:pPr>
              <w:pStyle w:val="biaogeright"/>
              <w:wordWrap w:val="0"/>
              <w:rPr>
                <w:rFonts w:hint="eastAsia"/>
              </w:rPr>
            </w:pPr>
            <w:r w:rsidRPr="00A67984">
              <w:rPr>
                <w:rFonts w:hAnsi="等线"/>
                <w:color w:val="000000"/>
              </w:rPr>
              <w:t>-</w:t>
            </w:r>
          </w:p>
        </w:tc>
      </w:tr>
      <w:tr w:rsidR="005B7208" w14:paraId="42DB9486"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34F5C5AA" w14:textId="77777777" w:rsidR="005B7208" w:rsidRDefault="005B7208" w:rsidP="005B7208"/>
        </w:tc>
        <w:tc>
          <w:tcPr>
            <w:tcW w:w="3481" w:type="dxa"/>
            <w:tcBorders>
              <w:top w:val="single" w:sz="8" w:space="0" w:color="000000"/>
              <w:left w:val="single" w:sz="8" w:space="0" w:color="000000"/>
              <w:bottom w:val="single" w:sz="6" w:space="0" w:color="000000"/>
              <w:right w:val="single" w:sz="8" w:space="0" w:color="000000"/>
            </w:tcBorders>
            <w:vAlign w:val="center"/>
          </w:tcPr>
          <w:p w14:paraId="53ACE844" w14:textId="77777777" w:rsidR="005B7208" w:rsidRDefault="005B7208" w:rsidP="005B7208">
            <w:pPr>
              <w:pStyle w:val="biaogeleft"/>
              <w:wordWrap w:val="0"/>
              <w:rPr>
                <w:rFonts w:hint="eastAsia"/>
              </w:rPr>
            </w:pPr>
            <w:r>
              <w:rPr>
                <w:rFonts w:hAnsi="等线"/>
                <w:color w:val="000000"/>
              </w:rPr>
              <w:t>其中：政策性金融债</w:t>
            </w:r>
          </w:p>
        </w:tc>
        <w:tc>
          <w:tcPr>
            <w:tcW w:w="2573" w:type="dxa"/>
            <w:tcBorders>
              <w:top w:val="single" w:sz="8" w:space="0" w:color="000000"/>
              <w:left w:val="single" w:sz="8" w:space="0" w:color="000000"/>
              <w:bottom w:val="single" w:sz="6" w:space="0" w:color="000000"/>
              <w:right w:val="single" w:sz="8" w:space="0" w:color="000000"/>
            </w:tcBorders>
            <w:vAlign w:val="center"/>
          </w:tcPr>
          <w:p w14:paraId="2B576CEB" w14:textId="7B3B014E"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53FA42A5" w14:textId="21AE048D" w:rsidR="005B7208" w:rsidRDefault="005B7208" w:rsidP="005B7208">
            <w:pPr>
              <w:pStyle w:val="biaogeright"/>
              <w:wordWrap w:val="0"/>
              <w:rPr>
                <w:rFonts w:hint="eastAsia"/>
              </w:rPr>
            </w:pPr>
            <w:r w:rsidRPr="00A67984">
              <w:rPr>
                <w:rFonts w:hAnsi="等线"/>
                <w:color w:val="000000"/>
              </w:rPr>
              <w:t>-</w:t>
            </w:r>
          </w:p>
        </w:tc>
      </w:tr>
      <w:tr w:rsidR="005B7208" w14:paraId="06E706A3"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7CDDB7AF" w14:textId="77777777" w:rsidR="005B7208" w:rsidRDefault="005B7208" w:rsidP="005B7208">
            <w:pPr>
              <w:pStyle w:val="biaogecenter"/>
              <w:wordWrap w:val="0"/>
              <w:rPr>
                <w:rFonts w:hint="eastAsia"/>
              </w:rPr>
            </w:pPr>
            <w:r>
              <w:rPr>
                <w:rFonts w:hAnsi="等线"/>
                <w:color w:val="000000"/>
              </w:rPr>
              <w:t>4</w:t>
            </w:r>
          </w:p>
        </w:tc>
        <w:tc>
          <w:tcPr>
            <w:tcW w:w="3481" w:type="dxa"/>
            <w:tcBorders>
              <w:top w:val="single" w:sz="8" w:space="0" w:color="000000"/>
              <w:left w:val="single" w:sz="8" w:space="0" w:color="000000"/>
              <w:bottom w:val="single" w:sz="6" w:space="0" w:color="000000"/>
              <w:right w:val="single" w:sz="8" w:space="0" w:color="000000"/>
            </w:tcBorders>
            <w:vAlign w:val="center"/>
          </w:tcPr>
          <w:p w14:paraId="60DCC110" w14:textId="77777777" w:rsidR="005B7208" w:rsidRDefault="005B7208" w:rsidP="005B7208">
            <w:pPr>
              <w:pStyle w:val="biaogeleft"/>
              <w:wordWrap w:val="0"/>
              <w:rPr>
                <w:rFonts w:hint="eastAsia"/>
              </w:rPr>
            </w:pPr>
            <w:r>
              <w:rPr>
                <w:rFonts w:hAnsi="等线"/>
                <w:color w:val="000000"/>
              </w:rPr>
              <w:t>企业债券</w:t>
            </w:r>
          </w:p>
        </w:tc>
        <w:tc>
          <w:tcPr>
            <w:tcW w:w="2573" w:type="dxa"/>
            <w:tcBorders>
              <w:top w:val="single" w:sz="8" w:space="0" w:color="000000"/>
              <w:left w:val="single" w:sz="8" w:space="0" w:color="000000"/>
              <w:bottom w:val="single" w:sz="6" w:space="0" w:color="000000"/>
              <w:right w:val="single" w:sz="8" w:space="0" w:color="000000"/>
            </w:tcBorders>
            <w:vAlign w:val="center"/>
          </w:tcPr>
          <w:p w14:paraId="0FE772D5" w14:textId="2BF14866"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3D2D1E0F" w14:textId="62734D37" w:rsidR="005B7208" w:rsidRDefault="005B7208" w:rsidP="005B7208">
            <w:pPr>
              <w:pStyle w:val="biaogeright"/>
              <w:wordWrap w:val="0"/>
              <w:rPr>
                <w:rFonts w:hint="eastAsia"/>
              </w:rPr>
            </w:pPr>
            <w:r w:rsidRPr="00A67984">
              <w:rPr>
                <w:rFonts w:hAnsi="等线"/>
                <w:color w:val="000000"/>
              </w:rPr>
              <w:t>-</w:t>
            </w:r>
          </w:p>
        </w:tc>
      </w:tr>
      <w:tr w:rsidR="005B7208" w14:paraId="6A280115"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67F63EE1" w14:textId="77777777" w:rsidR="005B7208" w:rsidRDefault="005B7208" w:rsidP="005B7208">
            <w:pPr>
              <w:pStyle w:val="biaogecenter"/>
              <w:wordWrap w:val="0"/>
              <w:rPr>
                <w:rFonts w:hint="eastAsia"/>
              </w:rPr>
            </w:pPr>
            <w:r>
              <w:rPr>
                <w:rFonts w:hAnsi="等线"/>
                <w:color w:val="000000"/>
              </w:rPr>
              <w:t>5</w:t>
            </w:r>
          </w:p>
        </w:tc>
        <w:tc>
          <w:tcPr>
            <w:tcW w:w="3481" w:type="dxa"/>
            <w:tcBorders>
              <w:top w:val="single" w:sz="8" w:space="0" w:color="000000"/>
              <w:left w:val="single" w:sz="8" w:space="0" w:color="000000"/>
              <w:bottom w:val="single" w:sz="6" w:space="0" w:color="000000"/>
              <w:right w:val="single" w:sz="8" w:space="0" w:color="000000"/>
            </w:tcBorders>
            <w:vAlign w:val="center"/>
          </w:tcPr>
          <w:p w14:paraId="6CD72942" w14:textId="77777777" w:rsidR="005B7208" w:rsidRDefault="005B7208" w:rsidP="005B7208">
            <w:pPr>
              <w:pStyle w:val="biaogeleft"/>
              <w:wordWrap w:val="0"/>
              <w:rPr>
                <w:rFonts w:hint="eastAsia"/>
              </w:rPr>
            </w:pPr>
            <w:r>
              <w:rPr>
                <w:rFonts w:hAnsi="等线"/>
                <w:color w:val="000000"/>
              </w:rPr>
              <w:t>企业短期融资券</w:t>
            </w:r>
          </w:p>
        </w:tc>
        <w:tc>
          <w:tcPr>
            <w:tcW w:w="2573" w:type="dxa"/>
            <w:tcBorders>
              <w:top w:val="single" w:sz="8" w:space="0" w:color="000000"/>
              <w:left w:val="single" w:sz="8" w:space="0" w:color="000000"/>
              <w:bottom w:val="single" w:sz="6" w:space="0" w:color="000000"/>
              <w:right w:val="single" w:sz="8" w:space="0" w:color="000000"/>
            </w:tcBorders>
            <w:vAlign w:val="center"/>
          </w:tcPr>
          <w:p w14:paraId="1556BBEB" w14:textId="7C6620DA"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3B73F26D" w14:textId="75073E48" w:rsidR="005B7208" w:rsidRDefault="005B7208" w:rsidP="005B7208">
            <w:pPr>
              <w:pStyle w:val="biaogeright"/>
              <w:wordWrap w:val="0"/>
              <w:rPr>
                <w:rFonts w:hint="eastAsia"/>
              </w:rPr>
            </w:pPr>
            <w:r w:rsidRPr="00A67984">
              <w:rPr>
                <w:rFonts w:hAnsi="等线"/>
                <w:color w:val="000000"/>
              </w:rPr>
              <w:t>-</w:t>
            </w:r>
          </w:p>
        </w:tc>
      </w:tr>
      <w:tr w:rsidR="005B7208" w14:paraId="6779B0F8"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1BBE7965" w14:textId="77777777" w:rsidR="005B7208" w:rsidRDefault="005B7208" w:rsidP="005B7208">
            <w:pPr>
              <w:pStyle w:val="biaogecenter"/>
              <w:wordWrap w:val="0"/>
              <w:rPr>
                <w:rFonts w:hint="eastAsia"/>
              </w:rPr>
            </w:pPr>
            <w:r>
              <w:rPr>
                <w:rFonts w:hAnsi="等线"/>
                <w:color w:val="000000"/>
              </w:rPr>
              <w:t>6</w:t>
            </w:r>
          </w:p>
        </w:tc>
        <w:tc>
          <w:tcPr>
            <w:tcW w:w="3481" w:type="dxa"/>
            <w:tcBorders>
              <w:top w:val="single" w:sz="8" w:space="0" w:color="000000"/>
              <w:left w:val="single" w:sz="8" w:space="0" w:color="000000"/>
              <w:bottom w:val="single" w:sz="6" w:space="0" w:color="000000"/>
              <w:right w:val="single" w:sz="8" w:space="0" w:color="000000"/>
            </w:tcBorders>
            <w:vAlign w:val="center"/>
          </w:tcPr>
          <w:p w14:paraId="7543C758" w14:textId="77777777" w:rsidR="005B7208" w:rsidRDefault="005B7208" w:rsidP="005B7208">
            <w:pPr>
              <w:pStyle w:val="biaogeleft"/>
              <w:wordWrap w:val="0"/>
              <w:rPr>
                <w:rFonts w:hint="eastAsia"/>
              </w:rPr>
            </w:pPr>
            <w:r>
              <w:rPr>
                <w:rFonts w:hAnsi="等线"/>
                <w:color w:val="000000"/>
              </w:rPr>
              <w:t>中期票据</w:t>
            </w:r>
          </w:p>
        </w:tc>
        <w:tc>
          <w:tcPr>
            <w:tcW w:w="2573" w:type="dxa"/>
            <w:tcBorders>
              <w:top w:val="single" w:sz="8" w:space="0" w:color="000000"/>
              <w:left w:val="single" w:sz="8" w:space="0" w:color="000000"/>
              <w:bottom w:val="single" w:sz="6" w:space="0" w:color="000000"/>
              <w:right w:val="single" w:sz="8" w:space="0" w:color="000000"/>
            </w:tcBorders>
            <w:vAlign w:val="center"/>
          </w:tcPr>
          <w:p w14:paraId="444368E3" w14:textId="31ED505C"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691BB849" w14:textId="7830AB2A" w:rsidR="005B7208" w:rsidRDefault="005B7208" w:rsidP="005B7208">
            <w:pPr>
              <w:pStyle w:val="biaogeright"/>
              <w:wordWrap w:val="0"/>
              <w:rPr>
                <w:rFonts w:hint="eastAsia"/>
              </w:rPr>
            </w:pPr>
            <w:r w:rsidRPr="00A67984">
              <w:rPr>
                <w:rFonts w:hAnsi="等线"/>
                <w:color w:val="000000"/>
              </w:rPr>
              <w:t>-</w:t>
            </w:r>
          </w:p>
        </w:tc>
      </w:tr>
      <w:tr w:rsidR="005B7208" w14:paraId="589FCAEE"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4286FBE0" w14:textId="77777777" w:rsidR="005B7208" w:rsidRDefault="005B7208" w:rsidP="005B7208">
            <w:pPr>
              <w:pStyle w:val="biaogecenter"/>
              <w:wordWrap w:val="0"/>
              <w:rPr>
                <w:rFonts w:hint="eastAsia"/>
              </w:rPr>
            </w:pPr>
            <w:r>
              <w:rPr>
                <w:rFonts w:hAnsi="等线"/>
                <w:color w:val="000000"/>
              </w:rPr>
              <w:t>7</w:t>
            </w:r>
          </w:p>
        </w:tc>
        <w:tc>
          <w:tcPr>
            <w:tcW w:w="3481" w:type="dxa"/>
            <w:tcBorders>
              <w:top w:val="single" w:sz="8" w:space="0" w:color="000000"/>
              <w:left w:val="single" w:sz="8" w:space="0" w:color="000000"/>
              <w:bottom w:val="single" w:sz="6" w:space="0" w:color="000000"/>
              <w:right w:val="single" w:sz="8" w:space="0" w:color="000000"/>
            </w:tcBorders>
            <w:vAlign w:val="center"/>
          </w:tcPr>
          <w:p w14:paraId="4F799BC9" w14:textId="77777777" w:rsidR="005B7208" w:rsidRDefault="005B7208" w:rsidP="005B7208">
            <w:pPr>
              <w:pStyle w:val="biaogeleft"/>
              <w:wordWrap w:val="0"/>
              <w:rPr>
                <w:rFonts w:hint="eastAsia"/>
              </w:rPr>
            </w:pPr>
            <w:r>
              <w:rPr>
                <w:rFonts w:hAnsi="等线"/>
                <w:color w:val="000000"/>
              </w:rPr>
              <w:t>可转债（可交换债）</w:t>
            </w:r>
          </w:p>
        </w:tc>
        <w:tc>
          <w:tcPr>
            <w:tcW w:w="2573" w:type="dxa"/>
            <w:tcBorders>
              <w:top w:val="single" w:sz="8" w:space="0" w:color="000000"/>
              <w:left w:val="single" w:sz="8" w:space="0" w:color="000000"/>
              <w:bottom w:val="single" w:sz="6" w:space="0" w:color="000000"/>
              <w:right w:val="single" w:sz="8" w:space="0" w:color="000000"/>
            </w:tcBorders>
            <w:vAlign w:val="center"/>
          </w:tcPr>
          <w:p w14:paraId="075A5EF1" w14:textId="7E2370FA"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30F8ECC3" w14:textId="30B21770" w:rsidR="005B7208" w:rsidRDefault="005B7208" w:rsidP="005B7208">
            <w:pPr>
              <w:pStyle w:val="biaogeright"/>
              <w:wordWrap w:val="0"/>
              <w:rPr>
                <w:rFonts w:hint="eastAsia"/>
              </w:rPr>
            </w:pPr>
            <w:r w:rsidRPr="00A67984">
              <w:rPr>
                <w:rFonts w:hAnsi="等线"/>
                <w:color w:val="000000"/>
              </w:rPr>
              <w:t>-</w:t>
            </w:r>
          </w:p>
        </w:tc>
      </w:tr>
      <w:tr w:rsidR="005B7208" w14:paraId="4966C282"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0539015A" w14:textId="77777777" w:rsidR="005B7208" w:rsidRDefault="005B7208" w:rsidP="005B7208">
            <w:pPr>
              <w:pStyle w:val="biaogecenter"/>
              <w:wordWrap w:val="0"/>
              <w:rPr>
                <w:rFonts w:hint="eastAsia"/>
              </w:rPr>
            </w:pPr>
            <w:r>
              <w:rPr>
                <w:rFonts w:hAnsi="等线"/>
                <w:color w:val="000000"/>
              </w:rPr>
              <w:t>8</w:t>
            </w:r>
          </w:p>
        </w:tc>
        <w:tc>
          <w:tcPr>
            <w:tcW w:w="3481" w:type="dxa"/>
            <w:tcBorders>
              <w:top w:val="single" w:sz="8" w:space="0" w:color="000000"/>
              <w:left w:val="single" w:sz="8" w:space="0" w:color="000000"/>
              <w:bottom w:val="single" w:sz="6" w:space="0" w:color="000000"/>
              <w:right w:val="single" w:sz="8" w:space="0" w:color="000000"/>
            </w:tcBorders>
            <w:vAlign w:val="center"/>
          </w:tcPr>
          <w:p w14:paraId="76F59AF4" w14:textId="77777777" w:rsidR="005B7208" w:rsidRDefault="005B7208" w:rsidP="005B7208">
            <w:pPr>
              <w:pStyle w:val="biaogeleft"/>
              <w:wordWrap w:val="0"/>
              <w:rPr>
                <w:rFonts w:hint="eastAsia"/>
              </w:rPr>
            </w:pPr>
            <w:r>
              <w:rPr>
                <w:rFonts w:hAnsi="等线"/>
                <w:color w:val="000000"/>
              </w:rPr>
              <w:t>同业存单</w:t>
            </w:r>
          </w:p>
        </w:tc>
        <w:tc>
          <w:tcPr>
            <w:tcW w:w="2573" w:type="dxa"/>
            <w:tcBorders>
              <w:top w:val="single" w:sz="8" w:space="0" w:color="000000"/>
              <w:left w:val="single" w:sz="8" w:space="0" w:color="000000"/>
              <w:bottom w:val="single" w:sz="6" w:space="0" w:color="000000"/>
              <w:right w:val="single" w:sz="8" w:space="0" w:color="000000"/>
            </w:tcBorders>
            <w:vAlign w:val="center"/>
          </w:tcPr>
          <w:p w14:paraId="47468ADC" w14:textId="3B39FDD4"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7849FC73" w14:textId="3ACB7533" w:rsidR="005B7208" w:rsidRDefault="005B7208" w:rsidP="005B7208">
            <w:pPr>
              <w:pStyle w:val="biaogeright"/>
              <w:wordWrap w:val="0"/>
              <w:rPr>
                <w:rFonts w:hint="eastAsia"/>
              </w:rPr>
            </w:pPr>
            <w:r w:rsidRPr="00A67984">
              <w:rPr>
                <w:rFonts w:hAnsi="等线"/>
                <w:color w:val="000000"/>
              </w:rPr>
              <w:t>-</w:t>
            </w:r>
          </w:p>
        </w:tc>
      </w:tr>
      <w:tr w:rsidR="005B7208" w14:paraId="5C121DF2"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0640E373" w14:textId="77777777" w:rsidR="005B7208" w:rsidRDefault="005B7208" w:rsidP="005B7208">
            <w:pPr>
              <w:pStyle w:val="biaogecenter"/>
              <w:wordWrap w:val="0"/>
              <w:rPr>
                <w:rFonts w:hint="eastAsia"/>
              </w:rPr>
            </w:pPr>
            <w:r>
              <w:rPr>
                <w:rFonts w:hAnsi="等线"/>
                <w:color w:val="000000"/>
              </w:rPr>
              <w:t>9</w:t>
            </w:r>
          </w:p>
        </w:tc>
        <w:tc>
          <w:tcPr>
            <w:tcW w:w="3481" w:type="dxa"/>
            <w:tcBorders>
              <w:top w:val="single" w:sz="8" w:space="0" w:color="000000"/>
              <w:left w:val="single" w:sz="8" w:space="0" w:color="000000"/>
              <w:bottom w:val="single" w:sz="6" w:space="0" w:color="000000"/>
              <w:right w:val="single" w:sz="8" w:space="0" w:color="000000"/>
            </w:tcBorders>
            <w:vAlign w:val="center"/>
          </w:tcPr>
          <w:p w14:paraId="02626DAD" w14:textId="77777777" w:rsidR="005B7208" w:rsidRDefault="005B7208" w:rsidP="005B7208">
            <w:pPr>
              <w:pStyle w:val="biaogeleft"/>
              <w:wordWrap w:val="0"/>
              <w:rPr>
                <w:rFonts w:hint="eastAsia"/>
              </w:rPr>
            </w:pPr>
            <w:r>
              <w:rPr>
                <w:rFonts w:hAnsi="等线"/>
                <w:color w:val="000000"/>
              </w:rPr>
              <w:t>其他</w:t>
            </w:r>
          </w:p>
        </w:tc>
        <w:tc>
          <w:tcPr>
            <w:tcW w:w="2573" w:type="dxa"/>
            <w:tcBorders>
              <w:top w:val="single" w:sz="8" w:space="0" w:color="000000"/>
              <w:left w:val="single" w:sz="8" w:space="0" w:color="000000"/>
              <w:bottom w:val="single" w:sz="6" w:space="0" w:color="000000"/>
              <w:right w:val="single" w:sz="8" w:space="0" w:color="000000"/>
            </w:tcBorders>
            <w:vAlign w:val="center"/>
          </w:tcPr>
          <w:p w14:paraId="1516307C" w14:textId="2A5BEE6F" w:rsidR="005B7208" w:rsidRDefault="005B7208" w:rsidP="005B7208">
            <w:pPr>
              <w:pStyle w:val="biaogeright"/>
              <w:wordWrap w:val="0"/>
              <w:rPr>
                <w:rFonts w:hint="eastAsia"/>
              </w:rPr>
            </w:pPr>
            <w:r w:rsidRPr="00A6798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tcPr>
          <w:p w14:paraId="0F4EC617" w14:textId="23D6E80D" w:rsidR="005B7208" w:rsidRDefault="005B7208" w:rsidP="005B7208">
            <w:pPr>
              <w:pStyle w:val="biaogeright"/>
              <w:wordWrap w:val="0"/>
              <w:rPr>
                <w:rFonts w:hint="eastAsia"/>
              </w:rPr>
            </w:pPr>
            <w:r w:rsidRPr="00A67984">
              <w:rPr>
                <w:rFonts w:hAnsi="等线"/>
                <w:color w:val="000000"/>
              </w:rPr>
              <w:t>-</w:t>
            </w:r>
          </w:p>
        </w:tc>
      </w:tr>
      <w:tr w:rsidR="005B7208" w14:paraId="1E5C0591" w14:textId="77777777" w:rsidTr="005B7208">
        <w:tc>
          <w:tcPr>
            <w:tcW w:w="1210" w:type="dxa"/>
            <w:tcBorders>
              <w:top w:val="single" w:sz="8" w:space="0" w:color="000000"/>
              <w:left w:val="single" w:sz="8" w:space="0" w:color="000000"/>
              <w:bottom w:val="single" w:sz="6" w:space="0" w:color="000000"/>
              <w:right w:val="single" w:sz="8" w:space="0" w:color="000000"/>
            </w:tcBorders>
            <w:vAlign w:val="center"/>
          </w:tcPr>
          <w:p w14:paraId="3E13B298" w14:textId="77777777" w:rsidR="005B7208" w:rsidRDefault="005B7208" w:rsidP="005B7208">
            <w:pPr>
              <w:pStyle w:val="biaogecenter"/>
              <w:wordWrap w:val="0"/>
              <w:rPr>
                <w:rFonts w:hint="eastAsia"/>
              </w:rPr>
            </w:pPr>
            <w:r>
              <w:rPr>
                <w:rFonts w:hAnsi="等线"/>
                <w:color w:val="000000"/>
              </w:rPr>
              <w:t>10</w:t>
            </w:r>
          </w:p>
        </w:tc>
        <w:tc>
          <w:tcPr>
            <w:tcW w:w="3481" w:type="dxa"/>
            <w:tcBorders>
              <w:top w:val="single" w:sz="8" w:space="0" w:color="000000"/>
              <w:left w:val="single" w:sz="8" w:space="0" w:color="000000"/>
              <w:bottom w:val="single" w:sz="6" w:space="0" w:color="000000"/>
              <w:right w:val="single" w:sz="8" w:space="0" w:color="000000"/>
            </w:tcBorders>
            <w:vAlign w:val="center"/>
          </w:tcPr>
          <w:p w14:paraId="14B7375B" w14:textId="77777777" w:rsidR="005B7208" w:rsidRDefault="005B7208" w:rsidP="005B7208">
            <w:pPr>
              <w:pStyle w:val="biaogeleft"/>
              <w:wordWrap w:val="0"/>
              <w:rPr>
                <w:rFonts w:hint="eastAsia"/>
              </w:rPr>
            </w:pPr>
            <w:r>
              <w:rPr>
                <w:rFonts w:hAnsi="等线"/>
                <w:color w:val="000000"/>
              </w:rPr>
              <w:t>合计</w:t>
            </w:r>
          </w:p>
        </w:tc>
        <w:tc>
          <w:tcPr>
            <w:tcW w:w="2573" w:type="dxa"/>
            <w:tcBorders>
              <w:top w:val="single" w:sz="8" w:space="0" w:color="000000"/>
              <w:left w:val="single" w:sz="8" w:space="0" w:color="000000"/>
              <w:bottom w:val="single" w:sz="6" w:space="0" w:color="000000"/>
              <w:right w:val="single" w:sz="8" w:space="0" w:color="000000"/>
            </w:tcBorders>
            <w:vAlign w:val="center"/>
          </w:tcPr>
          <w:p w14:paraId="53D35222" w14:textId="0690F864" w:rsidR="005B7208" w:rsidRDefault="005B7208" w:rsidP="005B7208">
            <w:pPr>
              <w:pStyle w:val="biaogeright"/>
              <w:wordWrap w:val="0"/>
              <w:rPr>
                <w:rFonts w:hint="eastAsia"/>
              </w:rPr>
            </w:pPr>
            <w:r w:rsidRPr="00A67984">
              <w:rPr>
                <w:rFonts w:hAnsi="等线"/>
                <w:color w:val="000000"/>
              </w:rPr>
              <w:t>403,589.26</w:t>
            </w:r>
          </w:p>
        </w:tc>
        <w:tc>
          <w:tcPr>
            <w:tcW w:w="1816" w:type="dxa"/>
            <w:tcBorders>
              <w:top w:val="single" w:sz="8" w:space="0" w:color="000000"/>
              <w:left w:val="single" w:sz="8" w:space="0" w:color="000000"/>
              <w:bottom w:val="single" w:sz="6" w:space="0" w:color="000000"/>
              <w:right w:val="single" w:sz="8" w:space="0" w:color="000000"/>
            </w:tcBorders>
            <w:vAlign w:val="center"/>
          </w:tcPr>
          <w:p w14:paraId="6D02C568" w14:textId="0295DA9D" w:rsidR="005B7208" w:rsidRDefault="005B7208" w:rsidP="005B7208">
            <w:pPr>
              <w:pStyle w:val="biaogeright"/>
              <w:wordWrap w:val="0"/>
              <w:rPr>
                <w:rFonts w:hint="eastAsia"/>
              </w:rPr>
            </w:pPr>
            <w:r w:rsidRPr="00A67984">
              <w:rPr>
                <w:rFonts w:hAnsi="等线"/>
                <w:color w:val="000000"/>
              </w:rPr>
              <w:t>6.82</w:t>
            </w:r>
          </w:p>
        </w:tc>
      </w:tr>
    </w:tbl>
    <w:p w14:paraId="4B4E5CF9"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1851995F"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5、报告期末按公允价值占基金资产净值比例大小排序的前五名债券投资明细</w:t>
      </w:r>
    </w:p>
    <w:tbl>
      <w:tblPr>
        <w:tblW w:w="9080" w:type="dxa"/>
        <w:tblInd w:w="108" w:type="dxa"/>
        <w:tblLook w:val="04A0" w:firstRow="1" w:lastRow="0" w:firstColumn="1" w:lastColumn="0" w:noHBand="0" w:noVBand="1"/>
      </w:tblPr>
      <w:tblGrid>
        <w:gridCol w:w="472"/>
        <w:gridCol w:w="1334"/>
        <w:gridCol w:w="1924"/>
        <w:gridCol w:w="1490"/>
        <w:gridCol w:w="2075"/>
        <w:gridCol w:w="1785"/>
      </w:tblGrid>
      <w:tr w:rsidR="008D0810" w14:paraId="60D1F7B0" w14:textId="77777777" w:rsidTr="005B7208">
        <w:tc>
          <w:tcPr>
            <w:tcW w:w="472" w:type="dxa"/>
            <w:tcBorders>
              <w:top w:val="single" w:sz="8" w:space="0" w:color="000000"/>
              <w:left w:val="single" w:sz="8" w:space="0" w:color="000000"/>
              <w:bottom w:val="single" w:sz="6" w:space="0" w:color="000000"/>
              <w:right w:val="single" w:sz="8" w:space="0" w:color="000000"/>
            </w:tcBorders>
            <w:vAlign w:val="center"/>
          </w:tcPr>
          <w:p w14:paraId="0D758DFB" w14:textId="77777777" w:rsidR="008D0810" w:rsidRDefault="00417F9F">
            <w:pPr>
              <w:pStyle w:val="biaogecenter"/>
              <w:wordWrap w:val="0"/>
              <w:rPr>
                <w:rFonts w:hint="eastAsia"/>
              </w:rPr>
            </w:pPr>
            <w:r>
              <w:rPr>
                <w:rFonts w:hAnsi="等线"/>
                <w:color w:val="000000"/>
              </w:rPr>
              <w:t>序号</w:t>
            </w:r>
          </w:p>
        </w:tc>
        <w:tc>
          <w:tcPr>
            <w:tcW w:w="1334" w:type="dxa"/>
            <w:tcBorders>
              <w:top w:val="single" w:sz="8" w:space="0" w:color="000000"/>
              <w:left w:val="single" w:sz="8" w:space="0" w:color="000000"/>
              <w:bottom w:val="single" w:sz="6" w:space="0" w:color="000000"/>
              <w:right w:val="single" w:sz="8" w:space="0" w:color="000000"/>
            </w:tcBorders>
            <w:vAlign w:val="center"/>
          </w:tcPr>
          <w:p w14:paraId="71D4A00F" w14:textId="77777777" w:rsidR="008D0810" w:rsidRDefault="00417F9F">
            <w:pPr>
              <w:pStyle w:val="biaogecenter"/>
              <w:wordWrap w:val="0"/>
              <w:rPr>
                <w:rFonts w:hint="eastAsia"/>
              </w:rPr>
            </w:pPr>
            <w:r>
              <w:rPr>
                <w:rFonts w:hAnsi="等线"/>
                <w:color w:val="000000"/>
              </w:rPr>
              <w:t>债券代码</w:t>
            </w:r>
          </w:p>
        </w:tc>
        <w:tc>
          <w:tcPr>
            <w:tcW w:w="1924" w:type="dxa"/>
            <w:tcBorders>
              <w:top w:val="single" w:sz="8" w:space="0" w:color="000000"/>
              <w:left w:val="single" w:sz="8" w:space="0" w:color="000000"/>
              <w:bottom w:val="single" w:sz="6" w:space="0" w:color="000000"/>
              <w:right w:val="single" w:sz="8" w:space="0" w:color="000000"/>
            </w:tcBorders>
            <w:vAlign w:val="center"/>
          </w:tcPr>
          <w:p w14:paraId="050D6367" w14:textId="77777777" w:rsidR="008D0810" w:rsidRDefault="00417F9F">
            <w:pPr>
              <w:pStyle w:val="biaogecenter"/>
              <w:wordWrap w:val="0"/>
              <w:rPr>
                <w:rFonts w:hint="eastAsia"/>
              </w:rPr>
            </w:pPr>
            <w:r>
              <w:rPr>
                <w:rFonts w:hAnsi="等线"/>
                <w:color w:val="000000"/>
              </w:rPr>
              <w:t>债券名称</w:t>
            </w:r>
          </w:p>
        </w:tc>
        <w:tc>
          <w:tcPr>
            <w:tcW w:w="1490" w:type="dxa"/>
            <w:tcBorders>
              <w:top w:val="single" w:sz="8" w:space="0" w:color="000000"/>
              <w:left w:val="single" w:sz="8" w:space="0" w:color="000000"/>
              <w:bottom w:val="single" w:sz="6" w:space="0" w:color="000000"/>
              <w:right w:val="single" w:sz="8" w:space="0" w:color="000000"/>
            </w:tcBorders>
            <w:vAlign w:val="center"/>
          </w:tcPr>
          <w:p w14:paraId="6DAB14F2" w14:textId="77777777" w:rsidR="008D0810" w:rsidRDefault="00417F9F">
            <w:pPr>
              <w:pStyle w:val="biaogecenter"/>
              <w:wordWrap w:val="0"/>
              <w:rPr>
                <w:rFonts w:hint="eastAsia"/>
              </w:rPr>
            </w:pPr>
            <w:r>
              <w:rPr>
                <w:rFonts w:hAnsi="等线"/>
                <w:color w:val="000000"/>
              </w:rPr>
              <w:t>数量（张）</w:t>
            </w:r>
          </w:p>
        </w:tc>
        <w:tc>
          <w:tcPr>
            <w:tcW w:w="2075" w:type="dxa"/>
            <w:tcBorders>
              <w:top w:val="single" w:sz="8" w:space="0" w:color="000000"/>
              <w:left w:val="single" w:sz="8" w:space="0" w:color="000000"/>
              <w:bottom w:val="single" w:sz="6" w:space="0" w:color="000000"/>
              <w:right w:val="single" w:sz="8" w:space="0" w:color="000000"/>
            </w:tcBorders>
            <w:vAlign w:val="center"/>
          </w:tcPr>
          <w:p w14:paraId="574F8066" w14:textId="77777777" w:rsidR="008D0810" w:rsidRDefault="00417F9F">
            <w:pPr>
              <w:pStyle w:val="biaogecenter"/>
              <w:wordWrap w:val="0"/>
              <w:rPr>
                <w:rFonts w:hint="eastAsia"/>
              </w:rPr>
            </w:pPr>
            <w:r>
              <w:rPr>
                <w:rFonts w:hAnsi="等线"/>
                <w:color w:val="000000"/>
              </w:rPr>
              <w:t>公允价值(元)</w:t>
            </w:r>
          </w:p>
        </w:tc>
        <w:tc>
          <w:tcPr>
            <w:tcW w:w="1785" w:type="dxa"/>
            <w:tcBorders>
              <w:top w:val="single" w:sz="8" w:space="0" w:color="000000"/>
              <w:left w:val="single" w:sz="8" w:space="0" w:color="000000"/>
              <w:bottom w:val="single" w:sz="6" w:space="0" w:color="000000"/>
              <w:right w:val="single" w:sz="8" w:space="0" w:color="000000"/>
            </w:tcBorders>
            <w:vAlign w:val="center"/>
          </w:tcPr>
          <w:p w14:paraId="1FFDA5E5" w14:textId="77777777" w:rsidR="008D0810" w:rsidRDefault="00417F9F">
            <w:pPr>
              <w:pStyle w:val="biaogecenter"/>
              <w:wordWrap w:val="0"/>
              <w:rPr>
                <w:rFonts w:hint="eastAsia"/>
              </w:rPr>
            </w:pPr>
            <w:r>
              <w:rPr>
                <w:rFonts w:hAnsi="等线"/>
                <w:color w:val="000000"/>
              </w:rPr>
              <w:t>占基金资产净值比例（％）</w:t>
            </w:r>
          </w:p>
        </w:tc>
      </w:tr>
      <w:tr w:rsidR="005B7208" w14:paraId="3923363A" w14:textId="77777777" w:rsidTr="005B7208">
        <w:tc>
          <w:tcPr>
            <w:tcW w:w="0" w:type="auto"/>
            <w:tcBorders>
              <w:top w:val="single" w:sz="8" w:space="0" w:color="000000"/>
              <w:left w:val="single" w:sz="8" w:space="0" w:color="000000"/>
              <w:bottom w:val="single" w:sz="6" w:space="0" w:color="000000"/>
              <w:right w:val="single" w:sz="8" w:space="0" w:color="000000"/>
            </w:tcBorders>
            <w:vAlign w:val="center"/>
          </w:tcPr>
          <w:p w14:paraId="72180F4C" w14:textId="77777777" w:rsidR="005B7208" w:rsidRDefault="005B7208" w:rsidP="005B7208">
            <w:pPr>
              <w:pStyle w:val="biaogecenter"/>
              <w:wordWrap w:val="0"/>
              <w:rPr>
                <w:rFonts w:hint="eastAsia"/>
              </w:rPr>
            </w:pPr>
            <w:r>
              <w:rPr>
                <w:rFonts w:hAnsi="等线"/>
                <w:color w:val="000000"/>
              </w:rPr>
              <w:t>1</w:t>
            </w:r>
          </w:p>
        </w:tc>
        <w:tc>
          <w:tcPr>
            <w:tcW w:w="1334" w:type="dxa"/>
            <w:tcBorders>
              <w:top w:val="single" w:sz="8" w:space="0" w:color="000000"/>
              <w:left w:val="single" w:sz="8" w:space="0" w:color="000000"/>
              <w:bottom w:val="single" w:sz="6" w:space="0" w:color="000000"/>
              <w:right w:val="single" w:sz="8" w:space="0" w:color="000000"/>
            </w:tcBorders>
            <w:vAlign w:val="center"/>
          </w:tcPr>
          <w:p w14:paraId="200FDA30" w14:textId="49F07B0C" w:rsidR="005B7208" w:rsidRDefault="005B7208" w:rsidP="005B7208">
            <w:pPr>
              <w:pStyle w:val="biaogeleft"/>
              <w:wordWrap w:val="0"/>
              <w:rPr>
                <w:rFonts w:hint="eastAsia"/>
              </w:rPr>
            </w:pPr>
            <w:r w:rsidRPr="00A67984">
              <w:rPr>
                <w:rFonts w:hAnsi="等线"/>
                <w:color w:val="000000"/>
              </w:rPr>
              <w:t>019758</w:t>
            </w:r>
          </w:p>
        </w:tc>
        <w:tc>
          <w:tcPr>
            <w:tcW w:w="1924" w:type="dxa"/>
            <w:tcBorders>
              <w:top w:val="single" w:sz="8" w:space="0" w:color="000000"/>
              <w:left w:val="single" w:sz="8" w:space="0" w:color="000000"/>
              <w:bottom w:val="single" w:sz="6" w:space="0" w:color="000000"/>
              <w:right w:val="single" w:sz="8" w:space="0" w:color="000000"/>
            </w:tcBorders>
            <w:vAlign w:val="center"/>
          </w:tcPr>
          <w:p w14:paraId="1B32156B" w14:textId="33E5F1CB" w:rsidR="005B7208" w:rsidRDefault="005B7208" w:rsidP="005B7208">
            <w:pPr>
              <w:pStyle w:val="biaogeleft"/>
              <w:wordWrap w:val="0"/>
              <w:rPr>
                <w:rFonts w:hint="eastAsia"/>
              </w:rPr>
            </w:pPr>
            <w:r w:rsidRPr="00A67984">
              <w:rPr>
                <w:rFonts w:hAnsi="等线"/>
                <w:color w:val="000000"/>
              </w:rPr>
              <w:t>24国债21</w:t>
            </w:r>
          </w:p>
        </w:tc>
        <w:tc>
          <w:tcPr>
            <w:tcW w:w="1490" w:type="dxa"/>
            <w:tcBorders>
              <w:top w:val="single" w:sz="8" w:space="0" w:color="000000"/>
              <w:left w:val="single" w:sz="8" w:space="0" w:color="000000"/>
              <w:bottom w:val="single" w:sz="6" w:space="0" w:color="000000"/>
              <w:right w:val="single" w:sz="8" w:space="0" w:color="000000"/>
            </w:tcBorders>
            <w:vAlign w:val="center"/>
          </w:tcPr>
          <w:p w14:paraId="6B6C6344" w14:textId="1779CCBE" w:rsidR="005B7208" w:rsidRDefault="005B7208" w:rsidP="005B7208">
            <w:pPr>
              <w:pStyle w:val="biaogeright"/>
              <w:wordWrap w:val="0"/>
              <w:rPr>
                <w:rFonts w:hint="eastAsia"/>
              </w:rPr>
            </w:pPr>
            <w:r w:rsidRPr="00A67984">
              <w:rPr>
                <w:rFonts w:hAnsi="等线"/>
                <w:color w:val="000000"/>
              </w:rPr>
              <w:t>4,000</w:t>
            </w:r>
          </w:p>
        </w:tc>
        <w:tc>
          <w:tcPr>
            <w:tcW w:w="2075" w:type="dxa"/>
            <w:tcBorders>
              <w:top w:val="single" w:sz="8" w:space="0" w:color="000000"/>
              <w:left w:val="single" w:sz="8" w:space="0" w:color="000000"/>
              <w:bottom w:val="single" w:sz="6" w:space="0" w:color="000000"/>
              <w:right w:val="single" w:sz="8" w:space="0" w:color="000000"/>
            </w:tcBorders>
            <w:vAlign w:val="center"/>
          </w:tcPr>
          <w:p w14:paraId="382906CA" w14:textId="36B06041" w:rsidR="005B7208" w:rsidRDefault="005B7208" w:rsidP="005B7208">
            <w:pPr>
              <w:pStyle w:val="biaogeright"/>
              <w:wordWrap w:val="0"/>
              <w:rPr>
                <w:rFonts w:hint="eastAsia"/>
              </w:rPr>
            </w:pPr>
            <w:r w:rsidRPr="00A67984">
              <w:rPr>
                <w:rFonts w:hAnsi="等线"/>
                <w:color w:val="000000"/>
              </w:rPr>
              <w:t>403,589.26</w:t>
            </w:r>
          </w:p>
        </w:tc>
        <w:tc>
          <w:tcPr>
            <w:tcW w:w="0" w:type="auto"/>
            <w:tcBorders>
              <w:top w:val="single" w:sz="8" w:space="0" w:color="000000"/>
              <w:left w:val="single" w:sz="8" w:space="0" w:color="000000"/>
              <w:bottom w:val="single" w:sz="6" w:space="0" w:color="000000"/>
              <w:right w:val="single" w:sz="8" w:space="0" w:color="000000"/>
            </w:tcBorders>
            <w:vAlign w:val="center"/>
          </w:tcPr>
          <w:p w14:paraId="18F63A31" w14:textId="27695F2D" w:rsidR="005B7208" w:rsidRDefault="005B7208" w:rsidP="005B7208">
            <w:pPr>
              <w:pStyle w:val="biaogeright"/>
              <w:wordWrap w:val="0"/>
              <w:rPr>
                <w:rFonts w:hint="eastAsia"/>
              </w:rPr>
            </w:pPr>
            <w:r w:rsidRPr="00A67984">
              <w:rPr>
                <w:rFonts w:hAnsi="等线"/>
                <w:color w:val="000000"/>
              </w:rPr>
              <w:t>6.82</w:t>
            </w:r>
          </w:p>
        </w:tc>
      </w:tr>
    </w:tbl>
    <w:p w14:paraId="16E43367"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4B94B236"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 xml:space="preserve">6、 </w:t>
      </w:r>
      <w:r>
        <w:rPr>
          <w:rFonts w:asciiTheme="minorEastAsia" w:hAnsiTheme="minorEastAsia" w:cs="Times New Roman" w:hint="eastAsia"/>
          <w:bCs/>
          <w:sz w:val="24"/>
          <w:szCs w:val="24"/>
        </w:rPr>
        <w:t>报告期末按公允价值占基金资产净值比例大小排序的前十名资产支持证券投资明细</w:t>
      </w:r>
    </w:p>
    <w:p w14:paraId="22859983"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本基金本报告期末未持有资产支持证券。</w:t>
      </w:r>
    </w:p>
    <w:p w14:paraId="7A5EEC89" w14:textId="77777777" w:rsidR="008D0810" w:rsidRDefault="008D0810">
      <w:pPr>
        <w:autoSpaceDE w:val="0"/>
        <w:autoSpaceDN w:val="0"/>
        <w:spacing w:line="360" w:lineRule="auto"/>
        <w:ind w:firstLineChars="200" w:firstLine="420"/>
        <w:textAlignment w:val="bottom"/>
        <w:rPr>
          <w:rFonts w:asciiTheme="minorEastAsia" w:hAnsiTheme="minorEastAsia" w:cs="Times New Roman" w:hint="eastAsia"/>
          <w:bCs/>
        </w:rPr>
      </w:pPr>
    </w:p>
    <w:p w14:paraId="26A53B95"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7、报告期末按公允价值占基金资产净值比例大小排序的前五名贵金属投资明细</w:t>
      </w:r>
    </w:p>
    <w:p w14:paraId="2BEB87B1"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本基金本报告期末未持有贵金属。</w:t>
      </w:r>
    </w:p>
    <w:p w14:paraId="05C14C7F" w14:textId="77777777" w:rsidR="008D0810" w:rsidRDefault="008D0810">
      <w:pPr>
        <w:autoSpaceDE w:val="0"/>
        <w:autoSpaceDN w:val="0"/>
        <w:spacing w:line="360" w:lineRule="auto"/>
        <w:ind w:firstLineChars="200" w:firstLine="420"/>
        <w:textAlignment w:val="bottom"/>
        <w:rPr>
          <w:rFonts w:asciiTheme="minorEastAsia" w:hAnsiTheme="minorEastAsia" w:cs="Times New Roman" w:hint="eastAsia"/>
          <w:bCs/>
        </w:rPr>
      </w:pPr>
    </w:p>
    <w:p w14:paraId="63A06AA4"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8、报告期末按公允价值占基金资产净值比例大小排序的前五名权证投资明细</w:t>
      </w:r>
    </w:p>
    <w:p w14:paraId="1C2812DC"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本基金本报告期末未持有权证。</w:t>
      </w:r>
    </w:p>
    <w:p w14:paraId="4868505F"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64E02D2B"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9、报告期末本基金投资的股指期货交易情况说明</w:t>
      </w:r>
    </w:p>
    <w:p w14:paraId="0731B09A"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1）报告期末本基金投资的股指期货持仓和损益明细</w:t>
      </w:r>
    </w:p>
    <w:p w14:paraId="1850BF97"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本基金报告期末未投资股指期货。</w:t>
      </w:r>
    </w:p>
    <w:p w14:paraId="6CD2CDCF"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2）本基金投资股指期货的投资政策</w:t>
      </w:r>
    </w:p>
    <w:p w14:paraId="6E2E62C0"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本基金报告期末未投资股指期货。</w:t>
      </w:r>
    </w:p>
    <w:p w14:paraId="048F56F7"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0A07F4E9"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10、报告期末本基金投资的国债期货交易情况说明</w:t>
      </w:r>
    </w:p>
    <w:p w14:paraId="6E4B4471"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1）本期国债期货投资政策</w:t>
      </w:r>
    </w:p>
    <w:p w14:paraId="588D8CEC"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本基金报告期末未投资国债期货。</w:t>
      </w:r>
    </w:p>
    <w:p w14:paraId="49642CE6"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2）报告期末本基金投资的国债期货持仓和损益明细</w:t>
      </w:r>
    </w:p>
    <w:p w14:paraId="231B545D"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本期报告期末未投资国债期货。</w:t>
      </w:r>
    </w:p>
    <w:p w14:paraId="6A804155"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3）本期国债期货投资评价</w:t>
      </w:r>
    </w:p>
    <w:p w14:paraId="55575A01"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本基金报告期末未投资国债期货。</w:t>
      </w:r>
    </w:p>
    <w:p w14:paraId="1324C96F"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05505E7A"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bCs/>
          <w:sz w:val="24"/>
          <w:szCs w:val="24"/>
        </w:rPr>
        <w:t xml:space="preserve">11、投资组合报告附注 </w:t>
      </w:r>
    </w:p>
    <w:p w14:paraId="0765C8D1" w14:textId="77777777" w:rsidR="005B7208" w:rsidRPr="00A67984" w:rsidRDefault="00417F9F" w:rsidP="005B7208">
      <w:pPr>
        <w:pStyle w:val="zhangjiep2"/>
        <w:rPr>
          <w:rFonts w:hAnsi="等线" w:hint="eastAsia"/>
          <w:b/>
          <w:color w:val="000000"/>
        </w:rPr>
      </w:pPr>
      <w:r>
        <w:rPr>
          <w:rFonts w:asciiTheme="minorEastAsia" w:hAnsiTheme="minorEastAsia" w:cs="Times New Roman" w:hint="eastAsia"/>
          <w:bCs/>
        </w:rPr>
        <w:t>（</w:t>
      </w:r>
      <w:r>
        <w:rPr>
          <w:rFonts w:asciiTheme="minorEastAsia" w:hAnsiTheme="minorEastAsia" w:cs="Times New Roman"/>
          <w:bCs/>
        </w:rPr>
        <w:t>1）</w:t>
      </w:r>
      <w:r w:rsidR="005B7208" w:rsidRPr="00A67984">
        <w:rPr>
          <w:rFonts w:hAnsi="等线"/>
          <w:b/>
          <w:color w:val="000000"/>
        </w:rPr>
        <w:t>本基金投资的前十名证券的发行主体中，趣睡科技在报告编制日前一年内因未履行信披义务、重大事项未履行审议程序被深圳证券交易所出具监管函；因信息披露违规、未履行信披义务、 未依法履行其他职责被中国证券监督管理委员会四川监管局采取责令改正的行政监管措施并计入诚信档案。</w:t>
      </w:r>
    </w:p>
    <w:p w14:paraId="66D5B74A" w14:textId="77777777" w:rsidR="005B7208" w:rsidRDefault="005B7208" w:rsidP="005B7208">
      <w:pPr>
        <w:pStyle w:val="biaogeleft"/>
        <w:ind w:firstLine="480"/>
        <w:rPr>
          <w:rFonts w:hint="eastAsia"/>
          <w:b/>
          <w:color w:val="000000"/>
        </w:rPr>
      </w:pPr>
      <w:r>
        <w:rPr>
          <w:b/>
          <w:color w:val="000000"/>
        </w:rPr>
        <w:t>本基金对上述主体发行的相关证券的投资决策程序符合相关法律法规及基金合同的要求。</w:t>
      </w:r>
    </w:p>
    <w:p w14:paraId="774515CE" w14:textId="107518B8" w:rsidR="008D0810" w:rsidRDefault="005B7208" w:rsidP="005B7208">
      <w:pPr>
        <w:pStyle w:val="zhangjiep2"/>
        <w:ind w:firstLineChars="200" w:firstLine="482"/>
        <w:rPr>
          <w:rFonts w:asciiTheme="minorEastAsia" w:hAnsiTheme="minorEastAsia" w:cs="Times New Roman" w:hint="eastAsia"/>
          <w:bCs/>
        </w:rPr>
      </w:pPr>
      <w:r>
        <w:rPr>
          <w:b/>
          <w:color w:val="000000"/>
        </w:rPr>
        <w:t>除上述主体外，本基金投资的其他前十名证券的发行主体本期没有出现被监管部门立案调查，或在报告编制日前一年内受到公开谴责、处罚的情形。</w:t>
      </w:r>
    </w:p>
    <w:p w14:paraId="3062757A" w14:textId="77777777" w:rsidR="008D0810" w:rsidRDefault="00417F9F">
      <w:pPr>
        <w:autoSpaceDE w:val="0"/>
        <w:autoSpaceDN w:val="0"/>
        <w:spacing w:line="360" w:lineRule="auto"/>
        <w:ind w:firstLine="420"/>
        <w:textAlignment w:val="bottom"/>
        <w:rPr>
          <w:rFonts w:asciiTheme="minorEastAsia" w:hAnsiTheme="minorEastAsia" w:cs="Times New Roman" w:hint="eastAsia"/>
          <w:b/>
          <w:kern w:val="0"/>
          <w:sz w:val="30"/>
          <w:szCs w:val="30"/>
        </w:rPr>
      </w:pPr>
      <w:r>
        <w:rPr>
          <w:rFonts w:asciiTheme="minorEastAsia" w:hAnsiTheme="minorEastAsia" w:cs="Times New Roman" w:hint="eastAsia"/>
          <w:bCs/>
          <w:sz w:val="24"/>
          <w:szCs w:val="24"/>
        </w:rPr>
        <w:t>（</w:t>
      </w:r>
      <w:r>
        <w:rPr>
          <w:rFonts w:asciiTheme="minorEastAsia" w:hAnsiTheme="minorEastAsia" w:cs="Times New Roman"/>
          <w:bCs/>
          <w:sz w:val="24"/>
          <w:szCs w:val="24"/>
        </w:rPr>
        <w:t>2）</w:t>
      </w:r>
      <w:r>
        <w:rPr>
          <w:rFonts w:asciiTheme="minorEastAsia" w:hAnsiTheme="minorEastAsia" w:cs="Times New Roman" w:hint="eastAsia"/>
          <w:bCs/>
          <w:sz w:val="24"/>
          <w:szCs w:val="24"/>
        </w:rPr>
        <w:t>本基金投资的前十名股票没有超出基金合同规定的备选股票库。</w:t>
      </w:r>
    </w:p>
    <w:p w14:paraId="4C4183B0" w14:textId="77777777" w:rsidR="008D0810" w:rsidRDefault="00417F9F">
      <w:pPr>
        <w:autoSpaceDE w:val="0"/>
        <w:autoSpaceDN w:val="0"/>
        <w:spacing w:line="360" w:lineRule="auto"/>
        <w:ind w:firstLine="42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3）其他资产构成</w:t>
      </w:r>
    </w:p>
    <w:tbl>
      <w:tblPr>
        <w:tblW w:w="9045" w:type="dxa"/>
        <w:tblInd w:w="108" w:type="dxa"/>
        <w:tblLook w:val="04A0" w:firstRow="1" w:lastRow="0" w:firstColumn="1" w:lastColumn="0" w:noHBand="0" w:noVBand="1"/>
      </w:tblPr>
      <w:tblGrid>
        <w:gridCol w:w="1276"/>
        <w:gridCol w:w="3709"/>
        <w:gridCol w:w="4060"/>
      </w:tblGrid>
      <w:tr w:rsidR="008D0810" w14:paraId="3C4EAB31"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865E3E3" w14:textId="77777777" w:rsidR="008D0810" w:rsidRDefault="00417F9F">
            <w:pPr>
              <w:pStyle w:val="biaogecenter"/>
              <w:wordWrap w:val="0"/>
              <w:rPr>
                <w:rFonts w:hint="eastAsia"/>
              </w:rPr>
            </w:pPr>
            <w:r>
              <w:rPr>
                <w:rFonts w:hAnsi="等线" w:hint="eastAsia"/>
                <w:color w:val="000000"/>
              </w:rPr>
              <w:t>序号</w:t>
            </w:r>
          </w:p>
        </w:tc>
        <w:tc>
          <w:tcPr>
            <w:tcW w:w="3709" w:type="dxa"/>
            <w:tcBorders>
              <w:top w:val="single" w:sz="8" w:space="0" w:color="000000"/>
              <w:left w:val="single" w:sz="8" w:space="0" w:color="000000"/>
              <w:bottom w:val="single" w:sz="6" w:space="0" w:color="000000"/>
              <w:right w:val="single" w:sz="8" w:space="0" w:color="000000"/>
            </w:tcBorders>
            <w:vAlign w:val="center"/>
          </w:tcPr>
          <w:p w14:paraId="47E432FD" w14:textId="77777777" w:rsidR="008D0810" w:rsidRDefault="00417F9F">
            <w:pPr>
              <w:pStyle w:val="biaogecenter"/>
              <w:wordWrap w:val="0"/>
              <w:rPr>
                <w:rFonts w:hint="eastAsia"/>
              </w:rPr>
            </w:pPr>
            <w:r>
              <w:rPr>
                <w:rFonts w:hint="eastAsia"/>
              </w:rPr>
              <w:t>名称</w:t>
            </w:r>
          </w:p>
        </w:tc>
        <w:tc>
          <w:tcPr>
            <w:tcW w:w="4060" w:type="dxa"/>
            <w:tcBorders>
              <w:top w:val="single" w:sz="8" w:space="0" w:color="000000"/>
              <w:left w:val="single" w:sz="8" w:space="0" w:color="000000"/>
              <w:bottom w:val="single" w:sz="6" w:space="0" w:color="000000"/>
              <w:right w:val="single" w:sz="8" w:space="0" w:color="000000"/>
            </w:tcBorders>
            <w:vAlign w:val="center"/>
          </w:tcPr>
          <w:p w14:paraId="1884DE3E" w14:textId="77777777" w:rsidR="008D0810" w:rsidRDefault="00417F9F">
            <w:pPr>
              <w:pStyle w:val="biaogecenter"/>
              <w:wordWrap w:val="0"/>
              <w:rPr>
                <w:rFonts w:hint="eastAsia"/>
              </w:rPr>
            </w:pPr>
            <w:r>
              <w:rPr>
                <w:rFonts w:hint="eastAsia"/>
              </w:rPr>
              <w:t>金额(元)</w:t>
            </w:r>
          </w:p>
        </w:tc>
      </w:tr>
      <w:tr w:rsidR="005B7208" w14:paraId="7CD4F61E"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310A5942" w14:textId="77777777" w:rsidR="005B7208" w:rsidRDefault="005B7208" w:rsidP="005B7208">
            <w:pPr>
              <w:pStyle w:val="biaogecenter"/>
              <w:wordWrap w:val="0"/>
              <w:rPr>
                <w:rFonts w:hint="eastAsia"/>
              </w:rPr>
            </w:pPr>
            <w:r>
              <w:rPr>
                <w:rFonts w:hAnsi="等线" w:hint="eastAsia"/>
                <w:color w:val="000000"/>
              </w:rPr>
              <w:t>1</w:t>
            </w:r>
          </w:p>
        </w:tc>
        <w:tc>
          <w:tcPr>
            <w:tcW w:w="3709" w:type="dxa"/>
            <w:tcBorders>
              <w:top w:val="single" w:sz="8" w:space="0" w:color="000000"/>
              <w:left w:val="single" w:sz="8" w:space="0" w:color="000000"/>
              <w:bottom w:val="single" w:sz="6" w:space="0" w:color="000000"/>
              <w:right w:val="single" w:sz="8" w:space="0" w:color="000000"/>
            </w:tcBorders>
            <w:vAlign w:val="center"/>
          </w:tcPr>
          <w:p w14:paraId="750F0660" w14:textId="77777777" w:rsidR="005B7208" w:rsidRDefault="005B7208" w:rsidP="005B7208">
            <w:pPr>
              <w:pStyle w:val="biaogeleft"/>
              <w:wordWrap w:val="0"/>
              <w:rPr>
                <w:rFonts w:hint="eastAsia"/>
              </w:rPr>
            </w:pPr>
            <w:r>
              <w:rPr>
                <w:rFonts w:hint="eastAsia"/>
              </w:rPr>
              <w:t>存出保证金</w:t>
            </w:r>
          </w:p>
        </w:tc>
        <w:tc>
          <w:tcPr>
            <w:tcW w:w="4060" w:type="dxa"/>
            <w:tcBorders>
              <w:top w:val="single" w:sz="8" w:space="0" w:color="000000"/>
              <w:left w:val="single" w:sz="8" w:space="0" w:color="000000"/>
              <w:bottom w:val="single" w:sz="6" w:space="0" w:color="000000"/>
              <w:right w:val="single" w:sz="8" w:space="0" w:color="000000"/>
            </w:tcBorders>
            <w:vAlign w:val="center"/>
          </w:tcPr>
          <w:p w14:paraId="5C748310" w14:textId="7741F660" w:rsidR="005B7208" w:rsidRDefault="005B7208" w:rsidP="005B7208">
            <w:pPr>
              <w:pStyle w:val="biaogeright"/>
              <w:wordWrap w:val="0"/>
              <w:rPr>
                <w:rFonts w:hint="eastAsia"/>
              </w:rPr>
            </w:pPr>
            <w:r w:rsidRPr="00A67984">
              <w:rPr>
                <w:rFonts w:hAnsi="等线"/>
                <w:color w:val="000000"/>
              </w:rPr>
              <w:t>13,726.21</w:t>
            </w:r>
          </w:p>
        </w:tc>
      </w:tr>
      <w:tr w:rsidR="005B7208" w14:paraId="3942E8C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10F2E007" w14:textId="77777777" w:rsidR="005B7208" w:rsidRDefault="005B7208" w:rsidP="005B7208">
            <w:pPr>
              <w:pStyle w:val="biaogecenter"/>
              <w:wordWrap w:val="0"/>
              <w:rPr>
                <w:rFonts w:hint="eastAsia"/>
              </w:rPr>
            </w:pPr>
            <w:r>
              <w:rPr>
                <w:rFonts w:hAnsi="等线" w:hint="eastAsia"/>
                <w:color w:val="000000"/>
              </w:rPr>
              <w:t>2</w:t>
            </w:r>
          </w:p>
        </w:tc>
        <w:tc>
          <w:tcPr>
            <w:tcW w:w="3709" w:type="dxa"/>
            <w:tcBorders>
              <w:top w:val="single" w:sz="8" w:space="0" w:color="000000"/>
              <w:left w:val="single" w:sz="8" w:space="0" w:color="000000"/>
              <w:bottom w:val="single" w:sz="6" w:space="0" w:color="000000"/>
              <w:right w:val="single" w:sz="8" w:space="0" w:color="000000"/>
            </w:tcBorders>
            <w:vAlign w:val="center"/>
          </w:tcPr>
          <w:p w14:paraId="50891B39" w14:textId="77777777" w:rsidR="005B7208" w:rsidRDefault="005B7208" w:rsidP="005B7208">
            <w:pPr>
              <w:pStyle w:val="biaogeleft"/>
              <w:wordWrap w:val="0"/>
              <w:rPr>
                <w:rFonts w:hint="eastAsia"/>
              </w:rPr>
            </w:pPr>
            <w:r>
              <w:rPr>
                <w:rFonts w:hint="eastAsia"/>
              </w:rPr>
              <w:t>应收证券清算款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36E639C4" w14:textId="3895AF2C" w:rsidR="005B7208" w:rsidRDefault="005B7208" w:rsidP="005B7208">
            <w:pPr>
              <w:pStyle w:val="biaogeright"/>
              <w:wordWrap w:val="0"/>
              <w:rPr>
                <w:rFonts w:hint="eastAsia"/>
              </w:rPr>
            </w:pPr>
            <w:r w:rsidRPr="00A67984">
              <w:rPr>
                <w:rFonts w:hAnsi="等线"/>
                <w:color w:val="000000"/>
              </w:rPr>
              <w:t>381,886.73</w:t>
            </w:r>
          </w:p>
        </w:tc>
      </w:tr>
      <w:tr w:rsidR="005B7208" w14:paraId="4CA42ED9"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56E9B6B8" w14:textId="77777777" w:rsidR="005B7208" w:rsidRDefault="005B7208" w:rsidP="005B7208">
            <w:pPr>
              <w:pStyle w:val="biaogecenter"/>
              <w:wordWrap w:val="0"/>
              <w:rPr>
                <w:rFonts w:hint="eastAsia"/>
              </w:rPr>
            </w:pPr>
            <w:r>
              <w:rPr>
                <w:rFonts w:hAnsi="等线" w:hint="eastAsia"/>
                <w:color w:val="000000"/>
              </w:rPr>
              <w:t>3</w:t>
            </w:r>
          </w:p>
        </w:tc>
        <w:tc>
          <w:tcPr>
            <w:tcW w:w="3709" w:type="dxa"/>
            <w:tcBorders>
              <w:top w:val="single" w:sz="8" w:space="0" w:color="000000"/>
              <w:left w:val="single" w:sz="8" w:space="0" w:color="000000"/>
              <w:bottom w:val="single" w:sz="6" w:space="0" w:color="000000"/>
              <w:right w:val="single" w:sz="8" w:space="0" w:color="000000"/>
            </w:tcBorders>
            <w:vAlign w:val="center"/>
          </w:tcPr>
          <w:p w14:paraId="5F139E2A" w14:textId="77777777" w:rsidR="005B7208" w:rsidRDefault="005B7208" w:rsidP="005B7208">
            <w:pPr>
              <w:pStyle w:val="biaogeleft"/>
              <w:wordWrap w:val="0"/>
              <w:rPr>
                <w:rFonts w:hint="eastAsia"/>
              </w:rPr>
            </w:pPr>
            <w:r>
              <w:rPr>
                <w:rFonts w:hint="eastAsia"/>
              </w:rPr>
              <w:t>应收股利</w:t>
            </w:r>
          </w:p>
        </w:tc>
        <w:tc>
          <w:tcPr>
            <w:tcW w:w="4060" w:type="dxa"/>
            <w:tcBorders>
              <w:top w:val="single" w:sz="8" w:space="0" w:color="000000"/>
              <w:left w:val="single" w:sz="8" w:space="0" w:color="000000"/>
              <w:bottom w:val="single" w:sz="6" w:space="0" w:color="000000"/>
              <w:right w:val="single" w:sz="8" w:space="0" w:color="000000"/>
            </w:tcBorders>
            <w:vAlign w:val="center"/>
          </w:tcPr>
          <w:p w14:paraId="0EA78BA0" w14:textId="616DECD8" w:rsidR="005B7208" w:rsidRDefault="005B7208" w:rsidP="005B7208">
            <w:pPr>
              <w:pStyle w:val="biaogeright"/>
              <w:wordWrap w:val="0"/>
              <w:rPr>
                <w:rFonts w:hint="eastAsia"/>
              </w:rPr>
            </w:pPr>
            <w:r w:rsidRPr="00A67984">
              <w:rPr>
                <w:rFonts w:hAnsi="等线"/>
                <w:color w:val="000000"/>
              </w:rPr>
              <w:t>-</w:t>
            </w:r>
          </w:p>
        </w:tc>
      </w:tr>
      <w:tr w:rsidR="005B7208" w14:paraId="5767EBA5"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51A61DBD" w14:textId="77777777" w:rsidR="005B7208" w:rsidRDefault="005B7208" w:rsidP="005B7208">
            <w:pPr>
              <w:pStyle w:val="biaogecenter"/>
              <w:wordWrap w:val="0"/>
              <w:rPr>
                <w:rFonts w:hint="eastAsia"/>
              </w:rPr>
            </w:pPr>
            <w:r>
              <w:rPr>
                <w:rFonts w:hAnsi="等线" w:hint="eastAsia"/>
                <w:color w:val="000000"/>
              </w:rPr>
              <w:t>4</w:t>
            </w:r>
          </w:p>
        </w:tc>
        <w:tc>
          <w:tcPr>
            <w:tcW w:w="3709" w:type="dxa"/>
            <w:tcBorders>
              <w:top w:val="single" w:sz="8" w:space="0" w:color="000000"/>
              <w:left w:val="single" w:sz="8" w:space="0" w:color="000000"/>
              <w:bottom w:val="single" w:sz="6" w:space="0" w:color="000000"/>
              <w:right w:val="single" w:sz="8" w:space="0" w:color="000000"/>
            </w:tcBorders>
            <w:vAlign w:val="center"/>
          </w:tcPr>
          <w:p w14:paraId="6CCFAC81" w14:textId="77777777" w:rsidR="005B7208" w:rsidRDefault="005B7208" w:rsidP="005B7208">
            <w:pPr>
              <w:pStyle w:val="biaogeleft"/>
              <w:wordWrap w:val="0"/>
              <w:rPr>
                <w:rFonts w:hint="eastAsia"/>
              </w:rPr>
            </w:pPr>
            <w:r>
              <w:rPr>
                <w:rFonts w:hint="eastAsia"/>
              </w:rPr>
              <w:t>应收利息</w:t>
            </w:r>
          </w:p>
        </w:tc>
        <w:tc>
          <w:tcPr>
            <w:tcW w:w="4060" w:type="dxa"/>
            <w:tcBorders>
              <w:top w:val="single" w:sz="8" w:space="0" w:color="000000"/>
              <w:left w:val="single" w:sz="8" w:space="0" w:color="000000"/>
              <w:bottom w:val="single" w:sz="6" w:space="0" w:color="000000"/>
              <w:right w:val="single" w:sz="8" w:space="0" w:color="000000"/>
            </w:tcBorders>
            <w:vAlign w:val="center"/>
          </w:tcPr>
          <w:p w14:paraId="7619D0B0" w14:textId="51240DB5" w:rsidR="005B7208" w:rsidRDefault="005B7208" w:rsidP="005B7208">
            <w:pPr>
              <w:pStyle w:val="biaogeright"/>
              <w:wordWrap w:val="0"/>
              <w:rPr>
                <w:rFonts w:hint="eastAsia"/>
              </w:rPr>
            </w:pPr>
            <w:r w:rsidRPr="00A67984">
              <w:rPr>
                <w:rFonts w:hAnsi="等线"/>
                <w:color w:val="000000"/>
              </w:rPr>
              <w:t>-</w:t>
            </w:r>
          </w:p>
        </w:tc>
      </w:tr>
      <w:tr w:rsidR="005B7208" w14:paraId="39E7AE27"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48C7EE96" w14:textId="77777777" w:rsidR="005B7208" w:rsidRDefault="005B7208" w:rsidP="005B7208">
            <w:pPr>
              <w:pStyle w:val="biaogecenter"/>
              <w:wordWrap w:val="0"/>
              <w:rPr>
                <w:rFonts w:hint="eastAsia"/>
              </w:rPr>
            </w:pPr>
            <w:r>
              <w:rPr>
                <w:rFonts w:hAnsi="等线" w:hint="eastAsia"/>
                <w:color w:val="000000"/>
              </w:rPr>
              <w:t>5</w:t>
            </w:r>
          </w:p>
        </w:tc>
        <w:tc>
          <w:tcPr>
            <w:tcW w:w="3709" w:type="dxa"/>
            <w:tcBorders>
              <w:top w:val="single" w:sz="8" w:space="0" w:color="000000"/>
              <w:left w:val="single" w:sz="8" w:space="0" w:color="000000"/>
              <w:bottom w:val="single" w:sz="6" w:space="0" w:color="000000"/>
              <w:right w:val="single" w:sz="8" w:space="0" w:color="000000"/>
            </w:tcBorders>
            <w:vAlign w:val="center"/>
          </w:tcPr>
          <w:p w14:paraId="3918BB92" w14:textId="77777777" w:rsidR="005B7208" w:rsidRDefault="005B7208" w:rsidP="005B7208">
            <w:pPr>
              <w:pStyle w:val="biaogeleft"/>
              <w:wordWrap w:val="0"/>
              <w:rPr>
                <w:rFonts w:hint="eastAsia"/>
              </w:rPr>
            </w:pPr>
            <w:r>
              <w:rPr>
                <w:rFonts w:hint="eastAsia"/>
              </w:rPr>
              <w:t>应收申购款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04E0AA08" w14:textId="6F2EC087" w:rsidR="005B7208" w:rsidRDefault="005B7208" w:rsidP="005B7208">
            <w:pPr>
              <w:pStyle w:val="biaogeright"/>
              <w:wordWrap w:val="0"/>
              <w:rPr>
                <w:rFonts w:hint="eastAsia"/>
              </w:rPr>
            </w:pPr>
            <w:r w:rsidRPr="00A67984">
              <w:rPr>
                <w:rFonts w:hAnsi="等线"/>
                <w:color w:val="000000"/>
              </w:rPr>
              <w:t>18,989.24</w:t>
            </w:r>
          </w:p>
        </w:tc>
      </w:tr>
      <w:tr w:rsidR="005B7208" w14:paraId="06D4FC1F"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810DF52" w14:textId="77777777" w:rsidR="005B7208" w:rsidRDefault="005B7208" w:rsidP="005B7208">
            <w:pPr>
              <w:pStyle w:val="biaogecenter"/>
              <w:wordWrap w:val="0"/>
              <w:rPr>
                <w:rFonts w:hint="eastAsia"/>
              </w:rPr>
            </w:pPr>
            <w:r>
              <w:rPr>
                <w:rFonts w:hAnsi="等线" w:hint="eastAsia"/>
                <w:color w:val="000000"/>
              </w:rPr>
              <w:t>6</w:t>
            </w:r>
          </w:p>
        </w:tc>
        <w:tc>
          <w:tcPr>
            <w:tcW w:w="3709" w:type="dxa"/>
            <w:tcBorders>
              <w:top w:val="single" w:sz="8" w:space="0" w:color="000000"/>
              <w:left w:val="single" w:sz="8" w:space="0" w:color="000000"/>
              <w:bottom w:val="single" w:sz="6" w:space="0" w:color="000000"/>
              <w:right w:val="single" w:sz="8" w:space="0" w:color="000000"/>
            </w:tcBorders>
            <w:vAlign w:val="center"/>
          </w:tcPr>
          <w:p w14:paraId="0A53F567" w14:textId="77777777" w:rsidR="005B7208" w:rsidRDefault="005B7208" w:rsidP="005B7208">
            <w:pPr>
              <w:pStyle w:val="biaogeleft"/>
              <w:wordWrap w:val="0"/>
              <w:rPr>
                <w:rFonts w:hint="eastAsia"/>
              </w:rPr>
            </w:pPr>
            <w:r>
              <w:rPr>
                <w:rFonts w:hint="eastAsia"/>
              </w:rPr>
              <w:t>其他应收款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51FA3520" w14:textId="6F9CEAD5" w:rsidR="005B7208" w:rsidRDefault="005B7208" w:rsidP="005B7208">
            <w:pPr>
              <w:pStyle w:val="biaogeright"/>
              <w:wordWrap w:val="0"/>
              <w:rPr>
                <w:rFonts w:hint="eastAsia"/>
              </w:rPr>
            </w:pPr>
            <w:r w:rsidRPr="00A67984">
              <w:rPr>
                <w:rFonts w:hAnsi="等线"/>
                <w:color w:val="000000"/>
              </w:rPr>
              <w:t>-</w:t>
            </w:r>
          </w:p>
        </w:tc>
      </w:tr>
      <w:tr w:rsidR="005B7208" w14:paraId="0AD1787E"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33D8EF87" w14:textId="77777777" w:rsidR="005B7208" w:rsidRDefault="005B7208" w:rsidP="005B7208">
            <w:pPr>
              <w:pStyle w:val="biaogecenter"/>
              <w:wordWrap w:val="0"/>
              <w:rPr>
                <w:rFonts w:hint="eastAsia"/>
              </w:rPr>
            </w:pPr>
            <w:r>
              <w:rPr>
                <w:rFonts w:hAnsi="等线" w:hint="eastAsia"/>
                <w:color w:val="000000"/>
              </w:rPr>
              <w:t>7</w:t>
            </w:r>
          </w:p>
        </w:tc>
        <w:tc>
          <w:tcPr>
            <w:tcW w:w="3709" w:type="dxa"/>
            <w:tcBorders>
              <w:top w:val="single" w:sz="8" w:space="0" w:color="000000"/>
              <w:left w:val="single" w:sz="8" w:space="0" w:color="000000"/>
              <w:bottom w:val="single" w:sz="6" w:space="0" w:color="000000"/>
              <w:right w:val="single" w:sz="8" w:space="0" w:color="000000"/>
            </w:tcBorders>
            <w:vAlign w:val="center"/>
          </w:tcPr>
          <w:p w14:paraId="2469E5B6" w14:textId="77777777" w:rsidR="005B7208" w:rsidRDefault="005B7208" w:rsidP="005B7208">
            <w:pPr>
              <w:pStyle w:val="biaogeleft"/>
              <w:wordWrap w:val="0"/>
              <w:rPr>
                <w:rFonts w:hint="eastAsia"/>
              </w:rPr>
            </w:pPr>
            <w:r>
              <w:rPr>
                <w:rFonts w:hint="eastAsia"/>
              </w:rPr>
              <w:t>其他</w:t>
            </w:r>
          </w:p>
        </w:tc>
        <w:tc>
          <w:tcPr>
            <w:tcW w:w="4060" w:type="dxa"/>
            <w:tcBorders>
              <w:top w:val="single" w:sz="8" w:space="0" w:color="000000"/>
              <w:left w:val="single" w:sz="8" w:space="0" w:color="000000"/>
              <w:bottom w:val="single" w:sz="6" w:space="0" w:color="000000"/>
              <w:right w:val="single" w:sz="8" w:space="0" w:color="000000"/>
            </w:tcBorders>
            <w:vAlign w:val="center"/>
          </w:tcPr>
          <w:p w14:paraId="0D9E3E87" w14:textId="71E9EDE1" w:rsidR="005B7208" w:rsidRDefault="005B7208" w:rsidP="005B7208">
            <w:pPr>
              <w:pStyle w:val="biaogeright"/>
              <w:wordWrap w:val="0"/>
              <w:rPr>
                <w:rFonts w:hint="eastAsia"/>
              </w:rPr>
            </w:pPr>
            <w:r w:rsidRPr="00A67984">
              <w:rPr>
                <w:rFonts w:hAnsi="等线"/>
                <w:color w:val="000000"/>
              </w:rPr>
              <w:t>-</w:t>
            </w:r>
          </w:p>
        </w:tc>
      </w:tr>
      <w:tr w:rsidR="005B7208" w14:paraId="65A288D6"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21083D23" w14:textId="77777777" w:rsidR="005B7208" w:rsidRDefault="005B7208" w:rsidP="005B7208">
            <w:pPr>
              <w:pStyle w:val="biaogecenter"/>
              <w:wordWrap w:val="0"/>
              <w:rPr>
                <w:rFonts w:hint="eastAsia"/>
              </w:rPr>
            </w:pPr>
            <w:r>
              <w:rPr>
                <w:rFonts w:hAnsi="等线" w:hint="eastAsia"/>
                <w:color w:val="000000"/>
              </w:rPr>
              <w:t>8</w:t>
            </w:r>
          </w:p>
        </w:tc>
        <w:tc>
          <w:tcPr>
            <w:tcW w:w="3709" w:type="dxa"/>
            <w:tcBorders>
              <w:top w:val="single" w:sz="8" w:space="0" w:color="000000"/>
              <w:left w:val="single" w:sz="8" w:space="0" w:color="000000"/>
              <w:bottom w:val="single" w:sz="6" w:space="0" w:color="000000"/>
              <w:right w:val="single" w:sz="8" w:space="0" w:color="000000"/>
            </w:tcBorders>
            <w:vAlign w:val="center"/>
          </w:tcPr>
          <w:p w14:paraId="541E2681" w14:textId="77777777" w:rsidR="005B7208" w:rsidRDefault="005B7208" w:rsidP="005B7208">
            <w:pPr>
              <w:pStyle w:val="biaogeleft"/>
              <w:wordWrap w:val="0"/>
              <w:rPr>
                <w:rFonts w:hint="eastAsia"/>
              </w:rPr>
            </w:pPr>
            <w:r>
              <w:rPr>
                <w:rFonts w:hint="eastAsia"/>
              </w:rPr>
              <w:t>合计</w:t>
            </w:r>
          </w:p>
        </w:tc>
        <w:tc>
          <w:tcPr>
            <w:tcW w:w="4060" w:type="dxa"/>
            <w:tcBorders>
              <w:top w:val="single" w:sz="8" w:space="0" w:color="000000"/>
              <w:left w:val="single" w:sz="8" w:space="0" w:color="000000"/>
              <w:bottom w:val="single" w:sz="6" w:space="0" w:color="000000"/>
              <w:right w:val="single" w:sz="8" w:space="0" w:color="000000"/>
            </w:tcBorders>
            <w:vAlign w:val="center"/>
          </w:tcPr>
          <w:p w14:paraId="23B804F2" w14:textId="3657BE5C" w:rsidR="005B7208" w:rsidRDefault="005B7208" w:rsidP="005B7208">
            <w:pPr>
              <w:pStyle w:val="biaogeright"/>
              <w:wordWrap w:val="0"/>
              <w:rPr>
                <w:rFonts w:hint="eastAsia"/>
              </w:rPr>
            </w:pPr>
            <w:r w:rsidRPr="00A67984">
              <w:rPr>
                <w:rFonts w:hAnsi="等线"/>
                <w:color w:val="000000"/>
              </w:rPr>
              <w:t>414,602.18</w:t>
            </w:r>
          </w:p>
        </w:tc>
      </w:tr>
    </w:tbl>
    <w:p w14:paraId="27685A2D"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4）报告期末持有的处于转股期的可转换债券明细</w:t>
      </w:r>
    </w:p>
    <w:p w14:paraId="6958416B" w14:textId="77777777" w:rsidR="008D0810" w:rsidRDefault="00417F9F">
      <w:pPr>
        <w:pStyle w:val="neirong"/>
        <w:spacing w:line="360" w:lineRule="auto"/>
        <w:ind w:leftChars="7" w:firstLineChars="200" w:firstLine="480"/>
        <w:rPr>
          <w:rFonts w:asciiTheme="minorEastAsia" w:eastAsiaTheme="minorEastAsia" w:hAnsiTheme="minorEastAsia" w:hint="eastAsia"/>
        </w:rPr>
      </w:pPr>
      <w:r>
        <w:rPr>
          <w:rFonts w:asciiTheme="minorEastAsia" w:eastAsiaTheme="minorEastAsia" w:hAnsiTheme="minorEastAsia" w:hint="eastAsia"/>
        </w:rPr>
        <w:lastRenderedPageBreak/>
        <w:t>本基金本报告期末未持有处于转股期的可转换债券。</w:t>
      </w:r>
    </w:p>
    <w:p w14:paraId="79D2943D"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5）报告</w:t>
      </w:r>
      <w:r>
        <w:rPr>
          <w:rFonts w:asciiTheme="minorEastAsia" w:hAnsiTheme="minorEastAsia" w:cs="Times New Roman" w:hint="eastAsia"/>
          <w:bCs/>
          <w:sz w:val="24"/>
          <w:szCs w:val="24"/>
        </w:rPr>
        <w:t>期末前十名股票中存在流通受限情况的说明</w:t>
      </w:r>
    </w:p>
    <w:p w14:paraId="1E8DD75B"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本基金本报告期末前十名股票中不存在流通受限股票。</w:t>
      </w:r>
    </w:p>
    <w:p w14:paraId="428B86D0"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6）投资组合报告附注的其他文字描述部分</w:t>
      </w:r>
    </w:p>
    <w:p w14:paraId="7DBFC1B6"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由于四舍五入原因，分项之和与合计可能有尾差。</w:t>
      </w:r>
    </w:p>
    <w:p w14:paraId="40774F64"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九、基金净值表现</w:t>
      </w:r>
    </w:p>
    <w:p w14:paraId="3C2D74F0"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bCs/>
          <w:sz w:val="24"/>
          <w:szCs w:val="24"/>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36EBEB36"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1）富荣福康混合A（基金代码：005104） </w:t>
      </w:r>
    </w:p>
    <w:tbl>
      <w:tblPr>
        <w:tblW w:w="9055" w:type="dxa"/>
        <w:jc w:val="center"/>
        <w:tblLayout w:type="fixed"/>
        <w:tblLook w:val="04A0" w:firstRow="1" w:lastRow="0" w:firstColumn="1" w:lastColumn="0" w:noHBand="0" w:noVBand="1"/>
      </w:tblPr>
      <w:tblGrid>
        <w:gridCol w:w="6"/>
        <w:gridCol w:w="2530"/>
        <w:gridCol w:w="1031"/>
        <w:gridCol w:w="1107"/>
        <w:gridCol w:w="1107"/>
        <w:gridCol w:w="1357"/>
        <w:gridCol w:w="992"/>
        <w:gridCol w:w="925"/>
      </w:tblGrid>
      <w:tr w:rsidR="008D0810" w14:paraId="20132E50" w14:textId="77777777" w:rsidTr="00231253">
        <w:trPr>
          <w:trHeight w:val="1417"/>
          <w:jc w:val="center"/>
        </w:trPr>
        <w:tc>
          <w:tcPr>
            <w:tcW w:w="2536" w:type="dxa"/>
            <w:gridSpan w:val="2"/>
            <w:tcBorders>
              <w:top w:val="single" w:sz="8" w:space="0" w:color="000000"/>
              <w:left w:val="single" w:sz="8" w:space="0" w:color="000000"/>
              <w:bottom w:val="single" w:sz="8" w:space="0" w:color="000000"/>
              <w:right w:val="single" w:sz="8" w:space="0" w:color="000000"/>
            </w:tcBorders>
            <w:vAlign w:val="center"/>
          </w:tcPr>
          <w:p w14:paraId="13AB5029"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阶段</w:t>
            </w:r>
          </w:p>
        </w:tc>
        <w:tc>
          <w:tcPr>
            <w:tcW w:w="1031" w:type="dxa"/>
            <w:tcBorders>
              <w:top w:val="single" w:sz="8" w:space="0" w:color="000000"/>
              <w:left w:val="single" w:sz="8" w:space="0" w:color="000000"/>
              <w:bottom w:val="single" w:sz="8" w:space="0" w:color="000000"/>
              <w:right w:val="single" w:sz="8" w:space="0" w:color="000000"/>
            </w:tcBorders>
            <w:vAlign w:val="center"/>
          </w:tcPr>
          <w:p w14:paraId="2E2EEAB2" w14:textId="77777777" w:rsidR="008D0810" w:rsidRDefault="00417F9F">
            <w:pPr>
              <w:pStyle w:val="biaogecenter"/>
              <w:wordWrap w:val="0"/>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份额净值增长率①</w:t>
            </w:r>
          </w:p>
        </w:tc>
        <w:tc>
          <w:tcPr>
            <w:tcW w:w="1107" w:type="dxa"/>
            <w:tcBorders>
              <w:top w:val="single" w:sz="8" w:space="0" w:color="000000"/>
              <w:left w:val="single" w:sz="8" w:space="0" w:color="000000"/>
              <w:bottom w:val="single" w:sz="8" w:space="0" w:color="000000"/>
              <w:right w:val="single" w:sz="8" w:space="0" w:color="000000"/>
            </w:tcBorders>
            <w:vAlign w:val="center"/>
          </w:tcPr>
          <w:p w14:paraId="58EE722C" w14:textId="77777777" w:rsidR="008D0810" w:rsidRDefault="00417F9F">
            <w:pPr>
              <w:pStyle w:val="biaogecenter"/>
              <w:wordWrap w:val="0"/>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份额净值增长率标准差②</w:t>
            </w:r>
          </w:p>
        </w:tc>
        <w:tc>
          <w:tcPr>
            <w:tcW w:w="1107" w:type="dxa"/>
            <w:tcBorders>
              <w:top w:val="single" w:sz="8" w:space="0" w:color="000000"/>
              <w:left w:val="single" w:sz="8" w:space="0" w:color="000000"/>
              <w:bottom w:val="single" w:sz="8" w:space="0" w:color="000000"/>
              <w:right w:val="single" w:sz="8" w:space="0" w:color="000000"/>
            </w:tcBorders>
            <w:vAlign w:val="center"/>
          </w:tcPr>
          <w:p w14:paraId="4E9EF513" w14:textId="77777777" w:rsidR="008D0810" w:rsidRDefault="00417F9F">
            <w:pPr>
              <w:pStyle w:val="biaogecenter"/>
              <w:wordWrap w:val="0"/>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业绩比较基准收益率③</w:t>
            </w:r>
          </w:p>
        </w:tc>
        <w:tc>
          <w:tcPr>
            <w:tcW w:w="1357" w:type="dxa"/>
            <w:tcBorders>
              <w:top w:val="single" w:sz="8" w:space="0" w:color="000000"/>
              <w:left w:val="single" w:sz="8" w:space="0" w:color="000000"/>
              <w:bottom w:val="single" w:sz="8" w:space="0" w:color="000000"/>
              <w:right w:val="single" w:sz="8" w:space="0" w:color="000000"/>
            </w:tcBorders>
            <w:vAlign w:val="center"/>
          </w:tcPr>
          <w:p w14:paraId="432CB3BE" w14:textId="77777777" w:rsidR="008D0810" w:rsidRDefault="00417F9F">
            <w:pPr>
              <w:pStyle w:val="biaogecenter"/>
              <w:wordWrap w:val="0"/>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24F851B2" w14:textId="77777777" w:rsidR="008D0810" w:rsidRDefault="00417F9F">
            <w:pPr>
              <w:pStyle w:val="biaogecenter"/>
              <w:wordWrap w:val="0"/>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①-③</w:t>
            </w:r>
          </w:p>
        </w:tc>
        <w:tc>
          <w:tcPr>
            <w:tcW w:w="925" w:type="dxa"/>
            <w:tcBorders>
              <w:top w:val="single" w:sz="8" w:space="0" w:color="000000"/>
              <w:left w:val="single" w:sz="8" w:space="0" w:color="000000"/>
              <w:bottom w:val="single" w:sz="8" w:space="0" w:color="000000"/>
              <w:right w:val="single" w:sz="8" w:space="0" w:color="000000"/>
            </w:tcBorders>
            <w:vAlign w:val="center"/>
          </w:tcPr>
          <w:p w14:paraId="6562F30D" w14:textId="77777777" w:rsidR="008D0810" w:rsidRDefault="00417F9F">
            <w:pPr>
              <w:pStyle w:val="biaogecenter"/>
              <w:wordWrap w:val="0"/>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②-④</w:t>
            </w:r>
          </w:p>
        </w:tc>
      </w:tr>
      <w:tr w:rsidR="008D0810" w14:paraId="576E71B4" w14:textId="77777777" w:rsidTr="00231253">
        <w:trPr>
          <w:trHeight w:val="340"/>
          <w:jc w:val="center"/>
        </w:trPr>
        <w:tc>
          <w:tcPr>
            <w:tcW w:w="2536" w:type="dxa"/>
            <w:gridSpan w:val="2"/>
            <w:tcBorders>
              <w:top w:val="single" w:sz="8" w:space="0" w:color="000000"/>
              <w:left w:val="single" w:sz="8" w:space="0" w:color="000000"/>
              <w:bottom w:val="single" w:sz="8" w:space="0" w:color="000000"/>
              <w:right w:val="single" w:sz="8" w:space="0" w:color="000000"/>
            </w:tcBorders>
            <w:vAlign w:val="center"/>
          </w:tcPr>
          <w:p w14:paraId="1AE47ED1"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2018.02.11~2018.12.31</w:t>
            </w:r>
          </w:p>
        </w:tc>
        <w:tc>
          <w:tcPr>
            <w:tcW w:w="1031" w:type="dxa"/>
            <w:tcBorders>
              <w:top w:val="single" w:sz="8" w:space="0" w:color="000000"/>
              <w:left w:val="single" w:sz="8" w:space="0" w:color="000000"/>
              <w:bottom w:val="single" w:sz="8" w:space="0" w:color="000000"/>
              <w:right w:val="single" w:sz="8" w:space="0" w:color="000000"/>
            </w:tcBorders>
            <w:vAlign w:val="center"/>
          </w:tcPr>
          <w:p w14:paraId="4AE1E3E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-28.54%</w:t>
            </w:r>
          </w:p>
        </w:tc>
        <w:tc>
          <w:tcPr>
            <w:tcW w:w="1107" w:type="dxa"/>
            <w:tcBorders>
              <w:top w:val="single" w:sz="8" w:space="0" w:color="000000"/>
              <w:left w:val="single" w:sz="8" w:space="0" w:color="000000"/>
              <w:bottom w:val="single" w:sz="8" w:space="0" w:color="000000"/>
              <w:right w:val="single" w:sz="8" w:space="0" w:color="000000"/>
            </w:tcBorders>
            <w:vAlign w:val="center"/>
          </w:tcPr>
          <w:p w14:paraId="56F0F5CD"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1.03%</w:t>
            </w:r>
          </w:p>
        </w:tc>
        <w:tc>
          <w:tcPr>
            <w:tcW w:w="1107" w:type="dxa"/>
            <w:tcBorders>
              <w:top w:val="single" w:sz="8" w:space="0" w:color="000000"/>
              <w:left w:val="single" w:sz="8" w:space="0" w:color="000000"/>
              <w:bottom w:val="single" w:sz="8" w:space="0" w:color="000000"/>
              <w:right w:val="single" w:sz="8" w:space="0" w:color="000000"/>
            </w:tcBorders>
            <w:vAlign w:val="center"/>
          </w:tcPr>
          <w:p w14:paraId="75128DFD"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-13.27%</w:t>
            </w:r>
          </w:p>
        </w:tc>
        <w:tc>
          <w:tcPr>
            <w:tcW w:w="1357" w:type="dxa"/>
            <w:tcBorders>
              <w:top w:val="single" w:sz="8" w:space="0" w:color="000000"/>
              <w:left w:val="single" w:sz="8" w:space="0" w:color="000000"/>
              <w:bottom w:val="single" w:sz="8" w:space="0" w:color="000000"/>
              <w:right w:val="single" w:sz="8" w:space="0" w:color="000000"/>
            </w:tcBorders>
            <w:vAlign w:val="center"/>
          </w:tcPr>
          <w:p w14:paraId="63DE1EEA"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0.94%</w:t>
            </w:r>
          </w:p>
        </w:tc>
        <w:tc>
          <w:tcPr>
            <w:tcW w:w="992" w:type="dxa"/>
            <w:tcBorders>
              <w:top w:val="single" w:sz="8" w:space="0" w:color="000000"/>
              <w:left w:val="single" w:sz="8" w:space="0" w:color="000000"/>
              <w:bottom w:val="single" w:sz="8" w:space="0" w:color="000000"/>
              <w:right w:val="single" w:sz="8" w:space="0" w:color="000000"/>
            </w:tcBorders>
            <w:vAlign w:val="center"/>
          </w:tcPr>
          <w:p w14:paraId="5B54E886"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-15.27%</w:t>
            </w:r>
          </w:p>
        </w:tc>
        <w:tc>
          <w:tcPr>
            <w:tcW w:w="925" w:type="dxa"/>
            <w:tcBorders>
              <w:top w:val="single" w:sz="8" w:space="0" w:color="000000"/>
              <w:left w:val="single" w:sz="8" w:space="0" w:color="000000"/>
              <w:bottom w:val="single" w:sz="8" w:space="0" w:color="000000"/>
              <w:right w:val="single" w:sz="8" w:space="0" w:color="000000"/>
            </w:tcBorders>
            <w:vAlign w:val="center"/>
          </w:tcPr>
          <w:p w14:paraId="63693DA3"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0.09%</w:t>
            </w:r>
          </w:p>
        </w:tc>
      </w:tr>
      <w:tr w:rsidR="008D0810" w14:paraId="57E4CCC8" w14:textId="77777777" w:rsidTr="00231253">
        <w:trPr>
          <w:trHeight w:val="340"/>
          <w:jc w:val="center"/>
        </w:trPr>
        <w:tc>
          <w:tcPr>
            <w:tcW w:w="2536" w:type="dxa"/>
            <w:gridSpan w:val="2"/>
            <w:tcBorders>
              <w:top w:val="single" w:sz="8" w:space="0" w:color="000000"/>
              <w:left w:val="single" w:sz="8" w:space="0" w:color="000000"/>
              <w:bottom w:val="single" w:sz="8" w:space="0" w:color="000000"/>
              <w:right w:val="single" w:sz="8" w:space="0" w:color="000000"/>
            </w:tcBorders>
            <w:vAlign w:val="center"/>
          </w:tcPr>
          <w:p w14:paraId="430CD7EA"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2019.01.01~2019.12.31</w:t>
            </w:r>
          </w:p>
        </w:tc>
        <w:tc>
          <w:tcPr>
            <w:tcW w:w="1031" w:type="dxa"/>
            <w:tcBorders>
              <w:top w:val="single" w:sz="8" w:space="0" w:color="000000"/>
              <w:left w:val="single" w:sz="8" w:space="0" w:color="000000"/>
              <w:bottom w:val="single" w:sz="8" w:space="0" w:color="000000"/>
              <w:right w:val="single" w:sz="8" w:space="0" w:color="000000"/>
            </w:tcBorders>
            <w:vAlign w:val="center"/>
          </w:tcPr>
          <w:p w14:paraId="5EC3F776"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22.99%</w:t>
            </w:r>
          </w:p>
        </w:tc>
        <w:tc>
          <w:tcPr>
            <w:tcW w:w="1107" w:type="dxa"/>
            <w:tcBorders>
              <w:top w:val="single" w:sz="8" w:space="0" w:color="000000"/>
              <w:left w:val="single" w:sz="8" w:space="0" w:color="000000"/>
              <w:bottom w:val="single" w:sz="8" w:space="0" w:color="000000"/>
              <w:right w:val="single" w:sz="8" w:space="0" w:color="000000"/>
            </w:tcBorders>
            <w:vAlign w:val="center"/>
          </w:tcPr>
          <w:p w14:paraId="1EF94056"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1.01%</w:t>
            </w:r>
          </w:p>
        </w:tc>
        <w:tc>
          <w:tcPr>
            <w:tcW w:w="1107" w:type="dxa"/>
            <w:tcBorders>
              <w:top w:val="single" w:sz="8" w:space="0" w:color="000000"/>
              <w:left w:val="single" w:sz="8" w:space="0" w:color="000000"/>
              <w:bottom w:val="single" w:sz="8" w:space="0" w:color="000000"/>
              <w:right w:val="single" w:sz="8" w:space="0" w:color="000000"/>
            </w:tcBorders>
            <w:vAlign w:val="center"/>
          </w:tcPr>
          <w:p w14:paraId="5B25EE3E"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26.39%</w:t>
            </w:r>
          </w:p>
        </w:tc>
        <w:tc>
          <w:tcPr>
            <w:tcW w:w="1357" w:type="dxa"/>
            <w:tcBorders>
              <w:top w:val="single" w:sz="8" w:space="0" w:color="000000"/>
              <w:left w:val="single" w:sz="8" w:space="0" w:color="000000"/>
              <w:bottom w:val="single" w:sz="8" w:space="0" w:color="000000"/>
              <w:right w:val="single" w:sz="8" w:space="0" w:color="000000"/>
            </w:tcBorders>
            <w:vAlign w:val="center"/>
          </w:tcPr>
          <w:p w14:paraId="5931B9E8"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0.87%</w:t>
            </w:r>
          </w:p>
        </w:tc>
        <w:tc>
          <w:tcPr>
            <w:tcW w:w="992" w:type="dxa"/>
            <w:tcBorders>
              <w:top w:val="single" w:sz="8" w:space="0" w:color="000000"/>
              <w:left w:val="single" w:sz="8" w:space="0" w:color="000000"/>
              <w:bottom w:val="single" w:sz="8" w:space="0" w:color="000000"/>
              <w:right w:val="single" w:sz="8" w:space="0" w:color="000000"/>
            </w:tcBorders>
            <w:vAlign w:val="center"/>
          </w:tcPr>
          <w:p w14:paraId="63B5DD02"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-3.40%</w:t>
            </w:r>
          </w:p>
        </w:tc>
        <w:tc>
          <w:tcPr>
            <w:tcW w:w="925" w:type="dxa"/>
            <w:tcBorders>
              <w:top w:val="single" w:sz="8" w:space="0" w:color="000000"/>
              <w:left w:val="single" w:sz="8" w:space="0" w:color="000000"/>
              <w:bottom w:val="single" w:sz="8" w:space="0" w:color="000000"/>
              <w:right w:val="single" w:sz="8" w:space="0" w:color="000000"/>
            </w:tcBorders>
            <w:vAlign w:val="center"/>
          </w:tcPr>
          <w:p w14:paraId="52EC8CDD"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0.14%</w:t>
            </w:r>
          </w:p>
        </w:tc>
      </w:tr>
      <w:tr w:rsidR="008D0810" w14:paraId="3F13226B" w14:textId="77777777" w:rsidTr="00231253">
        <w:trPr>
          <w:trHeight w:val="340"/>
          <w:jc w:val="center"/>
        </w:trPr>
        <w:tc>
          <w:tcPr>
            <w:tcW w:w="2536" w:type="dxa"/>
            <w:gridSpan w:val="2"/>
            <w:tcBorders>
              <w:top w:val="single" w:sz="8" w:space="0" w:color="000000"/>
              <w:left w:val="single" w:sz="8" w:space="0" w:color="000000"/>
              <w:bottom w:val="single" w:sz="8" w:space="0" w:color="000000"/>
              <w:right w:val="single" w:sz="8" w:space="0" w:color="000000"/>
            </w:tcBorders>
            <w:vAlign w:val="center"/>
          </w:tcPr>
          <w:p w14:paraId="7F90EDF8"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2020.01.01~2020.</w:t>
            </w: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1</w:t>
            </w:r>
          </w:p>
        </w:tc>
        <w:tc>
          <w:tcPr>
            <w:tcW w:w="1031" w:type="dxa"/>
            <w:tcBorders>
              <w:top w:val="single" w:sz="8" w:space="0" w:color="000000"/>
              <w:left w:val="single" w:sz="8" w:space="0" w:color="000000"/>
              <w:bottom w:val="single" w:sz="8" w:space="0" w:color="000000"/>
              <w:right w:val="single" w:sz="8" w:space="0" w:color="000000"/>
            </w:tcBorders>
            <w:vAlign w:val="center"/>
          </w:tcPr>
          <w:p w14:paraId="760630B6"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10.01%</w:t>
            </w:r>
          </w:p>
        </w:tc>
        <w:tc>
          <w:tcPr>
            <w:tcW w:w="1107" w:type="dxa"/>
            <w:tcBorders>
              <w:top w:val="single" w:sz="8" w:space="0" w:color="000000"/>
              <w:left w:val="single" w:sz="8" w:space="0" w:color="000000"/>
              <w:bottom w:val="single" w:sz="8" w:space="0" w:color="000000"/>
              <w:right w:val="single" w:sz="8" w:space="0" w:color="000000"/>
            </w:tcBorders>
            <w:vAlign w:val="center"/>
          </w:tcPr>
          <w:p w14:paraId="6687AC6D"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1.52%</w:t>
            </w:r>
          </w:p>
        </w:tc>
        <w:tc>
          <w:tcPr>
            <w:tcW w:w="1107" w:type="dxa"/>
            <w:tcBorders>
              <w:top w:val="single" w:sz="8" w:space="0" w:color="000000"/>
              <w:left w:val="single" w:sz="8" w:space="0" w:color="000000"/>
              <w:bottom w:val="single" w:sz="8" w:space="0" w:color="000000"/>
              <w:right w:val="single" w:sz="8" w:space="0" w:color="000000"/>
            </w:tcBorders>
            <w:vAlign w:val="center"/>
          </w:tcPr>
          <w:p w14:paraId="7DEECA9A"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20.09%</w:t>
            </w:r>
          </w:p>
        </w:tc>
        <w:tc>
          <w:tcPr>
            <w:tcW w:w="1357" w:type="dxa"/>
            <w:tcBorders>
              <w:top w:val="single" w:sz="8" w:space="0" w:color="000000"/>
              <w:left w:val="single" w:sz="8" w:space="0" w:color="000000"/>
              <w:bottom w:val="single" w:sz="8" w:space="0" w:color="000000"/>
              <w:right w:val="single" w:sz="8" w:space="0" w:color="000000"/>
            </w:tcBorders>
            <w:vAlign w:val="center"/>
          </w:tcPr>
          <w:p w14:paraId="4CDF838F"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1.00%</w:t>
            </w:r>
          </w:p>
        </w:tc>
        <w:tc>
          <w:tcPr>
            <w:tcW w:w="992" w:type="dxa"/>
            <w:tcBorders>
              <w:top w:val="single" w:sz="8" w:space="0" w:color="000000"/>
              <w:left w:val="single" w:sz="8" w:space="0" w:color="000000"/>
              <w:bottom w:val="single" w:sz="8" w:space="0" w:color="000000"/>
              <w:right w:val="single" w:sz="8" w:space="0" w:color="000000"/>
            </w:tcBorders>
            <w:vAlign w:val="center"/>
          </w:tcPr>
          <w:p w14:paraId="35C6EA7A"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-10.08%</w:t>
            </w:r>
          </w:p>
        </w:tc>
        <w:tc>
          <w:tcPr>
            <w:tcW w:w="925" w:type="dxa"/>
            <w:tcBorders>
              <w:top w:val="single" w:sz="8" w:space="0" w:color="000000"/>
              <w:left w:val="single" w:sz="8" w:space="0" w:color="000000"/>
              <w:bottom w:val="single" w:sz="8" w:space="0" w:color="000000"/>
              <w:right w:val="single" w:sz="8" w:space="0" w:color="000000"/>
            </w:tcBorders>
            <w:vAlign w:val="center"/>
          </w:tcPr>
          <w:p w14:paraId="2B1E28E2"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0.52%</w:t>
            </w:r>
          </w:p>
        </w:tc>
      </w:tr>
      <w:tr w:rsidR="008D0810" w14:paraId="41E8A6A5" w14:textId="77777777" w:rsidTr="00231253">
        <w:trPr>
          <w:trHeight w:val="340"/>
          <w:jc w:val="center"/>
        </w:trPr>
        <w:tc>
          <w:tcPr>
            <w:tcW w:w="2536" w:type="dxa"/>
            <w:gridSpan w:val="2"/>
            <w:tcBorders>
              <w:top w:val="single" w:sz="8" w:space="0" w:color="000000"/>
              <w:left w:val="single" w:sz="8" w:space="0" w:color="000000"/>
              <w:bottom w:val="single" w:sz="8" w:space="0" w:color="000000"/>
              <w:right w:val="single" w:sz="8" w:space="0" w:color="000000"/>
            </w:tcBorders>
            <w:vAlign w:val="center"/>
          </w:tcPr>
          <w:p w14:paraId="5C1C452D"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202</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.01.01~202</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1</w:t>
            </w:r>
          </w:p>
        </w:tc>
        <w:tc>
          <w:tcPr>
            <w:tcW w:w="1031" w:type="dxa"/>
            <w:tcBorders>
              <w:top w:val="single" w:sz="8" w:space="0" w:color="000000"/>
              <w:left w:val="single" w:sz="8" w:space="0" w:color="000000"/>
              <w:bottom w:val="single" w:sz="8" w:space="0" w:color="000000"/>
              <w:right w:val="single" w:sz="8" w:space="0" w:color="000000"/>
            </w:tcBorders>
            <w:vAlign w:val="center"/>
          </w:tcPr>
          <w:p w14:paraId="4396B52D"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26.91%</w:t>
            </w:r>
          </w:p>
        </w:tc>
        <w:tc>
          <w:tcPr>
            <w:tcW w:w="1107" w:type="dxa"/>
            <w:tcBorders>
              <w:top w:val="single" w:sz="8" w:space="0" w:color="000000"/>
              <w:left w:val="single" w:sz="8" w:space="0" w:color="000000"/>
              <w:bottom w:val="single" w:sz="8" w:space="0" w:color="000000"/>
              <w:right w:val="single" w:sz="8" w:space="0" w:color="000000"/>
            </w:tcBorders>
            <w:vAlign w:val="center"/>
          </w:tcPr>
          <w:p w14:paraId="07B1536C"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1.27%</w:t>
            </w:r>
          </w:p>
        </w:tc>
        <w:tc>
          <w:tcPr>
            <w:tcW w:w="1107" w:type="dxa"/>
            <w:tcBorders>
              <w:top w:val="single" w:sz="8" w:space="0" w:color="000000"/>
              <w:left w:val="single" w:sz="8" w:space="0" w:color="000000"/>
              <w:bottom w:val="single" w:sz="8" w:space="0" w:color="000000"/>
              <w:right w:val="single" w:sz="8" w:space="0" w:color="000000"/>
            </w:tcBorders>
            <w:vAlign w:val="center"/>
          </w:tcPr>
          <w:p w14:paraId="38DA0211"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-1.72%</w:t>
            </w:r>
          </w:p>
        </w:tc>
        <w:tc>
          <w:tcPr>
            <w:tcW w:w="1357" w:type="dxa"/>
            <w:tcBorders>
              <w:top w:val="single" w:sz="8" w:space="0" w:color="000000"/>
              <w:left w:val="single" w:sz="8" w:space="0" w:color="000000"/>
              <w:bottom w:val="single" w:sz="8" w:space="0" w:color="000000"/>
              <w:right w:val="single" w:sz="8" w:space="0" w:color="000000"/>
            </w:tcBorders>
            <w:vAlign w:val="center"/>
          </w:tcPr>
          <w:p w14:paraId="1E8E29FC"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0.82%</w:t>
            </w:r>
          </w:p>
        </w:tc>
        <w:tc>
          <w:tcPr>
            <w:tcW w:w="992" w:type="dxa"/>
            <w:tcBorders>
              <w:top w:val="single" w:sz="8" w:space="0" w:color="000000"/>
              <w:left w:val="single" w:sz="8" w:space="0" w:color="000000"/>
              <w:bottom w:val="single" w:sz="8" w:space="0" w:color="000000"/>
              <w:right w:val="single" w:sz="8" w:space="0" w:color="000000"/>
            </w:tcBorders>
            <w:vAlign w:val="center"/>
          </w:tcPr>
          <w:p w14:paraId="4EED59ED"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28.63%</w:t>
            </w:r>
          </w:p>
        </w:tc>
        <w:tc>
          <w:tcPr>
            <w:tcW w:w="925" w:type="dxa"/>
            <w:tcBorders>
              <w:top w:val="single" w:sz="8" w:space="0" w:color="000000"/>
              <w:left w:val="single" w:sz="8" w:space="0" w:color="000000"/>
              <w:bottom w:val="single" w:sz="8" w:space="0" w:color="000000"/>
              <w:right w:val="single" w:sz="8" w:space="0" w:color="000000"/>
            </w:tcBorders>
            <w:vAlign w:val="center"/>
          </w:tcPr>
          <w:p w14:paraId="029FA77A"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0.45%</w:t>
            </w:r>
          </w:p>
        </w:tc>
      </w:tr>
      <w:tr w:rsidR="008D0810" w14:paraId="482C6E8B" w14:textId="77777777" w:rsidTr="00231253">
        <w:trPr>
          <w:trHeight w:val="340"/>
          <w:jc w:val="center"/>
        </w:trPr>
        <w:tc>
          <w:tcPr>
            <w:tcW w:w="2536" w:type="dxa"/>
            <w:gridSpan w:val="2"/>
            <w:tcBorders>
              <w:top w:val="single" w:sz="8" w:space="0" w:color="000000"/>
              <w:left w:val="single" w:sz="8" w:space="0" w:color="000000"/>
              <w:bottom w:val="single" w:sz="8" w:space="0" w:color="000000"/>
              <w:right w:val="single" w:sz="8" w:space="0" w:color="000000"/>
            </w:tcBorders>
            <w:vAlign w:val="center"/>
          </w:tcPr>
          <w:p w14:paraId="154DF20C"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2022.01.01~2022.12.31</w:t>
            </w:r>
          </w:p>
        </w:tc>
        <w:tc>
          <w:tcPr>
            <w:tcW w:w="1031" w:type="dxa"/>
            <w:tcBorders>
              <w:top w:val="single" w:sz="8" w:space="0" w:color="000000"/>
              <w:left w:val="single" w:sz="8" w:space="0" w:color="000000"/>
              <w:bottom w:val="single" w:sz="8" w:space="0" w:color="000000"/>
              <w:right w:val="single" w:sz="8" w:space="0" w:color="000000"/>
            </w:tcBorders>
          </w:tcPr>
          <w:p w14:paraId="6A4B6244" w14:textId="77777777" w:rsidR="008D0810" w:rsidRDefault="00417F9F">
            <w:pPr>
              <w:pStyle w:val="biaogecenter"/>
              <w:jc w:val="left"/>
              <w:rPr>
                <w:rFonts w:hint="eastAsia"/>
                <w:sz w:val="21"/>
                <w:szCs w:val="21"/>
              </w:rPr>
            </w:pPr>
            <w:r>
              <w:rPr>
                <w:sz w:val="21"/>
                <w:szCs w:val="21"/>
              </w:rPr>
              <w:t>-13.83%</w:t>
            </w:r>
          </w:p>
        </w:tc>
        <w:tc>
          <w:tcPr>
            <w:tcW w:w="1107" w:type="dxa"/>
            <w:tcBorders>
              <w:top w:val="single" w:sz="8" w:space="0" w:color="000000"/>
              <w:left w:val="single" w:sz="8" w:space="0" w:color="000000"/>
              <w:bottom w:val="single" w:sz="8" w:space="0" w:color="000000"/>
              <w:right w:val="single" w:sz="8" w:space="0" w:color="000000"/>
            </w:tcBorders>
          </w:tcPr>
          <w:p w14:paraId="6905B579" w14:textId="77777777" w:rsidR="008D0810" w:rsidRDefault="00417F9F">
            <w:pPr>
              <w:pStyle w:val="biaogecenter"/>
              <w:jc w:val="left"/>
              <w:rPr>
                <w:rFonts w:hint="eastAsia"/>
                <w:sz w:val="21"/>
                <w:szCs w:val="21"/>
              </w:rPr>
            </w:pPr>
            <w:r>
              <w:rPr>
                <w:sz w:val="21"/>
                <w:szCs w:val="21"/>
              </w:rPr>
              <w:t>1.52%</w:t>
            </w:r>
          </w:p>
        </w:tc>
        <w:tc>
          <w:tcPr>
            <w:tcW w:w="1107" w:type="dxa"/>
            <w:tcBorders>
              <w:top w:val="single" w:sz="8" w:space="0" w:color="000000"/>
              <w:left w:val="single" w:sz="8" w:space="0" w:color="000000"/>
              <w:bottom w:val="single" w:sz="8" w:space="0" w:color="000000"/>
              <w:right w:val="single" w:sz="8" w:space="0" w:color="000000"/>
            </w:tcBorders>
          </w:tcPr>
          <w:p w14:paraId="1B0FDCF1" w14:textId="77777777" w:rsidR="008D0810" w:rsidRDefault="00417F9F">
            <w:pPr>
              <w:pStyle w:val="biaogecenter"/>
              <w:jc w:val="left"/>
              <w:rPr>
                <w:rFonts w:hint="eastAsia"/>
                <w:sz w:val="21"/>
                <w:szCs w:val="21"/>
              </w:rPr>
            </w:pPr>
            <w:r>
              <w:rPr>
                <w:sz w:val="21"/>
                <w:szCs w:val="21"/>
              </w:rPr>
              <w:t>-14.45%</w:t>
            </w:r>
          </w:p>
        </w:tc>
        <w:tc>
          <w:tcPr>
            <w:tcW w:w="1357" w:type="dxa"/>
            <w:tcBorders>
              <w:top w:val="single" w:sz="8" w:space="0" w:color="000000"/>
              <w:left w:val="single" w:sz="8" w:space="0" w:color="000000"/>
              <w:bottom w:val="single" w:sz="8" w:space="0" w:color="000000"/>
              <w:right w:val="single" w:sz="8" w:space="0" w:color="000000"/>
            </w:tcBorders>
          </w:tcPr>
          <w:p w14:paraId="4A9BD84D" w14:textId="77777777" w:rsidR="008D0810" w:rsidRDefault="00417F9F">
            <w:pPr>
              <w:pStyle w:val="biaogecenter"/>
              <w:jc w:val="left"/>
              <w:rPr>
                <w:rFonts w:hint="eastAsia"/>
                <w:sz w:val="21"/>
                <w:szCs w:val="21"/>
              </w:rPr>
            </w:pPr>
            <w:r>
              <w:rPr>
                <w:sz w:val="21"/>
                <w:szCs w:val="21"/>
              </w:rPr>
              <w:t>0.90%</w:t>
            </w:r>
          </w:p>
        </w:tc>
        <w:tc>
          <w:tcPr>
            <w:tcW w:w="992" w:type="dxa"/>
            <w:tcBorders>
              <w:top w:val="single" w:sz="8" w:space="0" w:color="000000"/>
              <w:left w:val="single" w:sz="8" w:space="0" w:color="000000"/>
              <w:bottom w:val="single" w:sz="8" w:space="0" w:color="000000"/>
              <w:right w:val="single" w:sz="8" w:space="0" w:color="000000"/>
            </w:tcBorders>
          </w:tcPr>
          <w:p w14:paraId="57C5D824" w14:textId="77777777" w:rsidR="008D0810" w:rsidRDefault="00417F9F">
            <w:pPr>
              <w:pStyle w:val="biaogecenter"/>
              <w:jc w:val="left"/>
              <w:rPr>
                <w:rFonts w:hint="eastAsia"/>
                <w:sz w:val="21"/>
                <w:szCs w:val="21"/>
              </w:rPr>
            </w:pPr>
            <w:r>
              <w:rPr>
                <w:sz w:val="21"/>
                <w:szCs w:val="21"/>
              </w:rPr>
              <w:t>0.62%</w:t>
            </w:r>
          </w:p>
        </w:tc>
        <w:tc>
          <w:tcPr>
            <w:tcW w:w="925" w:type="dxa"/>
            <w:tcBorders>
              <w:top w:val="single" w:sz="8" w:space="0" w:color="000000"/>
              <w:left w:val="single" w:sz="8" w:space="0" w:color="000000"/>
              <w:bottom w:val="single" w:sz="8" w:space="0" w:color="000000"/>
              <w:right w:val="single" w:sz="8" w:space="0" w:color="000000"/>
            </w:tcBorders>
          </w:tcPr>
          <w:p w14:paraId="5C01B292" w14:textId="77777777" w:rsidR="008D0810" w:rsidRDefault="00417F9F">
            <w:pPr>
              <w:pStyle w:val="biaogecenter"/>
              <w:jc w:val="left"/>
              <w:rPr>
                <w:rFonts w:hint="eastAsia"/>
                <w:sz w:val="21"/>
                <w:szCs w:val="21"/>
              </w:rPr>
            </w:pPr>
            <w:r>
              <w:rPr>
                <w:sz w:val="21"/>
                <w:szCs w:val="21"/>
              </w:rPr>
              <w:t>0.62%</w:t>
            </w:r>
          </w:p>
        </w:tc>
      </w:tr>
      <w:tr w:rsidR="008D0810" w14:paraId="68854EAF" w14:textId="77777777" w:rsidTr="00231253">
        <w:trPr>
          <w:trHeight w:val="340"/>
          <w:jc w:val="center"/>
        </w:trPr>
        <w:tc>
          <w:tcPr>
            <w:tcW w:w="2536" w:type="dxa"/>
            <w:gridSpan w:val="2"/>
            <w:tcBorders>
              <w:top w:val="single" w:sz="8" w:space="0" w:color="000000"/>
              <w:left w:val="single" w:sz="8" w:space="0" w:color="000000"/>
              <w:bottom w:val="single" w:sz="8" w:space="0" w:color="000000"/>
              <w:right w:val="single" w:sz="8" w:space="0" w:color="000000"/>
            </w:tcBorders>
          </w:tcPr>
          <w:p w14:paraId="6B99ACBA"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2023.01.01~2023.12.31</w:t>
            </w:r>
          </w:p>
        </w:tc>
        <w:tc>
          <w:tcPr>
            <w:tcW w:w="1031" w:type="dxa"/>
            <w:tcBorders>
              <w:top w:val="single" w:sz="8" w:space="0" w:color="000000"/>
              <w:left w:val="single" w:sz="8" w:space="0" w:color="000000"/>
              <w:bottom w:val="single" w:sz="8" w:space="0" w:color="000000"/>
              <w:right w:val="single" w:sz="8" w:space="0" w:color="000000"/>
            </w:tcBorders>
          </w:tcPr>
          <w:p w14:paraId="01843A6F"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-11.06%</w:t>
            </w:r>
          </w:p>
        </w:tc>
        <w:tc>
          <w:tcPr>
            <w:tcW w:w="1107" w:type="dxa"/>
            <w:tcBorders>
              <w:top w:val="single" w:sz="8" w:space="0" w:color="000000"/>
              <w:left w:val="single" w:sz="8" w:space="0" w:color="000000"/>
              <w:bottom w:val="single" w:sz="8" w:space="0" w:color="000000"/>
              <w:right w:val="single" w:sz="8" w:space="0" w:color="000000"/>
            </w:tcBorders>
          </w:tcPr>
          <w:p w14:paraId="48C2664D"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1.02%</w:t>
            </w:r>
          </w:p>
        </w:tc>
        <w:tc>
          <w:tcPr>
            <w:tcW w:w="1107" w:type="dxa"/>
            <w:tcBorders>
              <w:top w:val="single" w:sz="8" w:space="0" w:color="000000"/>
              <w:left w:val="single" w:sz="8" w:space="0" w:color="000000"/>
              <w:bottom w:val="single" w:sz="8" w:space="0" w:color="000000"/>
              <w:right w:val="single" w:sz="8" w:space="0" w:color="000000"/>
            </w:tcBorders>
          </w:tcPr>
          <w:p w14:paraId="64DB77BB"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-6.52%</w:t>
            </w:r>
          </w:p>
        </w:tc>
        <w:tc>
          <w:tcPr>
            <w:tcW w:w="1357" w:type="dxa"/>
            <w:tcBorders>
              <w:top w:val="single" w:sz="8" w:space="0" w:color="000000"/>
              <w:left w:val="single" w:sz="8" w:space="0" w:color="000000"/>
              <w:bottom w:val="single" w:sz="8" w:space="0" w:color="000000"/>
              <w:right w:val="single" w:sz="8" w:space="0" w:color="000000"/>
            </w:tcBorders>
          </w:tcPr>
          <w:p w14:paraId="528D2B7B"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0.59%</w:t>
            </w:r>
          </w:p>
        </w:tc>
        <w:tc>
          <w:tcPr>
            <w:tcW w:w="992" w:type="dxa"/>
            <w:tcBorders>
              <w:top w:val="single" w:sz="8" w:space="0" w:color="000000"/>
              <w:left w:val="single" w:sz="8" w:space="0" w:color="000000"/>
              <w:bottom w:val="single" w:sz="8" w:space="0" w:color="000000"/>
              <w:right w:val="single" w:sz="8" w:space="0" w:color="000000"/>
            </w:tcBorders>
          </w:tcPr>
          <w:p w14:paraId="0CC9F2C4"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-4.54%</w:t>
            </w:r>
          </w:p>
        </w:tc>
        <w:tc>
          <w:tcPr>
            <w:tcW w:w="925" w:type="dxa"/>
            <w:tcBorders>
              <w:top w:val="single" w:sz="8" w:space="0" w:color="000000"/>
              <w:left w:val="single" w:sz="8" w:space="0" w:color="000000"/>
              <w:bottom w:val="single" w:sz="8" w:space="0" w:color="000000"/>
              <w:right w:val="single" w:sz="8" w:space="0" w:color="000000"/>
            </w:tcBorders>
          </w:tcPr>
          <w:p w14:paraId="3A72FDF4"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0.43%</w:t>
            </w:r>
          </w:p>
        </w:tc>
      </w:tr>
      <w:tr w:rsidR="005B7208" w14:paraId="751DC445" w14:textId="77777777" w:rsidTr="00231253">
        <w:trPr>
          <w:gridBefore w:val="1"/>
          <w:wBefore w:w="6" w:type="dxa"/>
          <w:trHeight w:val="340"/>
          <w:jc w:val="center"/>
        </w:trPr>
        <w:tc>
          <w:tcPr>
            <w:tcW w:w="2530" w:type="dxa"/>
            <w:tcBorders>
              <w:top w:val="single" w:sz="8" w:space="0" w:color="000000"/>
              <w:left w:val="single" w:sz="8" w:space="0" w:color="000000"/>
              <w:bottom w:val="single" w:sz="8" w:space="0" w:color="000000"/>
              <w:right w:val="single" w:sz="8" w:space="0" w:color="000000"/>
            </w:tcBorders>
          </w:tcPr>
          <w:p w14:paraId="5204F609" w14:textId="76B82B09" w:rsidR="005B7208" w:rsidRDefault="005B7208" w:rsidP="005B7208">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2024.01.01~2024.12.31</w:t>
            </w:r>
          </w:p>
        </w:tc>
        <w:tc>
          <w:tcPr>
            <w:tcW w:w="1031" w:type="dxa"/>
            <w:tcBorders>
              <w:top w:val="single" w:sz="8" w:space="0" w:color="000000"/>
              <w:left w:val="single" w:sz="8" w:space="0" w:color="000000"/>
              <w:bottom w:val="single" w:sz="8" w:space="0" w:color="000000"/>
              <w:right w:val="single" w:sz="8" w:space="0" w:color="000000"/>
            </w:tcBorders>
            <w:vAlign w:val="center"/>
          </w:tcPr>
          <w:p w14:paraId="235F98FA" w14:textId="12580224"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-12.05%</w:t>
            </w:r>
          </w:p>
        </w:tc>
        <w:tc>
          <w:tcPr>
            <w:tcW w:w="1107" w:type="dxa"/>
            <w:tcBorders>
              <w:top w:val="single" w:sz="8" w:space="0" w:color="000000"/>
              <w:left w:val="single" w:sz="8" w:space="0" w:color="000000"/>
              <w:bottom w:val="single" w:sz="8" w:space="0" w:color="000000"/>
              <w:right w:val="single" w:sz="8" w:space="0" w:color="000000"/>
            </w:tcBorders>
            <w:vAlign w:val="center"/>
          </w:tcPr>
          <w:p w14:paraId="257C8344" w14:textId="5556DAF2"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2.36%</w:t>
            </w:r>
          </w:p>
        </w:tc>
        <w:tc>
          <w:tcPr>
            <w:tcW w:w="1107" w:type="dxa"/>
            <w:tcBorders>
              <w:top w:val="single" w:sz="8" w:space="0" w:color="000000"/>
              <w:left w:val="single" w:sz="8" w:space="0" w:color="000000"/>
              <w:bottom w:val="single" w:sz="8" w:space="0" w:color="000000"/>
              <w:right w:val="single" w:sz="8" w:space="0" w:color="000000"/>
            </w:tcBorders>
            <w:vAlign w:val="center"/>
          </w:tcPr>
          <w:p w14:paraId="34C49661" w14:textId="001A54C7"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13.43%</w:t>
            </w:r>
          </w:p>
        </w:tc>
        <w:tc>
          <w:tcPr>
            <w:tcW w:w="1357" w:type="dxa"/>
            <w:tcBorders>
              <w:top w:val="single" w:sz="8" w:space="0" w:color="000000"/>
              <w:left w:val="single" w:sz="8" w:space="0" w:color="000000"/>
              <w:bottom w:val="single" w:sz="8" w:space="0" w:color="000000"/>
              <w:right w:val="single" w:sz="8" w:space="0" w:color="000000"/>
            </w:tcBorders>
            <w:vAlign w:val="center"/>
          </w:tcPr>
          <w:p w14:paraId="74C9D66F" w14:textId="0D330820"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0.93%</w:t>
            </w:r>
          </w:p>
        </w:tc>
        <w:tc>
          <w:tcPr>
            <w:tcW w:w="992" w:type="dxa"/>
            <w:tcBorders>
              <w:top w:val="single" w:sz="8" w:space="0" w:color="000000"/>
              <w:left w:val="single" w:sz="8" w:space="0" w:color="000000"/>
              <w:bottom w:val="single" w:sz="8" w:space="0" w:color="000000"/>
              <w:right w:val="single" w:sz="8" w:space="0" w:color="000000"/>
            </w:tcBorders>
            <w:vAlign w:val="center"/>
          </w:tcPr>
          <w:p w14:paraId="7E34604C" w14:textId="79CB5F15"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-25.48%</w:t>
            </w:r>
          </w:p>
        </w:tc>
        <w:tc>
          <w:tcPr>
            <w:tcW w:w="925" w:type="dxa"/>
            <w:tcBorders>
              <w:top w:val="single" w:sz="8" w:space="0" w:color="000000"/>
              <w:left w:val="single" w:sz="8" w:space="0" w:color="000000"/>
              <w:bottom w:val="single" w:sz="8" w:space="0" w:color="000000"/>
              <w:right w:val="single" w:sz="8" w:space="0" w:color="000000"/>
            </w:tcBorders>
            <w:vAlign w:val="center"/>
          </w:tcPr>
          <w:p w14:paraId="3A5F4D1A" w14:textId="0A0B9E56"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1.43%</w:t>
            </w:r>
          </w:p>
        </w:tc>
      </w:tr>
      <w:tr w:rsidR="005B7208" w14:paraId="7BDD99B7" w14:textId="77777777" w:rsidTr="00231253">
        <w:trPr>
          <w:gridBefore w:val="1"/>
          <w:wBefore w:w="6" w:type="dxa"/>
          <w:trHeight w:val="340"/>
          <w:jc w:val="center"/>
        </w:trPr>
        <w:tc>
          <w:tcPr>
            <w:tcW w:w="2530" w:type="dxa"/>
            <w:tcBorders>
              <w:top w:val="single" w:sz="8" w:space="0" w:color="000000"/>
              <w:left w:val="single" w:sz="8" w:space="0" w:color="000000"/>
              <w:bottom w:val="single" w:sz="8" w:space="0" w:color="000000"/>
              <w:right w:val="single" w:sz="8" w:space="0" w:color="000000"/>
            </w:tcBorders>
          </w:tcPr>
          <w:p w14:paraId="5D286FA1" w14:textId="1AA4D216" w:rsidR="005B7208" w:rsidRDefault="005B7208" w:rsidP="005B7208">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自基金合同生效日至2025.06.30</w:t>
            </w:r>
          </w:p>
        </w:tc>
        <w:tc>
          <w:tcPr>
            <w:tcW w:w="1031" w:type="dxa"/>
            <w:tcBorders>
              <w:top w:val="single" w:sz="8" w:space="0" w:color="000000"/>
              <w:left w:val="single" w:sz="8" w:space="0" w:color="000000"/>
              <w:bottom w:val="single" w:sz="8" w:space="0" w:color="000000"/>
              <w:right w:val="single" w:sz="8" w:space="0" w:color="000000"/>
            </w:tcBorders>
            <w:vAlign w:val="center"/>
          </w:tcPr>
          <w:p w14:paraId="734F6E71" w14:textId="401C4FE9"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4.55%</w:t>
            </w:r>
          </w:p>
        </w:tc>
        <w:tc>
          <w:tcPr>
            <w:tcW w:w="1107" w:type="dxa"/>
            <w:tcBorders>
              <w:top w:val="single" w:sz="8" w:space="0" w:color="000000"/>
              <w:left w:val="single" w:sz="8" w:space="0" w:color="000000"/>
              <w:bottom w:val="single" w:sz="8" w:space="0" w:color="000000"/>
              <w:right w:val="single" w:sz="8" w:space="0" w:color="000000"/>
            </w:tcBorders>
            <w:vAlign w:val="center"/>
          </w:tcPr>
          <w:p w14:paraId="494CE806" w14:textId="19328725"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1.47%</w:t>
            </w:r>
          </w:p>
        </w:tc>
        <w:tc>
          <w:tcPr>
            <w:tcW w:w="1107" w:type="dxa"/>
            <w:tcBorders>
              <w:top w:val="single" w:sz="8" w:space="0" w:color="000000"/>
              <w:left w:val="single" w:sz="8" w:space="0" w:color="000000"/>
              <w:bottom w:val="single" w:sz="8" w:space="0" w:color="000000"/>
              <w:right w:val="single" w:sz="8" w:space="0" w:color="000000"/>
            </w:tcBorders>
            <w:vAlign w:val="center"/>
          </w:tcPr>
          <w:p w14:paraId="266E1B80" w14:textId="427766B1"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17.96%</w:t>
            </w:r>
          </w:p>
        </w:tc>
        <w:tc>
          <w:tcPr>
            <w:tcW w:w="1357" w:type="dxa"/>
            <w:tcBorders>
              <w:top w:val="single" w:sz="8" w:space="0" w:color="000000"/>
              <w:left w:val="single" w:sz="8" w:space="0" w:color="000000"/>
              <w:bottom w:val="single" w:sz="8" w:space="0" w:color="000000"/>
              <w:right w:val="single" w:sz="8" w:space="0" w:color="000000"/>
            </w:tcBorders>
            <w:vAlign w:val="center"/>
          </w:tcPr>
          <w:p w14:paraId="6921D7DD" w14:textId="79AB5C61"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0.86%</w:t>
            </w:r>
          </w:p>
        </w:tc>
        <w:tc>
          <w:tcPr>
            <w:tcW w:w="992" w:type="dxa"/>
            <w:tcBorders>
              <w:top w:val="single" w:sz="8" w:space="0" w:color="000000"/>
              <w:left w:val="single" w:sz="8" w:space="0" w:color="000000"/>
              <w:bottom w:val="single" w:sz="8" w:space="0" w:color="000000"/>
              <w:right w:val="single" w:sz="8" w:space="0" w:color="000000"/>
            </w:tcBorders>
            <w:vAlign w:val="center"/>
          </w:tcPr>
          <w:p w14:paraId="5263155F" w14:textId="3E03EB67"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-13.41%</w:t>
            </w:r>
          </w:p>
        </w:tc>
        <w:tc>
          <w:tcPr>
            <w:tcW w:w="925" w:type="dxa"/>
            <w:tcBorders>
              <w:top w:val="single" w:sz="8" w:space="0" w:color="000000"/>
              <w:left w:val="single" w:sz="8" w:space="0" w:color="000000"/>
              <w:bottom w:val="single" w:sz="8" w:space="0" w:color="000000"/>
              <w:right w:val="single" w:sz="8" w:space="0" w:color="000000"/>
            </w:tcBorders>
            <w:vAlign w:val="center"/>
          </w:tcPr>
          <w:p w14:paraId="3E37C06B" w14:textId="376A9321"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0.61%</w:t>
            </w:r>
          </w:p>
        </w:tc>
      </w:tr>
    </w:tbl>
    <w:p w14:paraId="7F5F014E" w14:textId="77777777" w:rsidR="008D0810" w:rsidRDefault="008D0810">
      <w:pPr>
        <w:autoSpaceDE w:val="0"/>
        <w:autoSpaceDN w:val="0"/>
        <w:spacing w:line="360" w:lineRule="auto"/>
        <w:ind w:firstLineChars="200" w:firstLine="480"/>
        <w:textAlignment w:val="bottom"/>
        <w:rPr>
          <w:rFonts w:asciiTheme="minorEastAsia" w:hAnsiTheme="minorEastAsia" w:cs="Times New Roman" w:hint="eastAsia"/>
          <w:bCs/>
          <w:sz w:val="24"/>
          <w:szCs w:val="24"/>
        </w:rPr>
      </w:pPr>
    </w:p>
    <w:p w14:paraId="7AC2090A"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2）富荣福康混合C（基金代码：005105） </w:t>
      </w:r>
    </w:p>
    <w:tbl>
      <w:tblPr>
        <w:tblW w:w="9057" w:type="dxa"/>
        <w:jc w:val="center"/>
        <w:tblLayout w:type="fixed"/>
        <w:tblLook w:val="04A0" w:firstRow="1" w:lastRow="0" w:firstColumn="1" w:lastColumn="0" w:noHBand="0" w:noVBand="1"/>
      </w:tblPr>
      <w:tblGrid>
        <w:gridCol w:w="2538"/>
        <w:gridCol w:w="1073"/>
        <w:gridCol w:w="1108"/>
        <w:gridCol w:w="1108"/>
        <w:gridCol w:w="1372"/>
        <w:gridCol w:w="992"/>
        <w:gridCol w:w="866"/>
      </w:tblGrid>
      <w:tr w:rsidR="008D0810" w14:paraId="559BD83F" w14:textId="77777777" w:rsidTr="00231253">
        <w:trPr>
          <w:trHeight w:val="1619"/>
          <w:jc w:val="center"/>
        </w:trPr>
        <w:tc>
          <w:tcPr>
            <w:tcW w:w="2538" w:type="dxa"/>
            <w:tcBorders>
              <w:top w:val="single" w:sz="8" w:space="0" w:color="000000"/>
              <w:left w:val="single" w:sz="8" w:space="0" w:color="000000"/>
              <w:bottom w:val="single" w:sz="8" w:space="0" w:color="000000"/>
              <w:right w:val="single" w:sz="8" w:space="0" w:color="000000"/>
            </w:tcBorders>
            <w:vAlign w:val="center"/>
          </w:tcPr>
          <w:p w14:paraId="00E1C0A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阶段</w:t>
            </w:r>
          </w:p>
        </w:tc>
        <w:tc>
          <w:tcPr>
            <w:tcW w:w="1073" w:type="dxa"/>
            <w:tcBorders>
              <w:top w:val="single" w:sz="8" w:space="0" w:color="000000"/>
              <w:left w:val="single" w:sz="8" w:space="0" w:color="000000"/>
              <w:bottom w:val="single" w:sz="8" w:space="0" w:color="000000"/>
              <w:right w:val="single" w:sz="8" w:space="0" w:color="000000"/>
            </w:tcBorders>
            <w:vAlign w:val="center"/>
          </w:tcPr>
          <w:p w14:paraId="6FA81EBB"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份额净值增长率①</w:t>
            </w:r>
          </w:p>
        </w:tc>
        <w:tc>
          <w:tcPr>
            <w:tcW w:w="1108" w:type="dxa"/>
            <w:tcBorders>
              <w:top w:val="single" w:sz="8" w:space="0" w:color="000000"/>
              <w:left w:val="single" w:sz="8" w:space="0" w:color="000000"/>
              <w:bottom w:val="single" w:sz="8" w:space="0" w:color="000000"/>
              <w:right w:val="single" w:sz="8" w:space="0" w:color="000000"/>
            </w:tcBorders>
            <w:vAlign w:val="center"/>
          </w:tcPr>
          <w:p w14:paraId="1FAFCCE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份额净值增长率标准差②</w:t>
            </w:r>
          </w:p>
        </w:tc>
        <w:tc>
          <w:tcPr>
            <w:tcW w:w="1108" w:type="dxa"/>
            <w:tcBorders>
              <w:top w:val="single" w:sz="8" w:space="0" w:color="000000"/>
              <w:left w:val="single" w:sz="8" w:space="0" w:color="000000"/>
              <w:bottom w:val="single" w:sz="8" w:space="0" w:color="000000"/>
              <w:right w:val="single" w:sz="8" w:space="0" w:color="000000"/>
            </w:tcBorders>
            <w:vAlign w:val="center"/>
          </w:tcPr>
          <w:p w14:paraId="36542DDB"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业绩比较基准收益率③</w:t>
            </w:r>
          </w:p>
        </w:tc>
        <w:tc>
          <w:tcPr>
            <w:tcW w:w="1372" w:type="dxa"/>
            <w:tcBorders>
              <w:top w:val="single" w:sz="8" w:space="0" w:color="000000"/>
              <w:left w:val="single" w:sz="8" w:space="0" w:color="000000"/>
              <w:bottom w:val="single" w:sz="8" w:space="0" w:color="000000"/>
              <w:right w:val="single" w:sz="8" w:space="0" w:color="000000"/>
            </w:tcBorders>
            <w:vAlign w:val="center"/>
          </w:tcPr>
          <w:p w14:paraId="566FFB08"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20FE3EE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①-③</w:t>
            </w:r>
          </w:p>
        </w:tc>
        <w:tc>
          <w:tcPr>
            <w:tcW w:w="866" w:type="dxa"/>
            <w:tcBorders>
              <w:top w:val="single" w:sz="8" w:space="0" w:color="000000"/>
              <w:left w:val="single" w:sz="8" w:space="0" w:color="000000"/>
              <w:bottom w:val="single" w:sz="8" w:space="0" w:color="000000"/>
              <w:right w:val="single" w:sz="8" w:space="0" w:color="000000"/>
            </w:tcBorders>
            <w:vAlign w:val="center"/>
          </w:tcPr>
          <w:p w14:paraId="54BF9AA0"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②-④</w:t>
            </w:r>
          </w:p>
        </w:tc>
      </w:tr>
      <w:tr w:rsidR="008D0810" w14:paraId="2874B370"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vAlign w:val="center"/>
          </w:tcPr>
          <w:p w14:paraId="56C3C6D9"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2018.02.11~2018.12.31</w:t>
            </w:r>
          </w:p>
        </w:tc>
        <w:tc>
          <w:tcPr>
            <w:tcW w:w="1073" w:type="dxa"/>
            <w:tcBorders>
              <w:top w:val="single" w:sz="8" w:space="0" w:color="000000"/>
              <w:left w:val="single" w:sz="8" w:space="0" w:color="000000"/>
              <w:bottom w:val="single" w:sz="8" w:space="0" w:color="000000"/>
              <w:right w:val="single" w:sz="8" w:space="0" w:color="000000"/>
            </w:tcBorders>
            <w:vAlign w:val="center"/>
          </w:tcPr>
          <w:p w14:paraId="2FB04421"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-28.57%</w:t>
            </w:r>
          </w:p>
        </w:tc>
        <w:tc>
          <w:tcPr>
            <w:tcW w:w="1108" w:type="dxa"/>
            <w:tcBorders>
              <w:top w:val="single" w:sz="8" w:space="0" w:color="000000"/>
              <w:left w:val="single" w:sz="8" w:space="0" w:color="000000"/>
              <w:bottom w:val="single" w:sz="8" w:space="0" w:color="000000"/>
              <w:right w:val="single" w:sz="8" w:space="0" w:color="000000"/>
            </w:tcBorders>
            <w:vAlign w:val="center"/>
          </w:tcPr>
          <w:p w14:paraId="183282E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1.03%</w:t>
            </w:r>
          </w:p>
        </w:tc>
        <w:tc>
          <w:tcPr>
            <w:tcW w:w="1108" w:type="dxa"/>
            <w:tcBorders>
              <w:top w:val="single" w:sz="8" w:space="0" w:color="000000"/>
              <w:left w:val="single" w:sz="8" w:space="0" w:color="000000"/>
              <w:bottom w:val="single" w:sz="8" w:space="0" w:color="000000"/>
              <w:right w:val="single" w:sz="8" w:space="0" w:color="000000"/>
            </w:tcBorders>
            <w:vAlign w:val="center"/>
          </w:tcPr>
          <w:p w14:paraId="64D49462"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-13.27%</w:t>
            </w:r>
          </w:p>
        </w:tc>
        <w:tc>
          <w:tcPr>
            <w:tcW w:w="1372" w:type="dxa"/>
            <w:tcBorders>
              <w:top w:val="single" w:sz="8" w:space="0" w:color="000000"/>
              <w:left w:val="single" w:sz="8" w:space="0" w:color="000000"/>
              <w:bottom w:val="single" w:sz="8" w:space="0" w:color="000000"/>
              <w:right w:val="single" w:sz="8" w:space="0" w:color="000000"/>
            </w:tcBorders>
            <w:vAlign w:val="center"/>
          </w:tcPr>
          <w:p w14:paraId="4A4D63D8"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0.94%</w:t>
            </w:r>
          </w:p>
        </w:tc>
        <w:tc>
          <w:tcPr>
            <w:tcW w:w="992" w:type="dxa"/>
            <w:tcBorders>
              <w:top w:val="single" w:sz="8" w:space="0" w:color="000000"/>
              <w:left w:val="single" w:sz="8" w:space="0" w:color="000000"/>
              <w:bottom w:val="single" w:sz="8" w:space="0" w:color="000000"/>
              <w:right w:val="single" w:sz="8" w:space="0" w:color="000000"/>
            </w:tcBorders>
            <w:vAlign w:val="center"/>
          </w:tcPr>
          <w:p w14:paraId="15FC330F"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-15.30%</w:t>
            </w:r>
          </w:p>
        </w:tc>
        <w:tc>
          <w:tcPr>
            <w:tcW w:w="866" w:type="dxa"/>
            <w:tcBorders>
              <w:top w:val="single" w:sz="8" w:space="0" w:color="000000"/>
              <w:left w:val="single" w:sz="8" w:space="0" w:color="000000"/>
              <w:bottom w:val="single" w:sz="8" w:space="0" w:color="000000"/>
              <w:right w:val="single" w:sz="8" w:space="0" w:color="000000"/>
            </w:tcBorders>
            <w:vAlign w:val="center"/>
          </w:tcPr>
          <w:p w14:paraId="073F74E9"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0.09%</w:t>
            </w:r>
          </w:p>
        </w:tc>
      </w:tr>
      <w:tr w:rsidR="008D0810" w14:paraId="79ECF16A"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vAlign w:val="center"/>
          </w:tcPr>
          <w:p w14:paraId="20148A49"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2019.01.01~2019.12.31</w:t>
            </w:r>
          </w:p>
        </w:tc>
        <w:tc>
          <w:tcPr>
            <w:tcW w:w="1073" w:type="dxa"/>
            <w:tcBorders>
              <w:top w:val="single" w:sz="8" w:space="0" w:color="000000"/>
              <w:left w:val="single" w:sz="8" w:space="0" w:color="000000"/>
              <w:bottom w:val="single" w:sz="8" w:space="0" w:color="000000"/>
              <w:right w:val="single" w:sz="8" w:space="0" w:color="000000"/>
            </w:tcBorders>
            <w:vAlign w:val="center"/>
          </w:tcPr>
          <w:p w14:paraId="4F09C7A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22.90%</w:t>
            </w:r>
          </w:p>
        </w:tc>
        <w:tc>
          <w:tcPr>
            <w:tcW w:w="1108" w:type="dxa"/>
            <w:tcBorders>
              <w:top w:val="single" w:sz="8" w:space="0" w:color="000000"/>
              <w:left w:val="single" w:sz="8" w:space="0" w:color="000000"/>
              <w:bottom w:val="single" w:sz="8" w:space="0" w:color="000000"/>
              <w:right w:val="single" w:sz="8" w:space="0" w:color="000000"/>
            </w:tcBorders>
            <w:vAlign w:val="center"/>
          </w:tcPr>
          <w:p w14:paraId="453CD67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1.01%</w:t>
            </w:r>
          </w:p>
        </w:tc>
        <w:tc>
          <w:tcPr>
            <w:tcW w:w="1108" w:type="dxa"/>
            <w:tcBorders>
              <w:top w:val="single" w:sz="8" w:space="0" w:color="000000"/>
              <w:left w:val="single" w:sz="8" w:space="0" w:color="000000"/>
              <w:bottom w:val="single" w:sz="8" w:space="0" w:color="000000"/>
              <w:right w:val="single" w:sz="8" w:space="0" w:color="000000"/>
            </w:tcBorders>
            <w:vAlign w:val="center"/>
          </w:tcPr>
          <w:p w14:paraId="49FC5EAF"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26.39%</w:t>
            </w:r>
          </w:p>
        </w:tc>
        <w:tc>
          <w:tcPr>
            <w:tcW w:w="1372" w:type="dxa"/>
            <w:tcBorders>
              <w:top w:val="single" w:sz="8" w:space="0" w:color="000000"/>
              <w:left w:val="single" w:sz="8" w:space="0" w:color="000000"/>
              <w:bottom w:val="single" w:sz="8" w:space="0" w:color="000000"/>
              <w:right w:val="single" w:sz="8" w:space="0" w:color="000000"/>
            </w:tcBorders>
            <w:vAlign w:val="center"/>
          </w:tcPr>
          <w:p w14:paraId="71C9360A"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0.87%</w:t>
            </w:r>
          </w:p>
        </w:tc>
        <w:tc>
          <w:tcPr>
            <w:tcW w:w="992" w:type="dxa"/>
            <w:tcBorders>
              <w:top w:val="single" w:sz="8" w:space="0" w:color="000000"/>
              <w:left w:val="single" w:sz="8" w:space="0" w:color="000000"/>
              <w:bottom w:val="single" w:sz="8" w:space="0" w:color="000000"/>
              <w:right w:val="single" w:sz="8" w:space="0" w:color="000000"/>
            </w:tcBorders>
            <w:vAlign w:val="center"/>
          </w:tcPr>
          <w:p w14:paraId="4F2B0F00"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-3.49%</w:t>
            </w:r>
          </w:p>
        </w:tc>
        <w:tc>
          <w:tcPr>
            <w:tcW w:w="866" w:type="dxa"/>
            <w:tcBorders>
              <w:top w:val="single" w:sz="8" w:space="0" w:color="000000"/>
              <w:left w:val="single" w:sz="8" w:space="0" w:color="000000"/>
              <w:bottom w:val="single" w:sz="8" w:space="0" w:color="000000"/>
              <w:right w:val="single" w:sz="8" w:space="0" w:color="000000"/>
            </w:tcBorders>
            <w:vAlign w:val="center"/>
          </w:tcPr>
          <w:p w14:paraId="41EB4618"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0.14%</w:t>
            </w:r>
          </w:p>
        </w:tc>
      </w:tr>
      <w:tr w:rsidR="008D0810" w14:paraId="3281191E"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vAlign w:val="center"/>
          </w:tcPr>
          <w:p w14:paraId="11F6628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lastRenderedPageBreak/>
              <w:t>2020.01.01~2020.</w:t>
            </w: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31</w:t>
            </w:r>
          </w:p>
        </w:tc>
        <w:tc>
          <w:tcPr>
            <w:tcW w:w="1073" w:type="dxa"/>
            <w:tcBorders>
              <w:top w:val="single" w:sz="8" w:space="0" w:color="000000"/>
              <w:left w:val="single" w:sz="8" w:space="0" w:color="000000"/>
              <w:bottom w:val="single" w:sz="8" w:space="0" w:color="000000"/>
              <w:right w:val="single" w:sz="8" w:space="0" w:color="000000"/>
            </w:tcBorders>
            <w:vAlign w:val="center"/>
          </w:tcPr>
          <w:p w14:paraId="342E81A0"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8.58%</w:t>
            </w:r>
          </w:p>
        </w:tc>
        <w:tc>
          <w:tcPr>
            <w:tcW w:w="1108" w:type="dxa"/>
            <w:tcBorders>
              <w:top w:val="single" w:sz="8" w:space="0" w:color="000000"/>
              <w:left w:val="single" w:sz="8" w:space="0" w:color="000000"/>
              <w:bottom w:val="single" w:sz="8" w:space="0" w:color="000000"/>
              <w:right w:val="single" w:sz="8" w:space="0" w:color="000000"/>
            </w:tcBorders>
            <w:vAlign w:val="center"/>
          </w:tcPr>
          <w:p w14:paraId="772FB3E2"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1.54%</w:t>
            </w:r>
          </w:p>
        </w:tc>
        <w:tc>
          <w:tcPr>
            <w:tcW w:w="1108" w:type="dxa"/>
            <w:tcBorders>
              <w:top w:val="single" w:sz="8" w:space="0" w:color="000000"/>
              <w:left w:val="single" w:sz="8" w:space="0" w:color="000000"/>
              <w:bottom w:val="single" w:sz="8" w:space="0" w:color="000000"/>
              <w:right w:val="single" w:sz="8" w:space="0" w:color="000000"/>
            </w:tcBorders>
            <w:vAlign w:val="center"/>
          </w:tcPr>
          <w:p w14:paraId="7C14E05B"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20.09%</w:t>
            </w:r>
          </w:p>
        </w:tc>
        <w:tc>
          <w:tcPr>
            <w:tcW w:w="1372" w:type="dxa"/>
            <w:tcBorders>
              <w:top w:val="single" w:sz="8" w:space="0" w:color="000000"/>
              <w:left w:val="single" w:sz="8" w:space="0" w:color="000000"/>
              <w:bottom w:val="single" w:sz="8" w:space="0" w:color="000000"/>
              <w:right w:val="single" w:sz="8" w:space="0" w:color="000000"/>
            </w:tcBorders>
            <w:vAlign w:val="center"/>
          </w:tcPr>
          <w:p w14:paraId="47EFFB9E"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1.00%</w:t>
            </w:r>
          </w:p>
        </w:tc>
        <w:tc>
          <w:tcPr>
            <w:tcW w:w="992" w:type="dxa"/>
            <w:tcBorders>
              <w:top w:val="single" w:sz="8" w:space="0" w:color="000000"/>
              <w:left w:val="single" w:sz="8" w:space="0" w:color="000000"/>
              <w:bottom w:val="single" w:sz="8" w:space="0" w:color="000000"/>
              <w:right w:val="single" w:sz="8" w:space="0" w:color="000000"/>
            </w:tcBorders>
            <w:vAlign w:val="center"/>
          </w:tcPr>
          <w:p w14:paraId="5C94C04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-11.51%</w:t>
            </w:r>
          </w:p>
        </w:tc>
        <w:tc>
          <w:tcPr>
            <w:tcW w:w="866" w:type="dxa"/>
            <w:tcBorders>
              <w:top w:val="single" w:sz="8" w:space="0" w:color="000000"/>
              <w:left w:val="single" w:sz="8" w:space="0" w:color="000000"/>
              <w:bottom w:val="single" w:sz="8" w:space="0" w:color="000000"/>
              <w:right w:val="single" w:sz="8" w:space="0" w:color="000000"/>
            </w:tcBorders>
            <w:vAlign w:val="center"/>
          </w:tcPr>
          <w:p w14:paraId="51A14280"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0.54%</w:t>
            </w:r>
          </w:p>
        </w:tc>
      </w:tr>
      <w:tr w:rsidR="008D0810" w14:paraId="52B687AE"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vAlign w:val="center"/>
          </w:tcPr>
          <w:p w14:paraId="1DAD6DF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color w:val="000000"/>
                <w:sz w:val="21"/>
                <w:szCs w:val="21"/>
              </w:rPr>
              <w:t>202</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.01.01~202</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1</w:t>
            </w:r>
          </w:p>
        </w:tc>
        <w:tc>
          <w:tcPr>
            <w:tcW w:w="1073" w:type="dxa"/>
            <w:tcBorders>
              <w:top w:val="single" w:sz="8" w:space="0" w:color="000000"/>
              <w:left w:val="single" w:sz="8" w:space="0" w:color="000000"/>
              <w:bottom w:val="single" w:sz="8" w:space="0" w:color="000000"/>
              <w:right w:val="single" w:sz="8" w:space="0" w:color="000000"/>
            </w:tcBorders>
            <w:vAlign w:val="center"/>
          </w:tcPr>
          <w:p w14:paraId="21605CF2"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26.90%</w:t>
            </w:r>
          </w:p>
        </w:tc>
        <w:tc>
          <w:tcPr>
            <w:tcW w:w="1108" w:type="dxa"/>
            <w:tcBorders>
              <w:top w:val="single" w:sz="8" w:space="0" w:color="000000"/>
              <w:left w:val="single" w:sz="8" w:space="0" w:color="000000"/>
              <w:bottom w:val="single" w:sz="8" w:space="0" w:color="000000"/>
              <w:right w:val="single" w:sz="8" w:space="0" w:color="000000"/>
            </w:tcBorders>
            <w:vAlign w:val="center"/>
          </w:tcPr>
          <w:p w14:paraId="08DA7CF2"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1.27%</w:t>
            </w:r>
          </w:p>
        </w:tc>
        <w:tc>
          <w:tcPr>
            <w:tcW w:w="1108" w:type="dxa"/>
            <w:tcBorders>
              <w:top w:val="single" w:sz="8" w:space="0" w:color="000000"/>
              <w:left w:val="single" w:sz="8" w:space="0" w:color="000000"/>
              <w:bottom w:val="single" w:sz="8" w:space="0" w:color="000000"/>
              <w:right w:val="single" w:sz="8" w:space="0" w:color="000000"/>
            </w:tcBorders>
            <w:vAlign w:val="center"/>
          </w:tcPr>
          <w:p w14:paraId="40F7F8E6"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-1.72%</w:t>
            </w:r>
          </w:p>
        </w:tc>
        <w:tc>
          <w:tcPr>
            <w:tcW w:w="1372" w:type="dxa"/>
            <w:tcBorders>
              <w:top w:val="single" w:sz="8" w:space="0" w:color="000000"/>
              <w:left w:val="single" w:sz="8" w:space="0" w:color="000000"/>
              <w:bottom w:val="single" w:sz="8" w:space="0" w:color="000000"/>
              <w:right w:val="single" w:sz="8" w:space="0" w:color="000000"/>
            </w:tcBorders>
            <w:vAlign w:val="center"/>
          </w:tcPr>
          <w:p w14:paraId="0414771C"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0.82%</w:t>
            </w:r>
          </w:p>
        </w:tc>
        <w:tc>
          <w:tcPr>
            <w:tcW w:w="992" w:type="dxa"/>
            <w:tcBorders>
              <w:top w:val="single" w:sz="8" w:space="0" w:color="000000"/>
              <w:left w:val="single" w:sz="8" w:space="0" w:color="000000"/>
              <w:bottom w:val="single" w:sz="8" w:space="0" w:color="000000"/>
              <w:right w:val="single" w:sz="8" w:space="0" w:color="000000"/>
            </w:tcBorders>
            <w:vAlign w:val="center"/>
          </w:tcPr>
          <w:p w14:paraId="202A21B3"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28.62%</w:t>
            </w:r>
          </w:p>
        </w:tc>
        <w:tc>
          <w:tcPr>
            <w:tcW w:w="866" w:type="dxa"/>
            <w:tcBorders>
              <w:top w:val="single" w:sz="8" w:space="0" w:color="000000"/>
              <w:left w:val="single" w:sz="8" w:space="0" w:color="000000"/>
              <w:bottom w:val="single" w:sz="8" w:space="0" w:color="000000"/>
              <w:right w:val="single" w:sz="8" w:space="0" w:color="000000"/>
            </w:tcBorders>
            <w:vAlign w:val="center"/>
          </w:tcPr>
          <w:p w14:paraId="0B5B902B" w14:textId="77777777" w:rsidR="008D0810" w:rsidRDefault="00417F9F">
            <w:pPr>
              <w:pStyle w:val="biaogecenter"/>
              <w:jc w:val="left"/>
              <w:rPr>
                <w:rFonts w:asciiTheme="minorEastAsia" w:eastAsiaTheme="minorEastAsia" w:hAnsiTheme="minorEastAsia" w:hint="eastAsia"/>
                <w:color w:val="000000"/>
                <w:sz w:val="21"/>
                <w:szCs w:val="21"/>
              </w:rPr>
            </w:pPr>
            <w:r>
              <w:rPr>
                <w:sz w:val="21"/>
                <w:szCs w:val="21"/>
              </w:rPr>
              <w:t>0.45%</w:t>
            </w:r>
          </w:p>
        </w:tc>
      </w:tr>
      <w:tr w:rsidR="008D0810" w14:paraId="3C472A8C"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vAlign w:val="center"/>
          </w:tcPr>
          <w:p w14:paraId="3F7FF1AE"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2022.01.01~2022.12.31</w:t>
            </w:r>
          </w:p>
        </w:tc>
        <w:tc>
          <w:tcPr>
            <w:tcW w:w="1073" w:type="dxa"/>
            <w:tcBorders>
              <w:top w:val="single" w:sz="8" w:space="0" w:color="000000"/>
              <w:left w:val="single" w:sz="8" w:space="0" w:color="000000"/>
              <w:bottom w:val="single" w:sz="8" w:space="0" w:color="000000"/>
              <w:right w:val="single" w:sz="8" w:space="0" w:color="000000"/>
            </w:tcBorders>
            <w:vAlign w:val="center"/>
          </w:tcPr>
          <w:p w14:paraId="2A678764" w14:textId="77777777" w:rsidR="008D0810" w:rsidRDefault="00417F9F">
            <w:pPr>
              <w:pStyle w:val="biaogecenter"/>
              <w:jc w:val="left"/>
              <w:rPr>
                <w:rFonts w:hint="eastAsia"/>
                <w:sz w:val="21"/>
                <w:szCs w:val="21"/>
              </w:rPr>
            </w:pPr>
            <w:r>
              <w:rPr>
                <w:rFonts w:hAnsi="等线"/>
                <w:color w:val="000000"/>
                <w:sz w:val="21"/>
                <w:szCs w:val="21"/>
              </w:rPr>
              <w:t>-13.84%</w:t>
            </w:r>
          </w:p>
        </w:tc>
        <w:tc>
          <w:tcPr>
            <w:tcW w:w="1108" w:type="dxa"/>
            <w:tcBorders>
              <w:top w:val="single" w:sz="8" w:space="0" w:color="000000"/>
              <w:left w:val="single" w:sz="8" w:space="0" w:color="000000"/>
              <w:bottom w:val="single" w:sz="8" w:space="0" w:color="000000"/>
              <w:right w:val="single" w:sz="8" w:space="0" w:color="000000"/>
            </w:tcBorders>
            <w:vAlign w:val="center"/>
          </w:tcPr>
          <w:p w14:paraId="60C1BF5F" w14:textId="77777777" w:rsidR="008D0810" w:rsidRDefault="00417F9F">
            <w:pPr>
              <w:pStyle w:val="biaogecenter"/>
              <w:jc w:val="left"/>
              <w:rPr>
                <w:rFonts w:hint="eastAsia"/>
                <w:sz w:val="21"/>
                <w:szCs w:val="21"/>
              </w:rPr>
            </w:pPr>
            <w:r>
              <w:rPr>
                <w:rFonts w:hAnsi="等线"/>
                <w:color w:val="000000"/>
                <w:sz w:val="21"/>
                <w:szCs w:val="21"/>
              </w:rPr>
              <w:t>1.52%</w:t>
            </w:r>
          </w:p>
        </w:tc>
        <w:tc>
          <w:tcPr>
            <w:tcW w:w="1108" w:type="dxa"/>
            <w:tcBorders>
              <w:top w:val="single" w:sz="8" w:space="0" w:color="000000"/>
              <w:left w:val="single" w:sz="8" w:space="0" w:color="000000"/>
              <w:bottom w:val="single" w:sz="8" w:space="0" w:color="000000"/>
              <w:right w:val="single" w:sz="8" w:space="0" w:color="000000"/>
            </w:tcBorders>
            <w:vAlign w:val="center"/>
          </w:tcPr>
          <w:p w14:paraId="03D79A9F" w14:textId="77777777" w:rsidR="008D0810" w:rsidRDefault="00417F9F">
            <w:pPr>
              <w:pStyle w:val="biaogecenter"/>
              <w:jc w:val="left"/>
              <w:rPr>
                <w:rFonts w:hint="eastAsia"/>
                <w:sz w:val="21"/>
                <w:szCs w:val="21"/>
              </w:rPr>
            </w:pPr>
            <w:r>
              <w:rPr>
                <w:rFonts w:hAnsi="等线"/>
                <w:color w:val="000000"/>
                <w:sz w:val="21"/>
                <w:szCs w:val="21"/>
              </w:rPr>
              <w:t>-14.45%</w:t>
            </w:r>
          </w:p>
        </w:tc>
        <w:tc>
          <w:tcPr>
            <w:tcW w:w="1372" w:type="dxa"/>
            <w:tcBorders>
              <w:top w:val="single" w:sz="8" w:space="0" w:color="000000"/>
              <w:left w:val="single" w:sz="8" w:space="0" w:color="000000"/>
              <w:bottom w:val="single" w:sz="8" w:space="0" w:color="000000"/>
              <w:right w:val="single" w:sz="8" w:space="0" w:color="000000"/>
            </w:tcBorders>
            <w:vAlign w:val="center"/>
          </w:tcPr>
          <w:p w14:paraId="015389F3" w14:textId="77777777" w:rsidR="008D0810" w:rsidRDefault="00417F9F">
            <w:pPr>
              <w:pStyle w:val="biaogecenter"/>
              <w:jc w:val="left"/>
              <w:rPr>
                <w:rFonts w:hint="eastAsia"/>
                <w:sz w:val="21"/>
                <w:szCs w:val="21"/>
              </w:rPr>
            </w:pPr>
            <w:r>
              <w:rPr>
                <w:rFonts w:hAnsi="等线"/>
                <w:color w:val="000000"/>
                <w:sz w:val="21"/>
                <w:szCs w:val="21"/>
              </w:rPr>
              <w:t>0.90%</w:t>
            </w:r>
          </w:p>
        </w:tc>
        <w:tc>
          <w:tcPr>
            <w:tcW w:w="992" w:type="dxa"/>
            <w:tcBorders>
              <w:top w:val="single" w:sz="8" w:space="0" w:color="000000"/>
              <w:left w:val="single" w:sz="8" w:space="0" w:color="000000"/>
              <w:bottom w:val="single" w:sz="8" w:space="0" w:color="000000"/>
              <w:right w:val="single" w:sz="8" w:space="0" w:color="000000"/>
            </w:tcBorders>
            <w:vAlign w:val="center"/>
          </w:tcPr>
          <w:p w14:paraId="7CDFEDFD" w14:textId="77777777" w:rsidR="008D0810" w:rsidRDefault="00417F9F">
            <w:pPr>
              <w:pStyle w:val="biaogecenter"/>
              <w:jc w:val="left"/>
              <w:rPr>
                <w:rFonts w:hint="eastAsia"/>
                <w:sz w:val="21"/>
                <w:szCs w:val="21"/>
              </w:rPr>
            </w:pPr>
            <w:r>
              <w:rPr>
                <w:rFonts w:hAnsi="等线"/>
                <w:color w:val="000000"/>
                <w:sz w:val="21"/>
                <w:szCs w:val="21"/>
              </w:rPr>
              <w:t>0.61%</w:t>
            </w:r>
          </w:p>
        </w:tc>
        <w:tc>
          <w:tcPr>
            <w:tcW w:w="866" w:type="dxa"/>
            <w:tcBorders>
              <w:top w:val="single" w:sz="8" w:space="0" w:color="000000"/>
              <w:left w:val="single" w:sz="8" w:space="0" w:color="000000"/>
              <w:bottom w:val="single" w:sz="8" w:space="0" w:color="000000"/>
              <w:right w:val="single" w:sz="8" w:space="0" w:color="000000"/>
            </w:tcBorders>
            <w:vAlign w:val="center"/>
          </w:tcPr>
          <w:p w14:paraId="35BA0463" w14:textId="77777777" w:rsidR="008D0810" w:rsidRDefault="00417F9F">
            <w:pPr>
              <w:pStyle w:val="biaogecenter"/>
              <w:jc w:val="left"/>
              <w:rPr>
                <w:rFonts w:hint="eastAsia"/>
                <w:sz w:val="21"/>
                <w:szCs w:val="21"/>
              </w:rPr>
            </w:pPr>
            <w:r>
              <w:rPr>
                <w:rFonts w:hAnsi="等线"/>
                <w:color w:val="000000"/>
                <w:sz w:val="21"/>
                <w:szCs w:val="21"/>
              </w:rPr>
              <w:t>0.62%</w:t>
            </w:r>
          </w:p>
        </w:tc>
      </w:tr>
      <w:tr w:rsidR="008D0810" w14:paraId="43D7A857"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tcPr>
          <w:p w14:paraId="11381BDF"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2023.01.01~2023.12.31</w:t>
            </w:r>
          </w:p>
        </w:tc>
        <w:tc>
          <w:tcPr>
            <w:tcW w:w="1073" w:type="dxa"/>
            <w:tcBorders>
              <w:top w:val="single" w:sz="8" w:space="0" w:color="000000"/>
              <w:left w:val="single" w:sz="8" w:space="0" w:color="000000"/>
              <w:bottom w:val="single" w:sz="8" w:space="0" w:color="000000"/>
              <w:right w:val="single" w:sz="8" w:space="0" w:color="000000"/>
            </w:tcBorders>
          </w:tcPr>
          <w:p w14:paraId="3091F9C7"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-11.06%</w:t>
            </w:r>
          </w:p>
        </w:tc>
        <w:tc>
          <w:tcPr>
            <w:tcW w:w="1108" w:type="dxa"/>
            <w:tcBorders>
              <w:top w:val="single" w:sz="8" w:space="0" w:color="000000"/>
              <w:left w:val="single" w:sz="8" w:space="0" w:color="000000"/>
              <w:bottom w:val="single" w:sz="8" w:space="0" w:color="000000"/>
              <w:right w:val="single" w:sz="8" w:space="0" w:color="000000"/>
            </w:tcBorders>
          </w:tcPr>
          <w:p w14:paraId="6B2810DF"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1.02%</w:t>
            </w:r>
          </w:p>
        </w:tc>
        <w:tc>
          <w:tcPr>
            <w:tcW w:w="1108" w:type="dxa"/>
            <w:tcBorders>
              <w:top w:val="single" w:sz="8" w:space="0" w:color="000000"/>
              <w:left w:val="single" w:sz="8" w:space="0" w:color="000000"/>
              <w:bottom w:val="single" w:sz="8" w:space="0" w:color="000000"/>
              <w:right w:val="single" w:sz="8" w:space="0" w:color="000000"/>
            </w:tcBorders>
          </w:tcPr>
          <w:p w14:paraId="7B1C231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-6.52%</w:t>
            </w:r>
          </w:p>
        </w:tc>
        <w:tc>
          <w:tcPr>
            <w:tcW w:w="1372" w:type="dxa"/>
            <w:tcBorders>
              <w:top w:val="single" w:sz="8" w:space="0" w:color="000000"/>
              <w:left w:val="single" w:sz="8" w:space="0" w:color="000000"/>
              <w:bottom w:val="single" w:sz="8" w:space="0" w:color="000000"/>
              <w:right w:val="single" w:sz="8" w:space="0" w:color="000000"/>
            </w:tcBorders>
          </w:tcPr>
          <w:p w14:paraId="017AE860"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0.59%</w:t>
            </w:r>
          </w:p>
        </w:tc>
        <w:tc>
          <w:tcPr>
            <w:tcW w:w="992" w:type="dxa"/>
            <w:tcBorders>
              <w:top w:val="single" w:sz="8" w:space="0" w:color="000000"/>
              <w:left w:val="single" w:sz="8" w:space="0" w:color="000000"/>
              <w:bottom w:val="single" w:sz="8" w:space="0" w:color="000000"/>
              <w:right w:val="single" w:sz="8" w:space="0" w:color="000000"/>
            </w:tcBorders>
          </w:tcPr>
          <w:p w14:paraId="6331553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-4.54%</w:t>
            </w:r>
          </w:p>
        </w:tc>
        <w:tc>
          <w:tcPr>
            <w:tcW w:w="866" w:type="dxa"/>
            <w:tcBorders>
              <w:top w:val="single" w:sz="8" w:space="0" w:color="000000"/>
              <w:left w:val="single" w:sz="8" w:space="0" w:color="000000"/>
              <w:bottom w:val="single" w:sz="8" w:space="0" w:color="000000"/>
              <w:right w:val="single" w:sz="8" w:space="0" w:color="000000"/>
            </w:tcBorders>
          </w:tcPr>
          <w:p w14:paraId="769EC425" w14:textId="77777777" w:rsidR="008D0810" w:rsidRDefault="00417F9F">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0.43%</w:t>
            </w:r>
          </w:p>
        </w:tc>
      </w:tr>
      <w:tr w:rsidR="005B7208" w14:paraId="4E12AFE2"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tcPr>
          <w:p w14:paraId="0F30577D" w14:textId="6005C79B" w:rsidR="005B7208" w:rsidRDefault="005B7208" w:rsidP="005B7208">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2024.01.01~2024.12.31</w:t>
            </w:r>
          </w:p>
        </w:tc>
        <w:tc>
          <w:tcPr>
            <w:tcW w:w="1073" w:type="dxa"/>
            <w:tcBorders>
              <w:top w:val="single" w:sz="8" w:space="0" w:color="000000"/>
              <w:left w:val="single" w:sz="8" w:space="0" w:color="000000"/>
              <w:bottom w:val="single" w:sz="8" w:space="0" w:color="000000"/>
              <w:right w:val="single" w:sz="8" w:space="0" w:color="000000"/>
            </w:tcBorders>
            <w:vAlign w:val="center"/>
          </w:tcPr>
          <w:p w14:paraId="4C990072" w14:textId="58C76BCF"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-12.06%</w:t>
            </w:r>
          </w:p>
        </w:tc>
        <w:tc>
          <w:tcPr>
            <w:tcW w:w="1108" w:type="dxa"/>
            <w:tcBorders>
              <w:top w:val="single" w:sz="8" w:space="0" w:color="000000"/>
              <w:left w:val="single" w:sz="8" w:space="0" w:color="000000"/>
              <w:bottom w:val="single" w:sz="8" w:space="0" w:color="000000"/>
              <w:right w:val="single" w:sz="8" w:space="0" w:color="000000"/>
            </w:tcBorders>
            <w:vAlign w:val="center"/>
          </w:tcPr>
          <w:p w14:paraId="24B2EB6F" w14:textId="757FD09E"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2.36%</w:t>
            </w:r>
          </w:p>
        </w:tc>
        <w:tc>
          <w:tcPr>
            <w:tcW w:w="1108" w:type="dxa"/>
            <w:tcBorders>
              <w:top w:val="single" w:sz="8" w:space="0" w:color="000000"/>
              <w:left w:val="single" w:sz="8" w:space="0" w:color="000000"/>
              <w:bottom w:val="single" w:sz="8" w:space="0" w:color="000000"/>
              <w:right w:val="single" w:sz="8" w:space="0" w:color="000000"/>
            </w:tcBorders>
            <w:vAlign w:val="center"/>
          </w:tcPr>
          <w:p w14:paraId="7EFEC8E1" w14:textId="4373373B"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13.43%</w:t>
            </w:r>
          </w:p>
        </w:tc>
        <w:tc>
          <w:tcPr>
            <w:tcW w:w="1372" w:type="dxa"/>
            <w:tcBorders>
              <w:top w:val="single" w:sz="8" w:space="0" w:color="000000"/>
              <w:left w:val="single" w:sz="8" w:space="0" w:color="000000"/>
              <w:bottom w:val="single" w:sz="8" w:space="0" w:color="000000"/>
              <w:right w:val="single" w:sz="8" w:space="0" w:color="000000"/>
            </w:tcBorders>
            <w:vAlign w:val="center"/>
          </w:tcPr>
          <w:p w14:paraId="0F6D4B7D" w14:textId="361AB9C3"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0.93%</w:t>
            </w:r>
          </w:p>
        </w:tc>
        <w:tc>
          <w:tcPr>
            <w:tcW w:w="992" w:type="dxa"/>
            <w:tcBorders>
              <w:top w:val="single" w:sz="8" w:space="0" w:color="000000"/>
              <w:left w:val="single" w:sz="8" w:space="0" w:color="000000"/>
              <w:bottom w:val="single" w:sz="8" w:space="0" w:color="000000"/>
              <w:right w:val="single" w:sz="8" w:space="0" w:color="000000"/>
            </w:tcBorders>
            <w:vAlign w:val="center"/>
          </w:tcPr>
          <w:p w14:paraId="6EF5B5AD" w14:textId="3A5533D3"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-25.49%</w:t>
            </w:r>
          </w:p>
        </w:tc>
        <w:tc>
          <w:tcPr>
            <w:tcW w:w="866" w:type="dxa"/>
            <w:tcBorders>
              <w:top w:val="single" w:sz="8" w:space="0" w:color="000000"/>
              <w:left w:val="single" w:sz="8" w:space="0" w:color="000000"/>
              <w:bottom w:val="single" w:sz="8" w:space="0" w:color="000000"/>
              <w:right w:val="single" w:sz="8" w:space="0" w:color="000000"/>
            </w:tcBorders>
            <w:vAlign w:val="center"/>
          </w:tcPr>
          <w:p w14:paraId="6347A1AF" w14:textId="71B1F227"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color w:val="000000"/>
                <w:sz w:val="21"/>
                <w:szCs w:val="21"/>
              </w:rPr>
              <w:t>1.43%</w:t>
            </w:r>
          </w:p>
        </w:tc>
      </w:tr>
      <w:tr w:rsidR="005B7208" w14:paraId="2861D05E" w14:textId="77777777" w:rsidTr="00231253">
        <w:trPr>
          <w:trHeight w:val="20"/>
          <w:jc w:val="center"/>
        </w:trPr>
        <w:tc>
          <w:tcPr>
            <w:tcW w:w="2538" w:type="dxa"/>
            <w:tcBorders>
              <w:top w:val="single" w:sz="8" w:space="0" w:color="000000"/>
              <w:left w:val="single" w:sz="8" w:space="0" w:color="000000"/>
              <w:bottom w:val="single" w:sz="8" w:space="0" w:color="000000"/>
              <w:right w:val="single" w:sz="8" w:space="0" w:color="000000"/>
            </w:tcBorders>
          </w:tcPr>
          <w:p w14:paraId="4361F6D5" w14:textId="7078BD86" w:rsidR="005B7208" w:rsidRDefault="005B7208" w:rsidP="005B7208">
            <w:pPr>
              <w:pStyle w:val="biaogecenter"/>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自基金合同生效日至2025.06.30</w:t>
            </w:r>
          </w:p>
        </w:tc>
        <w:tc>
          <w:tcPr>
            <w:tcW w:w="1073" w:type="dxa"/>
            <w:tcBorders>
              <w:top w:val="single" w:sz="8" w:space="0" w:color="000000"/>
              <w:left w:val="single" w:sz="8" w:space="0" w:color="000000"/>
              <w:bottom w:val="single" w:sz="8" w:space="0" w:color="000000"/>
              <w:right w:val="single" w:sz="8" w:space="0" w:color="000000"/>
            </w:tcBorders>
            <w:vAlign w:val="center"/>
          </w:tcPr>
          <w:p w14:paraId="2047326E" w14:textId="630BBBB5"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3.02%</w:t>
            </w:r>
          </w:p>
        </w:tc>
        <w:tc>
          <w:tcPr>
            <w:tcW w:w="1108" w:type="dxa"/>
            <w:tcBorders>
              <w:top w:val="single" w:sz="8" w:space="0" w:color="000000"/>
              <w:left w:val="single" w:sz="8" w:space="0" w:color="000000"/>
              <w:bottom w:val="single" w:sz="8" w:space="0" w:color="000000"/>
              <w:right w:val="single" w:sz="8" w:space="0" w:color="000000"/>
            </w:tcBorders>
            <w:vAlign w:val="center"/>
          </w:tcPr>
          <w:p w14:paraId="666672C3" w14:textId="542CFCAC"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1.47%</w:t>
            </w:r>
          </w:p>
        </w:tc>
        <w:tc>
          <w:tcPr>
            <w:tcW w:w="1108" w:type="dxa"/>
            <w:tcBorders>
              <w:top w:val="single" w:sz="8" w:space="0" w:color="000000"/>
              <w:left w:val="single" w:sz="8" w:space="0" w:color="000000"/>
              <w:bottom w:val="single" w:sz="8" w:space="0" w:color="000000"/>
              <w:right w:val="single" w:sz="8" w:space="0" w:color="000000"/>
            </w:tcBorders>
            <w:vAlign w:val="center"/>
          </w:tcPr>
          <w:p w14:paraId="034D83A7" w14:textId="5CE63E3B"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17.96%</w:t>
            </w:r>
          </w:p>
        </w:tc>
        <w:tc>
          <w:tcPr>
            <w:tcW w:w="1372" w:type="dxa"/>
            <w:tcBorders>
              <w:top w:val="single" w:sz="8" w:space="0" w:color="000000"/>
              <w:left w:val="single" w:sz="8" w:space="0" w:color="000000"/>
              <w:bottom w:val="single" w:sz="8" w:space="0" w:color="000000"/>
              <w:right w:val="single" w:sz="8" w:space="0" w:color="000000"/>
            </w:tcBorders>
            <w:vAlign w:val="center"/>
          </w:tcPr>
          <w:p w14:paraId="4FC044DB" w14:textId="07EE3EEB"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0.86%</w:t>
            </w:r>
          </w:p>
        </w:tc>
        <w:tc>
          <w:tcPr>
            <w:tcW w:w="992" w:type="dxa"/>
            <w:tcBorders>
              <w:top w:val="single" w:sz="8" w:space="0" w:color="000000"/>
              <w:left w:val="single" w:sz="8" w:space="0" w:color="000000"/>
              <w:bottom w:val="single" w:sz="8" w:space="0" w:color="000000"/>
              <w:right w:val="single" w:sz="8" w:space="0" w:color="000000"/>
            </w:tcBorders>
            <w:vAlign w:val="center"/>
          </w:tcPr>
          <w:p w14:paraId="1E1E5F54" w14:textId="59F07CE9"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-14.94%</w:t>
            </w:r>
          </w:p>
        </w:tc>
        <w:tc>
          <w:tcPr>
            <w:tcW w:w="866" w:type="dxa"/>
            <w:tcBorders>
              <w:top w:val="single" w:sz="8" w:space="0" w:color="000000"/>
              <w:left w:val="single" w:sz="8" w:space="0" w:color="000000"/>
              <w:bottom w:val="single" w:sz="8" w:space="0" w:color="000000"/>
              <w:right w:val="single" w:sz="8" w:space="0" w:color="000000"/>
            </w:tcBorders>
            <w:vAlign w:val="center"/>
          </w:tcPr>
          <w:p w14:paraId="0E3BD4DD" w14:textId="79F4D1AE" w:rsidR="005B7208" w:rsidRDefault="005B7208" w:rsidP="005B7208">
            <w:pPr>
              <w:pStyle w:val="biaogecenter"/>
              <w:jc w:val="left"/>
              <w:rPr>
                <w:rFonts w:asciiTheme="minorEastAsia" w:eastAsiaTheme="minorEastAsia" w:hAnsiTheme="minorEastAsia" w:hint="eastAsia"/>
                <w:color w:val="000000"/>
                <w:sz w:val="21"/>
                <w:szCs w:val="21"/>
              </w:rPr>
            </w:pPr>
            <w:r w:rsidRPr="00231253">
              <w:rPr>
                <w:rFonts w:asciiTheme="minorEastAsia" w:eastAsiaTheme="minorEastAsia" w:hAnsiTheme="minorEastAsia" w:hint="eastAsia"/>
                <w:color w:val="000000"/>
                <w:sz w:val="21"/>
                <w:szCs w:val="21"/>
              </w:rPr>
              <w:t>0.61%</w:t>
            </w:r>
          </w:p>
        </w:tc>
      </w:tr>
    </w:tbl>
    <w:p w14:paraId="4B8374D3"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注：本基金的业绩比较基准为：中证全债指数收益率×</w:t>
      </w:r>
      <w:r>
        <w:rPr>
          <w:rFonts w:asciiTheme="minorEastAsia" w:hAnsiTheme="minorEastAsia" w:cs="Times New Roman"/>
          <w:bCs/>
          <w:sz w:val="24"/>
          <w:szCs w:val="24"/>
        </w:rPr>
        <w:t xml:space="preserve">30%+沪深300指数收益率×70%。 </w:t>
      </w:r>
    </w:p>
    <w:p w14:paraId="32BFAE77" w14:textId="77777777" w:rsidR="00231253" w:rsidRDefault="00417F9F" w:rsidP="00231253">
      <w:pPr>
        <w:autoSpaceDE w:val="0"/>
        <w:autoSpaceDN w:val="0"/>
        <w:spacing w:line="360" w:lineRule="auto"/>
        <w:ind w:firstLineChars="200" w:firstLine="480"/>
        <w:textAlignment w:val="bottom"/>
        <w:rPr>
          <w:rFonts w:asciiTheme="minorEastAsia" w:hAnsiTheme="minorEastAsia" w:cs="Times New Roman"/>
          <w:bCs/>
          <w:sz w:val="24"/>
          <w:szCs w:val="24"/>
        </w:rPr>
      </w:pPr>
      <w:r>
        <w:rPr>
          <w:rFonts w:asciiTheme="minorEastAsia" w:hAnsiTheme="minorEastAsia" w:cs="Times New Roman"/>
          <w:bCs/>
          <w:sz w:val="24"/>
          <w:szCs w:val="24"/>
        </w:rPr>
        <w:t>2、自基金合同生效以来基金累计净值增长率变动及其与同期业绩比较基准收益率变动的比较</w:t>
      </w:r>
    </w:p>
    <w:p w14:paraId="755931CE" w14:textId="0F6BB9B3" w:rsidR="008D0810" w:rsidRDefault="005B7208" w:rsidP="00231253">
      <w:pPr>
        <w:autoSpaceDE w:val="0"/>
        <w:autoSpaceDN w:val="0"/>
        <w:spacing w:line="360" w:lineRule="auto"/>
        <w:textAlignment w:val="bottom"/>
        <w:rPr>
          <w:rFonts w:hint="eastAsia"/>
        </w:rPr>
      </w:pPr>
      <w:r>
        <w:rPr>
          <w:rFonts w:hAnsi="等线"/>
          <w:noProof/>
          <w:color w:val="000000"/>
        </w:rPr>
        <w:drawing>
          <wp:inline distT="0" distB="0" distL="0" distR="0" wp14:anchorId="505E30CB" wp14:editId="11B6477C">
            <wp:extent cx="5274310" cy="34213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3421380"/>
                    </a:xfrm>
                    <a:prstGeom prst="rect">
                      <a:avLst/>
                    </a:prstGeom>
                    <a:noFill/>
                    <a:ln>
                      <a:noFill/>
                    </a:ln>
                  </pic:spPr>
                </pic:pic>
              </a:graphicData>
            </a:graphic>
          </wp:inline>
        </w:drawing>
      </w:r>
      <w:r>
        <w:rPr>
          <w:rFonts w:hAnsi="等线"/>
          <w:noProof/>
          <w:color w:val="000000"/>
        </w:rPr>
        <w:lastRenderedPageBreak/>
        <w:drawing>
          <wp:inline distT="0" distB="0" distL="0" distR="0" wp14:anchorId="0427B453" wp14:editId="2034FFF7">
            <wp:extent cx="5274310" cy="342138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3421380"/>
                    </a:xfrm>
                    <a:prstGeom prst="rect">
                      <a:avLst/>
                    </a:prstGeom>
                    <a:noFill/>
                    <a:ln>
                      <a:noFill/>
                    </a:ln>
                  </pic:spPr>
                </pic:pic>
              </a:graphicData>
            </a:graphic>
          </wp:inline>
        </w:drawing>
      </w:r>
    </w:p>
    <w:p w14:paraId="79D8B553" w14:textId="77777777" w:rsidR="008D0810" w:rsidRDefault="008D0810">
      <w:pPr>
        <w:autoSpaceDE w:val="0"/>
        <w:autoSpaceDN w:val="0"/>
        <w:spacing w:line="360" w:lineRule="auto"/>
        <w:textAlignment w:val="bottom"/>
        <w:rPr>
          <w:rFonts w:asciiTheme="minorEastAsia" w:hAnsiTheme="minorEastAsia" w:cs="Times New Roman" w:hint="eastAsia"/>
          <w:b/>
          <w:kern w:val="0"/>
          <w:sz w:val="30"/>
          <w:szCs w:val="30"/>
        </w:rPr>
        <w:sectPr w:rsidR="008D0810">
          <w:footerReference w:type="default" r:id="rId25"/>
          <w:pgSz w:w="11906" w:h="16838"/>
          <w:pgMar w:top="1440" w:right="1800" w:bottom="1440" w:left="1800" w:header="851" w:footer="992" w:gutter="0"/>
          <w:pgNumType w:chapStyle="1"/>
          <w:cols w:space="720"/>
          <w:docGrid w:type="lines" w:linePitch="312"/>
        </w:sectPr>
      </w:pPr>
    </w:p>
    <w:p w14:paraId="09B13D59" w14:textId="77777777" w:rsidR="008D0810" w:rsidRDefault="00417F9F">
      <w:pPr>
        <w:pStyle w:val="1"/>
        <w:jc w:val="center"/>
        <w:rPr>
          <w:rFonts w:asciiTheme="minorEastAsia" w:eastAsiaTheme="minorEastAsia" w:hAnsiTheme="minorEastAsia" w:hint="eastAsia"/>
          <w:sz w:val="30"/>
          <w:szCs w:val="30"/>
        </w:rPr>
      </w:pPr>
      <w:bookmarkStart w:id="211" w:name="_Toc146096086"/>
      <w:bookmarkStart w:id="212" w:name="_Toc416264546"/>
      <w:bookmarkStart w:id="213" w:name="_Toc139991741"/>
      <w:bookmarkStart w:id="214" w:name="_Toc31469"/>
      <w:bookmarkStart w:id="215" w:name="_Toc26084"/>
      <w:bookmarkStart w:id="216" w:name="_Toc123102458"/>
      <w:bookmarkStart w:id="217" w:name="_Toc14725"/>
      <w:bookmarkStart w:id="218" w:name="_Toc2255"/>
      <w:bookmarkStart w:id="219" w:name="_Toc141703891"/>
      <w:bookmarkStart w:id="220" w:name="_Toc48649710"/>
      <w:bookmarkStart w:id="221" w:name="_Toc123112239"/>
      <w:bookmarkStart w:id="222" w:name="_Toc16789"/>
      <w:bookmarkStart w:id="223" w:name="_Toc79392624"/>
      <w:bookmarkStart w:id="224" w:name="_Toc123051457"/>
      <w:bookmarkStart w:id="225" w:name="_Toc22674"/>
      <w:bookmarkStart w:id="226" w:name="_Toc21886"/>
      <w:bookmarkStart w:id="227" w:name="_Toc19520"/>
      <w:bookmarkStart w:id="228" w:name="_Toc3244"/>
      <w:bookmarkStart w:id="229" w:name="_Toc26152"/>
      <w:bookmarkStart w:id="230" w:name="_Toc98560357"/>
      <w:bookmarkStart w:id="231" w:name="_Toc352229757"/>
      <w:bookmarkStart w:id="232" w:name="_Toc2638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Theme="minorEastAsia" w:eastAsiaTheme="minorEastAsia" w:hAnsiTheme="minorEastAsia" w:hint="eastAsia"/>
          <w:sz w:val="30"/>
          <w:szCs w:val="30"/>
        </w:rPr>
        <w:lastRenderedPageBreak/>
        <w:t>第十部分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基金的财产</w:t>
      </w:r>
      <w:bookmarkEnd w:id="211"/>
      <w:bookmarkEnd w:id="212"/>
    </w:p>
    <w:p w14:paraId="6F8B2D1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bookmarkStart w:id="233" w:name="_Toc416264547"/>
      <w:bookmarkStart w:id="234" w:name="_Toc214873600"/>
      <w:bookmarkStart w:id="235" w:name="_Toc263092319"/>
      <w:bookmarkStart w:id="236" w:name="_Toc3872"/>
      <w:bookmarkStart w:id="237" w:name="_Toc13343"/>
      <w:bookmarkStart w:id="238" w:name="_Toc5477"/>
      <w:bookmarkStart w:id="239" w:name="_Toc21917"/>
      <w:bookmarkStart w:id="240" w:name="_Toc11395"/>
      <w:bookmarkStart w:id="241" w:name="_Toc22538"/>
      <w:bookmarkStart w:id="242" w:name="_Toc2981"/>
      <w:bookmarkStart w:id="243" w:name="_Toc11351"/>
      <w:bookmarkStart w:id="244" w:name="_Toc578"/>
      <w:bookmarkStart w:id="245" w:name="_Toc16437"/>
      <w:bookmarkStart w:id="246" w:name="_Toc801"/>
      <w:bookmarkStart w:id="247" w:name="_Toc35222975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Theme="minorEastAsia" w:hAnsiTheme="minorEastAsia" w:hint="eastAsia"/>
          <w:bCs/>
          <w:sz w:val="24"/>
        </w:rPr>
        <w:t>一、基金资产总值</w:t>
      </w:r>
    </w:p>
    <w:p w14:paraId="494E8AB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基金资产总值是指购买的各类证券及票据价值、银行存款本息和基金应收的申购基金款以及其他投资所形成的价值总和。</w:t>
      </w:r>
    </w:p>
    <w:p w14:paraId="652BD4D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二、基金资产净值</w:t>
      </w:r>
    </w:p>
    <w:p w14:paraId="5D91E1F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基金资产净值是指基金资产总值减去基金负债后的价值。</w:t>
      </w:r>
    </w:p>
    <w:p w14:paraId="4096F66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三、基金财产的账户</w:t>
      </w:r>
    </w:p>
    <w:p w14:paraId="7A78C62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248" w:name="_Hlt88841837"/>
      <w:bookmarkEnd w:id="248"/>
    </w:p>
    <w:p w14:paraId="0656D17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四、基金财产的保管和处分</w:t>
      </w:r>
      <w:bookmarkStart w:id="249" w:name="_Hlt88900062"/>
      <w:bookmarkEnd w:id="249"/>
    </w:p>
    <w:p w14:paraId="4BAE691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D03882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sectPr w:rsidR="008D0810">
          <w:footerReference w:type="default" r:id="rId26"/>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B8B1B5C" w14:textId="77777777" w:rsidR="008D0810" w:rsidRDefault="00417F9F">
      <w:pPr>
        <w:pStyle w:val="1"/>
        <w:jc w:val="center"/>
        <w:rPr>
          <w:rFonts w:asciiTheme="minorEastAsia" w:eastAsiaTheme="minorEastAsia" w:hAnsiTheme="minorEastAsia" w:hint="eastAsia"/>
          <w:sz w:val="30"/>
          <w:szCs w:val="30"/>
        </w:rPr>
      </w:pPr>
      <w:bookmarkStart w:id="250" w:name="_Toc146096087"/>
      <w:r>
        <w:rPr>
          <w:rFonts w:asciiTheme="minorEastAsia" w:eastAsiaTheme="minorEastAsia" w:hAnsiTheme="minorEastAsia" w:hint="eastAsia"/>
          <w:sz w:val="30"/>
          <w:szCs w:val="30"/>
        </w:rPr>
        <w:lastRenderedPageBreak/>
        <w:t>第十一部分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基金资产的估值</w:t>
      </w:r>
      <w:bookmarkEnd w:id="233"/>
      <w:bookmarkEnd w:id="234"/>
      <w:bookmarkEnd w:id="235"/>
      <w:bookmarkEnd w:id="250"/>
    </w:p>
    <w:p w14:paraId="72A54E2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一、估值日</w:t>
      </w:r>
    </w:p>
    <w:p w14:paraId="4AB3C45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本基金的估值日为本基金相关的证券交易场所的交易日以及国家法律法规规定需要对外披露基金净值的非交易日。</w:t>
      </w:r>
    </w:p>
    <w:p w14:paraId="6D805B2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二、估值对象</w:t>
      </w:r>
    </w:p>
    <w:p w14:paraId="7036CD2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基金所拥有的股票、</w:t>
      </w:r>
      <w:r>
        <w:rPr>
          <w:rFonts w:asciiTheme="minorEastAsia" w:hAnsiTheme="minorEastAsia" w:cs="Times New Roman" w:hint="eastAsia"/>
          <w:bCs/>
          <w:sz w:val="24"/>
          <w:szCs w:val="24"/>
        </w:rPr>
        <w:t>存托凭证、</w:t>
      </w:r>
      <w:r>
        <w:rPr>
          <w:rFonts w:asciiTheme="minorEastAsia" w:hAnsiTheme="minorEastAsia" w:hint="eastAsia"/>
          <w:bCs/>
          <w:sz w:val="24"/>
        </w:rPr>
        <w:t>股指期货合约、国债期货合约、股票期权合约、权证、债券和银行存款本息、应收款项、其它投资等资产及负债。</w:t>
      </w:r>
    </w:p>
    <w:p w14:paraId="016A0CB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三、估值方法</w:t>
      </w:r>
    </w:p>
    <w:p w14:paraId="5C75B7F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1E89F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2、交易所市场交易的固定收益品种的估值</w:t>
      </w:r>
    </w:p>
    <w:p w14:paraId="4DA0BAB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（1）对在交易所市场上市交易或挂牌转让的固定收益品种，选取第三方估值机构提供的相应品种当日的估值净价进行估值；</w:t>
      </w:r>
    </w:p>
    <w:p w14:paraId="2A28492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（2）对在交易所市场上市交易的可转换债券，按估值日收盘价减去可转换债券收盘价中所含债券应收利息后得到的净价进行估值；</w:t>
      </w:r>
      <w:r>
        <w:rPr>
          <w:rFonts w:asciiTheme="minorEastAsia" w:hAnsiTheme="minorEastAsia"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68B90B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（3）对在交易所市场挂牌转让的资产支持证券，采用估值技术确定公允价值，在估值技术难以可靠计量公允价值的情况下，按成本估值；</w:t>
      </w:r>
    </w:p>
    <w:p w14:paraId="133ADE9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（4）对在交易所市场发行未上市或未挂牌转让的固定收益品种，采用估值技术确定公允价值，在估值技术难以可靠计量公允价值的情况下，按成本估值。</w:t>
      </w:r>
    </w:p>
    <w:p w14:paraId="547A569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3、银行间市场交易的固定收益品种的估值</w:t>
      </w:r>
    </w:p>
    <w:p w14:paraId="7457E15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（1）银行间市场交易的固定收益品种，选取第三方估值机构提供的相应品</w:t>
      </w:r>
      <w:r>
        <w:rPr>
          <w:rFonts w:asciiTheme="minorEastAsia" w:hAnsiTheme="minorEastAsia" w:hint="eastAsia"/>
          <w:bCs/>
          <w:sz w:val="24"/>
          <w:szCs w:val="24"/>
        </w:rPr>
        <w:lastRenderedPageBreak/>
        <w:t>种当日的估值净价进行估值。</w:t>
      </w:r>
    </w:p>
    <w:p w14:paraId="6A6D0A0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（2）对银行间市场未上市，且第三方估值机构未提供估值价格的固定收益品种，按成本估值。</w:t>
      </w:r>
    </w:p>
    <w:p w14:paraId="742630D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4</w:t>
      </w:r>
      <w:r>
        <w:rPr>
          <w:rFonts w:asciiTheme="minorEastAsia" w:hAnsiTheme="minorEastAsia" w:hint="eastAsia"/>
          <w:bCs/>
          <w:sz w:val="24"/>
        </w:rPr>
        <w:t>、处于未上市期间的有价证券应区分如下情况处理：</w:t>
      </w:r>
    </w:p>
    <w:p w14:paraId="782D805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（1）送股、转增股、配股和公开增发的新股，按估值日在证券交易所挂牌的同一股票的估值方法估值；该日无交易的，以最近一日的市价（收盘价）估值；</w:t>
      </w:r>
    </w:p>
    <w:p w14:paraId="04A0DBA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（2）首次公开发行未上市的股票、债券和权证，采用估值技术确定公允价值，在估值技术难以可靠计量公允价值的情况下，按成本估值；</w:t>
      </w:r>
    </w:p>
    <w:p w14:paraId="2A18488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00A2296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5、同一债券同时在两个或两个以上市场交易的，按债券所处的市场分别估值。</w:t>
      </w:r>
    </w:p>
    <w:p w14:paraId="6819F74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6、本基金投资股指期货、国债期货合约，一般以估值当日结算价进行估值，估值当日无结算价的，且最近交易日后经济环境未发生重大变化的，采用最近交易日结算价估值。</w:t>
      </w:r>
    </w:p>
    <w:p w14:paraId="4731445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7、中小企业私募债券，采用估值技术确定公允价值。在估值技术难以可靠计量公允价值的情况下，按成本估值。</w:t>
      </w:r>
    </w:p>
    <w:p w14:paraId="48180DE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8、本基金投资股票期权，根据相关法律法规以及监管部门的规定估值。</w:t>
      </w:r>
    </w:p>
    <w:p w14:paraId="5DDA559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9、当本基金发生大额申购或赎回情形时，基金管理人可以对本基金采用摆动定价机制，以确保基金估值的公平性。</w:t>
      </w:r>
    </w:p>
    <w:p w14:paraId="1C139486" w14:textId="77777777" w:rsidR="008D0810" w:rsidRDefault="00417F9F">
      <w:pPr>
        <w:autoSpaceDE w:val="0"/>
        <w:autoSpaceDN w:val="0"/>
        <w:spacing w:line="360" w:lineRule="auto"/>
        <w:ind w:firstLineChars="200" w:firstLine="480"/>
        <w:textAlignment w:val="bottom"/>
        <w:rPr>
          <w:bCs/>
          <w:sz w:val="24"/>
        </w:rPr>
      </w:pPr>
      <w:r>
        <w:rPr>
          <w:rFonts w:asciiTheme="minorEastAsia" w:hAnsiTheme="minorEastAsia"/>
          <w:bCs/>
          <w:sz w:val="24"/>
        </w:rPr>
        <w:t>10</w:t>
      </w:r>
      <w:r>
        <w:rPr>
          <w:rFonts w:asciiTheme="minorEastAsia" w:hAnsiTheme="minorEastAsia" w:hint="eastAsia"/>
          <w:bCs/>
          <w:sz w:val="24"/>
        </w:rPr>
        <w:t>、</w:t>
      </w:r>
      <w:r>
        <w:rPr>
          <w:rFonts w:hint="eastAsia"/>
          <w:bCs/>
          <w:sz w:val="24"/>
        </w:rPr>
        <w:t>本基金投资存托凭证的估值核算，依照境内上市交易的股票执行。</w:t>
      </w:r>
    </w:p>
    <w:p w14:paraId="3635916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hint="eastAsia"/>
          <w:bCs/>
          <w:sz w:val="24"/>
        </w:rPr>
        <w:t>11</w:t>
      </w:r>
      <w:r>
        <w:rPr>
          <w:rFonts w:hint="eastAsia"/>
          <w:bCs/>
          <w:sz w:val="24"/>
        </w:rPr>
        <w:t>、</w:t>
      </w:r>
      <w:r>
        <w:rPr>
          <w:rFonts w:ascii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14:paraId="4017E32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1</w:t>
      </w:r>
      <w:r>
        <w:rPr>
          <w:rFonts w:asciiTheme="minorEastAsia" w:hAnsiTheme="minorEastAsia" w:hint="eastAsia"/>
          <w:bCs/>
          <w:sz w:val="24"/>
        </w:rPr>
        <w:t>2、相关法律法规以及监管部门有强制规定的，从其规定。如有新增事项，按国家最新规定估值。</w:t>
      </w:r>
    </w:p>
    <w:p w14:paraId="6F7214A0" w14:textId="77777777" w:rsidR="008D0810" w:rsidRDefault="00417F9F">
      <w:pPr>
        <w:autoSpaceDE w:val="0"/>
        <w:autoSpaceDN w:val="0"/>
        <w:spacing w:line="360" w:lineRule="auto"/>
        <w:ind w:firstLineChars="200" w:firstLine="480"/>
        <w:textAlignment w:val="bottom"/>
        <w:rPr>
          <w:rFonts w:asciiTheme="minorEastAsia" w:hAnsiTheme="minorEastAsia" w:hint="eastAsia"/>
          <w:sz w:val="24"/>
        </w:rPr>
      </w:pPr>
      <w:r>
        <w:rPr>
          <w:rFonts w:ascii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68E269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6AB75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四、估值程序</w:t>
      </w:r>
    </w:p>
    <w:p w14:paraId="1708213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1、各类基金份额净值是按照每个工作日闭市后，该类基金资产净值除以当日该类基金份额的余额数量计算，精确到</w:t>
      </w:r>
      <w:r>
        <w:rPr>
          <w:rFonts w:asciiTheme="minorEastAsia" w:hAnsiTheme="minorEastAsia"/>
          <w:bCs/>
          <w:sz w:val="24"/>
        </w:rPr>
        <w:t>0.0001</w:t>
      </w:r>
      <w:r>
        <w:rPr>
          <w:rFonts w:asciiTheme="minorEastAsia" w:hAnsiTheme="minorEastAsia" w:hint="eastAsia"/>
          <w:bCs/>
          <w:sz w:val="24"/>
        </w:rPr>
        <w:t>元，小数点后第</w:t>
      </w:r>
      <w:r>
        <w:rPr>
          <w:rFonts w:asciiTheme="minorEastAsia" w:hAnsiTheme="minorEastAsia"/>
          <w:bCs/>
          <w:sz w:val="24"/>
        </w:rPr>
        <w:t>5</w:t>
      </w:r>
      <w:r>
        <w:rPr>
          <w:rFonts w:asciiTheme="minorEastAsia" w:hAnsiTheme="minorEastAsia" w:hint="eastAsia"/>
          <w:bCs/>
          <w:sz w:val="24"/>
        </w:rPr>
        <w:t>位四舍五入。国家另有规定的，从其规定。</w:t>
      </w:r>
    </w:p>
    <w:p w14:paraId="2DEF96B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每个工作日计算基金资产净值及两类基金份额净值，并按规定公告。</w:t>
      </w:r>
    </w:p>
    <w:p w14:paraId="5B76EDB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应每个工作日对基金资产估值。但基金管理人根据法律法规或基金合同的规定暂停估值时除外。基金管理人每个工作日对基金资产估值后，将两类基金份额净值结果发送基金托管人，经基金托管人复核无误后，由基金管理人对外公布。</w:t>
      </w:r>
    </w:p>
    <w:p w14:paraId="7C8A2E2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五、估值错误的处理</w:t>
      </w:r>
    </w:p>
    <w:p w14:paraId="5C19F34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基金管理人和基金托管人将采取必要、适当、合理的措施确保基金资产估值的准确性、及时性。当基金份额净值小数点后</w:t>
      </w:r>
      <w:r>
        <w:rPr>
          <w:rFonts w:asciiTheme="minorEastAsia" w:hAnsiTheme="minorEastAsia"/>
          <w:bCs/>
          <w:sz w:val="24"/>
        </w:rPr>
        <w:t>4</w:t>
      </w:r>
      <w:r>
        <w:rPr>
          <w:rFonts w:asciiTheme="minorEastAsia" w:hAnsiTheme="minorEastAsia" w:hint="eastAsia"/>
          <w:bCs/>
          <w:sz w:val="24"/>
        </w:rPr>
        <w:t>位以内（含第</w:t>
      </w:r>
      <w:r>
        <w:rPr>
          <w:rFonts w:asciiTheme="minorEastAsia" w:hAnsiTheme="minorEastAsia"/>
          <w:bCs/>
          <w:sz w:val="24"/>
        </w:rPr>
        <w:t>4</w:t>
      </w:r>
      <w:r>
        <w:rPr>
          <w:rFonts w:asciiTheme="minorEastAsia" w:hAnsiTheme="minorEastAsia" w:hint="eastAsia"/>
          <w:bCs/>
          <w:sz w:val="24"/>
        </w:rPr>
        <w:t>位）发生估值错误时，视为基金份额净值错误。</w:t>
      </w:r>
    </w:p>
    <w:p w14:paraId="6A97962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基金合同的当事人应按照以下约定处理：</w:t>
      </w:r>
    </w:p>
    <w:p w14:paraId="546762E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1、估值错误类型</w:t>
      </w:r>
    </w:p>
    <w:p w14:paraId="1D4B105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3BF99B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上述估值错误的主要类型包括但不限于：资料申报差错、数据传输差错、数据计算差错、系统故障差错、下达指令差错等。</w:t>
      </w:r>
    </w:p>
    <w:p w14:paraId="487840A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2、估值错误处理原则</w:t>
      </w:r>
    </w:p>
    <w:p w14:paraId="4855B56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rFonts w:asciiTheme="minorEastAsia" w:hAnsiTheme="minorEastAsia"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1C8BE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）估值错误的责任方对有关当事人的直接损失负责，不对间接损失负责，并且仅对估值错误的有关直接当事人负责，不对第三方负责。</w:t>
      </w:r>
    </w:p>
    <w:p w14:paraId="3130F1B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DB4F10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）估值错误调整采用尽量恢复至假设未发生估值错误的正确情形的方式。</w:t>
      </w:r>
    </w:p>
    <w:p w14:paraId="618FC90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3、估值错误处理程序</w:t>
      </w:r>
    </w:p>
    <w:p w14:paraId="641FD47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估值错误被发现后，有关的当事人应当及时进行处理，处理的程序如下：</w:t>
      </w:r>
    </w:p>
    <w:p w14:paraId="342647D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（1）查明估值错误发生的原因，列明所有的当事人，并根据估值错误发生的原因确定估值错误的责任方；</w:t>
      </w:r>
    </w:p>
    <w:p w14:paraId="3B9F244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）根据估值错误处理原则或当事人协商的方法对因估值错误造成的损失进行评估；</w:t>
      </w:r>
    </w:p>
    <w:p w14:paraId="633F867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）根据估值错误处理原则或当事人协商的方法由估值错误的责任方进行更正和赔偿损失；</w:t>
      </w:r>
    </w:p>
    <w:p w14:paraId="171678C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）根据估值错误处理的方法，需要修改基金登记机构交易数据的，由基金登记机构进行更正，并就估值错误的更正向有关当事人进行确认。</w:t>
      </w:r>
    </w:p>
    <w:p w14:paraId="5424DD5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4、基金份额净值估值错误处理的方法如下：</w:t>
      </w:r>
    </w:p>
    <w:p w14:paraId="254CF58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（1）基金份额净值计算出现错误时，基金管理人应当立即予以纠正，通报基金托管人，并采取合理的措施防止损失进一步扩大。</w:t>
      </w:r>
    </w:p>
    <w:p w14:paraId="147507F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）错误偏差达到基金份额净值的0.25%时，基金管理人应当通报基金托管人并报中国证监会备案；错误偏差达到基金份额净值的0.5%时，基金管理人应当</w:t>
      </w:r>
      <w:r>
        <w:rPr>
          <w:rFonts w:asciiTheme="minorEastAsia" w:hAnsiTheme="minorEastAsia" w:hint="eastAsia"/>
          <w:bCs/>
          <w:sz w:val="24"/>
        </w:rPr>
        <w:lastRenderedPageBreak/>
        <w:t>公告。</w:t>
      </w:r>
    </w:p>
    <w:p w14:paraId="68BFCEEB"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（3）前述内容如法律法规或者监管部门另有规定的，从其规定。如果行业另有通行做法，双方当事人应本着平等和保护基金份额持有人利益的原则进行协商。</w:t>
      </w:r>
    </w:p>
    <w:p w14:paraId="21720A0E"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六、暂停估值的情形</w:t>
      </w:r>
    </w:p>
    <w:p w14:paraId="2EF8782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1、基金投资所涉及的证券、期货交易市场遇法定节假日或因其他原因暂停营业时；</w:t>
      </w:r>
    </w:p>
    <w:p w14:paraId="0D264B6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2、因不可抗力致使基金管理人、基金托管人无法准确评估基金资产价值时；</w:t>
      </w:r>
    </w:p>
    <w:p w14:paraId="11289DF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3、当前一估值日基金资产净值</w:t>
      </w:r>
      <w:r>
        <w:rPr>
          <w:rFonts w:asciiTheme="minorEastAsia" w:hAnsiTheme="minorEastAsia"/>
          <w:bCs/>
          <w:sz w:val="24"/>
        </w:rPr>
        <w:t xml:space="preserve"> </w:t>
      </w:r>
      <w:r>
        <w:rPr>
          <w:rFonts w:asciiTheme="minorEastAsia" w:hAnsiTheme="minorEastAsia" w:hint="eastAsia"/>
          <w:bCs/>
          <w:sz w:val="24"/>
        </w:rPr>
        <w:t>50%以上的资产出现无可参考的活跃市场价格且采用估值技术仍导致公允价值存在重大不确定性时，经与基金托管人协商一致的；</w:t>
      </w:r>
    </w:p>
    <w:p w14:paraId="5E3FFE5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4、中国证监会和基金合同认定的其它情形。</w:t>
      </w:r>
    </w:p>
    <w:p w14:paraId="580E317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七、基金净值的确认</w:t>
      </w:r>
    </w:p>
    <w:p w14:paraId="338D845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按约定予以公布。</w:t>
      </w:r>
    </w:p>
    <w:p w14:paraId="571AE81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八、特殊情况的处理</w:t>
      </w:r>
    </w:p>
    <w:p w14:paraId="3E46256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1、基金管理人或基金托管人按估值方法的第11项进行估值时，所造成的误差不作为基金资产估值错误处理。</w:t>
      </w:r>
    </w:p>
    <w:p w14:paraId="2414B31C" w14:textId="77777777" w:rsidR="008D0810" w:rsidRDefault="00417F9F">
      <w:pPr>
        <w:widowControl/>
        <w:spacing w:line="360" w:lineRule="auto"/>
        <w:ind w:firstLineChars="200" w:firstLine="480"/>
        <w:jc w:val="left"/>
        <w:rPr>
          <w:rFonts w:asciiTheme="minorEastAsia" w:hAnsiTheme="minorEastAsia" w:cs="Times New Roman" w:hint="eastAsia"/>
          <w:b/>
          <w:bCs/>
          <w:kern w:val="0"/>
          <w:sz w:val="24"/>
          <w:szCs w:val="24"/>
        </w:rPr>
        <w:sectPr w:rsidR="008D0810">
          <w:footerReference w:type="default" r:id="rId27"/>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2、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 </w:t>
      </w:r>
    </w:p>
    <w:p w14:paraId="49280DD7" w14:textId="77777777" w:rsidR="008D0810" w:rsidRDefault="00417F9F">
      <w:pPr>
        <w:pStyle w:val="1"/>
        <w:jc w:val="center"/>
        <w:rPr>
          <w:rFonts w:asciiTheme="minorEastAsia" w:eastAsiaTheme="minorEastAsia" w:hAnsiTheme="minorEastAsia" w:hint="eastAsia"/>
          <w:sz w:val="30"/>
          <w:szCs w:val="30"/>
        </w:rPr>
      </w:pPr>
      <w:bookmarkStart w:id="251" w:name="_Toc416264548"/>
      <w:bookmarkStart w:id="252" w:name="_Toc146096088"/>
      <w:bookmarkStart w:id="253" w:name="_Toc263092320"/>
      <w:bookmarkEnd w:id="236"/>
      <w:bookmarkEnd w:id="237"/>
      <w:bookmarkEnd w:id="238"/>
      <w:bookmarkEnd w:id="239"/>
      <w:bookmarkEnd w:id="240"/>
      <w:bookmarkEnd w:id="241"/>
      <w:bookmarkEnd w:id="242"/>
      <w:bookmarkEnd w:id="243"/>
      <w:bookmarkEnd w:id="244"/>
      <w:bookmarkEnd w:id="245"/>
      <w:bookmarkEnd w:id="246"/>
      <w:bookmarkEnd w:id="247"/>
      <w:r>
        <w:rPr>
          <w:rFonts w:asciiTheme="minorEastAsia" w:eastAsiaTheme="minorEastAsia" w:hAnsiTheme="minorEastAsia" w:hint="eastAsia"/>
          <w:sz w:val="30"/>
          <w:szCs w:val="30"/>
        </w:rPr>
        <w:lastRenderedPageBreak/>
        <w:t>第十二部分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基金的收益分配</w:t>
      </w:r>
      <w:bookmarkEnd w:id="251"/>
      <w:bookmarkEnd w:id="252"/>
      <w:bookmarkEnd w:id="253"/>
    </w:p>
    <w:p w14:paraId="20A7D4B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bookmarkStart w:id="254" w:name="_Toc147463128"/>
      <w:bookmarkStart w:id="255" w:name="_Toc12357181"/>
      <w:bookmarkStart w:id="256" w:name="_Toc416264549"/>
      <w:bookmarkStart w:id="257" w:name="_Toc263092321"/>
      <w:bookmarkStart w:id="258" w:name="_Toc214873602"/>
      <w:bookmarkStart w:id="259" w:name="_Toc21073401"/>
      <w:bookmarkStart w:id="260" w:name="_Toc141703894"/>
      <w:bookmarkStart w:id="261" w:name="_Toc17782"/>
      <w:bookmarkStart w:id="262" w:name="_Toc7802"/>
      <w:bookmarkStart w:id="263" w:name="_Toc871"/>
      <w:bookmarkStart w:id="264" w:name="_Toc19714"/>
      <w:bookmarkStart w:id="265" w:name="_Toc139991744"/>
      <w:bookmarkStart w:id="266" w:name="_Toc27832"/>
      <w:bookmarkStart w:id="267" w:name="_Toc2623"/>
      <w:bookmarkStart w:id="268" w:name="_Toc31917"/>
      <w:bookmarkStart w:id="269" w:name="_Toc352229760"/>
      <w:r>
        <w:rPr>
          <w:rFonts w:asciiTheme="minorEastAsia" w:hAnsiTheme="minorEastAsia" w:hint="eastAsia"/>
          <w:bCs/>
          <w:sz w:val="24"/>
        </w:rPr>
        <w:t>一、基金利润的构成</w:t>
      </w:r>
    </w:p>
    <w:p w14:paraId="619726C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14:paraId="7EB754A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二、基金可供分配利润</w:t>
      </w:r>
    </w:p>
    <w:p w14:paraId="5A37FCA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基金可供分配利润指截至收益分配基准日基金未分配利润与未分配利润中已实现收益的孰低数。</w:t>
      </w:r>
    </w:p>
    <w:p w14:paraId="30E5BA6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三、基金收益分配原则</w:t>
      </w:r>
    </w:p>
    <w:p w14:paraId="782C489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1、在符合有关基金分红条件的前提下，本基金管理人可以根据实际情况进行收益分配，具体分配方案以公告为准，若《基金合同》生效不满3个月可不进行收益分配；</w:t>
      </w:r>
    </w:p>
    <w:p w14:paraId="55EAE1B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2、本基金收益分配方式分两种：现金分红与红利再投资，投资者可选择现金红利或将现金红利自动转为相应类别基金份额进行再投资；若投资者不选择，本基金默认的收益分配方式是现金分红；</w:t>
      </w:r>
    </w:p>
    <w:p w14:paraId="2EE2F1B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3、基金收益分配后基金份额净值不能低于面值，即基金收益分配基准日的基金份额净值减去每单位基金份额收益分配金额后不能低于面值；</w:t>
      </w:r>
    </w:p>
    <w:p w14:paraId="5360D6F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4、A</w:t>
      </w:r>
      <w:r>
        <w:rPr>
          <w:rFonts w:asciiTheme="minorEastAsia" w:hAnsiTheme="minorEastAsia"/>
          <w:bCs/>
          <w:sz w:val="24"/>
        </w:rPr>
        <w:t xml:space="preserve"> </w:t>
      </w:r>
      <w:r>
        <w:rPr>
          <w:rFonts w:asciiTheme="minorEastAsia" w:hAnsiTheme="minorEastAsia" w:hint="eastAsia"/>
          <w:bCs/>
          <w:sz w:val="24"/>
        </w:rPr>
        <w:t>类基金份额和C类基金份额之间由于A类基金份额不收取而C类基金份额收取销售服务费将导致在可供分配利润上有所不同；本基金同一类别的每份基金份额享有同等分配权；</w:t>
      </w:r>
    </w:p>
    <w:p w14:paraId="4522E25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5、法律法规或监管机关另有规定的，从其规定。</w:t>
      </w:r>
    </w:p>
    <w:p w14:paraId="6652416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在对基金份额持有人利益无实质不利影响的前提下，基金管理人可与基金托管人协商一致后调整基金收益分配原则和支付方式，不需召开基金份额持有人大会。</w:t>
      </w:r>
    </w:p>
    <w:p w14:paraId="7CA3FAC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四、收益分配方案</w:t>
      </w:r>
    </w:p>
    <w:p w14:paraId="39D8E03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基金收益分配方案中应载明截止收益分配基准日的可供分配利润、基金收益分配对象、分配时间、分配数额及比例、分配方式等内容。</w:t>
      </w:r>
    </w:p>
    <w:p w14:paraId="501E66B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五、收益分配方案的确定、公告与实施</w:t>
      </w:r>
    </w:p>
    <w:p w14:paraId="3958227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本基金收益分配方案由基金管理人拟定，并由基金托管人复核，依据相关规定在指定媒介公告。</w:t>
      </w:r>
    </w:p>
    <w:p w14:paraId="052E5BB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基金红利发放日距离收益分配基准日（即可供分配利润计算截止日）的时间不得超过15个工作日。</w:t>
      </w:r>
    </w:p>
    <w:p w14:paraId="5E80347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六、基金收益分配中发生的费用</w:t>
      </w:r>
    </w:p>
    <w:p w14:paraId="7769CF02" w14:textId="77777777" w:rsidR="008D0810" w:rsidRDefault="00417F9F">
      <w:pPr>
        <w:adjustRightInd w:val="0"/>
        <w:snapToGrid w:val="0"/>
        <w:spacing w:line="360" w:lineRule="auto"/>
        <w:ind w:firstLineChars="200" w:firstLine="480"/>
        <w:rPr>
          <w:rFonts w:asciiTheme="minorEastAsia" w:hAnsiTheme="minorEastAsia" w:cs="Times New Roman" w:hint="eastAsia"/>
          <w:bCs/>
          <w:sz w:val="24"/>
          <w:szCs w:val="24"/>
        </w:rPr>
        <w:sectPr w:rsidR="008D0810">
          <w:footerReference w:type="default" r:id="rId28"/>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313783C0" w14:textId="77777777" w:rsidR="008D0810" w:rsidRDefault="00417F9F">
      <w:pPr>
        <w:pStyle w:val="1"/>
        <w:jc w:val="center"/>
        <w:rPr>
          <w:rFonts w:asciiTheme="minorEastAsia" w:eastAsiaTheme="minorEastAsia" w:hAnsiTheme="minorEastAsia" w:hint="eastAsia"/>
          <w:sz w:val="30"/>
          <w:szCs w:val="30"/>
        </w:rPr>
      </w:pPr>
      <w:bookmarkStart w:id="270" w:name="_Toc146096089"/>
      <w:r>
        <w:rPr>
          <w:rFonts w:asciiTheme="minorEastAsia" w:eastAsiaTheme="minorEastAsia" w:hAnsiTheme="minorEastAsia" w:hint="eastAsia"/>
          <w:sz w:val="30"/>
          <w:szCs w:val="30"/>
        </w:rPr>
        <w:lastRenderedPageBreak/>
        <w:t>第十三部分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基金费用与税收</w:t>
      </w:r>
      <w:bookmarkEnd w:id="254"/>
      <w:bookmarkEnd w:id="255"/>
      <w:bookmarkEnd w:id="256"/>
      <w:bookmarkEnd w:id="257"/>
      <w:bookmarkEnd w:id="258"/>
      <w:bookmarkEnd w:id="259"/>
      <w:bookmarkEnd w:id="270"/>
    </w:p>
    <w:p w14:paraId="39C638B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bookmarkStart w:id="271" w:name="_Toc416264550"/>
      <w:bookmarkStart w:id="272" w:name="_Toc263092322"/>
      <w:bookmarkStart w:id="273" w:name="_Toc214873603"/>
      <w:bookmarkStart w:id="274" w:name="_Toc32046"/>
      <w:bookmarkStart w:id="275" w:name="_Toc3365"/>
      <w:bookmarkStart w:id="276" w:name="_Toc19706"/>
      <w:bookmarkStart w:id="277" w:name="_Toc13987"/>
      <w:bookmarkStart w:id="278" w:name="_Toc352229761"/>
      <w:bookmarkStart w:id="279" w:name="_Toc6493"/>
      <w:bookmarkStart w:id="280" w:name="_Toc24601"/>
      <w:bookmarkStart w:id="281" w:name="_Toc19752"/>
      <w:bookmarkStart w:id="282" w:name="_Toc15779"/>
      <w:bookmarkStart w:id="283" w:name="_Toc141703895"/>
      <w:bookmarkStart w:id="284" w:name="_Toc32041"/>
      <w:bookmarkStart w:id="285" w:name="_Toc12105"/>
      <w:bookmarkStart w:id="286" w:name="_Toc32227"/>
      <w:bookmarkStart w:id="287" w:name="_Toc139991745"/>
      <w:bookmarkEnd w:id="260"/>
      <w:bookmarkEnd w:id="261"/>
      <w:bookmarkEnd w:id="262"/>
      <w:bookmarkEnd w:id="263"/>
      <w:bookmarkEnd w:id="264"/>
      <w:bookmarkEnd w:id="265"/>
      <w:bookmarkEnd w:id="266"/>
      <w:bookmarkEnd w:id="267"/>
      <w:bookmarkEnd w:id="268"/>
      <w:bookmarkEnd w:id="269"/>
      <w:r>
        <w:rPr>
          <w:rFonts w:asciiTheme="minorEastAsia" w:hAnsiTheme="minorEastAsia" w:hint="eastAsia"/>
          <w:bCs/>
          <w:sz w:val="24"/>
        </w:rPr>
        <w:t>一、基金费用的种类</w:t>
      </w:r>
    </w:p>
    <w:p w14:paraId="04798CE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1、基金管理人的管理费；</w:t>
      </w:r>
    </w:p>
    <w:p w14:paraId="461F795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2、基金托管人的托管费；</w:t>
      </w:r>
    </w:p>
    <w:p w14:paraId="40800A3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3、C类基金份额的销售服务费；</w:t>
      </w:r>
    </w:p>
    <w:p w14:paraId="0B152F5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4</w:t>
      </w:r>
      <w:r>
        <w:rPr>
          <w:rFonts w:asciiTheme="minorEastAsia" w:hAnsiTheme="minorEastAsia" w:hint="eastAsia"/>
          <w:bCs/>
          <w:sz w:val="24"/>
        </w:rPr>
        <w:t>、《基金合同》生效后与基金相关的信息披露费用；</w:t>
      </w:r>
    </w:p>
    <w:p w14:paraId="46C4B42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5</w:t>
      </w:r>
      <w:r>
        <w:rPr>
          <w:rFonts w:asciiTheme="minorEastAsia" w:hAnsiTheme="minorEastAsia" w:hint="eastAsia"/>
          <w:bCs/>
          <w:sz w:val="24"/>
        </w:rPr>
        <w:t>、《基金合同》生效后与基金相关的会计师费、律师费、诉讼费和仲裁费；</w:t>
      </w:r>
    </w:p>
    <w:p w14:paraId="0341115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6</w:t>
      </w:r>
      <w:r>
        <w:rPr>
          <w:rFonts w:asciiTheme="minorEastAsia" w:hAnsiTheme="minorEastAsia" w:hint="eastAsia"/>
          <w:bCs/>
          <w:sz w:val="24"/>
        </w:rPr>
        <w:t>、基金份额持有人大会费用；</w:t>
      </w:r>
    </w:p>
    <w:p w14:paraId="72422AA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7</w:t>
      </w:r>
      <w:r>
        <w:rPr>
          <w:rFonts w:asciiTheme="minorEastAsia" w:hAnsiTheme="minorEastAsia" w:hint="eastAsia"/>
          <w:bCs/>
          <w:sz w:val="24"/>
        </w:rPr>
        <w:t>、基金的证券、期货交易费用；</w:t>
      </w:r>
    </w:p>
    <w:p w14:paraId="6F6AA3B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8</w:t>
      </w:r>
      <w:r>
        <w:rPr>
          <w:rFonts w:asciiTheme="minorEastAsia" w:hAnsiTheme="minorEastAsia" w:hint="eastAsia"/>
          <w:bCs/>
          <w:sz w:val="24"/>
        </w:rPr>
        <w:t>、基金的银行汇划费用；</w:t>
      </w:r>
    </w:p>
    <w:p w14:paraId="691818B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9</w:t>
      </w:r>
      <w:r>
        <w:rPr>
          <w:rFonts w:asciiTheme="minorEastAsia" w:hAnsiTheme="minorEastAsia" w:hint="eastAsia"/>
          <w:bCs/>
          <w:sz w:val="24"/>
        </w:rPr>
        <w:t>、基金的账户开户费用、账户维护费用；</w:t>
      </w:r>
    </w:p>
    <w:p w14:paraId="5C79385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10、按照国家有关规定和《基金合同》约定，可以在基金财产中列支的其他费用。</w:t>
      </w:r>
    </w:p>
    <w:p w14:paraId="31723D5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二、基金费用计提方法、计提标准和支付方式</w:t>
      </w:r>
    </w:p>
    <w:p w14:paraId="06A8ECA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 xml:space="preserve">1、基金管理人的管理费 </w:t>
      </w:r>
    </w:p>
    <w:p w14:paraId="198AC02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本基金的管理费按前一日基金资产净值的</w:t>
      </w:r>
      <w:r>
        <w:rPr>
          <w:rFonts w:asciiTheme="minorEastAsia" w:hAnsiTheme="minorEastAsia"/>
          <w:bCs/>
          <w:sz w:val="24"/>
        </w:rPr>
        <w:t>1.2</w:t>
      </w:r>
      <w:r>
        <w:rPr>
          <w:rFonts w:asciiTheme="minorEastAsia" w:hAnsiTheme="minorEastAsia" w:hint="eastAsia"/>
          <w:bCs/>
          <w:sz w:val="24"/>
        </w:rPr>
        <w:t>%年费率计提。管理费的计算方法如下：</w:t>
      </w:r>
    </w:p>
    <w:p w14:paraId="7AFA153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H＝E×</w:t>
      </w:r>
      <w:r>
        <w:rPr>
          <w:rFonts w:asciiTheme="minorEastAsia" w:hAnsiTheme="minorEastAsia"/>
          <w:bCs/>
          <w:sz w:val="24"/>
        </w:rPr>
        <w:t>1.2</w:t>
      </w:r>
      <w:r>
        <w:rPr>
          <w:rFonts w:asciiTheme="minorEastAsia" w:hAnsiTheme="minorEastAsia" w:hint="eastAsia"/>
          <w:bCs/>
          <w:sz w:val="24"/>
        </w:rPr>
        <w:t>%÷当年天数</w:t>
      </w:r>
    </w:p>
    <w:p w14:paraId="670DE88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H为每日应计提的基金管理费</w:t>
      </w:r>
    </w:p>
    <w:p w14:paraId="1B9D75C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E为前一日的基金资产净值</w:t>
      </w:r>
    </w:p>
    <w:p w14:paraId="02BD2A9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基金管理费每日计算，逐日累计至每月月末，按月支付，经基金管理人与基金托管人双方核对无误后，基金托管人</w:t>
      </w:r>
      <w:r>
        <w:rPr>
          <w:rFonts w:asciiTheme="minorEastAsia" w:hAnsiTheme="minorEastAsia" w:hint="eastAsia"/>
          <w:bCs/>
          <w:sz w:val="24"/>
          <w:szCs w:val="24"/>
        </w:rPr>
        <w:t>按照</w:t>
      </w:r>
      <w:r>
        <w:rPr>
          <w:rFonts w:asciiTheme="minorEastAsia" w:hAnsiTheme="minorEastAsia" w:hint="eastAsia"/>
          <w:sz w:val="24"/>
          <w:szCs w:val="24"/>
        </w:rPr>
        <w:t>与基金管理人协商一致的方式</w:t>
      </w:r>
      <w:r>
        <w:rPr>
          <w:rFonts w:asciiTheme="minorEastAsia" w:hAnsiTheme="minorEastAsia" w:hint="eastAsia"/>
          <w:bCs/>
          <w:sz w:val="24"/>
        </w:rPr>
        <w:t>于次月前5个工作日内从基金财产中一次性支付给基金管理人。若遇法定节假日、公休假等，支付日期顺延。</w:t>
      </w:r>
    </w:p>
    <w:p w14:paraId="2E18AD8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2、基金托管人的托管费</w:t>
      </w:r>
    </w:p>
    <w:p w14:paraId="03C56AB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本基金的托管费按前一日基金资产净值的</w:t>
      </w:r>
      <w:r>
        <w:rPr>
          <w:rFonts w:asciiTheme="minorEastAsia" w:hAnsiTheme="minorEastAsia"/>
          <w:bCs/>
          <w:sz w:val="24"/>
        </w:rPr>
        <w:t>0.15</w:t>
      </w:r>
      <w:r>
        <w:rPr>
          <w:rFonts w:asciiTheme="minorEastAsia" w:hAnsiTheme="minorEastAsia" w:hint="eastAsia"/>
          <w:bCs/>
          <w:sz w:val="24"/>
        </w:rPr>
        <w:t>%的年费率计提。托管费的计算方法如下：</w:t>
      </w:r>
    </w:p>
    <w:p w14:paraId="479AA23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H＝E×</w:t>
      </w:r>
      <w:r>
        <w:rPr>
          <w:rFonts w:asciiTheme="minorEastAsia" w:hAnsiTheme="minorEastAsia"/>
          <w:bCs/>
          <w:sz w:val="24"/>
        </w:rPr>
        <w:t>0.15%</w:t>
      </w:r>
      <w:r>
        <w:rPr>
          <w:rFonts w:asciiTheme="minorEastAsia" w:hAnsiTheme="minorEastAsia" w:hint="eastAsia"/>
          <w:bCs/>
          <w:sz w:val="24"/>
        </w:rPr>
        <w:t>÷当年天数</w:t>
      </w:r>
    </w:p>
    <w:p w14:paraId="124E5F1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H为每日应计提的基金托管费</w:t>
      </w:r>
    </w:p>
    <w:p w14:paraId="63A1DA6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E为前一日的基金资产净值</w:t>
      </w:r>
    </w:p>
    <w:p w14:paraId="5344895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基金托管费每日计算，逐日累计至每月月末，按月支付，经基金管理人与基金托管人双方核对无误后，基金托管人</w:t>
      </w:r>
      <w:r>
        <w:rPr>
          <w:rFonts w:asciiTheme="minorEastAsia" w:hAnsiTheme="minorEastAsia" w:hint="eastAsia"/>
          <w:bCs/>
          <w:sz w:val="24"/>
          <w:szCs w:val="24"/>
        </w:rPr>
        <w:t>按照</w:t>
      </w:r>
      <w:r>
        <w:rPr>
          <w:rFonts w:asciiTheme="minorEastAsia" w:hAnsiTheme="minorEastAsia" w:hint="eastAsia"/>
          <w:sz w:val="24"/>
          <w:szCs w:val="24"/>
        </w:rPr>
        <w:t>与基金管理人协商一致的方式</w:t>
      </w:r>
      <w:r>
        <w:rPr>
          <w:rFonts w:asciiTheme="minorEastAsia" w:hAnsiTheme="minorEastAsia" w:hint="eastAsia"/>
          <w:bCs/>
          <w:sz w:val="24"/>
        </w:rPr>
        <w:t>于次月前5个工作日内从基金财产中一次性支取。若遇法定节假日、公休日等，支付日期顺延。</w:t>
      </w:r>
      <w:r>
        <w:rPr>
          <w:rFonts w:asciiTheme="minorEastAsia" w:hAnsiTheme="minorEastAsia" w:cs="宋体" w:hint="eastAsia"/>
          <w:bCs/>
          <w:color w:val="000000"/>
          <w:sz w:val="24"/>
        </w:rPr>
        <w:t>费用自动扣划后，基金管理人应进行核对，如发现数据不符，及时联系基金托管人协商解决。</w:t>
      </w:r>
    </w:p>
    <w:p w14:paraId="0755CC5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3</w:t>
      </w:r>
      <w:r>
        <w:rPr>
          <w:rFonts w:asciiTheme="minorEastAsia" w:hAnsiTheme="minorEastAsia" w:hint="eastAsia"/>
          <w:bCs/>
          <w:sz w:val="24"/>
        </w:rPr>
        <w:t>、C类基金份额的销售服务费</w:t>
      </w:r>
    </w:p>
    <w:p w14:paraId="018CD12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w:t>
      </w:r>
      <w:r>
        <w:rPr>
          <w:rFonts w:asciiTheme="minorEastAsia" w:hAnsiTheme="minorEastAsia"/>
          <w:bCs/>
          <w:sz w:val="24"/>
        </w:rPr>
        <w:t>A</w:t>
      </w:r>
      <w:r>
        <w:rPr>
          <w:rFonts w:asciiTheme="minorEastAsia" w:hAnsiTheme="minorEastAsia" w:hint="eastAsia"/>
          <w:bCs/>
          <w:sz w:val="24"/>
        </w:rPr>
        <w:t>类基金份额不收取销售服务费，</w:t>
      </w:r>
      <w:r>
        <w:rPr>
          <w:rFonts w:asciiTheme="minorEastAsia" w:hAnsiTheme="minorEastAsia"/>
          <w:bCs/>
          <w:sz w:val="24"/>
        </w:rPr>
        <w:t>C</w:t>
      </w:r>
      <w:r>
        <w:rPr>
          <w:rFonts w:asciiTheme="minorEastAsia" w:hAnsiTheme="minorEastAsia" w:hint="eastAsia"/>
          <w:bCs/>
          <w:sz w:val="24"/>
        </w:rPr>
        <w:t>类基金份额的销售服务费年费率为</w:t>
      </w:r>
      <w:r>
        <w:rPr>
          <w:rFonts w:asciiTheme="minorEastAsia" w:hAnsiTheme="minorEastAsia"/>
          <w:bCs/>
          <w:sz w:val="24"/>
        </w:rPr>
        <w:t>0.</w:t>
      </w:r>
      <w:r>
        <w:rPr>
          <w:rFonts w:asciiTheme="minorEastAsia" w:hAnsiTheme="minorEastAsia" w:hint="eastAsia"/>
          <w:bCs/>
          <w:sz w:val="24"/>
        </w:rPr>
        <w:t>5</w:t>
      </w:r>
      <w:r>
        <w:rPr>
          <w:rFonts w:asciiTheme="minorEastAsia" w:hAnsiTheme="minorEastAsia"/>
          <w:bCs/>
          <w:sz w:val="24"/>
        </w:rPr>
        <w:t>%</w:t>
      </w:r>
      <w:r>
        <w:rPr>
          <w:rFonts w:asciiTheme="minorEastAsia" w:hAnsiTheme="minorEastAsia" w:hint="eastAsia"/>
          <w:bCs/>
          <w:sz w:val="24"/>
        </w:rPr>
        <w:t>。</w:t>
      </w:r>
    </w:p>
    <w:p w14:paraId="12401A0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本基金销售服务费将专门用于本基金的销售与基金份额持有人服务，销售服务费计提的计算公式如下：</w:t>
      </w:r>
      <w:r>
        <w:rPr>
          <w:rFonts w:asciiTheme="minorEastAsia" w:hAnsiTheme="minorEastAsia"/>
          <w:bCs/>
          <w:sz w:val="24"/>
        </w:rPr>
        <w:t xml:space="preserve"> </w:t>
      </w:r>
    </w:p>
    <w:p w14:paraId="4032A6F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H=E</w:t>
      </w:r>
      <w:r>
        <w:rPr>
          <w:rFonts w:asciiTheme="minorEastAsia" w:hAnsiTheme="minorEastAsia" w:hint="eastAsia"/>
          <w:bCs/>
          <w:sz w:val="24"/>
        </w:rPr>
        <w:t>×</w:t>
      </w:r>
      <w:r>
        <w:rPr>
          <w:rFonts w:asciiTheme="minorEastAsia" w:hAnsiTheme="minorEastAsia"/>
          <w:bCs/>
          <w:sz w:val="24"/>
        </w:rPr>
        <w:t>0.</w:t>
      </w:r>
      <w:r>
        <w:rPr>
          <w:rFonts w:asciiTheme="minorEastAsia" w:hAnsiTheme="minorEastAsia" w:hint="eastAsia"/>
          <w:bCs/>
          <w:sz w:val="24"/>
        </w:rPr>
        <w:t>5</w:t>
      </w:r>
      <w:r>
        <w:rPr>
          <w:rFonts w:asciiTheme="minorEastAsia" w:hAnsiTheme="minorEastAsia"/>
          <w:bCs/>
          <w:sz w:val="24"/>
        </w:rPr>
        <w:t>%</w:t>
      </w:r>
      <w:r>
        <w:rPr>
          <w:rFonts w:asciiTheme="minorEastAsia" w:hAnsiTheme="minorEastAsia" w:hint="eastAsia"/>
          <w:bCs/>
          <w:sz w:val="24"/>
        </w:rPr>
        <w:t>÷当年天数</w:t>
      </w:r>
    </w:p>
    <w:p w14:paraId="723BB70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H</w:t>
      </w:r>
      <w:r>
        <w:rPr>
          <w:rFonts w:asciiTheme="minorEastAsia" w:hAnsiTheme="minorEastAsia" w:hint="eastAsia"/>
          <w:bCs/>
          <w:sz w:val="24"/>
        </w:rPr>
        <w:t>为</w:t>
      </w:r>
      <w:r>
        <w:rPr>
          <w:rFonts w:asciiTheme="minorEastAsia" w:hAnsiTheme="minorEastAsia"/>
          <w:bCs/>
          <w:sz w:val="24"/>
        </w:rPr>
        <w:t>C</w:t>
      </w:r>
      <w:r>
        <w:rPr>
          <w:rFonts w:asciiTheme="minorEastAsia" w:hAnsiTheme="minorEastAsia" w:hint="eastAsia"/>
          <w:bCs/>
          <w:sz w:val="24"/>
        </w:rPr>
        <w:t>类基金份额每日应计提的销售服务费</w:t>
      </w:r>
    </w:p>
    <w:p w14:paraId="77E90AD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E</w:t>
      </w:r>
      <w:r>
        <w:rPr>
          <w:rFonts w:asciiTheme="minorEastAsia" w:hAnsiTheme="minorEastAsia" w:hint="eastAsia"/>
          <w:bCs/>
          <w:sz w:val="24"/>
        </w:rPr>
        <w:t>为</w:t>
      </w:r>
      <w:r>
        <w:rPr>
          <w:rFonts w:asciiTheme="minorEastAsia" w:hAnsiTheme="minorEastAsia"/>
          <w:bCs/>
          <w:sz w:val="24"/>
        </w:rPr>
        <w:t>C</w:t>
      </w:r>
      <w:r>
        <w:rPr>
          <w:rFonts w:asciiTheme="minorEastAsia" w:hAnsiTheme="minorEastAsia" w:hint="eastAsia"/>
          <w:bCs/>
          <w:sz w:val="24"/>
        </w:rPr>
        <w:t>类基金份额前一日基金资产净值</w:t>
      </w:r>
    </w:p>
    <w:p w14:paraId="4251B3A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基金销售服务费每日计算，逐日累计至每月月末，按月支付。经基金管理人与基金托管人双方核对无误后，基金托管人</w:t>
      </w:r>
      <w:r>
        <w:rPr>
          <w:rFonts w:asciiTheme="minorEastAsia" w:hAnsiTheme="minorEastAsia" w:hint="eastAsia"/>
          <w:bCs/>
          <w:sz w:val="24"/>
          <w:szCs w:val="24"/>
        </w:rPr>
        <w:t>按照</w:t>
      </w:r>
      <w:r>
        <w:rPr>
          <w:rFonts w:asciiTheme="minorEastAsia" w:hAnsiTheme="minorEastAsia" w:hint="eastAsia"/>
          <w:sz w:val="24"/>
          <w:szCs w:val="24"/>
        </w:rPr>
        <w:t>与基金管理人协商一致的方式</w:t>
      </w:r>
      <w:r>
        <w:rPr>
          <w:rFonts w:asciiTheme="minorEastAsia" w:hAnsiTheme="minorEastAsia" w:hint="eastAsia"/>
          <w:bCs/>
          <w:sz w:val="24"/>
        </w:rPr>
        <w:t>于次月前</w:t>
      </w:r>
      <w:r>
        <w:rPr>
          <w:rFonts w:asciiTheme="minorEastAsia" w:hAnsiTheme="minorEastAsia"/>
          <w:bCs/>
          <w:sz w:val="24"/>
        </w:rPr>
        <w:t>5</w:t>
      </w:r>
      <w:r>
        <w:rPr>
          <w:rFonts w:asciiTheme="minorEastAsia" w:hAnsiTheme="minorEastAsia" w:hint="eastAsia"/>
          <w:bCs/>
          <w:sz w:val="24"/>
        </w:rPr>
        <w:t>个工作日内从基金财产中一次性支付给基金管理人。若遇法定节假日、公休假等，支付日期顺延。</w:t>
      </w:r>
    </w:p>
    <w:p w14:paraId="53659D2D" w14:textId="77777777" w:rsidR="008D0810" w:rsidRDefault="00417F9F">
      <w:pPr>
        <w:autoSpaceDE w:val="0"/>
        <w:autoSpaceDN w:val="0"/>
        <w:spacing w:line="360" w:lineRule="auto"/>
        <w:ind w:firstLineChars="200" w:firstLine="482"/>
        <w:textAlignment w:val="bottom"/>
        <w:rPr>
          <w:rFonts w:asciiTheme="minorEastAsia" w:hAnsiTheme="minorEastAsia" w:hint="eastAsia"/>
          <w:b/>
          <w:bCs/>
          <w:sz w:val="24"/>
        </w:rPr>
      </w:pPr>
      <w:r>
        <w:rPr>
          <w:rFonts w:asciiTheme="minorEastAsia" w:hAnsiTheme="minorEastAsia" w:hint="eastAsia"/>
          <w:b/>
          <w:bCs/>
          <w:sz w:val="24"/>
        </w:rPr>
        <w:t>自</w:t>
      </w:r>
      <w:r>
        <w:rPr>
          <w:rFonts w:asciiTheme="minorEastAsia" w:hAnsiTheme="minorEastAsia"/>
          <w:b/>
          <w:bCs/>
          <w:sz w:val="24"/>
        </w:rPr>
        <w:t>2019年7月4日起，C类基金份额销</w:t>
      </w:r>
      <w:r>
        <w:rPr>
          <w:rFonts w:asciiTheme="minorEastAsia" w:hAnsiTheme="minorEastAsia" w:hint="eastAsia"/>
          <w:b/>
          <w:bCs/>
          <w:sz w:val="24"/>
        </w:rPr>
        <w:t>售服务费优惠费率为</w:t>
      </w:r>
      <w:r>
        <w:rPr>
          <w:rFonts w:asciiTheme="minorEastAsia" w:hAnsiTheme="minorEastAsia"/>
          <w:b/>
          <w:bCs/>
          <w:sz w:val="24"/>
        </w:rPr>
        <w:t>0.01%，优惠</w:t>
      </w:r>
      <w:r>
        <w:rPr>
          <w:rFonts w:asciiTheme="minorEastAsia" w:hAnsiTheme="minorEastAsia" w:hint="eastAsia"/>
          <w:b/>
          <w:bCs/>
          <w:sz w:val="24"/>
        </w:rPr>
        <w:t>活动结束时间另行公告。</w:t>
      </w:r>
    </w:p>
    <w:p w14:paraId="7C4BB830" w14:textId="77777777" w:rsidR="008D0810" w:rsidRDefault="00417F9F">
      <w:pPr>
        <w:autoSpaceDE w:val="0"/>
        <w:autoSpaceDN w:val="0"/>
        <w:spacing w:line="360" w:lineRule="auto"/>
        <w:ind w:firstLineChars="200" w:firstLine="480"/>
        <w:textAlignment w:val="bottom"/>
        <w:rPr>
          <w:rFonts w:asciiTheme="minorEastAsia" w:hAnsiTheme="minorEastAsia" w:hint="eastAsia"/>
          <w:bCs/>
          <w:kern w:val="0"/>
          <w:sz w:val="24"/>
        </w:rPr>
      </w:pPr>
      <w:r>
        <w:rPr>
          <w:rFonts w:asciiTheme="minorEastAsia" w:hAnsiTheme="minorEastAsia" w:hint="eastAsia"/>
          <w:bCs/>
          <w:kern w:val="0"/>
          <w:sz w:val="24"/>
        </w:rPr>
        <w:t>上述“一、基金费用的种类”中第</w:t>
      </w:r>
      <w:r>
        <w:rPr>
          <w:rFonts w:asciiTheme="minorEastAsia" w:hAnsiTheme="minorEastAsia"/>
          <w:bCs/>
          <w:kern w:val="0"/>
          <w:sz w:val="24"/>
        </w:rPr>
        <w:t>4</w:t>
      </w:r>
      <w:r>
        <w:rPr>
          <w:rFonts w:asciiTheme="minorEastAsia" w:hAnsiTheme="minorEastAsia" w:hint="eastAsia"/>
          <w:bCs/>
          <w:kern w:val="0"/>
          <w:sz w:val="24"/>
        </w:rPr>
        <w:t>－</w:t>
      </w:r>
      <w:r>
        <w:rPr>
          <w:rFonts w:asciiTheme="minorEastAsia" w:hAnsiTheme="minorEastAsia"/>
          <w:bCs/>
          <w:kern w:val="0"/>
          <w:sz w:val="24"/>
        </w:rPr>
        <w:t>10</w:t>
      </w:r>
      <w:r>
        <w:rPr>
          <w:rFonts w:asciiTheme="minorEastAsia" w:hAnsiTheme="minorEastAsia" w:hint="eastAsia"/>
          <w:bCs/>
          <w:kern w:val="0"/>
          <w:sz w:val="24"/>
        </w:rPr>
        <w:t>项费用，根据有关法规及相应协议规定，按费用实际支出金额列入当期费用，由基金托管人从基金财产中支付。</w:t>
      </w:r>
    </w:p>
    <w:p w14:paraId="7FE5F86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三、不列入基金费用的项目</w:t>
      </w:r>
    </w:p>
    <w:p w14:paraId="3477881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下列费用不列入基金费用：</w:t>
      </w:r>
    </w:p>
    <w:p w14:paraId="68ABEFB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1、基金管理人和基金托管人因未履行或未完全履行义务导致的费用支出或基金财产的损失；</w:t>
      </w:r>
    </w:p>
    <w:p w14:paraId="2718C6E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2、基金管理人和基金托管人处理与基金运作无关的事项发生的费用；</w:t>
      </w:r>
    </w:p>
    <w:p w14:paraId="7C9464C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3、《基金合同》生效前的相关费用；</w:t>
      </w:r>
    </w:p>
    <w:p w14:paraId="63EC5CE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4、其他根据相关法律法规及中国证监会的有关规定不得列入基金费用的项</w:t>
      </w:r>
      <w:r>
        <w:rPr>
          <w:rFonts w:asciiTheme="minorEastAsia" w:hAnsiTheme="minorEastAsia" w:hint="eastAsia"/>
          <w:bCs/>
          <w:sz w:val="24"/>
        </w:rPr>
        <w:lastRenderedPageBreak/>
        <w:t>目。</w:t>
      </w:r>
      <w:bookmarkStart w:id="288" w:name="_Hlt88827255"/>
      <w:bookmarkEnd w:id="288"/>
    </w:p>
    <w:p w14:paraId="7DB5B02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四、基金税收</w:t>
      </w:r>
    </w:p>
    <w:p w14:paraId="3E33FA5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本基金运作过程中涉及的各纳税主体，其纳税义务按国家税收法律、法规执行。</w:t>
      </w:r>
    </w:p>
    <w:p w14:paraId="6B180012"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Cs/>
          <w:sz w:val="24"/>
          <w:szCs w:val="24"/>
        </w:rPr>
        <w:sectPr w:rsidR="008D0810">
          <w:footerReference w:type="default" r:id="rId29"/>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基金财产投资的相关税收，由基金份额持有人承担，基金管理人或者其他扣缴义务人按照国家有关税收征收的规定代扣代缴。</w:t>
      </w:r>
    </w:p>
    <w:p w14:paraId="12C7A748" w14:textId="77777777" w:rsidR="008D0810" w:rsidRDefault="00417F9F">
      <w:pPr>
        <w:pStyle w:val="1"/>
        <w:jc w:val="center"/>
        <w:rPr>
          <w:rFonts w:asciiTheme="minorEastAsia" w:eastAsiaTheme="minorEastAsia" w:hAnsiTheme="minorEastAsia" w:hint="eastAsia"/>
          <w:sz w:val="30"/>
          <w:szCs w:val="30"/>
        </w:rPr>
      </w:pPr>
      <w:bookmarkStart w:id="289" w:name="_Toc146096090"/>
      <w:r>
        <w:rPr>
          <w:rFonts w:asciiTheme="minorEastAsia" w:eastAsiaTheme="minorEastAsia" w:hAnsiTheme="minorEastAsia" w:hint="eastAsia"/>
          <w:sz w:val="30"/>
          <w:szCs w:val="30"/>
        </w:rPr>
        <w:lastRenderedPageBreak/>
        <w:t>第十四部分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基金的会计与审计</w:t>
      </w:r>
      <w:bookmarkEnd w:id="271"/>
      <w:bookmarkEnd w:id="272"/>
      <w:bookmarkEnd w:id="273"/>
      <w:bookmarkEnd w:id="289"/>
    </w:p>
    <w:p w14:paraId="106928A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一、基金会计政策</w:t>
      </w:r>
    </w:p>
    <w:p w14:paraId="2D48A08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1、基金管理人为本基金的基金会计责任方；</w:t>
      </w:r>
    </w:p>
    <w:p w14:paraId="56430E1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2、基金的会计年度为公历年度的1月1日至12月31日；基金首次募集的会计年度按如下原则：如果《基金合同》生效少于2个月，可以并入下一个会计年度披露；</w:t>
      </w:r>
    </w:p>
    <w:p w14:paraId="657F96C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3、基金核算以人民币为记账本位币，以人民币元为记账单位；</w:t>
      </w:r>
    </w:p>
    <w:p w14:paraId="6AC7A8F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4、会计制度执行国家有关会计制度；</w:t>
      </w:r>
    </w:p>
    <w:p w14:paraId="08A98AF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5、本基金独立建账、独立核算；</w:t>
      </w:r>
    </w:p>
    <w:p w14:paraId="6B45A03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6、基金管理人及基金托管人各自保留完整的会计账目、凭证并进行日常的会计核算，按照有关规定编制基金会计报表；</w:t>
      </w:r>
    </w:p>
    <w:p w14:paraId="6920406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7、基金托管人每月与基金管理人就基金的会计核算、报表编制等进行核对并以书面方式确认。</w:t>
      </w:r>
    </w:p>
    <w:p w14:paraId="1554D63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二、基金的年度审计</w:t>
      </w:r>
    </w:p>
    <w:p w14:paraId="72ABBBE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1、基金管理人聘请与基金管理人、基金托管人相互独立的具有证券、期货相关业务资格具有证券从业资格的会计师事务所及其注册会计师对本基金的年度财务报表进行审计。</w:t>
      </w:r>
    </w:p>
    <w:p w14:paraId="41553DC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2、会计师事务所更换经办注册会计师，应事先征得基金管理人同意。</w:t>
      </w:r>
    </w:p>
    <w:p w14:paraId="7E30BF0E"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hint="eastAsia"/>
          <w:bCs/>
          <w:sz w:val="24"/>
        </w:rPr>
        <w:t>3、</w:t>
      </w:r>
      <w:bookmarkStart w:id="290" w:name="_Hlt4221115"/>
      <w:bookmarkEnd w:id="290"/>
      <w:r>
        <w:rPr>
          <w:rFonts w:asciiTheme="minorEastAsia" w:hAnsiTheme="minorEastAsia" w:hint="eastAsia"/>
          <w:bCs/>
          <w:sz w:val="24"/>
        </w:rPr>
        <w:t>基金管理人认为有充足理由更换会计师事务所，须通报基金托管人。更换会计师事务所需在2个工作日内在指定媒介公告。</w:t>
      </w:r>
    </w:p>
    <w:p w14:paraId="2F1E7745" w14:textId="77777777" w:rsidR="008D0810" w:rsidRDefault="008D0810">
      <w:pPr>
        <w:widowControl/>
        <w:spacing w:line="360" w:lineRule="auto"/>
        <w:jc w:val="left"/>
        <w:rPr>
          <w:rFonts w:asciiTheme="minorEastAsia" w:hAnsiTheme="minorEastAsia" w:cs="Times New Roman" w:hint="eastAsia"/>
          <w:b/>
          <w:kern w:val="0"/>
          <w:sz w:val="24"/>
          <w:szCs w:val="24"/>
        </w:rPr>
        <w:sectPr w:rsidR="008D0810">
          <w:footerReference w:type="default" r:id="rId30"/>
          <w:pgSz w:w="11906" w:h="16838"/>
          <w:pgMar w:top="1440" w:right="1800" w:bottom="1440" w:left="1800" w:header="851" w:footer="992" w:gutter="0"/>
          <w:pgNumType w:chapStyle="1"/>
          <w:cols w:space="720"/>
          <w:docGrid w:type="lines" w:linePitch="312"/>
        </w:sectPr>
      </w:pPr>
    </w:p>
    <w:p w14:paraId="3ED25D38" w14:textId="77777777" w:rsidR="008D0810" w:rsidRDefault="00417F9F">
      <w:pPr>
        <w:pStyle w:val="1"/>
        <w:jc w:val="center"/>
        <w:rPr>
          <w:rFonts w:asciiTheme="minorEastAsia" w:eastAsiaTheme="minorEastAsia" w:hAnsiTheme="minorEastAsia" w:hint="eastAsia"/>
          <w:sz w:val="30"/>
          <w:szCs w:val="30"/>
        </w:rPr>
      </w:pPr>
      <w:bookmarkStart w:id="291" w:name="_Toc214873604"/>
      <w:bookmarkStart w:id="292" w:name="_Toc416264551"/>
      <w:bookmarkStart w:id="293" w:name="_Toc263092323"/>
      <w:bookmarkStart w:id="294" w:name="_Toc79978642"/>
      <w:bookmarkStart w:id="295" w:name="_Toc146096091"/>
      <w:bookmarkStart w:id="296" w:name="_Toc3656"/>
      <w:bookmarkStart w:id="297" w:name="_Toc1617"/>
      <w:bookmarkStart w:id="298" w:name="_Toc178"/>
      <w:bookmarkStart w:id="299" w:name="_Toc12761"/>
      <w:bookmarkStart w:id="300" w:name="_Toc141703896"/>
      <w:bookmarkStart w:id="301" w:name="_Toc22552"/>
      <w:bookmarkStart w:id="302" w:name="_Toc92662707"/>
      <w:bookmarkStart w:id="303" w:name="_Toc15351"/>
      <w:bookmarkStart w:id="304" w:name="_Toc15525"/>
      <w:bookmarkStart w:id="305" w:name="_Toc20052"/>
      <w:bookmarkStart w:id="306" w:name="_Toc19558"/>
      <w:bookmarkStart w:id="307" w:name="_Toc352229762"/>
      <w:bookmarkStart w:id="308" w:name="_Toc139991746"/>
      <w:bookmarkStart w:id="309" w:name="_Toc128310499"/>
      <w:bookmarkStart w:id="310" w:name="_Toc21829"/>
      <w:bookmarkStart w:id="311" w:name="_Toc93226149"/>
      <w:bookmarkStart w:id="312" w:name="_Toc2588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asciiTheme="minorEastAsia" w:eastAsiaTheme="minorEastAsia" w:hAnsiTheme="minorEastAsia" w:hint="eastAsia"/>
          <w:sz w:val="30"/>
          <w:szCs w:val="30"/>
        </w:rPr>
        <w:lastRenderedPageBreak/>
        <w:t>第十五部分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基金的信息披露</w:t>
      </w:r>
      <w:bookmarkEnd w:id="291"/>
      <w:bookmarkEnd w:id="292"/>
      <w:bookmarkEnd w:id="293"/>
      <w:bookmarkEnd w:id="294"/>
      <w:bookmarkEnd w:id="295"/>
    </w:p>
    <w:p w14:paraId="274F0E4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一、本基金的信息披露应符合《基金法》、《运作办法》、《信息披露办法》、《基金合同》及其他有关规定。</w:t>
      </w:r>
    </w:p>
    <w:p w14:paraId="1EE47B7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二、信息披露义务人</w:t>
      </w:r>
    </w:p>
    <w:p w14:paraId="3E612F6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本基金信息披露义务人包括基金管理人、基金托管人、召集基金份额持有人大会的基金份额持有人等法律法规和中国证监会规定的自然人、法人和非法人组织。</w:t>
      </w:r>
    </w:p>
    <w:p w14:paraId="3163DAC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ECD011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14:paraId="79B0F3A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三、本基金信息披露义务人承诺公开披露的基金信息，不得有下列行为：</w:t>
      </w:r>
    </w:p>
    <w:p w14:paraId="147F3A8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1、虚假记载、误导性陈述或者重大遗漏；</w:t>
      </w:r>
    </w:p>
    <w:p w14:paraId="6FF470F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2、对证券投资业绩进行预测；</w:t>
      </w:r>
    </w:p>
    <w:p w14:paraId="0F9E37C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3、违规承诺收益或者承担损失；</w:t>
      </w:r>
    </w:p>
    <w:p w14:paraId="43CE9FF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4、诋毁其他基金管理人、基金托管人或者基金销售机构；</w:t>
      </w:r>
    </w:p>
    <w:p w14:paraId="68DAA17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5、登载任何自然人、法人或者非法人组织的祝贺性、恭维性或推荐性的文字；</w:t>
      </w:r>
    </w:p>
    <w:p w14:paraId="26702B1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6、中国证监会禁止的其他行为。</w:t>
      </w:r>
    </w:p>
    <w:p w14:paraId="3830FBC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四、本基金公开披露的信息应采用中文文本。如同时采用外文文本的，基金信息披露义务人应保证不同文本的内容一致。不同文本之间发生歧义的，以中文文本为准。</w:t>
      </w:r>
    </w:p>
    <w:p w14:paraId="4A38AC0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本基金公开披露的信息采用阿拉伯数字；除特别说明外，货币单位为人民币元。</w:t>
      </w:r>
    </w:p>
    <w:p w14:paraId="7B2C907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五、公开披露的基金信息</w:t>
      </w:r>
    </w:p>
    <w:p w14:paraId="77AEEBB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公开披露的基金信息包括：</w:t>
      </w:r>
    </w:p>
    <w:p w14:paraId="0C9688A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（一）基金招募说明书、《基金合同》、基金托管协议、基金产品资料概要</w:t>
      </w:r>
    </w:p>
    <w:p w14:paraId="0605442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1、《基金合同》是界定《基金合同》当事人的各项权利、义务关系，明确基金份额持有人大会召开的规则及具体程序，说明基金产品的特性等涉及基金投资者重大利益的事项的法律文件。</w:t>
      </w:r>
    </w:p>
    <w:p w14:paraId="1314BC6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D8C774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3、基金托管协议是界定基金托管人和基金管理人在基金财产保管及基金运作监督等活动中的权利、义务关系的法律文件。</w:t>
      </w:r>
    </w:p>
    <w:p w14:paraId="30C90A6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BA0036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34B064C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（二）基金份额发售公告</w:t>
      </w:r>
    </w:p>
    <w:p w14:paraId="6E1733F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基金管理人应当就基金份额发售的具体事宜编制基金份额发售公告，并在披露招募说明书的当日登载于指定媒介上。</w:t>
      </w:r>
    </w:p>
    <w:p w14:paraId="0B32108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（三）《基金合同》生效公告</w:t>
      </w:r>
    </w:p>
    <w:p w14:paraId="1AB0FE0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基金管理人应当在收到中国证监会确认文件的次日在指定媒介上登载《基金</w:t>
      </w:r>
      <w:r>
        <w:rPr>
          <w:rFonts w:asciiTheme="minorEastAsia" w:hAnsiTheme="minorEastAsia" w:hint="eastAsia"/>
          <w:bCs/>
          <w:sz w:val="24"/>
        </w:rPr>
        <w:lastRenderedPageBreak/>
        <w:t>合同》生效公告。</w:t>
      </w:r>
    </w:p>
    <w:p w14:paraId="130F585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（四）基金净值信息</w:t>
      </w:r>
    </w:p>
    <w:p w14:paraId="4EBC179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《基金合同》生效后，在开始办理基金份额申购或者赎回前，基金管理人应当至少每周在指定网站披露一次基金份额净值和基金份额累计净值。</w:t>
      </w:r>
    </w:p>
    <w:p w14:paraId="20E1882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在开始办理基金份额申购或者赎回后，基金管理人应当在不晚于每个开放日的次日，通过其指定网站、基金销售机构网站或营业网点披露开放日的基金份额净值和基金份额累计净值。</w:t>
      </w:r>
    </w:p>
    <w:p w14:paraId="0730C53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基金管理人应在不晚于半年度和年度最后一日的次日，在指定网站披露半年度和年度最后一日的基金份额净值和基金份额累计净值。</w:t>
      </w:r>
    </w:p>
    <w:p w14:paraId="7509A2C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（五）基金份额申购、赎回价格</w:t>
      </w:r>
    </w:p>
    <w:p w14:paraId="0DB7363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基金管理人应当在《基金合同》、招募说明书等信息披露文件上载明基金份额申购、赎回价格的计算方式及有关申购、赎回费率，并保证投资者能够在基金销售机构网站或营业网点查阅或者复制前述信息库资料。</w:t>
      </w:r>
    </w:p>
    <w:p w14:paraId="48A7A82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（六）基金定期报告，包括基金年度报告、基金中期报告和基金季度报告</w:t>
      </w:r>
    </w:p>
    <w:p w14:paraId="62EBE27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每年结束之日起三个月内，编制完成基金年度报告，将年度报告登载在指定网站上，将年度报告提示性公告登载在指定报刊上。基金年度报告中的财务会计报告应当经过具有证券、期货相关业务资格的会计师事务所审计。</w:t>
      </w:r>
    </w:p>
    <w:p w14:paraId="0E5D10A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基金管理人应当在上半年结束之日起两个月内，编制完成基金中期报告，将中期报告登载在指定网站上，并将中期报告提示性公告登载在指定报刊上。</w:t>
      </w:r>
    </w:p>
    <w:p w14:paraId="2354D3C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基金管理人应当在每个季度结束之日起15个工作日内，编制完成基金季度报告，将季度报告登载在指定网站上，并将季度报告提示性公告登载在指定报刊上。</w:t>
      </w:r>
    </w:p>
    <w:p w14:paraId="084E1FF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《基金合同》生效不足2个月的，基金管理人可以不编制当期季度报告、中期报告或者年度报告。</w:t>
      </w:r>
    </w:p>
    <w:p w14:paraId="382DEF7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如报告期内出现单一投资者持有基金份额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w:t>
      </w:r>
    </w:p>
    <w:p w14:paraId="5547CDA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本基金持续运作过程中，应当在基金年度报告和中期报告中披露基金组合资</w:t>
      </w:r>
      <w:r>
        <w:rPr>
          <w:rFonts w:asciiTheme="minorEastAsia" w:hAnsiTheme="minorEastAsia" w:hint="eastAsia"/>
          <w:bCs/>
          <w:sz w:val="24"/>
        </w:rPr>
        <w:lastRenderedPageBreak/>
        <w:t>产情况及其流动性风险分析等。</w:t>
      </w:r>
    </w:p>
    <w:p w14:paraId="3EA8F5A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（七）临时报告</w:t>
      </w:r>
    </w:p>
    <w:p w14:paraId="72E3EE4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本基金发生重大事件，有关信息披露义务人应在2日内编制临时报告书，并登载在指定报刊和指定网站上。</w:t>
      </w:r>
    </w:p>
    <w:p w14:paraId="2D396DB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前款所称重大事件，是指可能对基金份额持有人权益或者基金份额的价格产生重大影响的下列事件：</w:t>
      </w:r>
    </w:p>
    <w:p w14:paraId="0F31ECD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1、基金份额持有人大会的召开及决定的事项；</w:t>
      </w:r>
    </w:p>
    <w:p w14:paraId="095840F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2、基金终止上市交易、基金合同终止、基金清算；</w:t>
      </w:r>
    </w:p>
    <w:p w14:paraId="19C0E81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3、转换基金运作方式、基金合并；</w:t>
      </w:r>
    </w:p>
    <w:p w14:paraId="1893D80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4、更换基金管理人、基金托管人、基金份额登记机构，基金改聘会计师事务所；</w:t>
      </w:r>
    </w:p>
    <w:p w14:paraId="7AD4389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5、基金管理人委托基金服务机构代为办理基金的份额登记、核算、估值等事项，基金托管人委托基金服务机构代为办理基金的核算、估值、复核等事项；</w:t>
      </w:r>
    </w:p>
    <w:p w14:paraId="3A8B2EA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6、基金管理人、基金托管人的法定名称、住所发生变更；</w:t>
      </w:r>
    </w:p>
    <w:p w14:paraId="088A839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7、基金管理人变更持有百分之五以上股权的股东、基金管理人的实际控制人变更；</w:t>
      </w:r>
    </w:p>
    <w:p w14:paraId="44E6B1B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8、基金募集期延长或提前结束募集；</w:t>
      </w:r>
    </w:p>
    <w:p w14:paraId="613C710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9、基金管理人的高级管理人员、基金经理和基金托管人专门基金托管部门负责人发生变动；</w:t>
      </w:r>
    </w:p>
    <w:p w14:paraId="66C7FDB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10、基金管理人的董事在最近12个月内变更超过百分之五十，基金管理人、基金托管人专门基金托管部门的主要业务人员在最近12个月内，变动超过百分之三十；</w:t>
      </w:r>
    </w:p>
    <w:p w14:paraId="215C505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11、涉及基金财产、基金管理业务、基金托管业务的诉讼或仲裁；</w:t>
      </w:r>
    </w:p>
    <w:p w14:paraId="6D82AF5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498D43A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B68DCD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14、基金收益分配事项；</w:t>
      </w:r>
    </w:p>
    <w:p w14:paraId="10ED246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15、管理费、托管费、申购费、赎回费等费用计提标准、计提方式和费率发生变更；</w:t>
      </w:r>
    </w:p>
    <w:p w14:paraId="74999C3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16、基金份额净值计价错误达基金份额净值百分之零点五；</w:t>
      </w:r>
    </w:p>
    <w:p w14:paraId="440BCBC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17、本基金开始办理申购、赎回；</w:t>
      </w:r>
    </w:p>
    <w:p w14:paraId="1395F98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18、本基金暂定接受申购、赎回申请或重新接受申购、赎回申请；</w:t>
      </w:r>
    </w:p>
    <w:p w14:paraId="7B91534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19、基金变更标的指数；</w:t>
      </w:r>
    </w:p>
    <w:p w14:paraId="1135ACD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20、基金份额停牌、复牌、暂停上市、恢复上市或终止上市交易；</w:t>
      </w:r>
    </w:p>
    <w:p w14:paraId="5334249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21、调整最小申购赎回单位、申购赎回方式及申购对价、赎回对价组成；</w:t>
      </w:r>
    </w:p>
    <w:p w14:paraId="126CC46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22、调整基金份额类别的设置；</w:t>
      </w:r>
    </w:p>
    <w:p w14:paraId="71B8179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23、基金推出新业务或服务；</w:t>
      </w:r>
    </w:p>
    <w:p w14:paraId="3E6E943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24、基金信息披露义务人认为可能对基金份额持有人权益或者基金份额的价格产生重大影响的其他事项或中国证监会规定的其他事项。</w:t>
      </w:r>
    </w:p>
    <w:p w14:paraId="3339B69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（八）澄清公告</w:t>
      </w:r>
    </w:p>
    <w:p w14:paraId="481F5F5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7698FF7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（九）清算报告</w:t>
      </w:r>
    </w:p>
    <w:p w14:paraId="668E66C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0009D09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（十）基金份额持有人大会决议</w:t>
      </w:r>
    </w:p>
    <w:p w14:paraId="1394D53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基金份额持有人大会决定的事项，应当依法报中国证监会备案，并予以公告。</w:t>
      </w:r>
    </w:p>
    <w:p w14:paraId="4FC4E2C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（十一）投资股指期货的信息披露</w:t>
      </w:r>
    </w:p>
    <w:p w14:paraId="4F3C78C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F13591"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lastRenderedPageBreak/>
        <w:t>（十二）投资国债期货的信息披露</w:t>
      </w:r>
    </w:p>
    <w:p w14:paraId="09A0D106"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基金管理人应当在基金季度报告、基金中期报告、基金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797F8262"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（十三）投资股票期权的信息披露</w:t>
      </w:r>
    </w:p>
    <w:p w14:paraId="2BB9D41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309BB1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（十四）投资中小企业私募债券的信息披露</w:t>
      </w:r>
    </w:p>
    <w:p w14:paraId="775B213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7E154BB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（十五）投资资产支持证券的信息披露</w:t>
      </w:r>
    </w:p>
    <w:p w14:paraId="1206692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投资资产支持证券，基金管理人应在基金年报及中期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AFC9D2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（十六）中国证监会规定的其他信息。</w:t>
      </w:r>
    </w:p>
    <w:p w14:paraId="68261D3C"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六、信息披露事务管理</w:t>
      </w:r>
    </w:p>
    <w:p w14:paraId="193C83D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基金管理人、基金托管人应当建立健全信息披露管理制度，指定专门部门及高级管理人员负责管理信息披露事务。</w:t>
      </w:r>
    </w:p>
    <w:p w14:paraId="419B221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基金信息披露义务人公开披露基金信息，应当符合中国证监会相关基金信息披露内容与格式准则等法规的规定。</w:t>
      </w:r>
    </w:p>
    <w:p w14:paraId="77782C7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w:t>
      </w:r>
      <w:r>
        <w:rPr>
          <w:rFonts w:asciiTheme="minorEastAsia" w:hAnsiTheme="minorEastAsia" w:hint="eastAsia"/>
          <w:bCs/>
          <w:sz w:val="24"/>
        </w:rPr>
        <w:lastRenderedPageBreak/>
        <w:t>的相关基金信息进行进行复核、审查，并向基金管理人进行书面或电子确认。</w:t>
      </w:r>
    </w:p>
    <w:p w14:paraId="584EB61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EAC305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EC7B5A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E91848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为基金信息披露义务人公开披露的基金信息出具审计报告、法律意见书的专业机构，应当制作工作底稿，并将相关档案至少保存到《基金合同》终止后</w:t>
      </w:r>
      <w:r>
        <w:rPr>
          <w:rFonts w:asciiTheme="minorEastAsia" w:hAnsiTheme="minorEastAsia"/>
          <w:bCs/>
          <w:sz w:val="24"/>
        </w:rPr>
        <w:t>10</w:t>
      </w:r>
      <w:r>
        <w:rPr>
          <w:rFonts w:asciiTheme="minorEastAsia" w:hAnsiTheme="minorEastAsia" w:hint="eastAsia"/>
          <w:bCs/>
          <w:sz w:val="24"/>
        </w:rPr>
        <w:t>年。</w:t>
      </w:r>
    </w:p>
    <w:p w14:paraId="4F96820A"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七、信息披露文件的存放与查阅</w:t>
      </w:r>
    </w:p>
    <w:p w14:paraId="5C07A6A7" w14:textId="77777777" w:rsidR="008D0810" w:rsidRDefault="00417F9F">
      <w:pPr>
        <w:autoSpaceDE w:val="0"/>
        <w:autoSpaceDN w:val="0"/>
        <w:spacing w:line="360" w:lineRule="auto"/>
        <w:ind w:firstLineChars="200" w:firstLine="480"/>
        <w:textAlignment w:val="bottom"/>
        <w:rPr>
          <w:rFonts w:asciiTheme="minorEastAsia" w:hAnsiTheme="minorEastAsia" w:cs="Times New Roman" w:hint="eastAsia"/>
          <w:b/>
          <w:bCs/>
          <w:sz w:val="24"/>
          <w:szCs w:val="24"/>
        </w:rPr>
      </w:pPr>
      <w:r>
        <w:rPr>
          <w:rFonts w:asciiTheme="minorEastAsia" w:hAnsiTheme="minorEastAsia" w:hint="eastAsia"/>
          <w:bCs/>
          <w:sz w:val="24"/>
        </w:rPr>
        <w:t>依法必须披露的信息发布后，基金管理人、基金托管人应当按照相关法律法规规定将信息置备于公司住所、基金上市交易的证券交易所，供社会公众查阅、复制。</w:t>
      </w:r>
    </w:p>
    <w:p w14:paraId="2C913986" w14:textId="77777777" w:rsidR="008D0810" w:rsidRDefault="008D0810">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8D0810">
          <w:footerReference w:type="default" r:id="rId31"/>
          <w:pgSz w:w="11906" w:h="16838"/>
          <w:pgMar w:top="1440" w:right="1800" w:bottom="1440" w:left="1800" w:header="851" w:footer="992" w:gutter="0"/>
          <w:pgNumType w:chapStyle="1"/>
          <w:cols w:space="720"/>
          <w:docGrid w:type="lines" w:linePitch="312"/>
        </w:sectPr>
      </w:pPr>
      <w:bookmarkStart w:id="313" w:name="_Toc21073398"/>
      <w:bookmarkStart w:id="314" w:name="_Toc214873605"/>
      <w:bookmarkStart w:id="315" w:name="_Toc416264552"/>
      <w:bookmarkStart w:id="316" w:name="_Toc263092324"/>
      <w:bookmarkStart w:id="317" w:name="_Toc147463125"/>
      <w:bookmarkStart w:id="318" w:name="_Toc12357178"/>
      <w:bookmarkStart w:id="319" w:name="_Toc93226150"/>
      <w:bookmarkStart w:id="320" w:name="_Toc92662708"/>
      <w:bookmarkStart w:id="321" w:name="_Toc18747"/>
      <w:bookmarkStart w:id="322" w:name="_Toc10894"/>
      <w:bookmarkStart w:id="323" w:name="_Toc1043"/>
      <w:bookmarkStart w:id="324" w:name="_Toc31736"/>
      <w:bookmarkStart w:id="325" w:name="_Toc139991747"/>
      <w:bookmarkStart w:id="326" w:name="_Toc17499"/>
      <w:bookmarkStart w:id="327" w:name="_Toc13255"/>
      <w:bookmarkStart w:id="328" w:name="_Toc28961"/>
      <w:bookmarkStart w:id="329" w:name="_Toc128310500"/>
      <w:bookmarkStart w:id="330" w:name="_Toc23859"/>
      <w:bookmarkStart w:id="331" w:name="_Toc352229763"/>
      <w:bookmarkStart w:id="332" w:name="_Toc21206"/>
      <w:bookmarkStart w:id="333" w:name="_Toc141703897"/>
      <w:bookmarkStart w:id="334" w:name="_Toc29695"/>
      <w:bookmarkStart w:id="335" w:name="_Toc1800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A588FE3" w14:textId="77777777" w:rsidR="008D0810" w:rsidRDefault="00417F9F">
      <w:pPr>
        <w:pStyle w:val="1"/>
        <w:jc w:val="center"/>
        <w:rPr>
          <w:rFonts w:asciiTheme="minorEastAsia" w:eastAsiaTheme="minorEastAsia" w:hAnsiTheme="minorEastAsia" w:hint="eastAsia"/>
          <w:sz w:val="30"/>
          <w:szCs w:val="30"/>
        </w:rPr>
      </w:pPr>
      <w:bookmarkStart w:id="336" w:name="_Toc146096092"/>
      <w:r>
        <w:rPr>
          <w:rFonts w:asciiTheme="minorEastAsia" w:eastAsiaTheme="minorEastAsia" w:hAnsiTheme="minorEastAsia" w:hint="eastAsia"/>
          <w:sz w:val="30"/>
          <w:szCs w:val="30"/>
        </w:rPr>
        <w:lastRenderedPageBreak/>
        <w:t>第十六部分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风险揭示</w:t>
      </w:r>
      <w:bookmarkEnd w:id="313"/>
      <w:bookmarkEnd w:id="314"/>
      <w:bookmarkEnd w:id="315"/>
      <w:bookmarkEnd w:id="316"/>
      <w:bookmarkEnd w:id="317"/>
      <w:bookmarkEnd w:id="318"/>
      <w:bookmarkEnd w:id="336"/>
    </w:p>
    <w:p w14:paraId="1294D8E0"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7350C1F1"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7C2D4012"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6EFFE6C0"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6A444976"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58C31B7E"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500292A1"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0DC00CDF"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1BBA8D72"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5ED11E5C"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1786A85C"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23F58B58"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1DEF721B"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1）拟投资市场、行业及资产的流动性风险评估</w:t>
      </w:r>
    </w:p>
    <w:p w14:paraId="05F94610"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14:paraId="47017588"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 xml:space="preserve">2）巨额赎回情形下的流动性风险管理措施 </w:t>
      </w:r>
    </w:p>
    <w:p w14:paraId="1E06B235"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01EF5FE4"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3）实施备用的流动性风险管理工具的情形、程序及对投资者的潜在影响</w:t>
      </w:r>
    </w:p>
    <w:p w14:paraId="573E6FFD"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115B25AA"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0C0B2B0"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2B93F22A"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65BE0235"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456799FF"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、合规风险</w:t>
      </w:r>
    </w:p>
    <w:p w14:paraId="328BB74F"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合规风险指基金管理或运作过程中，违反国家法律、法规的规定，或者违反《基金合同》有关规定的风险。</w:t>
      </w:r>
    </w:p>
    <w:p w14:paraId="35042C37"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7C20FDA3"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w:t>
      </w:r>
      <w:r>
        <w:rPr>
          <w:rFonts w:asciiTheme="minorEastAsia" w:hAnsiTheme="minorEastAsia" w:cs="Arial" w:hint="eastAsia"/>
          <w:bCs/>
          <w:sz w:val="24"/>
          <w:szCs w:val="24"/>
        </w:rPr>
        <w:lastRenderedPageBreak/>
        <w:t>出的上市公司股票，这种对股票的评估具有一定的主观性，将在个股投资决策中给基金带来一定的不确定性，因而存在个股选择风险。</w:t>
      </w:r>
    </w:p>
    <w:p w14:paraId="18AF573E"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、股指期货、国债期货等金融衍生品投资风险</w:t>
      </w:r>
    </w:p>
    <w:p w14:paraId="19B2B746"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782DB26C"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0C22C9B5"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、中小企业私募债券投资风险</w:t>
      </w:r>
    </w:p>
    <w:p w14:paraId="2DA0CA98"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14:paraId="0C88F8A5"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4、资产支持证券投资风险</w:t>
      </w:r>
    </w:p>
    <w:p w14:paraId="7DB79A18"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w:t>
      </w:r>
      <w:r>
        <w:rPr>
          <w:rFonts w:asciiTheme="minorEastAsia" w:hAnsiTheme="minorEastAsia" w:cs="Arial"/>
          <w:bCs/>
          <w:sz w:val="24"/>
          <w:szCs w:val="24"/>
        </w:rPr>
        <w:t>ABS）或资产支持票据（ABN）是一种债券性质的金融工具，其向投资者支付的本息来自于基础资产</w:t>
      </w:r>
      <w:r>
        <w:rPr>
          <w:rFonts w:asciiTheme="minorEastAsia" w:hAnsiTheme="minorEastAsia" w:cs="Arial" w:hint="eastAsia"/>
          <w:bCs/>
          <w:sz w:val="24"/>
          <w:szCs w:val="24"/>
        </w:rPr>
        <w:t>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79F87DA"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5、股票期权投资风险</w:t>
      </w:r>
    </w:p>
    <w:p w14:paraId="0E2B76DD"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本基金可投资于股票期权，投资股票期权主要存在市场风险、流动性风险、保证金风险、信用风险、操作风险等风险，极端情况下会给投资组合带来较大损</w:t>
      </w:r>
      <w:r>
        <w:rPr>
          <w:rFonts w:asciiTheme="minorEastAsia" w:hAnsiTheme="minorEastAsia" w:cs="Arial" w:hint="eastAsia"/>
          <w:bCs/>
          <w:sz w:val="24"/>
          <w:szCs w:val="24"/>
        </w:rPr>
        <w:lastRenderedPageBreak/>
        <w:t>失。</w:t>
      </w:r>
    </w:p>
    <w:p w14:paraId="347BA665"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6、存托凭证投资风险</w:t>
      </w:r>
    </w:p>
    <w:p w14:paraId="06AB4DAE"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3769479A" w14:textId="77777777" w:rsidR="003A3EFD" w:rsidRPr="00AA1D5F" w:rsidRDefault="003A3EFD" w:rsidP="003A3EFD">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7、</w:t>
      </w:r>
      <w:r w:rsidRPr="00AA1D5F">
        <w:rPr>
          <w:rFonts w:asciiTheme="minorEastAsia" w:hAnsiTheme="minorEastAsia" w:cs="Arial" w:hint="eastAsia"/>
          <w:bCs/>
          <w:sz w:val="24"/>
          <w:szCs w:val="24"/>
        </w:rPr>
        <w:t>本基金法律文件风险收益特征表述与销售机构基金风险评价可能不一致的风险</w:t>
      </w:r>
    </w:p>
    <w:p w14:paraId="4263F454" w14:textId="5CECB5C9" w:rsidR="003A3EFD" w:rsidRDefault="003A3EFD" w:rsidP="003A3EFD">
      <w:pPr>
        <w:adjustRightInd w:val="0"/>
        <w:snapToGrid w:val="0"/>
        <w:spacing w:line="360" w:lineRule="auto"/>
        <w:ind w:firstLineChars="200" w:firstLine="480"/>
        <w:rPr>
          <w:rFonts w:asciiTheme="minorEastAsia" w:hAnsiTheme="minorEastAsia" w:cs="Arial" w:hint="eastAsia"/>
          <w:bCs/>
          <w:sz w:val="24"/>
          <w:szCs w:val="24"/>
        </w:rPr>
      </w:pPr>
      <w:r w:rsidRPr="00AA1D5F">
        <w:rPr>
          <w:rFonts w:asciiTheme="minorEastAsia" w:hAnsiTheme="minorEastAsia" w:cs="Arial" w:hint="eastAsia"/>
          <w:bCs/>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及评价方法、结果很可能存在不同，投资人在购买本基金时需按照销售机构的要求完成风险承受能力与产品风险之间的匹配检验。</w:t>
      </w:r>
    </w:p>
    <w:p w14:paraId="74CFCFA5"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635DD910"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225D18DA"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688F1518"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542938DF"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w:t>
      </w:r>
      <w:r>
        <w:rPr>
          <w:rFonts w:asciiTheme="minorEastAsia" w:hAnsiTheme="minorEastAsia" w:cs="Arial" w:hint="eastAsia"/>
          <w:bCs/>
          <w:sz w:val="24"/>
          <w:szCs w:val="24"/>
        </w:rPr>
        <w:lastRenderedPageBreak/>
        <w:t>致基金资产的损失。</w:t>
      </w:r>
    </w:p>
    <w:p w14:paraId="4C77A637"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253078B4" w14:textId="77777777" w:rsidR="008D0810" w:rsidRDefault="00417F9F">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4F935A5F" w14:textId="77777777" w:rsidR="008D0810" w:rsidRDefault="008D0810">
      <w:pPr>
        <w:widowControl/>
        <w:spacing w:line="360" w:lineRule="auto"/>
        <w:jc w:val="left"/>
        <w:rPr>
          <w:rFonts w:asciiTheme="minorEastAsia" w:hAnsiTheme="minorEastAsia" w:cs="Times New Roman" w:hint="eastAsia"/>
          <w:b/>
          <w:bCs/>
          <w:kern w:val="44"/>
          <w:sz w:val="24"/>
          <w:szCs w:val="24"/>
        </w:rPr>
        <w:sectPr w:rsidR="008D0810">
          <w:footerReference w:type="default" r:id="rId32"/>
          <w:pgSz w:w="11906" w:h="16838"/>
          <w:pgMar w:top="1440" w:right="1800" w:bottom="1440" w:left="1800" w:header="851" w:footer="992" w:gutter="0"/>
          <w:pgNumType w:chapStyle="1"/>
          <w:cols w:space="720"/>
          <w:docGrid w:type="lines" w:linePitch="312"/>
        </w:sectPr>
      </w:pPr>
    </w:p>
    <w:p w14:paraId="62FEC534" w14:textId="77777777" w:rsidR="008D0810" w:rsidRDefault="00417F9F">
      <w:pPr>
        <w:pStyle w:val="1"/>
        <w:jc w:val="center"/>
        <w:rPr>
          <w:rFonts w:asciiTheme="minorEastAsia" w:eastAsiaTheme="minorEastAsia" w:hAnsiTheme="minorEastAsia" w:hint="eastAsia"/>
          <w:sz w:val="30"/>
          <w:szCs w:val="30"/>
        </w:rPr>
      </w:pPr>
      <w:bookmarkStart w:id="337" w:name="_Toc146096093"/>
      <w:r>
        <w:rPr>
          <w:rFonts w:asciiTheme="minorEastAsia" w:eastAsiaTheme="minorEastAsia" w:hAnsiTheme="minorEastAsia" w:hint="eastAsia"/>
          <w:sz w:val="30"/>
          <w:szCs w:val="30"/>
        </w:rPr>
        <w:lastRenderedPageBreak/>
        <w:t>第十七部分</w:t>
      </w:r>
      <w:r>
        <w:rPr>
          <w:rFonts w:asciiTheme="minorEastAsia" w:eastAsiaTheme="minorEastAsia" w:hAnsiTheme="minorEastAsia"/>
          <w:sz w:val="30"/>
          <w:szCs w:val="30"/>
        </w:rPr>
        <w:t xml:space="preserve">  </w:t>
      </w:r>
      <w:bookmarkEnd w:id="319"/>
      <w:bookmarkEnd w:id="320"/>
      <w:r>
        <w:rPr>
          <w:rFonts w:asciiTheme="minorEastAsia" w:eastAsiaTheme="minorEastAsia" w:hAnsiTheme="minorEastAsia" w:hint="eastAsia"/>
          <w:sz w:val="30"/>
          <w:szCs w:val="30"/>
        </w:rPr>
        <w:t>基金合同的变更、终止与基金财产的清算</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7"/>
    </w:p>
    <w:p w14:paraId="62E03BCC" w14:textId="77777777" w:rsidR="008D0810" w:rsidRDefault="008D0810">
      <w:pPr>
        <w:spacing w:line="360" w:lineRule="auto"/>
        <w:ind w:firstLineChars="200" w:firstLine="480"/>
        <w:rPr>
          <w:rFonts w:asciiTheme="minorEastAsia" w:hAnsiTheme="minorEastAsia" w:cs="Times New Roman" w:hint="eastAsia"/>
          <w:bCs/>
          <w:sz w:val="24"/>
          <w:szCs w:val="24"/>
        </w:rPr>
      </w:pPr>
    </w:p>
    <w:p w14:paraId="4F62EE2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bookmarkStart w:id="338" w:name="_Toc79392639"/>
      <w:bookmarkStart w:id="339" w:name="_Toc31866"/>
      <w:bookmarkStart w:id="340" w:name="_Toc21351"/>
      <w:bookmarkStart w:id="341" w:name="_Toc29289"/>
      <w:bookmarkStart w:id="342" w:name="_Toc8512"/>
      <w:bookmarkStart w:id="343" w:name="_Toc1173"/>
      <w:bookmarkStart w:id="344" w:name="_Toc92662709"/>
      <w:bookmarkStart w:id="345" w:name="_Toc139991748"/>
      <w:bookmarkStart w:id="346" w:name="_Toc11049"/>
      <w:bookmarkStart w:id="347" w:name="_Toc141703898"/>
      <w:bookmarkStart w:id="348" w:name="_Toc1421"/>
      <w:bookmarkStart w:id="349" w:name="_Toc3056"/>
      <w:bookmarkStart w:id="350" w:name="_Toc12028"/>
      <w:bookmarkStart w:id="351" w:name="_Toc352229764"/>
      <w:bookmarkStart w:id="352" w:name="_Toc128310501"/>
      <w:bookmarkStart w:id="353" w:name="_Toc193"/>
      <w:bookmarkStart w:id="354" w:name="_Toc93226151"/>
      <w:bookmarkStart w:id="355" w:name="_Toc11802"/>
      <w:r>
        <w:rPr>
          <w:rFonts w:asciiTheme="minorEastAsia" w:hAnsiTheme="minorEastAsia" w:hint="eastAsia"/>
          <w:bCs/>
          <w:sz w:val="24"/>
        </w:rPr>
        <w:t>一、《基金合同》的变更</w:t>
      </w:r>
      <w:bookmarkEnd w:id="338"/>
    </w:p>
    <w:p w14:paraId="21564CD8"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6CEC0A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 xml:space="preserve"> </w:t>
      </w:r>
      <w:r>
        <w:rPr>
          <w:rFonts w:asciiTheme="minorEastAsia" w:hAnsiTheme="minorEastAsia" w:hint="eastAsia"/>
          <w:bCs/>
          <w:sz w:val="24"/>
        </w:rPr>
        <w:t>2、关于《基金合同》变更的基金份额持有人大会决议自生效后方可执行，并自决议生效后两个工作日内在指定媒介公告。</w:t>
      </w:r>
    </w:p>
    <w:p w14:paraId="44C28E4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二、《基金合同》的终止事由</w:t>
      </w:r>
    </w:p>
    <w:p w14:paraId="76D8328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有下列情形之一的，《基金合同》应当终止：</w:t>
      </w:r>
    </w:p>
    <w:p w14:paraId="5F18040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1、基金份额持有人大会决定终止的；</w:t>
      </w:r>
    </w:p>
    <w:p w14:paraId="375F01A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2、基金管理人、基金托管人职责终止，在6个月内没有新基金管理人、新基金托管人承接的；</w:t>
      </w:r>
    </w:p>
    <w:p w14:paraId="52CFCC65"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3</w:t>
      </w:r>
      <w:r>
        <w:rPr>
          <w:rFonts w:asciiTheme="minorEastAsia" w:hAnsiTheme="minorEastAsia" w:hint="eastAsia"/>
          <w:bCs/>
          <w:sz w:val="24"/>
        </w:rPr>
        <w:t>、《基金合同》约定的其他情形；</w:t>
      </w:r>
    </w:p>
    <w:p w14:paraId="08E11F4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4</w:t>
      </w:r>
      <w:r>
        <w:rPr>
          <w:rFonts w:asciiTheme="minorEastAsia" w:hAnsiTheme="minorEastAsia" w:hint="eastAsia"/>
          <w:bCs/>
          <w:sz w:val="24"/>
        </w:rPr>
        <w:t>、相关法律法规和中国证监会规定的其他情况。</w:t>
      </w:r>
    </w:p>
    <w:p w14:paraId="3F799F7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三、基金财产的清算</w:t>
      </w:r>
    </w:p>
    <w:p w14:paraId="37E671D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1、基金财产清算小组：自出现《基金合同》终止事由之日起30个工作日内成立清算小组，基金管理人组织基金财产清算小组并在中国证监会的监督下进行基金清算。</w:t>
      </w:r>
    </w:p>
    <w:p w14:paraId="1EA9288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5A83C4F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3、基金财产清算小组职责：基金财产清算小组负责基金财产的保管、清理、估价、变现和分配。基金财产清算小组可以依法进行必要的民事活动。</w:t>
      </w:r>
    </w:p>
    <w:p w14:paraId="0C27107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4、基金财产清算程序：</w:t>
      </w:r>
    </w:p>
    <w:p w14:paraId="51B07B6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（1）《基金合同》终止情形出现时，由基金财产清算小组统一接管基金；</w:t>
      </w:r>
    </w:p>
    <w:p w14:paraId="7A7BF3A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（2）对基金财产和债权债务进行清理和确认；</w:t>
      </w:r>
    </w:p>
    <w:p w14:paraId="003EBBC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（3）对基金财产进行估值和变现；</w:t>
      </w:r>
    </w:p>
    <w:p w14:paraId="01B5F1F3"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（4）制作清算报告；</w:t>
      </w:r>
    </w:p>
    <w:p w14:paraId="3C0F9D0B"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（5）聘请具有证券、期货相关业务资格的会计师事务所对清算报告进行外部审计，聘请律师事务所对清算报告出具法律意见书；</w:t>
      </w:r>
    </w:p>
    <w:p w14:paraId="3E0885D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（6）将清算报告报中国证监会备案并公告；</w:t>
      </w:r>
    </w:p>
    <w:p w14:paraId="6802DD9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（7）对基金剩余财产进行分配。</w:t>
      </w:r>
    </w:p>
    <w:p w14:paraId="50FB15C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5、基金财产清算的期限为</w:t>
      </w:r>
      <w:r>
        <w:rPr>
          <w:rFonts w:asciiTheme="minorEastAsia" w:hAnsiTheme="minorEastAsia"/>
          <w:bCs/>
          <w:sz w:val="24"/>
        </w:rPr>
        <w:t>6</w:t>
      </w:r>
      <w:r>
        <w:rPr>
          <w:rFonts w:asciiTheme="minorEastAsia" w:hAnsiTheme="minorEastAsia" w:hint="eastAsia"/>
          <w:bCs/>
          <w:sz w:val="24"/>
        </w:rPr>
        <w:t>个月。</w:t>
      </w:r>
    </w:p>
    <w:p w14:paraId="4B7FA18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四、清算费用</w:t>
      </w:r>
    </w:p>
    <w:p w14:paraId="7A639166"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清算费用是指基金财产清算小组在进行基金清算过程中发生的所有合理费用，清算费用由基金财产清算小组优先从基金财产中支付。</w:t>
      </w:r>
    </w:p>
    <w:p w14:paraId="58CDF774"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五、基金财产清算剩余资产的分配</w:t>
      </w:r>
    </w:p>
    <w:p w14:paraId="709B11A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011ED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六、基金财产清算的公告</w:t>
      </w:r>
    </w:p>
    <w:p w14:paraId="2E08082D"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heme="minorEastAsia" w:hAnsiTheme="minorEastAsia"/>
          <w:bCs/>
          <w:sz w:val="24"/>
        </w:rPr>
        <w:t>5</w:t>
      </w:r>
      <w:r>
        <w:rPr>
          <w:rFonts w:asciiTheme="minorEastAsia" w:hAnsiTheme="minorEastAsia" w:hint="eastAsia"/>
          <w:bCs/>
          <w:sz w:val="24"/>
        </w:rPr>
        <w:t>个工作日内由基金财产清算小组进行公告。</w:t>
      </w:r>
    </w:p>
    <w:p w14:paraId="052E6E6F"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七、基金财产清算账册及文件的保存</w:t>
      </w:r>
    </w:p>
    <w:p w14:paraId="614F41C2"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hint="eastAsia"/>
          <w:bCs/>
          <w:sz w:val="24"/>
        </w:rPr>
        <w:t>基金财产清算账册及有关文件由基金托管人保存</w:t>
      </w:r>
      <w:r>
        <w:rPr>
          <w:rFonts w:asciiTheme="minorEastAsia" w:hAnsiTheme="minorEastAsia"/>
          <w:bCs/>
          <w:sz w:val="24"/>
        </w:rPr>
        <w:t>15</w:t>
      </w:r>
      <w:r>
        <w:rPr>
          <w:rFonts w:asciiTheme="minorEastAsia" w:hAnsiTheme="minorEastAsia" w:hint="eastAsia"/>
          <w:bCs/>
          <w:sz w:val="24"/>
        </w:rPr>
        <w:t>年以上</w:t>
      </w:r>
      <w:r>
        <w:rPr>
          <w:rFonts w:asciiTheme="minorEastAsia" w:hAnsiTheme="minorEastAsia" w:cs="Times New Roman" w:hint="eastAsia"/>
          <w:sz w:val="24"/>
          <w:szCs w:val="24"/>
        </w:rPr>
        <w:t>。</w:t>
      </w:r>
    </w:p>
    <w:p w14:paraId="389A9A7A" w14:textId="77777777" w:rsidR="008D0810" w:rsidRDefault="008D0810">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8D0810">
          <w:footerReference w:type="default" r:id="rId33"/>
          <w:pgSz w:w="11906" w:h="16838"/>
          <w:pgMar w:top="1440" w:right="1800" w:bottom="1440" w:left="1800" w:header="851" w:footer="992" w:gutter="0"/>
          <w:pgNumType w:chapStyle="1"/>
          <w:cols w:space="720"/>
          <w:docGrid w:type="lines" w:linePitch="312"/>
        </w:sectPr>
      </w:pPr>
      <w:bookmarkStart w:id="356" w:name="_Toc214873607"/>
      <w:bookmarkStart w:id="357" w:name="_Toc416264553"/>
      <w:bookmarkStart w:id="358" w:name="_Toc263092326"/>
      <w:bookmarkStart w:id="359" w:name="_Toc29891"/>
      <w:bookmarkStart w:id="360" w:name="_Toc9005"/>
      <w:bookmarkStart w:id="361" w:name="_Toc98560364"/>
      <w:bookmarkStart w:id="362" w:name="_Toc8059"/>
      <w:bookmarkStart w:id="363" w:name="_Toc139991749"/>
      <w:bookmarkStart w:id="364" w:name="_Toc7170"/>
      <w:bookmarkStart w:id="365" w:name="_Toc123102466"/>
      <w:bookmarkStart w:id="366" w:name="_Toc22978"/>
      <w:bookmarkStart w:id="367" w:name="_Toc11113"/>
      <w:bookmarkStart w:id="368" w:name="_Toc6237"/>
      <w:bookmarkStart w:id="369" w:name="_Toc352229765"/>
      <w:bookmarkStart w:id="370" w:name="_Toc123051465"/>
      <w:bookmarkStart w:id="371" w:name="_Toc141703899"/>
      <w:bookmarkStart w:id="372" w:name="_Toc27464"/>
      <w:bookmarkStart w:id="373" w:name="_Toc8049"/>
      <w:bookmarkStart w:id="374" w:name="_Toc25647"/>
      <w:bookmarkStart w:id="375" w:name="_Toc123112247"/>
      <w:bookmarkStart w:id="376" w:name="_Toc10006"/>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1E24FC7C" w14:textId="77777777" w:rsidR="008D0810" w:rsidRDefault="00417F9F">
      <w:pPr>
        <w:pStyle w:val="1"/>
        <w:jc w:val="center"/>
        <w:rPr>
          <w:rFonts w:asciiTheme="minorEastAsia" w:eastAsiaTheme="minorEastAsia" w:hAnsiTheme="minorEastAsia" w:hint="eastAsia"/>
          <w:sz w:val="30"/>
          <w:szCs w:val="30"/>
        </w:rPr>
      </w:pPr>
      <w:bookmarkStart w:id="377" w:name="_Toc146096094"/>
      <w:r>
        <w:rPr>
          <w:rFonts w:asciiTheme="minorEastAsia" w:eastAsiaTheme="minorEastAsia" w:hAnsiTheme="minorEastAsia" w:hint="eastAsia"/>
          <w:sz w:val="30"/>
          <w:szCs w:val="30"/>
        </w:rPr>
        <w:lastRenderedPageBreak/>
        <w:t>第十八部分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基金合同的内容摘要</w:t>
      </w:r>
      <w:bookmarkEnd w:id="356"/>
      <w:bookmarkEnd w:id="357"/>
      <w:bookmarkEnd w:id="358"/>
      <w:bookmarkEnd w:id="377"/>
    </w:p>
    <w:p w14:paraId="0BF6E37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一、基金份额持有人、基金管理人和基金托管人的权利、义务</w:t>
      </w:r>
    </w:p>
    <w:p w14:paraId="197FF09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bCs/>
          <w:sz w:val="24"/>
          <w:szCs w:val="24"/>
        </w:rPr>
        <w:tab/>
      </w:r>
      <w:r>
        <w:rPr>
          <w:rFonts w:asciiTheme="minorEastAsia" w:hAnsiTheme="minorEastAsia" w:cs="Times New Roman" w:hint="eastAsia"/>
          <w:bCs/>
          <w:sz w:val="24"/>
          <w:szCs w:val="24"/>
        </w:rPr>
        <w:t>基金管理人的权利与义务</w:t>
      </w:r>
    </w:p>
    <w:p w14:paraId="5C3EA85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1、根据《基金法》、《运作办法》及其他有关规定，基金管理人的权利包括但不限于：</w:t>
      </w:r>
    </w:p>
    <w:p w14:paraId="6ACC6A9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1）依法募集资金；</w:t>
      </w:r>
    </w:p>
    <w:p w14:paraId="3F21248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2）自《基金合同》生效之日起，根据法律法规和《基金合同》独立运用并管理基金财产；</w:t>
      </w:r>
    </w:p>
    <w:p w14:paraId="75831F9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3）依照《基金合同》收取基金管理费以及法律法规规定或中国证监会批准的其他费用；</w:t>
      </w:r>
    </w:p>
    <w:p w14:paraId="425FC7C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4）销售基金份额；</w:t>
      </w:r>
    </w:p>
    <w:p w14:paraId="6F81360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5）按照规定召集基金份额持有人大会；</w:t>
      </w:r>
    </w:p>
    <w:p w14:paraId="4B027E9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39C01F6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7）在基金托管人更换时，提名新的基金托管人；</w:t>
      </w:r>
    </w:p>
    <w:p w14:paraId="1A80BDF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8）选择、更换基金销售机构，对基金销售机构的相关行为进行监督和处理； </w:t>
      </w:r>
    </w:p>
    <w:p w14:paraId="580515A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9）担任或委托其他符合条件的机构担任基金登记机构办理基金登记业务并获得《基金合同》规定的费用； </w:t>
      </w:r>
    </w:p>
    <w:p w14:paraId="561DA9B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10）依据《基金合同》及有关法律规定决定基金收益的分配方案；</w:t>
      </w:r>
      <w:r>
        <w:rPr>
          <w:rFonts w:asciiTheme="minorEastAsia" w:hAnsiTheme="minorEastAsia" w:cs="Times New Roman"/>
          <w:bCs/>
          <w:sz w:val="24"/>
          <w:szCs w:val="24"/>
        </w:rPr>
        <w:tab/>
      </w:r>
    </w:p>
    <w:p w14:paraId="4B040AA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11）在《基金合同》约定的范围内，拒绝或暂停受理申购与赎回申请； </w:t>
      </w:r>
    </w:p>
    <w:p w14:paraId="751A4FB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12）依照法律法规为基金的利益对被投资公司行使股东权利，为基金的利益行使因基金财产投资于证券所产生的权利；</w:t>
      </w:r>
      <w:r>
        <w:rPr>
          <w:rFonts w:asciiTheme="minorEastAsia" w:hAnsiTheme="minorEastAsia" w:cs="Times New Roman"/>
          <w:bCs/>
          <w:sz w:val="24"/>
          <w:szCs w:val="24"/>
        </w:rPr>
        <w:tab/>
      </w:r>
    </w:p>
    <w:p w14:paraId="0D71C4A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13）以基金管理人的名义，代表基金份额持有人的利益行使诉讼权利或者实施其他法律行为；</w:t>
      </w:r>
      <w:r>
        <w:rPr>
          <w:rFonts w:asciiTheme="minorEastAsia" w:hAnsiTheme="minorEastAsia" w:cs="Times New Roman"/>
          <w:bCs/>
          <w:sz w:val="24"/>
          <w:szCs w:val="24"/>
        </w:rPr>
        <w:tab/>
      </w:r>
    </w:p>
    <w:p w14:paraId="6092F18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14）选择、更换律师事务所、会计师事务所、证券经纪商、期货经纪商或其他为基金提供服务的外部机构；</w:t>
      </w:r>
      <w:r>
        <w:rPr>
          <w:rFonts w:asciiTheme="minorEastAsia" w:hAnsiTheme="minorEastAsia" w:cs="Times New Roman"/>
          <w:bCs/>
          <w:sz w:val="24"/>
          <w:szCs w:val="24"/>
        </w:rPr>
        <w:tab/>
      </w:r>
    </w:p>
    <w:p w14:paraId="0049536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15）在符合有关法律、法规的前提下，制订和调整有关基金认购、申购、赎回、转换和</w:t>
      </w:r>
      <w:r>
        <w:rPr>
          <w:rFonts w:asciiTheme="minorEastAsia" w:hAnsiTheme="minorEastAsia" w:cs="Times New Roman" w:hint="eastAsia"/>
          <w:bCs/>
          <w:sz w:val="24"/>
          <w:szCs w:val="24"/>
        </w:rPr>
        <w:t>非交易过户等业务规则；</w:t>
      </w:r>
    </w:p>
    <w:p w14:paraId="1810DA6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16）法律法规及中国证监会规定的和《基金合同》约定的其他权利。</w:t>
      </w:r>
    </w:p>
    <w:p w14:paraId="5997684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2、根据《基金法》、《运作办法》及其他有关规定，基金管理人的义务包括但不限于：</w:t>
      </w:r>
    </w:p>
    <w:p w14:paraId="208933B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1）依法募集资金，办理或者委托经中国证监会认定的其他机构代为办理基金份额的发售、申购、赎回和登记事宜；</w:t>
      </w:r>
    </w:p>
    <w:p w14:paraId="4A92969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2）办理基金备案手续；</w:t>
      </w:r>
    </w:p>
    <w:p w14:paraId="74A7791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3）自《基金合同》生效之日起，以诚实信用、谨慎勤勉的原则管理和运用基金财产；</w:t>
      </w:r>
    </w:p>
    <w:p w14:paraId="57DD529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4）配备足够的具有专业资格的人员进行基金投资分析、决策，以专业化的经营方式管理和运作基金财产；</w:t>
      </w:r>
    </w:p>
    <w:p w14:paraId="60B5CEE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5）建立健全内部风险控制、监察与稽核、财务管理及人事管理等制度，保证所管理的基金财产和基金管理人的财产相互独立，对所管理的不同基金分别管理，分别记账，进行证券投资；</w:t>
      </w:r>
    </w:p>
    <w:p w14:paraId="39CF7DA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6）除依据《基金法》、《基金合同》及其他有关规定外，不得利用基金财产为自己及任何第三人谋取利益，不得委托第三人运作基金财产；</w:t>
      </w:r>
    </w:p>
    <w:p w14:paraId="6813AA8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7）依法接受基金托管人的监督；</w:t>
      </w:r>
    </w:p>
    <w:p w14:paraId="5581245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8）采取适当合理的措施使计算基金份额认购、申购、赎回和注销价格的方法符合《基金合同》等法律文件的规定，按有关规定计算并公告</w:t>
      </w:r>
      <w:r>
        <w:rPr>
          <w:rFonts w:asciiTheme="minorEastAsia" w:hAnsiTheme="minorEastAsia" w:cs="Times New Roman" w:hint="eastAsia"/>
          <w:bCs/>
          <w:sz w:val="24"/>
          <w:szCs w:val="24"/>
        </w:rPr>
        <w:t>基金净值信息，确定基金份额申购、赎回对价，编制申购赎回清单；</w:t>
      </w:r>
    </w:p>
    <w:p w14:paraId="565B81F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9）进行基金会计核算并编制基金财务会计报告；</w:t>
      </w:r>
    </w:p>
    <w:p w14:paraId="0F956CD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10）编制季度</w:t>
      </w:r>
      <w:r>
        <w:rPr>
          <w:rFonts w:asciiTheme="minorEastAsia" w:hAnsiTheme="minorEastAsia" w:cs="Times New Roman" w:hint="eastAsia"/>
          <w:bCs/>
          <w:sz w:val="24"/>
          <w:szCs w:val="24"/>
        </w:rPr>
        <w:t>报告、中期报告和年度报告；</w:t>
      </w:r>
    </w:p>
    <w:p w14:paraId="727E6AD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11）严格按照《基金法》、《基金合同》及其他有关规定，履行信息披露及报告义务；</w:t>
      </w:r>
    </w:p>
    <w:p w14:paraId="76D4E2E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12）保守基金商业秘密，不泄露基金投资计划、投资意向等。除《基金法》、《基金合同》及其他有关规定另有规定外，在基金信息公开披露前应予保密，不向他人泄露；</w:t>
      </w:r>
    </w:p>
    <w:p w14:paraId="60110E2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13）按《基金合同》的约定确定基金收益分配方案，及时向基金份额持有人分配基金收益；</w:t>
      </w:r>
    </w:p>
    <w:p w14:paraId="0959F45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14）按规定受理申购与赎回申请，及时、足额支付赎回款项；</w:t>
      </w:r>
    </w:p>
    <w:p w14:paraId="5AFEC00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15）依据《基金法》、《基金合同》及其他有关规定召集基金份额持有人大会或配合基金托管人、基金份额持有人依法召集基金份额持有人大会；</w:t>
      </w:r>
    </w:p>
    <w:p w14:paraId="7A1AEA3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16）按规定保存基金财产管理业务活动的会计账册、报表、记录和其他相关资料15年以上；</w:t>
      </w:r>
    </w:p>
    <w:p w14:paraId="7598605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B4454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18）组织并参加基金财产清算小组，参与基金财产的保管、清理、估价、变现和分配；</w:t>
      </w:r>
    </w:p>
    <w:p w14:paraId="2BD217F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19）面临解散、依法被撤销或者被依法宣告破产时，及时报告中国证监会并通知基金托管人；</w:t>
      </w:r>
    </w:p>
    <w:p w14:paraId="35ED7B7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20）因违反《基金合同》导致基金财产的损失或损害基金份额持有人合法权益时，应当承担赔偿责任，其赔偿责任不因其退任而免除；</w:t>
      </w:r>
    </w:p>
    <w:p w14:paraId="72A5D12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5E54BD7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22）当基金管理人将其义务委托第三方处理时，应当对第三方处理有关基金事务的行为承担责任；</w:t>
      </w:r>
    </w:p>
    <w:p w14:paraId="73F5A6B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23）以基金管理人名义，代表基金份额持有人利益行使诉讼权利或实施其他法律行为；</w:t>
      </w:r>
    </w:p>
    <w:p w14:paraId="320AB46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5FB84E3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25）执行生效的基金份额持有人大会的决议；</w:t>
      </w:r>
    </w:p>
    <w:p w14:paraId="3C9CF8D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26）建立并保存基金份额持有人名册；</w:t>
      </w:r>
    </w:p>
    <w:p w14:paraId="6D03CCD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27）法律法规及中国证监会规定的和《基金合同》约定的其他义务。</w:t>
      </w:r>
    </w:p>
    <w:p w14:paraId="45D6216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（二）</w:t>
      </w:r>
      <w:r>
        <w:rPr>
          <w:rFonts w:asciiTheme="minorEastAsia" w:hAnsiTheme="minorEastAsia" w:cs="Times New Roman"/>
          <w:bCs/>
          <w:sz w:val="24"/>
          <w:szCs w:val="24"/>
        </w:rPr>
        <w:tab/>
      </w:r>
      <w:r>
        <w:rPr>
          <w:rFonts w:asciiTheme="minorEastAsia" w:hAnsiTheme="minorEastAsia" w:cs="Times New Roman" w:hint="eastAsia"/>
          <w:bCs/>
          <w:sz w:val="24"/>
          <w:szCs w:val="24"/>
        </w:rPr>
        <w:t>基金托管人的权利与义务</w:t>
      </w:r>
    </w:p>
    <w:p w14:paraId="42CD642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1、根据《基金法》、《运作办法》及其他有关规定，基金托管人的权利包括但不限于：</w:t>
      </w:r>
    </w:p>
    <w:p w14:paraId="5C89362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1）自《基金合同》生效之日起，依法</w:t>
      </w:r>
      <w:r>
        <w:rPr>
          <w:rFonts w:asciiTheme="minorEastAsia" w:hAnsiTheme="minorEastAsia" w:cs="Times New Roman" w:hint="eastAsia"/>
          <w:bCs/>
          <w:sz w:val="24"/>
          <w:szCs w:val="24"/>
        </w:rPr>
        <w:t>律法规和《基金合同》的规定安全保管基金财产；</w:t>
      </w:r>
    </w:p>
    <w:p w14:paraId="16EEDF7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2）依《基金合同》约定获得基金托管费以及法律法规规定或监管部门批准的其他费用；</w:t>
      </w:r>
    </w:p>
    <w:p w14:paraId="64FFB0A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02890A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4）根据相关市场规则，为基金开设资金账户、证券账户</w:t>
      </w:r>
      <w:r>
        <w:rPr>
          <w:rFonts w:asciiTheme="minorEastAsia" w:hAnsiTheme="minorEastAsia" w:cs="Times New Roman" w:hint="eastAsia"/>
          <w:bCs/>
          <w:sz w:val="24"/>
          <w:szCs w:val="24"/>
        </w:rPr>
        <w:t>、期货账户等投资所需账户，为基金办理证券交易资金清算；</w:t>
      </w:r>
    </w:p>
    <w:p w14:paraId="6F42CB1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5）提议召开或召集基金份额持有人大会；</w:t>
      </w:r>
    </w:p>
    <w:p w14:paraId="7075D21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6）在基金管理人更换时，提名新的基金管理人；</w:t>
      </w:r>
    </w:p>
    <w:p w14:paraId="7309F17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7）法律法规及中国证监会规定的和《基金合同》约定的其他权利。</w:t>
      </w:r>
    </w:p>
    <w:p w14:paraId="5F80F06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2、根据《基金法》、《运作办法》及其他有关规定，基金托管人的义务包括但不限于：</w:t>
      </w:r>
    </w:p>
    <w:p w14:paraId="709312E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1）以诚实信用、勤勉尽责的原则持有并安全保管基金财产；</w:t>
      </w:r>
    </w:p>
    <w:p w14:paraId="55491B4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2）设立专门的基金托管部门，具有符合要求的营业场所，配备足够的、合格的熟悉基金托管业务的专职人员，负责基金财产托管事宜；</w:t>
      </w:r>
    </w:p>
    <w:p w14:paraId="70A9750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FC34E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4）除依据《基金法》、《基金合同》及其他有关规定外，不得利用基金财产为自己及任何第三人谋取利益，不得委托第三人托管基金财产；</w:t>
      </w:r>
    </w:p>
    <w:p w14:paraId="7986A9A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5）保管由基金管理人代表基金签订的与基金有关的重大合同及有关凭证；</w:t>
      </w:r>
    </w:p>
    <w:p w14:paraId="3E286CA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6）按规定开设基金财产的资金账户、证券账户</w:t>
      </w:r>
      <w:r>
        <w:rPr>
          <w:rFonts w:asciiTheme="minorEastAsia" w:hAnsiTheme="minorEastAsia" w:cs="Times New Roman" w:hint="eastAsia"/>
          <w:bCs/>
          <w:sz w:val="24"/>
          <w:szCs w:val="24"/>
        </w:rPr>
        <w:t>、期货账户等投资所需账户，按照《基金合同》的约定，根据基金管理人的投资指令，及时办理清算、交割事宜；</w:t>
      </w:r>
    </w:p>
    <w:p w14:paraId="2FDD00A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7）保守基金商业秘密，除《基金法》、《基金合同》及其他有关规定另有规定外，在基金信息公开披露前予以保密，不得向他人泄露；</w:t>
      </w:r>
    </w:p>
    <w:p w14:paraId="4C6E290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8）复核、审查基金管理人计算的</w:t>
      </w:r>
      <w:r>
        <w:rPr>
          <w:rFonts w:asciiTheme="minorEastAsia" w:hAnsiTheme="minorEastAsia" w:cs="Times New Roman" w:hint="eastAsia"/>
          <w:bCs/>
          <w:sz w:val="24"/>
          <w:szCs w:val="24"/>
        </w:rPr>
        <w:t>基金资产净值、基金份额净值、基金份额申购、赎回价格；</w:t>
      </w:r>
    </w:p>
    <w:p w14:paraId="3928099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9）办理与基金托管业务活动有关的信息披露事项；</w:t>
      </w:r>
    </w:p>
    <w:p w14:paraId="5005CEB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10）对基金财务会计报告、季度</w:t>
      </w:r>
      <w:r>
        <w:rPr>
          <w:rFonts w:asciiTheme="minorEastAsia" w:hAnsiTheme="minorEastAsia" w:cs="Times New Roman" w:hint="eastAsia"/>
          <w:bCs/>
          <w:sz w:val="24"/>
          <w:szCs w:val="24"/>
        </w:rPr>
        <w:t>报告、中期</w:t>
      </w:r>
      <w:r>
        <w:rPr>
          <w:rFonts w:asciiTheme="minorEastAsia" w:hAnsiTheme="minorEastAsia" w:cs="Times New Roman"/>
          <w:bCs/>
          <w:sz w:val="24"/>
          <w:szCs w:val="24"/>
        </w:rPr>
        <w:t>报告</w:t>
      </w:r>
      <w:r>
        <w:rPr>
          <w:rFonts w:asciiTheme="minorEastAsia" w:hAnsiTheme="minorEastAsia" w:cs="Times New Roman" w:hint="eastAsia"/>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09D7ED9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11）保存基金托管业务活动的记录、账册、报表和其他相关资料15年以上；</w:t>
      </w:r>
    </w:p>
    <w:p w14:paraId="3BC1982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w:t>
      </w:r>
      <w:r>
        <w:rPr>
          <w:rFonts w:asciiTheme="minorEastAsia" w:hAnsiTheme="minorEastAsia" w:cs="Times New Roman" w:hint="eastAsia"/>
          <w:bCs/>
          <w:sz w:val="24"/>
          <w:szCs w:val="24"/>
        </w:rPr>
        <w:t>从基金管理人或其委托的登记机构处接收并保存基金份额持有人名册；</w:t>
      </w:r>
    </w:p>
    <w:p w14:paraId="0CF7377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13）按规定制作相关账册并与基金管理人核对；</w:t>
      </w:r>
    </w:p>
    <w:p w14:paraId="03185AA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14）依据基金管理人的指令或有关规定向基金份额持有人支付基金收益和赎回款项；</w:t>
      </w:r>
    </w:p>
    <w:p w14:paraId="585B756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15）依据《基金法》、《基金合同》及其他有关规定，召集基金份额持有人大会或配合基金管理人、基金份额持有人依法召集基金份额持有人大会；</w:t>
      </w:r>
    </w:p>
    <w:p w14:paraId="47B34F4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16）按照法律法规和《基金合同》的规定监督基金管理人的投资运作；</w:t>
      </w:r>
    </w:p>
    <w:p w14:paraId="44F622E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17）参加基金财产清算小组，参与基金财产的保管、清理、估价、变现和分配；</w:t>
      </w:r>
    </w:p>
    <w:p w14:paraId="31A4C66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18）面临解散、依法被撤销或者被依法宣告破产时，及时报告中国证监会和银行监管机构，并通知基金管理人；</w:t>
      </w:r>
    </w:p>
    <w:p w14:paraId="195C9E9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19）因违反《基金合同》导致基金财产损失时，应承担赔偿责任，其赔偿责任不因其退任而免除；</w:t>
      </w:r>
    </w:p>
    <w:p w14:paraId="113C9E5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20）按规定监督基金管理人按法律法规和《基金合同》规定履行自己的义务，基金管理人因违反《基金合同》造成基金财产损失时，应为基金份额持有人利益向基金管理人追偿；</w:t>
      </w:r>
    </w:p>
    <w:p w14:paraId="5D9210E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21）执行生效的基金份额持有人大会的决议；</w:t>
      </w:r>
    </w:p>
    <w:p w14:paraId="479FE78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22）法律法规及中国证监会规定的和《基金合同》约定的其他义务。</w:t>
      </w:r>
    </w:p>
    <w:p w14:paraId="5C811B6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（三）基金份额持有人的权利和义务</w:t>
      </w:r>
    </w:p>
    <w:p w14:paraId="6005FD1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0CB22A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同一类别每份基金份额具有同等的合法权益。本基金</w:t>
      </w:r>
      <w:r>
        <w:rPr>
          <w:rFonts w:asciiTheme="minorEastAsia" w:hAnsiTheme="minorEastAsia" w:cs="Times New Roman"/>
          <w:bCs/>
          <w:sz w:val="24"/>
          <w:szCs w:val="24"/>
        </w:rPr>
        <w:t>A类基金份额与C类基金份额由于基金份额净值的不同，基金收益分配的金额以及参与清算后的剩余基金财产分配的数量将可能有所不同。</w:t>
      </w:r>
    </w:p>
    <w:p w14:paraId="6BFE90C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1、根据《基金法》、《运作办法》及其他有关规定，基金份额持有人的权利包括但不限于：</w:t>
      </w:r>
    </w:p>
    <w:p w14:paraId="2005102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1）分享基金财产收益；</w:t>
      </w:r>
    </w:p>
    <w:p w14:paraId="7D48F3A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2）参与分配清算后的剩余基金财产；</w:t>
      </w:r>
    </w:p>
    <w:p w14:paraId="72B7CE1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3）依法申请赎回其持有的基金份额；</w:t>
      </w:r>
    </w:p>
    <w:p w14:paraId="106B325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4）按照规定要求召开基金份额持有人大会或者召集基金份额持有人大会；</w:t>
      </w:r>
    </w:p>
    <w:p w14:paraId="7B76D43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5）出席或者委派代表出席基金份额持有人大会，对基金份额持有人大会审议事项行使表决权；</w:t>
      </w:r>
    </w:p>
    <w:p w14:paraId="18B782E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6）查阅或者复制公开披露的基金信息资料；</w:t>
      </w:r>
    </w:p>
    <w:p w14:paraId="5325411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7）监督基金管理人的投资运作；</w:t>
      </w:r>
    </w:p>
    <w:p w14:paraId="573DF3A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8）对基金管理人、基金托管人、基金服务机构损害其合法权益的行为依法提起诉讼或仲裁；</w:t>
      </w:r>
    </w:p>
    <w:p w14:paraId="7EB93CA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9）法律法规及中国证监会规定的和《基金合同》约定的其他权利。</w:t>
      </w:r>
    </w:p>
    <w:p w14:paraId="2358136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2、根据《基金法》、《运作办法》及其他有关规定，基金份额持有人的义务包括但不限于：</w:t>
      </w:r>
    </w:p>
    <w:p w14:paraId="04EE311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1）认真阅读并遵守《基金合同》、招募说明书等信息披露文件；</w:t>
      </w:r>
    </w:p>
    <w:p w14:paraId="40DEEA5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2）了解所投资基金产品，了解自身风险承受能力，自主判断基金的投资价值，自主做出投资决策，自行承担投资风险；</w:t>
      </w:r>
    </w:p>
    <w:p w14:paraId="42D01BE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3）关注基金信息披露，及时行使权利和履行义务；</w:t>
      </w:r>
    </w:p>
    <w:p w14:paraId="44CAB3F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4）缴纳基金认购、申购款项及法律法规和《基金合同》所规定的费用；</w:t>
      </w:r>
    </w:p>
    <w:p w14:paraId="2F672F8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5）在其持有的基金份额范围内，承担基金亏损或者《基金合同》终止的有限责任；</w:t>
      </w:r>
    </w:p>
    <w:p w14:paraId="2496056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6）不从事任何有损基金及其他《基金合同》当事人合法权益的活动；</w:t>
      </w:r>
    </w:p>
    <w:p w14:paraId="2A59702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7）执行生效的基金份额持有人大会的决议；</w:t>
      </w:r>
    </w:p>
    <w:p w14:paraId="44310D3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8）返还在基金交易过程中因任何原因获得的不当得利；</w:t>
      </w:r>
    </w:p>
    <w:p w14:paraId="28D4F0E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9）法律法规及中国证监会规定的和《基金合同》约定的其他义务。</w:t>
      </w:r>
    </w:p>
    <w:p w14:paraId="0C2A229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二、基金份额持有人大会召集、议事及表决的程序和规则</w:t>
      </w:r>
    </w:p>
    <w:p w14:paraId="477E94F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5E25767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本基金份额持有人大会不设日常机构。</w:t>
      </w:r>
    </w:p>
    <w:p w14:paraId="5E3F5A1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3F6F5B6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1、当出现或需要决定下列事由之一的，应当召开基金份额持有人大会：</w:t>
      </w:r>
    </w:p>
    <w:p w14:paraId="2E114ED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1）终止《基金合同》，但《基金合同》另有约定的除外；</w:t>
      </w:r>
    </w:p>
    <w:p w14:paraId="690B37B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2）更换基金管理人；</w:t>
      </w:r>
    </w:p>
    <w:p w14:paraId="6E6579F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3）更换基金托管人；</w:t>
      </w:r>
    </w:p>
    <w:p w14:paraId="4604D6B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4）转换基金运作方式；</w:t>
      </w:r>
    </w:p>
    <w:p w14:paraId="42AD15B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5）调整基金管理人、基金托管人</w:t>
      </w:r>
      <w:r>
        <w:rPr>
          <w:rFonts w:asciiTheme="minorEastAsia" w:hAnsiTheme="minorEastAsia" w:hint="eastAsia"/>
          <w:bCs/>
          <w:sz w:val="24"/>
          <w:szCs w:val="24"/>
        </w:rPr>
        <w:t>报酬标准</w:t>
      </w:r>
      <w:r>
        <w:rPr>
          <w:rFonts w:asciiTheme="minorEastAsia" w:hAnsiTheme="minorEastAsia" w:cs="Times New Roman" w:hint="eastAsia"/>
          <w:bCs/>
          <w:sz w:val="24"/>
          <w:szCs w:val="24"/>
        </w:rPr>
        <w:t>或调高销售服务费率；</w:t>
      </w:r>
    </w:p>
    <w:p w14:paraId="05282B3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6）变更基金类别；</w:t>
      </w:r>
    </w:p>
    <w:p w14:paraId="710F776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7）本基金与其他基金的合并；</w:t>
      </w:r>
    </w:p>
    <w:p w14:paraId="7963DB9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8）变更基金投资目标、范围或策略；</w:t>
      </w:r>
    </w:p>
    <w:p w14:paraId="06EC2CC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9）变更基金份额持有人大会程序；</w:t>
      </w:r>
    </w:p>
    <w:p w14:paraId="2D7E06E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10）基金管理人或基金托管人要求召开基金份额持有人大会；</w:t>
      </w:r>
    </w:p>
    <w:p w14:paraId="56DB085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2BDB84D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12）对基金合同当事人权利和义务产生重大影响的其他事项；</w:t>
      </w:r>
    </w:p>
    <w:p w14:paraId="1F84DFE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13）法律法规、《基金合同》或中国证监会规定的其他应当召开基金份额持有人大会的事项。</w:t>
      </w:r>
    </w:p>
    <w:p w14:paraId="478ECE6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2、以下情况可由基金管理人和基金托管人协商后修改，不需召开基金份额持有人大会：</w:t>
      </w:r>
    </w:p>
    <w:p w14:paraId="4C9025D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1）调低销售服务费；</w:t>
      </w:r>
    </w:p>
    <w:p w14:paraId="5107C72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2）法律法规要求增加的基金费用的收取；</w:t>
      </w:r>
    </w:p>
    <w:p w14:paraId="3270D3A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在法律法规和《基金合同》规定的范围内且对现有基金份额持有人利益无实质性不利影响的前提下调整本基金的申购费率、调低赎回费率或变更收费方式、增加、减少或调整基金份额类别设置、对基金份额分类办法及规则进行调整、推出新业务或新服务；</w:t>
      </w:r>
    </w:p>
    <w:p w14:paraId="2D7574E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w:t>
      </w:r>
      <w:r>
        <w:rPr>
          <w:rFonts w:asciiTheme="minorEastAsia" w:hAnsiTheme="minorEastAsia" w:cs="Times New Roman" w:hint="eastAsia"/>
          <w:bCs/>
          <w:sz w:val="24"/>
          <w:szCs w:val="24"/>
        </w:rPr>
        <w:t>因相应的法律法规发生变动而应当对《基金合同》进行修改；</w:t>
      </w:r>
    </w:p>
    <w:p w14:paraId="0E11BE3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5）对《基金合同》的修改对基金份额持有人利益无实质性不利影响或修改不涉及《基金合同》当事人权利义务关系发生重大变化；</w:t>
      </w:r>
    </w:p>
    <w:p w14:paraId="59BA519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6）按照法律法规和《基金合同》规定不需召开基金份额持有人大会的其他情形。</w:t>
      </w:r>
    </w:p>
    <w:p w14:paraId="5BD7F38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06A56ED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1、除法律法规规定或《基金合同》另有约定外，基金份额持有人大会由基金管理人召集；</w:t>
      </w:r>
    </w:p>
    <w:p w14:paraId="1398D7F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2、基金管理人未按规定召集或不能召集时，由基金托管人召集；</w:t>
      </w:r>
    </w:p>
    <w:p w14:paraId="69A1CD4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日60日内召开；基金管理人决定不召集，基金托管人仍认为有必要召开的，应当由基金托管人自行召集，并自出具书面决定之日起60日内召开并告知基金管理人，基金管理人应当配合；</w:t>
      </w:r>
    </w:p>
    <w:p w14:paraId="7F4C557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E776CB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692115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6、基金份额持有人会议的召集人负责选择确定开会时间、地点、方式和权益登记日。</w:t>
      </w:r>
    </w:p>
    <w:p w14:paraId="1CAF987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1779A62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1、召开基金份额持有人大会，召集人应于会议召开前30日，在指定媒介公告。基金份额持有人大会通知应至少载明以下内容：</w:t>
      </w:r>
    </w:p>
    <w:p w14:paraId="30E7656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1）会议召开的时间、地点和会议形式；</w:t>
      </w:r>
    </w:p>
    <w:p w14:paraId="382B093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2）会议</w:t>
      </w:r>
      <w:r>
        <w:rPr>
          <w:rFonts w:asciiTheme="minorEastAsia" w:hAnsiTheme="minorEastAsia" w:cs="Times New Roman" w:hint="eastAsia"/>
          <w:bCs/>
          <w:sz w:val="24"/>
          <w:szCs w:val="24"/>
        </w:rPr>
        <w:t>拟审议的事项、议事程序和表决方式；</w:t>
      </w:r>
    </w:p>
    <w:p w14:paraId="660CB40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3）有权出席基金份额持有人大会的基金份额持有人的权益登记日；</w:t>
      </w:r>
    </w:p>
    <w:p w14:paraId="1062795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4）授权委托证明的内容要求（包括但不限于代理人身份，代理权限和代理有效期限等）、送达时间和地点；</w:t>
      </w:r>
    </w:p>
    <w:p w14:paraId="2CD58C1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5）会务常设联系人姓名及联系电话；</w:t>
      </w:r>
    </w:p>
    <w:p w14:paraId="176C42D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6）出席会议者必须准备的文件和必须履行的手续；</w:t>
      </w:r>
    </w:p>
    <w:p w14:paraId="2F4E29C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7）召集人需要通知的其他事项。</w:t>
      </w:r>
    </w:p>
    <w:p w14:paraId="64A6473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069CC3"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r>
        <w:rPr>
          <w:rFonts w:asciiTheme="minorEastAsia" w:hAnsiTheme="minorEastAsia" w:cs="Times New Roman" w:hint="eastAsia"/>
          <w:bCs/>
          <w:sz w:val="24"/>
          <w:szCs w:val="24"/>
        </w:rPr>
        <w:t>拒不派代表对表决意见的计票进行监督的，不影响表决意见的计票效力。</w:t>
      </w:r>
    </w:p>
    <w:p w14:paraId="4AB8BCE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2C32EDF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38E0CC1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303602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8BCBE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519FE5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2、通讯开会。通讯开会系指基金份额持有人将其对表决事项的投票以书面形式</w:t>
      </w:r>
      <w:r>
        <w:rPr>
          <w:rFonts w:asciiTheme="minorEastAsia" w:hAnsiTheme="minorEastAsia" w:cs="Times New Roman" w:hint="eastAsia"/>
          <w:bCs/>
          <w:sz w:val="24"/>
          <w:szCs w:val="24"/>
        </w:rPr>
        <w:t>或大会公告载明的其他方式在表决截至日以前送达至召集人指定的地址。通讯开会应以书面方式或大会公告载明的其他方式进行表决。</w:t>
      </w:r>
    </w:p>
    <w:p w14:paraId="413F038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29774D8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1）会议召集人按《基金合同》约定公布会议通知后，在2个工作日内连续公布相关提示性公告；</w:t>
      </w:r>
    </w:p>
    <w:p w14:paraId="60E5F4B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0E9943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表决意见或授权他人代表出具表决意见；</w:t>
      </w:r>
    </w:p>
    <w:p w14:paraId="4BE8520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AA0CCF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3、在法律法规和监管机关允许的情况下，本基金的基金份额持有人亦可采用其他非书面方式授权其代理人出席基金份额持有人大会，具体方式由会议召集人确定并在会议通知中列明。</w:t>
      </w:r>
    </w:p>
    <w:p w14:paraId="75E3C61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4、在会议召开方式上，本基金亦可采用其他非现场方式或者以现场方式与非现场方式相结合的方式召开基金份额持有人大会，会议程序比照现场开会和通讯方式开会的程序进行。</w:t>
      </w:r>
    </w:p>
    <w:p w14:paraId="3E33608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（五）议事内容与程序</w:t>
      </w:r>
    </w:p>
    <w:p w14:paraId="540C1FB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1、议事内容及提案权</w:t>
      </w:r>
    </w:p>
    <w:p w14:paraId="7028D00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C1404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58CBFCB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24AB14A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2、议事程序</w:t>
      </w:r>
    </w:p>
    <w:p w14:paraId="5243530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1）现场开会</w:t>
      </w:r>
    </w:p>
    <w:p w14:paraId="7BD44A7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A3AAAA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57B18B4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2）通讯开会</w:t>
      </w:r>
    </w:p>
    <w:p w14:paraId="51390EF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在通讯开会的情况下，首先由召集人提前</w:t>
      </w:r>
      <w:r>
        <w:rPr>
          <w:rFonts w:asciiTheme="minorEastAsia" w:hAnsiTheme="minorEastAsia" w:cs="Times New Roman"/>
          <w:bCs/>
          <w:sz w:val="24"/>
          <w:szCs w:val="24"/>
        </w:rPr>
        <w:t>30日公布提案，在所通知的表决截止日期后2个工作日内在公证机关监督下由召集人统计全部有效表决，在公证机关监督下形成决议。</w:t>
      </w:r>
    </w:p>
    <w:p w14:paraId="1500E4D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5E57D94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6B377C7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4AADDA5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A9ED71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AAD39E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329362D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4442C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64C2904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（七）计票</w:t>
      </w:r>
    </w:p>
    <w:p w14:paraId="1724DDC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1、现场开会</w:t>
      </w:r>
    </w:p>
    <w:p w14:paraId="7C5D4F7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r>
        <w:rPr>
          <w:rFonts w:asciiTheme="minorEastAsia" w:hAnsiTheme="minorEastAsia" w:cs="Times New Roman" w:hint="eastAsia"/>
          <w:bCs/>
          <w:sz w:val="24"/>
          <w:szCs w:val="24"/>
        </w:rPr>
        <w:t>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BF8F0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2）监票人应当在基金份额持有人表决后立即进行清点并由大会主持人当场公布计票结果。</w:t>
      </w:r>
    </w:p>
    <w:p w14:paraId="29DFF6B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3）如果会议主持人或基金份额持有人或代理人对于提交的表决结果有怀疑，可以在宣布表决结果后立即对所投票</w:t>
      </w:r>
      <w:r>
        <w:rPr>
          <w:rFonts w:asciiTheme="minorEastAsia" w:hAnsiTheme="minorEastAsia" w:cs="Times New Roman" w:hint="eastAsia"/>
          <w:bCs/>
          <w:sz w:val="24"/>
          <w:szCs w:val="24"/>
        </w:rPr>
        <w:t>数要求进行重新清点。监票人应当进行</w:t>
      </w:r>
      <w:r>
        <w:rPr>
          <w:rFonts w:asciiTheme="minorEastAsia" w:hAnsiTheme="minorEastAsia" w:cs="Times New Roman" w:hint="eastAsia"/>
          <w:bCs/>
          <w:sz w:val="24"/>
          <w:szCs w:val="24"/>
        </w:rPr>
        <w:lastRenderedPageBreak/>
        <w:t>重新清点，重新清点以一次为限。重新清点后，大会主持人应当当场公布重新清点结果。</w:t>
      </w:r>
    </w:p>
    <w:p w14:paraId="100869C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4）计票过程应由公证机关予以公证，基金管理人或基金托管人拒不出席大会的，不影响计票的效力。</w:t>
      </w:r>
    </w:p>
    <w:p w14:paraId="2DCFB47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2、通讯开会</w:t>
      </w:r>
    </w:p>
    <w:p w14:paraId="144B0EA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E7DD2D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（八）生效与公告</w:t>
      </w:r>
    </w:p>
    <w:p w14:paraId="5C0E687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w:t>
      </w:r>
      <w:r>
        <w:rPr>
          <w:rFonts w:asciiTheme="minorEastAsia" w:hAnsiTheme="minorEastAsia" w:cs="Times New Roman"/>
          <w:bCs/>
          <w:sz w:val="24"/>
          <w:szCs w:val="24"/>
        </w:rPr>
        <w:t>5日内报中国证监会备案。</w:t>
      </w:r>
    </w:p>
    <w:p w14:paraId="2FCA2EFD"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7A797B9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w:t>
      </w:r>
      <w:r>
        <w:rPr>
          <w:rFonts w:asciiTheme="minorEastAsia" w:hAnsiTheme="minorEastAsia" w:cs="Times New Roman"/>
          <w:bCs/>
          <w:sz w:val="24"/>
          <w:szCs w:val="24"/>
        </w:rPr>
        <w:t>2个工作日内在指定媒介上公告。如果采用通讯方式进行表决，在公告基金份额持有人大会决议时，必须将公证书全文、公证机构、公证员姓名等一同公告。</w:t>
      </w:r>
    </w:p>
    <w:p w14:paraId="2188693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9383BF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D61514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三、基金合同解除和终止的事由、程序以及基金财产清算方式</w:t>
      </w:r>
    </w:p>
    <w:p w14:paraId="2978669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0B03849F"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1、变更基金合同涉及法律法规规定或本基金合同约定应经基金份额持有人大会决议通过的事项的，应召</w:t>
      </w:r>
      <w:r>
        <w:rPr>
          <w:rFonts w:asciiTheme="minorEastAsia" w:hAnsiTheme="minorEastAsia" w:cs="Times New Roman" w:hint="eastAsia"/>
          <w:bCs/>
          <w:sz w:val="24"/>
          <w:szCs w:val="24"/>
        </w:rPr>
        <w:t>开基金份额持有人大会决议通过。对于可不经基金份额持有人大会决议通过的事项，由基金管理人和基金托管人同意后变更并公告，并报中国证监会备案。</w:t>
      </w:r>
    </w:p>
    <w:p w14:paraId="2103873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 xml:space="preserve"> 2、关于《基金合同》变更的基金份额持有人大会决议自生效后方可执行，并</w:t>
      </w:r>
      <w:r>
        <w:rPr>
          <w:rFonts w:asciiTheme="minorEastAsia" w:hAnsiTheme="minorEastAsia" w:cs="Times New Roman" w:hint="eastAsia"/>
          <w:bCs/>
          <w:sz w:val="24"/>
          <w:szCs w:val="24"/>
        </w:rPr>
        <w:t>自决议生效后两个工作日内在指定媒介公告。</w:t>
      </w:r>
    </w:p>
    <w:p w14:paraId="1F67902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（二）《基金合同》的终止事由</w:t>
      </w:r>
    </w:p>
    <w:p w14:paraId="6311874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有下列情形之一的，《基金合同》应当终止：</w:t>
      </w:r>
    </w:p>
    <w:p w14:paraId="327F6C3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1、基金份额持有人大会决定终止的；</w:t>
      </w:r>
    </w:p>
    <w:p w14:paraId="5D681189"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2、基金管理人、基金托管人职责终止，在6个月内没有新基金管理人、新基金托管人承接的；</w:t>
      </w:r>
    </w:p>
    <w:p w14:paraId="7C75A981"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3、《基金合同》约定的其他情形；</w:t>
      </w:r>
    </w:p>
    <w:p w14:paraId="48F4B9E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4、相关法律法规和中国证监会规定的其他情况。</w:t>
      </w:r>
    </w:p>
    <w:p w14:paraId="6F8D302E"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（三）基金财产的清算</w:t>
      </w:r>
    </w:p>
    <w:p w14:paraId="167E3D50"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1、基金财产清算小组：自出现《基金合同》终止事由之日起30个工作日内成立清算小组，基金管理人组织基金财产清算小组并在中国证监会的监督下进行基金清算。</w:t>
      </w:r>
    </w:p>
    <w:p w14:paraId="0402EF6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2、基金财产清算小组组成：基金财产清算小组成员由基金管理人、基金托管人、</w:t>
      </w:r>
      <w:r>
        <w:rPr>
          <w:rFonts w:asciiTheme="minorEastAsia" w:hAnsiTheme="minorEastAsia" w:cs="Times New Roman" w:hint="eastAsia"/>
          <w:bCs/>
          <w:sz w:val="24"/>
          <w:szCs w:val="24"/>
        </w:rPr>
        <w:t>具有证券、期货相关业务资格的注册会计师、律师以及中国证监会指定的人员组成。基金财产清算小组可以聘用必要的工作人员。</w:t>
      </w:r>
    </w:p>
    <w:p w14:paraId="7FA7AF0A"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3、基金财产清算小组职责：基金财产清算小组负责基金财产的保管、清理、估价、变现和分配。基金财产清算小组可以依法进行必要的民事活动。</w:t>
      </w:r>
    </w:p>
    <w:p w14:paraId="5EF3044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4、基金财产清算程序：</w:t>
      </w:r>
    </w:p>
    <w:p w14:paraId="2BF8C69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1）《基金合同》终止情形出现时，由基金财产清算小组统一接管基金；</w:t>
      </w:r>
    </w:p>
    <w:p w14:paraId="01E6F5F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2）对基金财产和债权债务进行清理和确认；</w:t>
      </w:r>
    </w:p>
    <w:p w14:paraId="14776C5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3）对基金财产进行估值和变现；</w:t>
      </w:r>
    </w:p>
    <w:p w14:paraId="4483E40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4）制作清算报告；</w:t>
      </w:r>
    </w:p>
    <w:p w14:paraId="12CFC7A6"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5）聘请</w:t>
      </w:r>
      <w:r>
        <w:rPr>
          <w:rFonts w:asciiTheme="minorEastAsia" w:hAnsiTheme="minorEastAsia" w:cs="Times New Roman" w:hint="eastAsia"/>
          <w:bCs/>
          <w:sz w:val="24"/>
          <w:szCs w:val="24"/>
        </w:rPr>
        <w:t>具有证券、期货相关业务资格的会计师事务所对清算报告进行外部审计，聘请律师事务所对清算报告出具法律意见书；</w:t>
      </w:r>
    </w:p>
    <w:p w14:paraId="482ADC62"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6）将清算报告报中国证监会备案并公告；</w:t>
      </w:r>
    </w:p>
    <w:p w14:paraId="2F557478"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7）对基金剩余财产进行分配。</w:t>
      </w:r>
    </w:p>
    <w:p w14:paraId="7C61E36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5、基金财产清算的期限为6个月。</w:t>
      </w:r>
    </w:p>
    <w:p w14:paraId="525DCF0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四、争议解决方式</w:t>
      </w:r>
    </w:p>
    <w:p w14:paraId="73DBBC2B"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各方当事人同意，因《基金合同》而产生的或与《基金合同》有关的一切争议，如经友好协商未能解决的，任何一方均有权将争议提交华南国际经济贸易仲裁委员会，根据该会当时有效的仲裁规则进行仲裁，仲裁地点为深圳市，仲裁裁决是终局性的并对各方当事人具有约束力，仲裁费由败诉方承担。</w:t>
      </w:r>
    </w:p>
    <w:p w14:paraId="4FCEB727"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争议处理期间，基金合同当事人应恪守各自的职责，继续忠实、勤勉、尽责地履行基金合同规定的义务，维护基金份额持有人的合法权益。</w:t>
      </w:r>
    </w:p>
    <w:p w14:paraId="485544FC"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hint="eastAsia"/>
          <w:bCs/>
          <w:sz w:val="24"/>
        </w:rPr>
        <w:t>《基金合同》受中国法律（不含港澳台立法）管辖</w:t>
      </w:r>
      <w:r>
        <w:rPr>
          <w:rFonts w:asciiTheme="minorEastAsia" w:hAnsiTheme="minorEastAsia" w:cs="Times New Roman" w:hint="eastAsia"/>
          <w:bCs/>
          <w:sz w:val="24"/>
          <w:szCs w:val="24"/>
        </w:rPr>
        <w:t>。</w:t>
      </w:r>
    </w:p>
    <w:p w14:paraId="0A444E05"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五、基金合同存放地和投资人取得基金合同的方式</w:t>
      </w:r>
    </w:p>
    <w:p w14:paraId="7971BA74" w14:textId="77777777" w:rsidR="008D0810" w:rsidRDefault="00417F9F">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《基金合同》可印制成册，供投资者在基金管理人、基金托管人、销售机构的办公场所和营业场所查阅。</w:t>
      </w:r>
    </w:p>
    <w:p w14:paraId="1B0AED87" w14:textId="77777777" w:rsidR="008D0810" w:rsidRDefault="008D0810">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8D0810">
          <w:footerReference w:type="default" r:id="rId34"/>
          <w:pgSz w:w="11906" w:h="16838"/>
          <w:pgMar w:top="1440" w:right="1800" w:bottom="1440" w:left="1800" w:header="851" w:footer="992" w:gutter="0"/>
          <w:pgNumType w:chapStyle="1"/>
          <w:cols w:space="720"/>
          <w:docGrid w:type="lines" w:linePitch="312"/>
        </w:sectPr>
      </w:pPr>
      <w:bookmarkStart w:id="378" w:name="_Toc263092327"/>
      <w:bookmarkStart w:id="379" w:name="_Toc214873614"/>
      <w:bookmarkStart w:id="380" w:name="_Toc416264554"/>
      <w:bookmarkStart w:id="381" w:name="_Toc23022"/>
      <w:bookmarkStart w:id="382" w:name="_Toc352229766"/>
      <w:bookmarkStart w:id="383" w:name="_Toc13398"/>
      <w:bookmarkStart w:id="384" w:name="_Toc9708"/>
      <w:bookmarkStart w:id="385" w:name="_Toc27058"/>
      <w:bookmarkStart w:id="386" w:name="_Toc123112248"/>
      <w:bookmarkStart w:id="387" w:name="_Toc79392641"/>
      <w:bookmarkStart w:id="388" w:name="_Toc12191"/>
      <w:bookmarkStart w:id="389" w:name="_Toc21240"/>
      <w:bookmarkStart w:id="390" w:name="_Toc139991750"/>
      <w:bookmarkStart w:id="391" w:name="_Toc123051466"/>
      <w:bookmarkStart w:id="392" w:name="_Toc30645"/>
      <w:bookmarkStart w:id="393" w:name="_Toc123102467"/>
      <w:bookmarkStart w:id="394" w:name="_Toc7367"/>
      <w:bookmarkStart w:id="395" w:name="_Toc8710"/>
      <w:bookmarkStart w:id="396" w:name="_Toc28549"/>
      <w:bookmarkStart w:id="397" w:name="_Toc23166"/>
      <w:bookmarkStart w:id="398" w:name="_Toc98560365"/>
      <w:bookmarkStart w:id="399" w:name="_Toc48649720"/>
      <w:bookmarkStart w:id="400" w:name="_Toc14170390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D47116A" w14:textId="77777777" w:rsidR="008D0810" w:rsidRDefault="00417F9F">
      <w:pPr>
        <w:pStyle w:val="1"/>
        <w:jc w:val="center"/>
        <w:rPr>
          <w:rFonts w:asciiTheme="minorEastAsia" w:eastAsiaTheme="minorEastAsia" w:hAnsiTheme="minorEastAsia" w:hint="eastAsia"/>
          <w:sz w:val="30"/>
          <w:szCs w:val="30"/>
        </w:rPr>
      </w:pPr>
      <w:bookmarkStart w:id="401" w:name="_Toc146096095"/>
      <w:r>
        <w:rPr>
          <w:rFonts w:asciiTheme="minorEastAsia" w:eastAsiaTheme="minorEastAsia" w:hAnsiTheme="minorEastAsia" w:hint="eastAsia"/>
          <w:sz w:val="30"/>
          <w:szCs w:val="30"/>
        </w:rPr>
        <w:lastRenderedPageBreak/>
        <w:t>第十九部分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基金托管协议的内容摘要</w:t>
      </w:r>
      <w:bookmarkEnd w:id="378"/>
      <w:bookmarkEnd w:id="379"/>
      <w:bookmarkEnd w:id="380"/>
      <w:bookmarkEnd w:id="401"/>
    </w:p>
    <w:p w14:paraId="7A73B9EA"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一、托管协议当事人</w:t>
      </w:r>
    </w:p>
    <w:p w14:paraId="44B03EDE"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w:t>
      </w:r>
    </w:p>
    <w:p w14:paraId="3868A40A"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2169E1DC"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住所：广东省广州市南沙区横沥镇汇通二街2号3110房</w:t>
      </w:r>
    </w:p>
    <w:p w14:paraId="760A80AC"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办公地址：广东省深圳市福田区八卦四路</w:t>
      </w:r>
      <w:r>
        <w:rPr>
          <w:rFonts w:asciiTheme="minorEastAsia" w:hAnsiTheme="minorEastAsia" w:cs="Arial"/>
          <w:kern w:val="0"/>
          <w:sz w:val="24"/>
          <w:szCs w:val="24"/>
        </w:rPr>
        <w:t>52号安吉</w:t>
      </w:r>
      <w:r>
        <w:rPr>
          <w:rFonts w:asciiTheme="minorEastAsia" w:hAnsiTheme="minorEastAsia" w:cs="Arial" w:hint="eastAsia"/>
          <w:kern w:val="0"/>
          <w:sz w:val="24"/>
          <w:szCs w:val="24"/>
        </w:rPr>
        <w:t>尔大厦</w:t>
      </w:r>
      <w:r>
        <w:rPr>
          <w:rFonts w:asciiTheme="minorEastAsia" w:hAnsiTheme="minorEastAsia" w:cs="Arial"/>
          <w:kern w:val="0"/>
          <w:sz w:val="24"/>
          <w:szCs w:val="24"/>
        </w:rPr>
        <w:t>24层</w:t>
      </w:r>
    </w:p>
    <w:p w14:paraId="0BF738D4"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邮政编码：</w:t>
      </w:r>
      <w:r>
        <w:rPr>
          <w:rFonts w:asciiTheme="minorEastAsia" w:hAnsiTheme="minorEastAsia" w:cs="Arial"/>
          <w:kern w:val="0"/>
          <w:sz w:val="24"/>
          <w:szCs w:val="24"/>
        </w:rPr>
        <w:t>518038</w:t>
      </w:r>
    </w:p>
    <w:p w14:paraId="264BD7B0"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法定代表人：王亦伟</w:t>
      </w:r>
    </w:p>
    <w:p w14:paraId="469E3708"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成立日期：</w:t>
      </w:r>
      <w:r>
        <w:rPr>
          <w:rFonts w:asciiTheme="minorEastAsia" w:hAnsiTheme="minorEastAsia" w:cs="Arial"/>
          <w:kern w:val="0"/>
          <w:sz w:val="24"/>
          <w:szCs w:val="24"/>
        </w:rPr>
        <w:t>2016年1月25日</w:t>
      </w:r>
      <w:r>
        <w:rPr>
          <w:rFonts w:asciiTheme="minorEastAsia" w:hAnsiTheme="minorEastAsia" w:cs="Arial"/>
          <w:kern w:val="0"/>
          <w:sz w:val="24"/>
          <w:szCs w:val="24"/>
        </w:rPr>
        <w:tab/>
      </w:r>
    </w:p>
    <w:p w14:paraId="3EB1FB4F"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批准设立机关及批准设立文号：中国证监会证监许可【</w:t>
      </w:r>
      <w:r>
        <w:rPr>
          <w:rFonts w:asciiTheme="minorEastAsia" w:hAnsiTheme="minorEastAsia" w:cs="Arial"/>
          <w:kern w:val="0"/>
          <w:sz w:val="24"/>
          <w:szCs w:val="24"/>
        </w:rPr>
        <w:t>2015】3118号</w:t>
      </w:r>
    </w:p>
    <w:p w14:paraId="4D02D187"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002CFAFE"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58A598AC" w14:textId="77777777" w:rsidR="008D0810" w:rsidRDefault="00417F9F">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存续期间：持续经营</w:t>
      </w:r>
    </w:p>
    <w:p w14:paraId="63DED36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经营范围：基金募集、基金销售、特定客户资产管理、资产管理和中国证监会许可的其他业务</w:t>
      </w:r>
    </w:p>
    <w:p w14:paraId="766010BE" w14:textId="77777777" w:rsidR="008D0810" w:rsidRDefault="00417F9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5E6F476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名称：中国光大银行股份有限公司</w:t>
      </w:r>
    </w:p>
    <w:p w14:paraId="6E140AEB"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住所：北京市西城区太平桥大街</w:t>
      </w:r>
      <w:r>
        <w:rPr>
          <w:rFonts w:asciiTheme="minorEastAsia" w:hAnsiTheme="minorEastAsia" w:cs="Arial"/>
          <w:sz w:val="24"/>
          <w:szCs w:val="24"/>
        </w:rPr>
        <w:t xml:space="preserve">25 </w:t>
      </w:r>
      <w:r>
        <w:rPr>
          <w:rFonts w:asciiTheme="minorEastAsia" w:hAnsiTheme="minorEastAsia" w:cs="Arial" w:hint="eastAsia"/>
          <w:sz w:val="24"/>
          <w:szCs w:val="24"/>
        </w:rPr>
        <w:t>号、甲</w:t>
      </w:r>
      <w:r>
        <w:rPr>
          <w:rFonts w:asciiTheme="minorEastAsia" w:hAnsiTheme="minorEastAsia" w:cs="Arial"/>
          <w:sz w:val="24"/>
          <w:szCs w:val="24"/>
        </w:rPr>
        <w:t xml:space="preserve">25 </w:t>
      </w:r>
      <w:r>
        <w:rPr>
          <w:rFonts w:asciiTheme="minorEastAsia" w:hAnsiTheme="minorEastAsia" w:cs="Arial" w:hint="eastAsia"/>
          <w:sz w:val="24"/>
          <w:szCs w:val="24"/>
        </w:rPr>
        <w:t>号中国光大中心</w:t>
      </w:r>
    </w:p>
    <w:p w14:paraId="11F3CFE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邮政编码：</w:t>
      </w:r>
      <w:r>
        <w:rPr>
          <w:rFonts w:asciiTheme="minorEastAsia" w:hAnsiTheme="minorEastAsia" w:cs="Arial"/>
          <w:sz w:val="24"/>
          <w:szCs w:val="24"/>
        </w:rPr>
        <w:t>100033</w:t>
      </w:r>
    </w:p>
    <w:p w14:paraId="517BDEE8"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法定代表人：王江</w:t>
      </w:r>
      <w:r>
        <w:rPr>
          <w:rFonts w:asciiTheme="minorEastAsia" w:hAnsiTheme="minorEastAsia" w:cs="Arial"/>
          <w:sz w:val="24"/>
          <w:szCs w:val="24"/>
        </w:rPr>
        <w:t xml:space="preserve"> </w:t>
      </w:r>
    </w:p>
    <w:p w14:paraId="18234C2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成立日期：</w:t>
      </w:r>
      <w:r>
        <w:rPr>
          <w:rFonts w:asciiTheme="minorEastAsia" w:hAnsiTheme="minorEastAsia" w:cs="Arial"/>
          <w:sz w:val="24"/>
          <w:szCs w:val="24"/>
        </w:rPr>
        <w:t>1992年6月18日</w:t>
      </w:r>
    </w:p>
    <w:p w14:paraId="1D2CBD1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批准设立机关和批准设立文号：国务院、国函</w:t>
      </w:r>
      <w:r>
        <w:rPr>
          <w:rFonts w:asciiTheme="minorEastAsia" w:hAnsiTheme="minorEastAsia" w:cs="Arial"/>
          <w:sz w:val="24"/>
          <w:szCs w:val="24"/>
        </w:rPr>
        <w:t>[1992]7号</w:t>
      </w:r>
    </w:p>
    <w:p w14:paraId="585F2E8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经营范围：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14:paraId="56884DE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组织形式：股份有限公司</w:t>
      </w:r>
    </w:p>
    <w:p w14:paraId="4621697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注册资本：人民币</w:t>
      </w:r>
      <w:r>
        <w:rPr>
          <w:rFonts w:asciiTheme="minorEastAsia" w:hAnsiTheme="minorEastAsia" w:cs="Arial"/>
          <w:sz w:val="24"/>
          <w:szCs w:val="24"/>
        </w:rPr>
        <w:t>466.79095亿元人民币</w:t>
      </w:r>
    </w:p>
    <w:p w14:paraId="0AD8C0B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存续期间：持续经营</w:t>
      </w:r>
    </w:p>
    <w:p w14:paraId="38652FCD"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二、基金托管人对基金管理人的业务监督和核查</w:t>
      </w:r>
    </w:p>
    <w:p w14:paraId="1CE79BB9"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（一）基金托管人根据有关法律法规的规定及基金合同的约定，对基金投资范围、投资比例进行监督。</w:t>
      </w:r>
    </w:p>
    <w:p w14:paraId="7C4DD049"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本基金的投资范围主要为具有良好流动性的金融工具，包括国内依法发行上市的股票（包括中小板、创业板及其他经中国证监会核准上市的股票）</w:t>
      </w:r>
      <w:r>
        <w:rPr>
          <w:rFonts w:asciiTheme="minorEastAsia" w:hAnsiTheme="minorEastAsia" w:cs="Arial" w:hint="eastAsia"/>
          <w:color w:val="000000"/>
          <w:sz w:val="24"/>
          <w:szCs w:val="24"/>
        </w:rPr>
        <w:t>、存托凭证</w:t>
      </w:r>
      <w:r>
        <w:rPr>
          <w:rFonts w:asciiTheme="minorEastAsia" w:hAnsiTheme="minorEastAsia" w:hint="eastAsia"/>
          <w:bCs/>
          <w:sz w:val="24"/>
        </w:rPr>
        <w:t>，债券（含国债、金融债、企业债、公司债、央行票据、中期票据、短期融资券、超短期融资券、政府支持机构债、地方政府债、公开发行的次级债、可转换债券、可交换债券、中小企业私募债及其他经中国证监会允许投资的债券或票据）、货币市场工具（含同业存单等）、资产支持证券、衍生品（包括权证、股指期货、股票期权、国债期货等）以及法律法规或中国证监会允许基金投资的其他金融工具（但须符合中国证监会的相关规定）。如法律法规或监管机构以后允许基金投资其他品种，基金管理人在履行适当程序后，可以将其纳入投资范围。</w:t>
      </w:r>
    </w:p>
    <w:p w14:paraId="503C76AE"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hint="eastAsia"/>
          <w:bCs/>
          <w:sz w:val="24"/>
        </w:rPr>
        <w:t>基金的投资组合比例为：股票资产占基金资产的</w:t>
      </w:r>
      <w:r>
        <w:rPr>
          <w:rFonts w:asciiTheme="minorEastAsia" w:hAnsiTheme="minorEastAsia"/>
          <w:bCs/>
          <w:sz w:val="24"/>
        </w:rPr>
        <w:t>5</w:t>
      </w:r>
      <w:r>
        <w:rPr>
          <w:rFonts w:asciiTheme="minorEastAsia" w:hAnsiTheme="minorEastAsia" w:hint="eastAsia"/>
          <w:bCs/>
          <w:sz w:val="24"/>
        </w:rPr>
        <w:t>0%-95%；每个交易日日终在扣除股指期货、国债期货合约需缴纳的保证金以后，本基金保留的现金或到期日在一年以内的政府债券不低于基金资产净值的5%，其中现金不包括结算备付金、存出保证金、应收申购款等；权证投资占基金资产净值的0-3%。</w:t>
      </w:r>
    </w:p>
    <w:p w14:paraId="3AA1DC49" w14:textId="77777777" w:rsidR="008D0810" w:rsidRDefault="00417F9F">
      <w:pPr>
        <w:widowControl/>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管理人在进行个股票期权等投资前，务必须与托管人就交收结算、核算估值等业务规则和流程进行沟通确定，在系统测试通过后才可投资，否则，由此产生的风险由管理人承担。</w:t>
      </w:r>
    </w:p>
    <w:p w14:paraId="6E8CA5A6" w14:textId="77777777" w:rsidR="008D0810" w:rsidRDefault="00417F9F">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hint="eastAsia"/>
          <w:sz w:val="24"/>
          <w:szCs w:val="24"/>
        </w:rPr>
        <w:t>如果法律法规或中国证监会变更投资品种的投资比例限制，基金管理人在履行适当程序后，可以调整上述投资品种的投资比例。</w:t>
      </w:r>
    </w:p>
    <w:p w14:paraId="24BBB5EF"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（二）基金托管人根据有关法律法规的规定及基金合同的约定，对基金投资、融资比例进行监督。基金托管人按下述比例和调整期限进行监督：</w:t>
      </w:r>
    </w:p>
    <w:p w14:paraId="503F6991"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基金的投资组合应遵循以下限制：</w:t>
      </w:r>
    </w:p>
    <w:p w14:paraId="2BC1AE0D"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（1）股票投资占基金资产的比例为</w:t>
      </w:r>
      <w:r>
        <w:rPr>
          <w:rFonts w:asciiTheme="minorEastAsia" w:hAnsiTheme="minorEastAsia"/>
          <w:bCs/>
          <w:sz w:val="24"/>
        </w:rPr>
        <w:t>5</w:t>
      </w:r>
      <w:r>
        <w:rPr>
          <w:rFonts w:asciiTheme="minorEastAsia" w:hAnsiTheme="minorEastAsia" w:hint="eastAsia"/>
          <w:bCs/>
          <w:sz w:val="24"/>
        </w:rPr>
        <w:t>0%–95%；</w:t>
      </w:r>
    </w:p>
    <w:p w14:paraId="403F026A"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）每个交易日日终在扣除股指期货、国债期货合约需缴纳的交易保证金后，保持不低于基金资产净值5％的现金或者到期日在一年以内的政府债券，其中现金不包括结算备付金、存出保证金、应收申购款等；</w:t>
      </w:r>
    </w:p>
    <w:p w14:paraId="4C4C603E"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w:t>
      </w:r>
      <w:r>
        <w:rPr>
          <w:rStyle w:val="fontstyle01"/>
          <w:rFonts w:asciiTheme="minorEastAsia" w:eastAsiaTheme="minorEastAsia" w:hAnsiTheme="minorEastAsia" w:hint="default"/>
        </w:rPr>
        <w:t>本基金持有一家公司发行的证券</w:t>
      </w:r>
      <w:r>
        <w:rPr>
          <w:rFonts w:asciiTheme="minorEastAsia" w:hAnsiTheme="minorEastAsia" w:hint="eastAsia"/>
          <w:bCs/>
          <w:sz w:val="24"/>
        </w:rPr>
        <w:t>，其市值不超过基金资产净值的10％；</w:t>
      </w:r>
    </w:p>
    <w:p w14:paraId="29150C28"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lastRenderedPageBreak/>
        <w:t>（</w:t>
      </w:r>
      <w:r>
        <w:rPr>
          <w:rFonts w:asciiTheme="minorEastAsia" w:hAnsiTheme="minorEastAsia"/>
          <w:bCs/>
          <w:sz w:val="24"/>
        </w:rPr>
        <w:t>4</w:t>
      </w:r>
      <w:r>
        <w:rPr>
          <w:rFonts w:asciiTheme="minorEastAsia" w:hAnsiTheme="minorEastAsia" w:hint="eastAsia"/>
          <w:bCs/>
          <w:sz w:val="24"/>
        </w:rPr>
        <w:t>）本基金管理人管理的全部基金持有一家公司发行的证券，不超过该证券的10％；</w:t>
      </w:r>
    </w:p>
    <w:p w14:paraId="27802802"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5</w:t>
      </w:r>
      <w:r>
        <w:rPr>
          <w:rFonts w:asciiTheme="minorEastAsia" w:hAnsiTheme="minorEastAsia" w:hint="eastAsia"/>
          <w:bCs/>
          <w:sz w:val="24"/>
        </w:rPr>
        <w:t>）本基金持有的全部权证，其市值不得超过基金资产净值的3％；</w:t>
      </w:r>
    </w:p>
    <w:p w14:paraId="7A8BA785"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6</w:t>
      </w:r>
      <w:r>
        <w:rPr>
          <w:rFonts w:asciiTheme="minorEastAsia" w:hAnsiTheme="minorEastAsia" w:hint="eastAsia"/>
          <w:bCs/>
          <w:sz w:val="24"/>
        </w:rPr>
        <w:t>）本基金管理人管理的全部基金持有的同一权证，不得超过该权证的</w:t>
      </w:r>
      <w:r>
        <w:rPr>
          <w:rFonts w:asciiTheme="minorEastAsia" w:hAnsiTheme="minorEastAsia"/>
          <w:bCs/>
          <w:sz w:val="24"/>
        </w:rPr>
        <w:t xml:space="preserve">   </w:t>
      </w:r>
      <w:r>
        <w:rPr>
          <w:rFonts w:asciiTheme="minorEastAsia" w:hAnsiTheme="minorEastAsia" w:hint="eastAsia"/>
          <w:bCs/>
          <w:sz w:val="24"/>
        </w:rPr>
        <w:t>10％；</w:t>
      </w:r>
    </w:p>
    <w:p w14:paraId="5AA68E81"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7</w:t>
      </w:r>
      <w:r>
        <w:rPr>
          <w:rFonts w:asciiTheme="minorEastAsia" w:hAnsiTheme="minorEastAsia" w:hint="eastAsia"/>
          <w:bCs/>
          <w:sz w:val="24"/>
        </w:rPr>
        <w:t>）本基金在任何交易日买入权证的总金额，不得超过上一交易日基金资产净值的0.5％；</w:t>
      </w:r>
    </w:p>
    <w:p w14:paraId="42B5C800"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8</w:t>
      </w:r>
      <w:r>
        <w:rPr>
          <w:rFonts w:asciiTheme="minorEastAsia" w:hAnsiTheme="minorEastAsia" w:hint="eastAsia"/>
          <w:bCs/>
          <w:sz w:val="24"/>
        </w:rPr>
        <w:t>）本基金投资于同一原始权益人的各类资产支持证券的比例，不得超过基金资产净值的10％；</w:t>
      </w:r>
    </w:p>
    <w:p w14:paraId="52C6795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9</w:t>
      </w:r>
      <w:r>
        <w:rPr>
          <w:rFonts w:asciiTheme="minorEastAsia" w:hAnsiTheme="minorEastAsia" w:hint="eastAsia"/>
          <w:bCs/>
          <w:sz w:val="24"/>
        </w:rPr>
        <w:t>）本基金持有的全部资产支持证券，其市值不得超过基金资产净值的20％，中国证监会规定的特殊品种除外；</w:t>
      </w:r>
    </w:p>
    <w:p w14:paraId="232B1565"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10</w:t>
      </w:r>
      <w:r>
        <w:rPr>
          <w:rFonts w:asciiTheme="minorEastAsia" w:hAnsiTheme="minorEastAsia" w:hint="eastAsia"/>
          <w:bCs/>
          <w:sz w:val="24"/>
        </w:rPr>
        <w:t>）本基金持有的同一(指同一信用级别)资产支持证券的比例，不得超过该资产支持证券规模的10％；</w:t>
      </w:r>
    </w:p>
    <w:p w14:paraId="46E07C0A"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1</w:t>
      </w:r>
      <w:r>
        <w:rPr>
          <w:rFonts w:asciiTheme="minorEastAsia" w:hAnsiTheme="minorEastAsia" w:hint="eastAsia"/>
          <w:bCs/>
          <w:sz w:val="24"/>
        </w:rPr>
        <w:t>）本基金管理人管理的全部基金投资于同一原始权益人的各类资产支持证券，不得超过其各类资产支持证券合计规模的10％；</w:t>
      </w:r>
    </w:p>
    <w:p w14:paraId="2D0355E3"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2</w:t>
      </w:r>
      <w:r>
        <w:rPr>
          <w:rFonts w:asciiTheme="minorEastAsia" w:hAnsiTheme="minorEastAsia"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7402BF87"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3</w:t>
      </w:r>
      <w:r>
        <w:rPr>
          <w:rFonts w:asciiTheme="minorEastAsia" w:hAnsiTheme="minorEastAsia" w:hint="eastAsia"/>
          <w:bCs/>
          <w:sz w:val="24"/>
        </w:rPr>
        <w:t>）基金财产参与股票发行申购，本基金所申报的金额不超过本基金的总资产，本基金所申报的股票数量不超过拟发行股票公司本次发行股票的总量；</w:t>
      </w:r>
    </w:p>
    <w:p w14:paraId="287A849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4</w:t>
      </w:r>
      <w:r>
        <w:rPr>
          <w:rFonts w:asciiTheme="minorEastAsia" w:hAnsiTheme="minorEastAsia" w:hint="eastAsia"/>
          <w:bCs/>
          <w:sz w:val="24"/>
        </w:rPr>
        <w:t>）本基金进入全国银行间同业市场进行债券回购的资金余额不得超过基金资产净值的40%，在全国银行间同业市场的债券回购最长期限为1年，债券回购到期后不得展期；</w:t>
      </w:r>
    </w:p>
    <w:p w14:paraId="7F3E94DC"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（15）本基金总资产不得超过基金净资产的</w:t>
      </w:r>
      <w:r>
        <w:rPr>
          <w:rFonts w:asciiTheme="minorEastAsia" w:hAnsiTheme="minorEastAsia"/>
          <w:bCs/>
          <w:sz w:val="24"/>
        </w:rPr>
        <w:t xml:space="preserve"> </w:t>
      </w:r>
      <w:r>
        <w:rPr>
          <w:rFonts w:asciiTheme="minorEastAsia" w:hAnsiTheme="minorEastAsia" w:hint="eastAsia"/>
          <w:bCs/>
          <w:sz w:val="24"/>
        </w:rPr>
        <w:t>140%；</w:t>
      </w:r>
    </w:p>
    <w:p w14:paraId="1EE1B89B"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（16）本基金持有单只中小企业私募债券，其市值不得超过本基金资产净值的10%；基金投资于中小企业私募债的比例不超过基金资产净值的</w:t>
      </w:r>
      <w:r>
        <w:rPr>
          <w:rFonts w:asciiTheme="minorEastAsia" w:hAnsiTheme="minorEastAsia"/>
          <w:bCs/>
          <w:sz w:val="24"/>
        </w:rPr>
        <w:t>20%</w:t>
      </w:r>
      <w:r>
        <w:rPr>
          <w:rFonts w:asciiTheme="minorEastAsia" w:hAnsiTheme="minorEastAsia" w:hint="eastAsia"/>
          <w:bCs/>
          <w:sz w:val="24"/>
        </w:rPr>
        <w:t>；</w:t>
      </w:r>
    </w:p>
    <w:p w14:paraId="5473CF60"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（17）本基金参与股指期货、国债期货交易，需遵守下列规定：</w:t>
      </w:r>
    </w:p>
    <w:p w14:paraId="79E77122"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1）本基金在任何交易日日终，持有的买入股指期货合约价值，不得超过基金资产净值的10%；</w:t>
      </w:r>
    </w:p>
    <w:p w14:paraId="3EEC2EB2"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lastRenderedPageBreak/>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05C83A8F"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3）本基金在任何交易日日终，持有的卖出股指期货合约价值不得超过基金持有的股票总市值的20%；</w:t>
      </w:r>
    </w:p>
    <w:p w14:paraId="6D7B35E5"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4）本基金在任何交易日内交易（不包括平仓）的股指期货合约的成交金额不得超过上一交易日基金资产净值的20%；</w:t>
      </w:r>
    </w:p>
    <w:p w14:paraId="2ACF8A01"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5）本基金所持有的股票市值和买入、卖出股指期货合约价值，合计（轧差计算）应当符合基金合同关于股票投资比例的有关规定；</w:t>
      </w:r>
    </w:p>
    <w:p w14:paraId="76EE0CEB"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6）本基金在任何交易日日终，持有的买入国债期货合约价值，不得超过基金资产净值的15%；</w:t>
      </w:r>
    </w:p>
    <w:p w14:paraId="25729B4B"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7）本基金在任何交易日日终，持有的卖出国债期货合约价值不得超过基金持有的债券总市值的30%；</w:t>
      </w:r>
    </w:p>
    <w:p w14:paraId="38BC52E7"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8）本基金在任何交易日内交易（不包括平仓）的国债期货合约的成交金额不得超过上一交易日基金资产净值的30%；</w:t>
      </w:r>
    </w:p>
    <w:p w14:paraId="2BC54CC6" w14:textId="77777777"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（18）本基金参与股票期权交易，需遵守下列投资比例限制：</w:t>
      </w:r>
    </w:p>
    <w:p w14:paraId="4B1F0E23" w14:textId="77777777"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1）本基金因未平仓的期权合约支付和收取的权利金总额不得超过基金资产净值的10%；</w:t>
      </w:r>
    </w:p>
    <w:p w14:paraId="016E3620" w14:textId="77777777" w:rsidR="008D0810" w:rsidRDefault="00417F9F">
      <w:pPr>
        <w:spacing w:line="360" w:lineRule="auto"/>
        <w:ind w:firstLineChars="200" w:firstLine="480"/>
        <w:rPr>
          <w:rFonts w:asciiTheme="minorEastAsia" w:hAnsiTheme="minorEastAsia" w:hint="eastAsia"/>
          <w:sz w:val="24"/>
        </w:rPr>
      </w:pPr>
      <w:r>
        <w:rPr>
          <w:rFonts w:asciiTheme="minorEastAsia" w:hAnsiTheme="minorEastAsia" w:hint="eastAsia"/>
          <w:sz w:val="24"/>
        </w:rPr>
        <w:t>2）本基金开仓卖出认购期权的，应持有足额标的证券；开仓卖出认沽期权的，应持有合约行权所需的全额现金或交易所规则认可的可冲抵期权保证金的现金等价物；</w:t>
      </w:r>
    </w:p>
    <w:p w14:paraId="7C1F2231"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sz w:val="24"/>
        </w:rPr>
        <w:t>3）本基金未平仓的期权合约面值不得超过基金资产净值的20%。其中，合约面值按照行权价乘以合约乘数计算；</w:t>
      </w:r>
    </w:p>
    <w:p w14:paraId="516FB753"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5D8C464"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（20）本基金主动投资于流动性受限资产的市值合计不得超过基金资产净值</w:t>
      </w:r>
      <w:r>
        <w:rPr>
          <w:rFonts w:asciiTheme="minorEastAsia" w:hAnsiTheme="minorEastAsia" w:hint="eastAsia"/>
          <w:bCs/>
          <w:sz w:val="24"/>
        </w:rPr>
        <w:lastRenderedPageBreak/>
        <w:t>的15%；</w:t>
      </w:r>
    </w:p>
    <w:p w14:paraId="27F316FB"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因证券市场波动、上市公司股票停牌、基金规模变动等基金管理人之外的因素致使基金不符合前款所规定比例限制的，基金管理人不得主动新增流动性受限资产的投资；</w:t>
      </w:r>
    </w:p>
    <w:p w14:paraId="33C56F2E" w14:textId="77777777" w:rsidR="008D0810" w:rsidRDefault="00417F9F">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（21）本基金与私募类证券资管产品及中国证监会认定的其他主体为交易对手开展逆回购交易的，可接受质押品的资质要求应当与基金合同约定的投资范围保持一致；</w:t>
      </w:r>
    </w:p>
    <w:p w14:paraId="384702F1"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（22）本基金投资存托凭证的比例限制依照境内上市交易的股票执行，与境内上市交易的股票合并计算；</w:t>
      </w:r>
    </w:p>
    <w:p w14:paraId="1748991E"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（23）法律法规及中国证监会规定的和《基金合同》约定的其他投资限制。</w:t>
      </w:r>
    </w:p>
    <w:p w14:paraId="5726C4E7"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除上述第（2）、（1</w:t>
      </w:r>
      <w:r>
        <w:rPr>
          <w:rFonts w:asciiTheme="minorEastAsia" w:hAnsiTheme="minorEastAsia"/>
          <w:bCs/>
          <w:sz w:val="24"/>
        </w:rPr>
        <w:t>2</w:t>
      </w:r>
      <w:r>
        <w:rPr>
          <w:rFonts w:asciiTheme="minorEastAsia" w:hAnsiTheme="minorEastAsia" w:hint="eastAsia"/>
          <w:bCs/>
          <w:sz w:val="24"/>
        </w:rPr>
        <w:t>）、（</w:t>
      </w:r>
      <w:r>
        <w:rPr>
          <w:rFonts w:asciiTheme="minorEastAsia" w:hAnsiTheme="minorEastAsia"/>
          <w:bCs/>
          <w:sz w:val="24"/>
        </w:rPr>
        <w:t>20</w:t>
      </w:r>
      <w:r>
        <w:rPr>
          <w:rFonts w:asciiTheme="minorEastAsia" w:hAnsiTheme="minorEastAsia" w:hint="eastAsia"/>
          <w:bCs/>
          <w:sz w:val="24"/>
        </w:rPr>
        <w:t>）、（21）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14:paraId="055CA3D2" w14:textId="77777777" w:rsidR="008D0810" w:rsidRDefault="00417F9F">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E0550DB"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hint="eastAsia"/>
          <w:bCs/>
          <w:sz w:val="24"/>
        </w:rPr>
        <w:t>法律法规或监管部门取消或调整上述限制，如适用于本基金，基金管理人在履行适当程序后，则本基金投资不再受相关限制或按调整后的规定执行</w:t>
      </w:r>
      <w:r>
        <w:rPr>
          <w:rFonts w:asciiTheme="minorEastAsia" w:hAnsiTheme="minorEastAsia" w:cs="Arial" w:hint="eastAsia"/>
          <w:color w:val="000000"/>
          <w:sz w:val="24"/>
          <w:szCs w:val="24"/>
        </w:rPr>
        <w:t>。</w:t>
      </w:r>
    </w:p>
    <w:p w14:paraId="3CFBC9C9"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（三）基金托管人根据有关法律法规的规定及基金合同的约定，对本托管协议第十五条第（十二）款基金投资禁止行为进行监督。</w:t>
      </w:r>
    </w:p>
    <w:p w14:paraId="2278F0E6"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BE68F8"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（四）基金托管人根据有关法律法规的规定及基金合同的约定，对基金管理</w:t>
      </w:r>
      <w:r>
        <w:rPr>
          <w:rFonts w:asciiTheme="minorEastAsia" w:hAnsiTheme="minorEastAsia" w:cs="Arial" w:hint="eastAsia"/>
          <w:color w:val="000000"/>
          <w:sz w:val="24"/>
          <w:szCs w:val="24"/>
        </w:rPr>
        <w:lastRenderedPageBreak/>
        <w:t>人参与银行间债券市场进行监督。</w:t>
      </w:r>
    </w:p>
    <w:p w14:paraId="67CDBB85"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Theme="minorEastAsia" w:hAnsiTheme="minorEastAsia" w:cs="Arial"/>
          <w:color w:val="000000"/>
          <w:sz w:val="24"/>
          <w:szCs w:val="24"/>
        </w:rPr>
        <w:t>3个工作日内与基金托管人协商解决。</w:t>
      </w:r>
    </w:p>
    <w:p w14:paraId="5A9FDDD1"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20D8879"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五）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14:paraId="1C3952DD"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六）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14:paraId="5E2CB802"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七）基金管理人投资中小企业私募债应符合相关法律法规约定。基金管理人应根据本协议的规定与基金托管人签订投资中小企业私募债风险控制补充协议。基金管理人在投资中小企业私募债前，应向基金托管人提供经基金管理人董事会批准的投资中小企业私募债券的相关制度。在投资中小企业私募债券的过程中，基金管理人应合理控制投资中小企业私募债的比例。基金托管人将严格按照</w:t>
      </w:r>
      <w:r>
        <w:rPr>
          <w:rFonts w:asciiTheme="minorEastAsia" w:hAnsiTheme="minorEastAsia" w:cs="Arial" w:hint="eastAsia"/>
          <w:color w:val="000000"/>
          <w:sz w:val="24"/>
          <w:szCs w:val="24"/>
        </w:rPr>
        <w:lastRenderedPageBreak/>
        <w:t>补充协议中的约定对相关业务进行监督和审核。</w:t>
      </w:r>
    </w:p>
    <w:p w14:paraId="749C08C1"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八）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108C0C3"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（九）基金托管人发现基金管理人的上述事项及投资指令或实际投资运作违反法律法规、基金合同和本托管协议的规定，应及时以电话提醒或书面提示等方式通知基金管理人限期纠正。</w:t>
      </w:r>
    </w:p>
    <w:p w14:paraId="67D7BB00"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A2DD7C0"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（十）基金管理人有义务配合和协助基金托管人依照法律法规、基金合同和本托管协议对基金业务执行核查。</w:t>
      </w:r>
    </w:p>
    <w:p w14:paraId="2BBAB80B"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53348ED"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（十一）若基金托管人发现基金管理人依据交易程序已经生效的指令违反法律、行政法规和其他有关规定，或者违反基金合同约定的，应当立即通知基金管理人。</w:t>
      </w:r>
    </w:p>
    <w:p w14:paraId="0B817827"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（十二）基金托管人发现基金管理人有重大违规行为，应及时报告中国证监会，同时通知基金管理人限期纠正，并将纠正结果报告中国证监会。</w:t>
      </w:r>
    </w:p>
    <w:p w14:paraId="00EB31A9" w14:textId="77777777" w:rsidR="008D0810" w:rsidRDefault="00417F9F">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9DCCA6E"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064EB3F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（一）基金管理人对基金托管人履行托管职责情况进行核查，核查事项包括</w:t>
      </w:r>
      <w:r>
        <w:rPr>
          <w:rFonts w:asciiTheme="minorEastAsia" w:hAnsiTheme="minorEastAsia" w:cs="Arial" w:hint="eastAsia"/>
          <w:sz w:val="24"/>
          <w:szCs w:val="24"/>
        </w:rPr>
        <w:lastRenderedPageBreak/>
        <w:t>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14:paraId="145B773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13F8E9A0"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F27498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（三）基金管理人发现基金托管人有重大违规行为，应及时报告中国证监会，同时通知基金托管人限期纠正，并将纠正结果报告中国证监会。</w:t>
      </w:r>
    </w:p>
    <w:p w14:paraId="313CDF4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74E0D05"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5856401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（一）基金财产保管的原则</w:t>
      </w:r>
    </w:p>
    <w:p w14:paraId="7FE4E8C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1．基金财产应独立于基金管理人、基金托管人的固有财产；</w:t>
      </w:r>
    </w:p>
    <w:p w14:paraId="0BC2E5E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2．基金托管人应安全保管基金财产；</w:t>
      </w:r>
    </w:p>
    <w:p w14:paraId="4EFA66AB"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3．基金托管人按照规定开设基金财产的资金账户、证券账户和期货账户等投资所需账户；</w:t>
      </w:r>
    </w:p>
    <w:p w14:paraId="77419E3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 xml:space="preserve">4．基金托管人对所托管的不同基金财产分别设置账户，确保基金财产的完整与独立； </w:t>
      </w:r>
    </w:p>
    <w:p w14:paraId="2B5F73A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5．基金托管人根据基金管理人的指令，按照基金合同和本协议的约定保管基金财产，如有特殊情况双方可另行协商解决；</w:t>
      </w:r>
    </w:p>
    <w:p w14:paraId="07E3C4A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w:t>
      </w:r>
      <w:r>
        <w:rPr>
          <w:rFonts w:asciiTheme="minorEastAsia" w:hAnsiTheme="minorEastAsia" w:cs="Arial"/>
          <w:sz w:val="24"/>
          <w:szCs w:val="24"/>
        </w:rPr>
        <w:lastRenderedPageBreak/>
        <w:t>的，基金管理人应负责向有关当事人追偿基金财产的损失；</w:t>
      </w:r>
    </w:p>
    <w:p w14:paraId="47FAFF7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7．除依据法律法规和基金合同的规定外，基金托管人不得委托第三人托管</w:t>
      </w:r>
      <w:r>
        <w:rPr>
          <w:rFonts w:asciiTheme="minorEastAsia" w:hAnsiTheme="minorEastAsia" w:cs="Arial" w:hint="eastAsia"/>
          <w:sz w:val="24"/>
          <w:szCs w:val="24"/>
        </w:rPr>
        <w:t>基金财产。</w:t>
      </w:r>
    </w:p>
    <w:p w14:paraId="03288F0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（二）基金募集期间及募集资金的验资</w:t>
      </w:r>
    </w:p>
    <w:p w14:paraId="46036B2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1．基金募集期间募集的资金应存于基金管理人开立的“基金募集专户”。该账户由基金管理人开立并管理。</w:t>
      </w:r>
    </w:p>
    <w:p w14:paraId="0C32F485"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19DB36A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若基金募集期限届满，未能达到基金合同生效的条件，由基金管理人按规定办理退款等事宜。</w:t>
      </w:r>
    </w:p>
    <w:p w14:paraId="09CCA88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（三）基金托管专户的开立和管理</w:t>
      </w:r>
    </w:p>
    <w:p w14:paraId="0B6AAA5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基金托管专户的名称</w:t>
      </w:r>
      <w:r>
        <w:rPr>
          <w:rFonts w:asciiTheme="minorEastAsia" w:hAnsiTheme="minorEastAsia" w:cs="Arial"/>
          <w:sz w:val="24"/>
          <w:szCs w:val="24"/>
        </w:rPr>
        <w:t xml:space="preserve">: </w:t>
      </w:r>
      <w:r>
        <w:rPr>
          <w:rFonts w:asciiTheme="minorEastAsia" w:hAnsiTheme="minorEastAsia" w:cs="Arial" w:hint="eastAsia"/>
          <w:sz w:val="24"/>
          <w:szCs w:val="24"/>
        </w:rPr>
        <w:t>富荣福康混合型证券投资基金</w:t>
      </w:r>
    </w:p>
    <w:p w14:paraId="1615E79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托管账户开户行</w:t>
      </w:r>
      <w:r>
        <w:rPr>
          <w:rFonts w:asciiTheme="minorEastAsia" w:hAnsiTheme="minorEastAsia" w:cs="Arial"/>
          <w:sz w:val="24"/>
          <w:szCs w:val="24"/>
        </w:rPr>
        <w:t>:中国光大银行深圳分行营业部</w:t>
      </w:r>
    </w:p>
    <w:p w14:paraId="616305E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2EE5DAD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430929D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3．基金托管专户的开立和管理应符合有关法律法规以及银行业监督管理机构的其他有关规定</w:t>
      </w:r>
      <w:r>
        <w:rPr>
          <w:rFonts w:asciiTheme="minorEastAsia" w:hAnsiTheme="minorEastAsia" w:cs="Arial" w:hint="eastAsia"/>
          <w:sz w:val="24"/>
          <w:szCs w:val="24"/>
        </w:rPr>
        <w:t>。</w:t>
      </w:r>
    </w:p>
    <w:p w14:paraId="5198199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（四）基金证券账户和结算备付金账户的开立和管理</w:t>
      </w:r>
    </w:p>
    <w:p w14:paraId="531A9DEE"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1．基金托管人在中国证券登记结算有限责任公司上海分公司、深圳分公司为基金开立基金托管人与基金联名的证券账户。</w:t>
      </w:r>
    </w:p>
    <w:p w14:paraId="3F2998C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9D660D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3．基金证券账户的开立和证券账户卡的保管由基金托管人负责，账户资产的管理和运用由基金管理人负责。</w:t>
      </w:r>
    </w:p>
    <w:p w14:paraId="704EA09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374152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5．若中国证监会或其他监管机构在本托管协议订立日之后允许基金从事其他投资品种的投资业务，涉及相关账户的开立、使用的，若无相关规定，</w:t>
      </w:r>
      <w:r>
        <w:rPr>
          <w:rFonts w:asciiTheme="minorEastAsia" w:hAnsiTheme="minorEastAsia" w:cs="Arial" w:hint="eastAsia"/>
          <w:sz w:val="24"/>
          <w:szCs w:val="24"/>
        </w:rPr>
        <w:t>则基金托管人比照上述关于账户开立、使用的规定执行。</w:t>
      </w:r>
    </w:p>
    <w:p w14:paraId="675B5D1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（五）银行间债券托管专户的开设和管理</w:t>
      </w:r>
    </w:p>
    <w:p w14:paraId="370F2DD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基金管理人负责以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14:paraId="5C5EA64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（六）其他账户的开立和管理</w:t>
      </w:r>
    </w:p>
    <w:p w14:paraId="361E312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F50C84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（七）基金财产投资的有关有价凭证等的保管</w:t>
      </w:r>
    </w:p>
    <w:p w14:paraId="192082EC"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基金财产投资的有关实物证券等有价凭证由基金托管人存放于基金托管人的保管库，也可存入中央国债登记结算有限责任公司、中国证券登记结算有限责任公司上海分公司</w:t>
      </w:r>
      <w:r>
        <w:rPr>
          <w:rFonts w:asciiTheme="minorEastAsia" w:hAnsiTheme="minorEastAsia" w:cs="Arial"/>
          <w:sz w:val="24"/>
          <w:szCs w:val="24"/>
        </w:rPr>
        <w:t>/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r>
        <w:rPr>
          <w:rFonts w:asciiTheme="minorEastAsia" w:hAnsiTheme="minorEastAsia" w:cs="Arial" w:hint="eastAsia"/>
          <w:sz w:val="24"/>
          <w:szCs w:val="24"/>
        </w:rPr>
        <w:t>。</w:t>
      </w:r>
    </w:p>
    <w:p w14:paraId="0F4B488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（八）与基金财产有关的重大合同的保管</w:t>
      </w:r>
    </w:p>
    <w:p w14:paraId="5629ACF2"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与基金财产有关的重大合同的签署，由基金管理人负责。由基金管理人代表基金签署的、与基金财产有关的重大合同的原件分别由基金管理人、基金托管人</w:t>
      </w:r>
      <w:r>
        <w:rPr>
          <w:rFonts w:asciiTheme="minorEastAsia" w:hAnsiTheme="minorEastAsia" w:cs="Arial" w:hint="eastAsia"/>
          <w:sz w:val="24"/>
          <w:szCs w:val="24"/>
        </w:rPr>
        <w:lastRenderedPageBreak/>
        <w:t>保管。除本协议另有规定外，基金管理人代表基金签署的与基金财产有关的重大合同，基金管理人应保证基金管理人和基金托管人至少各持有一份正本的原件。基金管理人应在重大合同签署后及时将重大合同传真给基金托管人，并在</w:t>
      </w:r>
      <w:r>
        <w:rPr>
          <w:rFonts w:asciiTheme="minorEastAsia" w:hAnsiTheme="minorEastAsia" w:cs="Arial"/>
          <w:sz w:val="24"/>
          <w:szCs w:val="24"/>
        </w:rPr>
        <w:t>30个工作日内将正本送达基金托管人处。重大合同的保管期限为基金合同终止后15年。</w:t>
      </w:r>
    </w:p>
    <w:p w14:paraId="17DC943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 xml:space="preserve"> 对于无法取得二份以上正本的，基金管理人应向基金托管人提供与合同原件核对一致的加盖公章的合同传真件，未经双方协商一致或未在合同约定范围内，合同原件不得转移。</w:t>
      </w:r>
    </w:p>
    <w:p w14:paraId="042E9C5C"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0B31268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（一）基金资产净值的计算、复核与完成的时间及程序</w:t>
      </w:r>
    </w:p>
    <w:p w14:paraId="779ED55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1．基金资产净值</w:t>
      </w:r>
    </w:p>
    <w:p w14:paraId="236C3AF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基金资产净值是指基金资产总值减去负债后的价值。基金份额净值是指计算日基金资产净值除以计算日该基金份额总数后的价值。</w:t>
      </w:r>
    </w:p>
    <w:p w14:paraId="0A1EB1A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计算公式为</w:t>
      </w:r>
      <w:r>
        <w:rPr>
          <w:rFonts w:asciiTheme="minorEastAsia" w:hAnsiTheme="minorEastAsia" w:cs="Arial"/>
          <w:sz w:val="24"/>
          <w:szCs w:val="24"/>
        </w:rPr>
        <w:t xml:space="preserve">: </w:t>
      </w:r>
      <w:r>
        <w:rPr>
          <w:rFonts w:asciiTheme="minorEastAsia" w:hAnsiTheme="minorEastAsia" w:cs="Arial" w:hint="eastAsia"/>
          <w:sz w:val="24"/>
          <w:szCs w:val="24"/>
        </w:rPr>
        <w:t>计算日各类基金份额净值</w:t>
      </w:r>
      <w:r>
        <w:rPr>
          <w:rFonts w:asciiTheme="minorEastAsia" w:hAnsiTheme="minorEastAsia" w:cs="Arial"/>
          <w:sz w:val="24"/>
          <w:szCs w:val="24"/>
        </w:rPr>
        <w:t xml:space="preserve"> = </w:t>
      </w:r>
      <w:r>
        <w:rPr>
          <w:rFonts w:asciiTheme="minorEastAsia" w:hAnsiTheme="minorEastAsia" w:cs="Arial" w:hint="eastAsia"/>
          <w:sz w:val="24"/>
          <w:szCs w:val="24"/>
        </w:rPr>
        <w:t>计算日该类基金份额基金资产净值</w:t>
      </w:r>
      <w:r>
        <w:rPr>
          <w:rFonts w:asciiTheme="minorEastAsia" w:hAnsiTheme="minorEastAsia" w:cs="Arial"/>
          <w:sz w:val="24"/>
          <w:szCs w:val="24"/>
        </w:rPr>
        <w:t xml:space="preserve"> / </w:t>
      </w:r>
      <w:r>
        <w:rPr>
          <w:rFonts w:asciiTheme="minorEastAsia" w:hAnsiTheme="minorEastAsia" w:cs="Arial" w:hint="eastAsia"/>
          <w:sz w:val="24"/>
          <w:szCs w:val="24"/>
        </w:rPr>
        <w:t>计算日该类基金份额的总份额。基金份额净值的计算均精确到</w:t>
      </w:r>
      <w:r>
        <w:rPr>
          <w:rFonts w:asciiTheme="minorEastAsia" w:hAnsiTheme="minorEastAsia" w:cs="Arial"/>
          <w:sz w:val="24"/>
          <w:szCs w:val="24"/>
        </w:rPr>
        <w:t xml:space="preserve">0.0001 </w:t>
      </w:r>
      <w:r>
        <w:rPr>
          <w:rFonts w:asciiTheme="minorEastAsia" w:hAnsiTheme="minorEastAsia" w:cs="Arial" w:hint="eastAsia"/>
          <w:sz w:val="24"/>
          <w:szCs w:val="24"/>
        </w:rPr>
        <w:t>元，小数点后第</w:t>
      </w:r>
      <w:r>
        <w:rPr>
          <w:rFonts w:asciiTheme="minorEastAsia" w:hAnsiTheme="minorEastAsia" w:cs="Arial"/>
          <w:sz w:val="24"/>
          <w:szCs w:val="24"/>
        </w:rPr>
        <w:t>5位四舍五入。国家另有规定的，从其规定。</w:t>
      </w:r>
    </w:p>
    <w:p w14:paraId="56933088"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基金管理人每个工作日计算基金资产净值和两类基金份额净值，并按规定公告。</w:t>
      </w:r>
    </w:p>
    <w:p w14:paraId="67B9C6D1"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2．复核程序</w:t>
      </w:r>
    </w:p>
    <w:p w14:paraId="5D0D31F7"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基金管理人每个工作日对基金资产进行估值后，将基金份额净值结果发送基金托管人，经基金托管人复核无误后，由基金管理人按规定对外公布。但基金管理人根据法律法规或基金合同的规定暂停估值时除外。</w:t>
      </w:r>
    </w:p>
    <w:p w14:paraId="5E42BC1A"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（二）基金会计核算</w:t>
      </w:r>
    </w:p>
    <w:p w14:paraId="4137167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1、基金账册的建立</w:t>
      </w:r>
    </w:p>
    <w:p w14:paraId="79650DEB"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4D3EFE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、基金财务报表与报告的编制和复核</w:t>
      </w:r>
    </w:p>
    <w:p w14:paraId="41A72A6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w:t>
      </w:r>
      <w:r>
        <w:rPr>
          <w:rFonts w:asciiTheme="minorEastAsia" w:hAnsiTheme="minorEastAsia" w:cs="Arial" w:hint="eastAsia"/>
          <w:sz w:val="24"/>
          <w:szCs w:val="24"/>
        </w:rPr>
        <w:t>财务报表的编制</w:t>
      </w:r>
    </w:p>
    <w:p w14:paraId="4511FE04"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基金财务报表由基金管理人编制，基金托管人复核。</w:t>
      </w:r>
    </w:p>
    <w:p w14:paraId="5E4AC86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w:t>
      </w:r>
      <w:r>
        <w:rPr>
          <w:rFonts w:asciiTheme="minorEastAsia" w:hAnsiTheme="minorEastAsia" w:cs="Arial" w:hint="eastAsia"/>
          <w:sz w:val="24"/>
          <w:szCs w:val="24"/>
        </w:rPr>
        <w:t>报表复核</w:t>
      </w:r>
    </w:p>
    <w:p w14:paraId="75F7E9CB"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基金托管人在收到基金管理人编制的基金财务报表后，进行独立的复核。核对不符时，应及时通知基金管理人共同查出原因，进行调整，直至双方数据完全一致。</w:t>
      </w:r>
    </w:p>
    <w:p w14:paraId="42D0F5AD"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w:t>
      </w:r>
      <w:r>
        <w:rPr>
          <w:rFonts w:asciiTheme="minorEastAsia" w:hAnsiTheme="minorEastAsia" w:cs="Arial" w:hint="eastAsia"/>
          <w:sz w:val="24"/>
          <w:szCs w:val="24"/>
        </w:rPr>
        <w:t>财务报表的编制与复核时间安排</w:t>
      </w:r>
    </w:p>
    <w:p w14:paraId="656DBB1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报表的编制</w:t>
      </w:r>
    </w:p>
    <w:p w14:paraId="3DAF925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基金管理人应当在每月结束后</w:t>
      </w:r>
      <w:r>
        <w:rPr>
          <w:rFonts w:asciiTheme="minorEastAsia" w:hAnsiTheme="minorEastAsia" w:cs="Arial"/>
          <w:sz w:val="24"/>
          <w:szCs w:val="24"/>
        </w:rPr>
        <w:t>5个工作日内完成月度报表的编制；在每个季度结束之日起15个工作日内完成基金季度报告的编制；在上半年结束之日起</w:t>
      </w:r>
      <w:r>
        <w:rPr>
          <w:rFonts w:asciiTheme="minorEastAsia" w:hAnsiTheme="minorEastAsia" w:cs="Arial" w:hint="eastAsia"/>
          <w:sz w:val="24"/>
          <w:szCs w:val="24"/>
        </w:rPr>
        <w:t>两个月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138DC86F"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报表的复核</w:t>
      </w:r>
    </w:p>
    <w:p w14:paraId="414EFFF9"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EBECF66"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基金管理人应留足充分的时间，便于基金托管人复核相关报表及报告。</w:t>
      </w:r>
    </w:p>
    <w:p w14:paraId="49272AA9"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7E9C6E7B"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基金份额持有人名册至少应包括基金份额持有人的名称和持有的基金份额。基金份额持有人名册由基金登记机构根据基金管理人的指令编制和保管</w:t>
      </w:r>
      <w:r>
        <w:rPr>
          <w:rFonts w:asciiTheme="minorEastAsia" w:hAnsiTheme="minorEastAsia" w:cs="Arial"/>
          <w:sz w:val="24"/>
          <w:szCs w:val="24"/>
        </w:rPr>
        <w:t>.基金管理人应定期向基金托管人提供基金份额持有人名册，基金托管人得到基金管理人提供的持有人名册后与基金管理人分别进行保管。保管方式可以采用电子或文档的形式，保存期不少于15年，法律法规另有规定或有权机关另有要求的除外。如不能妥善保管，则按相关法规承担责任。</w:t>
      </w:r>
    </w:p>
    <w:p w14:paraId="524763C3" w14:textId="77777777" w:rsidR="008D0810" w:rsidRDefault="00417F9F">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7CB0C14"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七、争议解决方式</w:t>
      </w:r>
    </w:p>
    <w:p w14:paraId="639B25BE"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各方当事人同意，因基金合同而产生的或与基金合同有关的一切争议，如经</w:t>
      </w:r>
      <w:r>
        <w:rPr>
          <w:rFonts w:asciiTheme="minorEastAsia" w:hAnsiTheme="minorEastAsia" w:cs="Times New Roman" w:hint="eastAsia"/>
          <w:sz w:val="24"/>
          <w:szCs w:val="24"/>
        </w:rPr>
        <w:lastRenderedPageBreak/>
        <w:t>友好协商未能解决的，任何一方均有权将争议提交华南国际经济贸易仲裁委员会，按照该会届时有效的仲裁规则进行仲裁。仲裁地点为深圳市。仲裁裁决是终局的，对各方当事人均有约束力，仲裁费用和律师费用由败诉方承担。</w:t>
      </w:r>
    </w:p>
    <w:p w14:paraId="5203D8FE"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争议处理期间，双方当事人应恪守基金管理人和基金托管人职责，各自继续忠实、勤勉、尽责地履行基金合同和本托管协议规定的义务，维护基金份额持有人的合法权益。</w:t>
      </w:r>
    </w:p>
    <w:p w14:paraId="78A8627C"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本协议受中华人民共和国法律（不含港澳台立法）管辖。</w:t>
      </w:r>
    </w:p>
    <w:p w14:paraId="6ED7238F" w14:textId="77777777" w:rsidR="008D0810" w:rsidRDefault="00417F9F">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4E7C102C"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（一）托管协议的变更程序</w:t>
      </w:r>
    </w:p>
    <w:p w14:paraId="08853F21"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本协议双方当事人经协商一致，可以对协议进行修改。修改后的新协议，其内容不得与基金合同的规定有任何冲突。基金托管协议的变更报中国证监会备案。</w:t>
      </w:r>
    </w:p>
    <w:p w14:paraId="7AD391FA"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（二）基金托管协议终止出现的情形</w:t>
      </w:r>
    </w:p>
    <w:p w14:paraId="21941E7B"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1．基金合同终止；</w:t>
      </w:r>
    </w:p>
    <w:p w14:paraId="4A62157F"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2．基金托管人解散、依法被撤销、破产或由其他基金托管人接管基金资产；</w:t>
      </w:r>
    </w:p>
    <w:p w14:paraId="2FDF878C"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3．基金管理人解散、依法被撤销、破产或由其他基金管理人接管基金管理权；</w:t>
      </w:r>
    </w:p>
    <w:p w14:paraId="2D5FDA9B"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4．发生法律法规或基金合同规定的终止事项</w:t>
      </w:r>
      <w:r>
        <w:rPr>
          <w:rFonts w:asciiTheme="minorEastAsia" w:hAnsiTheme="minorEastAsia" w:hint="eastAsia"/>
          <w:sz w:val="24"/>
          <w:szCs w:val="24"/>
        </w:rPr>
        <w:t>。</w:t>
      </w:r>
    </w:p>
    <w:p w14:paraId="5152307E" w14:textId="77777777" w:rsidR="008D0810" w:rsidRDefault="00417F9F">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（三）基金财产的清算</w:t>
      </w:r>
    </w:p>
    <w:p w14:paraId="591B36DA" w14:textId="77777777" w:rsidR="008D0810" w:rsidRDefault="00417F9F">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hint="eastAsia"/>
          <w:sz w:val="24"/>
          <w:szCs w:val="24"/>
        </w:rPr>
        <w:t>基金管理人与基金托管人按照《基金合同》的约定处理基金财产的清算</w:t>
      </w:r>
      <w:r>
        <w:rPr>
          <w:rFonts w:asciiTheme="minorEastAsia" w:hAnsiTheme="minorEastAsia" w:cs="Times New Roman" w:hint="eastAsia"/>
          <w:sz w:val="24"/>
          <w:szCs w:val="24"/>
        </w:rPr>
        <w:t>。</w:t>
      </w:r>
    </w:p>
    <w:p w14:paraId="04142450" w14:textId="77777777" w:rsidR="008D0810" w:rsidRDefault="008D0810">
      <w:pPr>
        <w:keepNext/>
        <w:keepLines/>
        <w:tabs>
          <w:tab w:val="center" w:pos="4364"/>
        </w:tabs>
        <w:autoSpaceDE w:val="0"/>
        <w:autoSpaceDN w:val="0"/>
        <w:adjustRightInd w:val="0"/>
        <w:snapToGrid w:val="0"/>
        <w:spacing w:line="360" w:lineRule="auto"/>
        <w:ind w:firstLineChars="150" w:firstLine="361"/>
        <w:textAlignment w:val="baseline"/>
        <w:outlineLvl w:val="0"/>
        <w:rPr>
          <w:rFonts w:asciiTheme="minorEastAsia" w:hAnsiTheme="minorEastAsia" w:cs="Times New Roman" w:hint="eastAsia"/>
          <w:b/>
          <w:kern w:val="0"/>
          <w:sz w:val="24"/>
          <w:szCs w:val="24"/>
        </w:rPr>
        <w:sectPr w:rsidR="008D0810">
          <w:footerReference w:type="default" r:id="rId35"/>
          <w:pgSz w:w="11906" w:h="16838"/>
          <w:pgMar w:top="1440" w:right="1800" w:bottom="1440" w:left="1800" w:header="851" w:footer="992" w:gutter="0"/>
          <w:pgNumType w:chapStyle="1"/>
          <w:cols w:space="720"/>
          <w:docGrid w:type="lines" w:linePitch="312"/>
        </w:sectPr>
      </w:pPr>
      <w:bookmarkStart w:id="402" w:name="_Toc147463123"/>
      <w:bookmarkStart w:id="403" w:name="_Toc12357176"/>
      <w:bookmarkStart w:id="404" w:name="_Toc214873621"/>
      <w:bookmarkStart w:id="405" w:name="_Toc416264555"/>
      <w:bookmarkStart w:id="406" w:name="_Toc21073396"/>
      <w:bookmarkStart w:id="407" w:name="_Toc263092328"/>
      <w:bookmarkStart w:id="408" w:name="_Toc123102468"/>
      <w:bookmarkStart w:id="409" w:name="_Toc30350"/>
      <w:bookmarkStart w:id="410" w:name="_Toc3319"/>
      <w:bookmarkStart w:id="411" w:name="_Toc23999"/>
      <w:bookmarkStart w:id="412" w:name="_Toc123112249"/>
      <w:bookmarkStart w:id="413" w:name="_Toc139991751"/>
      <w:bookmarkStart w:id="414" w:name="_Toc8636"/>
      <w:bookmarkStart w:id="415" w:name="_Toc24923"/>
      <w:bookmarkStart w:id="416" w:name="_Toc7288"/>
      <w:bookmarkStart w:id="417" w:name="_Toc123051467"/>
      <w:bookmarkStart w:id="418" w:name="_Toc98560366"/>
      <w:bookmarkStart w:id="419" w:name="_Toc1790"/>
      <w:bookmarkStart w:id="420" w:name="_Toc352229767"/>
      <w:bookmarkStart w:id="421" w:name="_Toc25651"/>
      <w:bookmarkStart w:id="422" w:name="_Toc21983"/>
      <w:bookmarkStart w:id="423" w:name="_Toc6202"/>
      <w:bookmarkStart w:id="424" w:name="_Toc6110"/>
      <w:bookmarkStart w:id="425" w:name="_Toc14170390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3C1BFBF" w14:textId="77777777" w:rsidR="008D0810" w:rsidRDefault="00417F9F">
      <w:pPr>
        <w:pStyle w:val="1"/>
        <w:jc w:val="center"/>
        <w:rPr>
          <w:rFonts w:asciiTheme="minorEastAsia" w:eastAsiaTheme="minorEastAsia" w:hAnsiTheme="minorEastAsia" w:hint="eastAsia"/>
          <w:sz w:val="30"/>
          <w:szCs w:val="30"/>
        </w:rPr>
      </w:pPr>
      <w:bookmarkStart w:id="426" w:name="_Toc146096096"/>
      <w:r>
        <w:rPr>
          <w:rFonts w:asciiTheme="minorEastAsia" w:eastAsiaTheme="minorEastAsia" w:hAnsiTheme="minorEastAsia" w:hint="eastAsia"/>
          <w:sz w:val="30"/>
          <w:szCs w:val="30"/>
        </w:rPr>
        <w:lastRenderedPageBreak/>
        <w:t>第二十部分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对基金份额持有人的服务</w:t>
      </w:r>
      <w:bookmarkEnd w:id="426"/>
    </w:p>
    <w:p w14:paraId="0AE5BC16"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2A6D4639"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（一）电话人工咨询服务</w:t>
      </w:r>
    </w:p>
    <w:p w14:paraId="3D2BD552"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55A371BF"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（二）自助查询服务</w:t>
      </w:r>
    </w:p>
    <w:p w14:paraId="7A4F86BF"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57F14FD6"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（三）邮件咨询服务</w:t>
      </w:r>
    </w:p>
    <w:p w14:paraId="5F90A7B9"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4B7F3C06"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（四）免费信息订阅服务</w:t>
      </w:r>
    </w:p>
    <w:p w14:paraId="6B2E8785"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7311F53F"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（五）客户投诉受理服务</w:t>
      </w:r>
    </w:p>
    <w:p w14:paraId="12FA5C83"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29BBD35A"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（六）基金管理人联系方式 </w:t>
      </w:r>
    </w:p>
    <w:p w14:paraId="25A7DB4B"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基金管理人网址： www.furamc.com.cn</w:t>
      </w:r>
    </w:p>
    <w:p w14:paraId="33949D8B"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电子信箱：service@furamc.com.cn</w:t>
      </w:r>
    </w:p>
    <w:p w14:paraId="676CBA68"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客服热线：4006855600</w:t>
      </w:r>
    </w:p>
    <w:p w14:paraId="51380A9C"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6DFBF2E9"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邮编：518038</w:t>
      </w:r>
    </w:p>
    <w:p w14:paraId="75A2D897" w14:textId="77777777" w:rsidR="008D0810" w:rsidRDefault="00417F9F">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（七）如本招募说明书存在任何您/贵机构无法理解的内容，请通过上述联系方式联系基金管理人。请确保投资前，您/贵机构已经全面理解了本招募说明书。</w:t>
      </w:r>
    </w:p>
    <w:p w14:paraId="035C141E" w14:textId="77777777" w:rsidR="008D0810" w:rsidRDefault="008D0810">
      <w:pPr>
        <w:spacing w:line="360" w:lineRule="auto"/>
        <w:ind w:firstLineChars="200" w:firstLine="480"/>
        <w:rPr>
          <w:rFonts w:asciiTheme="minorEastAsia" w:hAnsiTheme="minorEastAsia" w:cs="Arial" w:hint="eastAsia"/>
          <w:sz w:val="24"/>
          <w:szCs w:val="24"/>
        </w:rPr>
      </w:pPr>
    </w:p>
    <w:p w14:paraId="7E7C6EBA" w14:textId="77777777" w:rsidR="008D0810" w:rsidRDefault="008D0810">
      <w:pPr>
        <w:spacing w:line="360" w:lineRule="auto"/>
        <w:ind w:firstLineChars="200" w:firstLine="480"/>
        <w:rPr>
          <w:rFonts w:asciiTheme="minorEastAsia" w:hAnsiTheme="minorEastAsia" w:hint="eastAsia"/>
          <w:sz w:val="24"/>
          <w:szCs w:val="24"/>
        </w:rPr>
        <w:sectPr w:rsidR="008D0810">
          <w:footerReference w:type="default" r:id="rId36"/>
          <w:pgSz w:w="11906" w:h="16838"/>
          <w:pgMar w:top="1440" w:right="1800" w:bottom="1440" w:left="1800" w:header="851" w:footer="992" w:gutter="0"/>
          <w:pgNumType w:chapStyle="1"/>
          <w:cols w:space="720"/>
          <w:docGrid w:type="lines" w:linePitch="312"/>
        </w:sectPr>
      </w:pPr>
    </w:p>
    <w:p w14:paraId="06B0DFBE" w14:textId="77777777" w:rsidR="008D0810" w:rsidRDefault="00417F9F">
      <w:pPr>
        <w:pStyle w:val="1"/>
        <w:jc w:val="center"/>
        <w:rPr>
          <w:rFonts w:asciiTheme="minorEastAsia" w:eastAsiaTheme="minorEastAsia" w:hAnsiTheme="minorEastAsia" w:hint="eastAsia"/>
          <w:sz w:val="30"/>
          <w:szCs w:val="30"/>
        </w:rPr>
      </w:pPr>
      <w:bookmarkStart w:id="427" w:name="_Toc146096097"/>
      <w:bookmarkStart w:id="428" w:name="_Toc256666929"/>
      <w:bookmarkStart w:id="429" w:name="_Toc520207207"/>
      <w:bookmarkStart w:id="430" w:name="_Toc30359"/>
      <w:bookmarkStart w:id="431" w:name="_Toc482624810"/>
      <w:bookmarkStart w:id="432" w:name="_Toc256666809"/>
      <w:bookmarkStart w:id="433" w:name="_Toc263092329"/>
      <w:bookmarkStart w:id="434" w:name="_Toc416264556"/>
      <w:bookmarkStart w:id="435" w:name="_Toc214873622"/>
      <w:bookmarkStart w:id="436" w:name="_Toc530223198"/>
      <w:bookmarkEnd w:id="402"/>
      <w:bookmarkEnd w:id="403"/>
      <w:bookmarkEnd w:id="404"/>
      <w:bookmarkEnd w:id="405"/>
      <w:bookmarkEnd w:id="406"/>
      <w:bookmarkEnd w:id="407"/>
      <w:r>
        <w:rPr>
          <w:rFonts w:asciiTheme="minorEastAsia" w:eastAsiaTheme="minorEastAsia" w:hAnsiTheme="minorEastAsia" w:hint="eastAsia"/>
          <w:sz w:val="30"/>
          <w:szCs w:val="30"/>
        </w:rPr>
        <w:lastRenderedPageBreak/>
        <w:t>第二十一部分  其他应披露事项</w:t>
      </w:r>
      <w:bookmarkEnd w:id="427"/>
      <w:bookmarkEnd w:id="428"/>
      <w:bookmarkEnd w:id="429"/>
      <w:bookmarkEnd w:id="430"/>
      <w:bookmarkEnd w:id="431"/>
      <w:bookmarkEnd w:id="432"/>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708"/>
        <w:gridCol w:w="2514"/>
      </w:tblGrid>
      <w:tr w:rsidR="008D0810" w14:paraId="5A05636C" w14:textId="77777777">
        <w:trPr>
          <w:trHeight w:val="20"/>
        </w:trPr>
        <w:tc>
          <w:tcPr>
            <w:tcW w:w="817" w:type="dxa"/>
            <w:tcBorders>
              <w:top w:val="single" w:sz="4" w:space="0" w:color="auto"/>
              <w:left w:val="single" w:sz="4" w:space="0" w:color="auto"/>
              <w:bottom w:val="single" w:sz="4" w:space="0" w:color="auto"/>
              <w:right w:val="single" w:sz="4" w:space="0" w:color="auto"/>
            </w:tcBorders>
          </w:tcPr>
          <w:p w14:paraId="4A842D67" w14:textId="77777777" w:rsidR="008D0810" w:rsidRDefault="00417F9F">
            <w:pPr>
              <w:jc w:val="center"/>
              <w:rPr>
                <w:rFonts w:asciiTheme="minorEastAsia" w:hAnsiTheme="minorEastAsia" w:cs="Arial" w:hint="eastAsia"/>
                <w:sz w:val="24"/>
                <w:szCs w:val="24"/>
              </w:rPr>
            </w:pPr>
            <w:r>
              <w:rPr>
                <w:rFonts w:asciiTheme="minorEastAsia" w:hAnsiTheme="minorEastAsia" w:cs="Arial" w:hint="eastAsia"/>
                <w:sz w:val="24"/>
                <w:szCs w:val="24"/>
              </w:rPr>
              <w:t>序号</w:t>
            </w:r>
          </w:p>
        </w:tc>
        <w:tc>
          <w:tcPr>
            <w:tcW w:w="5708" w:type="dxa"/>
            <w:tcBorders>
              <w:top w:val="single" w:sz="4" w:space="0" w:color="auto"/>
              <w:left w:val="single" w:sz="4" w:space="0" w:color="auto"/>
              <w:bottom w:val="single" w:sz="4" w:space="0" w:color="auto"/>
              <w:right w:val="single" w:sz="4" w:space="0" w:color="auto"/>
            </w:tcBorders>
          </w:tcPr>
          <w:p w14:paraId="4BCE96CB" w14:textId="77777777" w:rsidR="008D0810" w:rsidRDefault="00417F9F">
            <w:pPr>
              <w:jc w:val="center"/>
              <w:rPr>
                <w:rFonts w:asciiTheme="minorEastAsia" w:hAnsiTheme="minorEastAsia" w:hint="eastAsia"/>
                <w:color w:val="000000"/>
                <w:sz w:val="24"/>
                <w:szCs w:val="24"/>
              </w:rPr>
            </w:pPr>
            <w:r>
              <w:rPr>
                <w:rFonts w:asciiTheme="minorEastAsia" w:hAnsiTheme="minorEastAsia" w:hint="eastAsia"/>
                <w:color w:val="000000"/>
                <w:sz w:val="24"/>
                <w:szCs w:val="24"/>
              </w:rPr>
              <w:t>公告事项</w:t>
            </w:r>
          </w:p>
        </w:tc>
        <w:tc>
          <w:tcPr>
            <w:tcW w:w="2514" w:type="dxa"/>
            <w:tcBorders>
              <w:top w:val="single" w:sz="4" w:space="0" w:color="auto"/>
              <w:left w:val="single" w:sz="4" w:space="0" w:color="auto"/>
              <w:bottom w:val="single" w:sz="4" w:space="0" w:color="auto"/>
              <w:right w:val="single" w:sz="4" w:space="0" w:color="auto"/>
            </w:tcBorders>
          </w:tcPr>
          <w:p w14:paraId="4F7BC36F" w14:textId="77777777" w:rsidR="008D0810" w:rsidRDefault="00417F9F">
            <w:pPr>
              <w:jc w:val="center"/>
              <w:rPr>
                <w:rFonts w:asciiTheme="minorEastAsia" w:hAnsiTheme="minorEastAsia" w:hint="eastAsia"/>
                <w:color w:val="000000"/>
                <w:sz w:val="24"/>
                <w:szCs w:val="24"/>
              </w:rPr>
            </w:pPr>
            <w:r>
              <w:rPr>
                <w:rFonts w:asciiTheme="minorEastAsia" w:hAnsiTheme="minorEastAsia" w:hint="eastAsia"/>
                <w:color w:val="000000"/>
                <w:sz w:val="24"/>
                <w:szCs w:val="24"/>
              </w:rPr>
              <w:t>披露日期</w:t>
            </w:r>
          </w:p>
        </w:tc>
      </w:tr>
      <w:tr w:rsidR="005B2727" w14:paraId="4BB9A90F"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1BC407DE" w14:textId="55D4F102"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w:t>
            </w:r>
          </w:p>
        </w:tc>
        <w:tc>
          <w:tcPr>
            <w:tcW w:w="5708" w:type="dxa"/>
            <w:tcBorders>
              <w:top w:val="single" w:sz="4" w:space="0" w:color="auto"/>
              <w:left w:val="single" w:sz="4" w:space="0" w:color="auto"/>
              <w:bottom w:val="single" w:sz="4" w:space="0" w:color="auto"/>
              <w:right w:val="single" w:sz="4" w:space="0" w:color="auto"/>
            </w:tcBorders>
            <w:vAlign w:val="bottom"/>
          </w:tcPr>
          <w:p w14:paraId="4A6E9D20" w14:textId="5D19D590"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富荣基金管理有限公司关于终止北京中植基金销售有限公司办理旗下基金相关销售业务的公告</w:t>
            </w:r>
          </w:p>
        </w:tc>
        <w:tc>
          <w:tcPr>
            <w:tcW w:w="2514" w:type="dxa"/>
            <w:tcBorders>
              <w:top w:val="single" w:sz="4" w:space="0" w:color="auto"/>
              <w:left w:val="single" w:sz="4" w:space="0" w:color="auto"/>
              <w:bottom w:val="single" w:sz="4" w:space="0" w:color="auto"/>
              <w:right w:val="single" w:sz="4" w:space="0" w:color="auto"/>
            </w:tcBorders>
            <w:vAlign w:val="center"/>
          </w:tcPr>
          <w:p w14:paraId="108EA76D" w14:textId="7AE5B3DE"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2024年8月28日</w:t>
            </w:r>
          </w:p>
        </w:tc>
      </w:tr>
      <w:tr w:rsidR="005B2727" w14:paraId="2FE84BF8"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C978196" w14:textId="59325631"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w:t>
            </w:r>
          </w:p>
        </w:tc>
        <w:tc>
          <w:tcPr>
            <w:tcW w:w="5708" w:type="dxa"/>
            <w:tcBorders>
              <w:top w:val="single" w:sz="4" w:space="0" w:color="auto"/>
              <w:left w:val="single" w:sz="4" w:space="0" w:color="auto"/>
              <w:bottom w:val="single" w:sz="4" w:space="0" w:color="auto"/>
              <w:right w:val="single" w:sz="4" w:space="0" w:color="auto"/>
            </w:tcBorders>
            <w:vAlign w:val="bottom"/>
          </w:tcPr>
          <w:p w14:paraId="4B5328DD" w14:textId="7B216A18"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富荣基金管理有限公司旗下全部基金2024年中期报告提示性公告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50538A2A" w14:textId="7900A3D4"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2024年8月31日</w:t>
            </w:r>
          </w:p>
        </w:tc>
      </w:tr>
      <w:tr w:rsidR="005B2727" w14:paraId="280DD7E9"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DB73358" w14:textId="2899F58D"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3</w:t>
            </w:r>
          </w:p>
        </w:tc>
        <w:tc>
          <w:tcPr>
            <w:tcW w:w="5708" w:type="dxa"/>
            <w:tcBorders>
              <w:top w:val="single" w:sz="4" w:space="0" w:color="auto"/>
              <w:left w:val="single" w:sz="4" w:space="0" w:color="auto"/>
              <w:bottom w:val="single" w:sz="4" w:space="0" w:color="auto"/>
              <w:right w:val="single" w:sz="4" w:space="0" w:color="auto"/>
            </w:tcBorders>
            <w:vAlign w:val="bottom"/>
          </w:tcPr>
          <w:p w14:paraId="7839B765" w14:textId="356DF911"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富荣基金管理有限公司关于旗下部分公开募集证券投资基金更新招募说明书及产品资料概要的提示性公告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593D846B" w14:textId="396F9FA2"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2024年9月23日</w:t>
            </w:r>
          </w:p>
        </w:tc>
      </w:tr>
      <w:tr w:rsidR="005B2727" w14:paraId="10D14931"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3620D3B9" w14:textId="0A4BD42F"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4</w:t>
            </w:r>
          </w:p>
        </w:tc>
        <w:tc>
          <w:tcPr>
            <w:tcW w:w="5708" w:type="dxa"/>
            <w:tcBorders>
              <w:top w:val="single" w:sz="4" w:space="0" w:color="auto"/>
              <w:left w:val="single" w:sz="4" w:space="0" w:color="auto"/>
              <w:bottom w:val="single" w:sz="4" w:space="0" w:color="auto"/>
              <w:right w:val="single" w:sz="4" w:space="0" w:color="auto"/>
            </w:tcBorders>
            <w:vAlign w:val="bottom"/>
          </w:tcPr>
          <w:p w14:paraId="24671E06" w14:textId="1A17C9BF"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关于以通讯方式召开富荣福康混合型证券投资基金基金份额持有人大会的公告</w:t>
            </w:r>
          </w:p>
        </w:tc>
        <w:tc>
          <w:tcPr>
            <w:tcW w:w="2514" w:type="dxa"/>
            <w:tcBorders>
              <w:top w:val="single" w:sz="4" w:space="0" w:color="auto"/>
              <w:left w:val="single" w:sz="4" w:space="0" w:color="auto"/>
              <w:bottom w:val="single" w:sz="4" w:space="0" w:color="auto"/>
              <w:right w:val="single" w:sz="4" w:space="0" w:color="auto"/>
            </w:tcBorders>
            <w:vAlign w:val="center"/>
          </w:tcPr>
          <w:p w14:paraId="22F7A067" w14:textId="1D40A6D8"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2024年9月26日</w:t>
            </w:r>
          </w:p>
        </w:tc>
      </w:tr>
      <w:tr w:rsidR="005B2727" w14:paraId="00FCB9A8"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47F19200" w14:textId="544D7E97"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5</w:t>
            </w:r>
          </w:p>
        </w:tc>
        <w:tc>
          <w:tcPr>
            <w:tcW w:w="5708" w:type="dxa"/>
            <w:tcBorders>
              <w:top w:val="single" w:sz="4" w:space="0" w:color="auto"/>
              <w:left w:val="single" w:sz="4" w:space="0" w:color="auto"/>
              <w:bottom w:val="single" w:sz="4" w:space="0" w:color="auto"/>
              <w:right w:val="single" w:sz="4" w:space="0" w:color="auto"/>
            </w:tcBorders>
            <w:vAlign w:val="bottom"/>
          </w:tcPr>
          <w:p w14:paraId="197AE27E" w14:textId="0F5064C8"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关于以通讯方式召开富荣福康混合型证券投资基金基金份额持有人大会的第一次提示性公告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1A4FC31C" w14:textId="170AB218"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2024年9月27日</w:t>
            </w:r>
          </w:p>
        </w:tc>
      </w:tr>
      <w:tr w:rsidR="005B2727" w14:paraId="0EED017F"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A6B0325" w14:textId="105EF7D9"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6</w:t>
            </w:r>
          </w:p>
        </w:tc>
        <w:tc>
          <w:tcPr>
            <w:tcW w:w="5708" w:type="dxa"/>
            <w:tcBorders>
              <w:top w:val="single" w:sz="4" w:space="0" w:color="auto"/>
              <w:left w:val="single" w:sz="4" w:space="0" w:color="auto"/>
              <w:bottom w:val="single" w:sz="4" w:space="0" w:color="auto"/>
              <w:right w:val="single" w:sz="4" w:space="0" w:color="auto"/>
            </w:tcBorders>
            <w:vAlign w:val="bottom"/>
          </w:tcPr>
          <w:p w14:paraId="7664AD95" w14:textId="2656EAFE"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关于以通讯方式召开富荣福康混合型证券投资基金基金份额持有人大会的第二次提示性公告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0F641E59" w14:textId="14A54A3A"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2024年9月28日</w:t>
            </w:r>
          </w:p>
        </w:tc>
      </w:tr>
      <w:tr w:rsidR="005B2727" w14:paraId="09E6EAC8"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355F0B5A" w14:textId="241D4F2A"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7</w:t>
            </w:r>
          </w:p>
        </w:tc>
        <w:tc>
          <w:tcPr>
            <w:tcW w:w="5708" w:type="dxa"/>
            <w:tcBorders>
              <w:top w:val="single" w:sz="4" w:space="0" w:color="auto"/>
              <w:left w:val="single" w:sz="4" w:space="0" w:color="auto"/>
              <w:bottom w:val="single" w:sz="4" w:space="0" w:color="auto"/>
              <w:right w:val="single" w:sz="4" w:space="0" w:color="auto"/>
            </w:tcBorders>
            <w:vAlign w:val="bottom"/>
          </w:tcPr>
          <w:p w14:paraId="1A43479A" w14:textId="1372CBA9"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关于富荣福康混合型证券投资基金恢复大额申购、大额转换转入、大额定期定额投资业务的公告</w:t>
            </w:r>
          </w:p>
        </w:tc>
        <w:tc>
          <w:tcPr>
            <w:tcW w:w="2514" w:type="dxa"/>
            <w:tcBorders>
              <w:top w:val="single" w:sz="4" w:space="0" w:color="auto"/>
              <w:left w:val="single" w:sz="4" w:space="0" w:color="auto"/>
              <w:bottom w:val="single" w:sz="4" w:space="0" w:color="auto"/>
              <w:right w:val="single" w:sz="4" w:space="0" w:color="auto"/>
            </w:tcBorders>
            <w:vAlign w:val="center"/>
          </w:tcPr>
          <w:p w14:paraId="221E9280" w14:textId="4326D90C"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2024年10月17日</w:t>
            </w:r>
          </w:p>
        </w:tc>
      </w:tr>
      <w:tr w:rsidR="005B2727" w14:paraId="2101F5C5"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AC9A98F" w14:textId="44617D4C"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8</w:t>
            </w:r>
          </w:p>
        </w:tc>
        <w:tc>
          <w:tcPr>
            <w:tcW w:w="5708" w:type="dxa"/>
            <w:tcBorders>
              <w:top w:val="single" w:sz="4" w:space="0" w:color="auto"/>
              <w:left w:val="single" w:sz="4" w:space="0" w:color="auto"/>
              <w:bottom w:val="single" w:sz="4" w:space="0" w:color="auto"/>
              <w:right w:val="single" w:sz="4" w:space="0" w:color="auto"/>
            </w:tcBorders>
            <w:vAlign w:val="bottom"/>
          </w:tcPr>
          <w:p w14:paraId="257AC7EA" w14:textId="6B10A193"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富荣基金管理有限公司旗下全部基金2024年第3季度报告提示性公告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72542450" w14:textId="0F181703"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2024年10月25日</w:t>
            </w:r>
          </w:p>
        </w:tc>
      </w:tr>
      <w:tr w:rsidR="005B2727" w14:paraId="11E202CC"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633E3ED6" w14:textId="2A37841D"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9</w:t>
            </w:r>
          </w:p>
        </w:tc>
        <w:tc>
          <w:tcPr>
            <w:tcW w:w="5708" w:type="dxa"/>
            <w:tcBorders>
              <w:top w:val="single" w:sz="4" w:space="0" w:color="auto"/>
              <w:left w:val="single" w:sz="4" w:space="0" w:color="auto"/>
              <w:bottom w:val="single" w:sz="4" w:space="0" w:color="auto"/>
              <w:right w:val="single" w:sz="4" w:space="0" w:color="auto"/>
            </w:tcBorders>
            <w:vAlign w:val="bottom"/>
          </w:tcPr>
          <w:p w14:paraId="65FD8164" w14:textId="2ED424F4"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富荣福康混合型证券投资基金基金份额持有人大会表决结果暨决议生效的公告</w:t>
            </w:r>
          </w:p>
        </w:tc>
        <w:tc>
          <w:tcPr>
            <w:tcW w:w="2514" w:type="dxa"/>
            <w:tcBorders>
              <w:top w:val="single" w:sz="4" w:space="0" w:color="auto"/>
              <w:left w:val="single" w:sz="4" w:space="0" w:color="auto"/>
              <w:bottom w:val="single" w:sz="4" w:space="0" w:color="auto"/>
              <w:right w:val="single" w:sz="4" w:space="0" w:color="auto"/>
            </w:tcBorders>
            <w:vAlign w:val="center"/>
          </w:tcPr>
          <w:p w14:paraId="4959B783" w14:textId="6B0E84AF"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2024年11月5日</w:t>
            </w:r>
          </w:p>
        </w:tc>
      </w:tr>
      <w:tr w:rsidR="005B2727" w14:paraId="3E5F9063"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691F64C" w14:textId="27051DBE"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10</w:t>
            </w:r>
          </w:p>
        </w:tc>
        <w:tc>
          <w:tcPr>
            <w:tcW w:w="5708" w:type="dxa"/>
            <w:tcBorders>
              <w:top w:val="single" w:sz="4" w:space="0" w:color="auto"/>
              <w:left w:val="single" w:sz="4" w:space="0" w:color="auto"/>
              <w:bottom w:val="single" w:sz="4" w:space="0" w:color="auto"/>
              <w:right w:val="single" w:sz="4" w:space="0" w:color="auto"/>
            </w:tcBorders>
            <w:vAlign w:val="bottom"/>
          </w:tcPr>
          <w:p w14:paraId="48A27F33" w14:textId="0A52D8B8"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富荣基金管理有限公司高级管理人员变更公告</w:t>
            </w:r>
          </w:p>
        </w:tc>
        <w:tc>
          <w:tcPr>
            <w:tcW w:w="2514" w:type="dxa"/>
            <w:tcBorders>
              <w:top w:val="single" w:sz="4" w:space="0" w:color="auto"/>
              <w:left w:val="single" w:sz="4" w:space="0" w:color="auto"/>
              <w:bottom w:val="single" w:sz="4" w:space="0" w:color="auto"/>
              <w:right w:val="single" w:sz="4" w:space="0" w:color="auto"/>
            </w:tcBorders>
            <w:vAlign w:val="center"/>
          </w:tcPr>
          <w:p w14:paraId="1CF6AD35" w14:textId="24F78A58"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2024年11月7日</w:t>
            </w:r>
          </w:p>
        </w:tc>
      </w:tr>
      <w:tr w:rsidR="005B2727" w14:paraId="07376BFE"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3330067" w14:textId="47830AD7"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11</w:t>
            </w:r>
          </w:p>
        </w:tc>
        <w:tc>
          <w:tcPr>
            <w:tcW w:w="5708" w:type="dxa"/>
            <w:tcBorders>
              <w:top w:val="single" w:sz="4" w:space="0" w:color="auto"/>
              <w:left w:val="single" w:sz="4" w:space="0" w:color="auto"/>
              <w:bottom w:val="single" w:sz="4" w:space="0" w:color="auto"/>
              <w:right w:val="single" w:sz="4" w:space="0" w:color="auto"/>
            </w:tcBorders>
            <w:vAlign w:val="bottom"/>
          </w:tcPr>
          <w:p w14:paraId="06A3527A" w14:textId="0943AEC7"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富荣基金管理有限公司关于旗下部分基金新增广发期货有限公司为销售机构、开通基金定期定额投资业务和基金转换业务并参加申购及定期定额投资申购费率优惠活动的公告</w:t>
            </w:r>
          </w:p>
        </w:tc>
        <w:tc>
          <w:tcPr>
            <w:tcW w:w="2514" w:type="dxa"/>
            <w:tcBorders>
              <w:top w:val="single" w:sz="4" w:space="0" w:color="auto"/>
              <w:left w:val="single" w:sz="4" w:space="0" w:color="auto"/>
              <w:bottom w:val="single" w:sz="4" w:space="0" w:color="auto"/>
              <w:right w:val="single" w:sz="4" w:space="0" w:color="auto"/>
            </w:tcBorders>
            <w:vAlign w:val="center"/>
          </w:tcPr>
          <w:p w14:paraId="429FCAE4" w14:textId="3DC67039"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2024年12月2日</w:t>
            </w:r>
          </w:p>
        </w:tc>
      </w:tr>
      <w:tr w:rsidR="005B2727" w14:paraId="5859A893"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436969C" w14:textId="00CC0291"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12</w:t>
            </w:r>
          </w:p>
        </w:tc>
        <w:tc>
          <w:tcPr>
            <w:tcW w:w="5708" w:type="dxa"/>
            <w:tcBorders>
              <w:top w:val="single" w:sz="4" w:space="0" w:color="auto"/>
              <w:left w:val="single" w:sz="4" w:space="0" w:color="auto"/>
              <w:bottom w:val="single" w:sz="4" w:space="0" w:color="auto"/>
              <w:right w:val="single" w:sz="4" w:space="0" w:color="auto"/>
            </w:tcBorders>
            <w:vAlign w:val="bottom"/>
          </w:tcPr>
          <w:p w14:paraId="6D3CC65F" w14:textId="2D8B2F92"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富荣基金管理有限公司基金行业高级管理人员变更公告</w:t>
            </w:r>
          </w:p>
        </w:tc>
        <w:tc>
          <w:tcPr>
            <w:tcW w:w="2514" w:type="dxa"/>
            <w:tcBorders>
              <w:top w:val="single" w:sz="4" w:space="0" w:color="auto"/>
              <w:left w:val="single" w:sz="4" w:space="0" w:color="auto"/>
              <w:bottom w:val="single" w:sz="4" w:space="0" w:color="auto"/>
              <w:right w:val="single" w:sz="4" w:space="0" w:color="auto"/>
            </w:tcBorders>
            <w:vAlign w:val="center"/>
          </w:tcPr>
          <w:p w14:paraId="4F931356" w14:textId="701DEE62"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2024年12月3日</w:t>
            </w:r>
          </w:p>
        </w:tc>
      </w:tr>
      <w:tr w:rsidR="005B2727" w14:paraId="655A47FC"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02A5038C" w14:textId="474F1385"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13</w:t>
            </w:r>
          </w:p>
        </w:tc>
        <w:tc>
          <w:tcPr>
            <w:tcW w:w="5708" w:type="dxa"/>
            <w:tcBorders>
              <w:top w:val="single" w:sz="4" w:space="0" w:color="auto"/>
              <w:left w:val="single" w:sz="4" w:space="0" w:color="auto"/>
              <w:bottom w:val="single" w:sz="4" w:space="0" w:color="auto"/>
              <w:right w:val="single" w:sz="4" w:space="0" w:color="auto"/>
            </w:tcBorders>
            <w:vAlign w:val="bottom"/>
          </w:tcPr>
          <w:p w14:paraId="0F85B3CE" w14:textId="3FACC123"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富荣基金管理有限公司基金行业高级管理人员变更公告</w:t>
            </w:r>
          </w:p>
        </w:tc>
        <w:tc>
          <w:tcPr>
            <w:tcW w:w="2514" w:type="dxa"/>
            <w:tcBorders>
              <w:top w:val="single" w:sz="4" w:space="0" w:color="auto"/>
              <w:left w:val="single" w:sz="4" w:space="0" w:color="auto"/>
              <w:bottom w:val="single" w:sz="4" w:space="0" w:color="auto"/>
              <w:right w:val="single" w:sz="4" w:space="0" w:color="auto"/>
            </w:tcBorders>
            <w:vAlign w:val="center"/>
          </w:tcPr>
          <w:p w14:paraId="174FA42E" w14:textId="753CC838"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2024年12月3日</w:t>
            </w:r>
          </w:p>
        </w:tc>
      </w:tr>
      <w:tr w:rsidR="005B2727" w14:paraId="5FD1CFC8"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53886F21" w14:textId="37DA013C"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14</w:t>
            </w:r>
          </w:p>
        </w:tc>
        <w:tc>
          <w:tcPr>
            <w:tcW w:w="5708" w:type="dxa"/>
            <w:tcBorders>
              <w:top w:val="single" w:sz="4" w:space="0" w:color="auto"/>
              <w:left w:val="single" w:sz="4" w:space="0" w:color="auto"/>
              <w:bottom w:val="single" w:sz="4" w:space="0" w:color="auto"/>
              <w:right w:val="single" w:sz="4" w:space="0" w:color="auto"/>
            </w:tcBorders>
            <w:vAlign w:val="bottom"/>
          </w:tcPr>
          <w:p w14:paraId="341C2400" w14:textId="416E1C0F"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富荣基金管理有限公司旗下全部基金2024年第4季度报告提示性公告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369DD3C4" w14:textId="24738082"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2025年1月22日</w:t>
            </w:r>
          </w:p>
        </w:tc>
      </w:tr>
      <w:tr w:rsidR="005B2727" w14:paraId="3C5A159B"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0F1D13BC" w14:textId="7E15B54B"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15</w:t>
            </w:r>
          </w:p>
        </w:tc>
        <w:tc>
          <w:tcPr>
            <w:tcW w:w="5708" w:type="dxa"/>
            <w:tcBorders>
              <w:top w:val="single" w:sz="4" w:space="0" w:color="auto"/>
              <w:left w:val="single" w:sz="4" w:space="0" w:color="auto"/>
              <w:bottom w:val="single" w:sz="4" w:space="0" w:color="auto"/>
              <w:right w:val="single" w:sz="4" w:space="0" w:color="auto"/>
            </w:tcBorders>
            <w:vAlign w:val="bottom"/>
          </w:tcPr>
          <w:p w14:paraId="698AD23C" w14:textId="5FD281D1"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富荣福康混合型证券投资基金基金经理变更公告</w:t>
            </w:r>
          </w:p>
        </w:tc>
        <w:tc>
          <w:tcPr>
            <w:tcW w:w="2514" w:type="dxa"/>
            <w:tcBorders>
              <w:top w:val="single" w:sz="4" w:space="0" w:color="auto"/>
              <w:left w:val="single" w:sz="4" w:space="0" w:color="auto"/>
              <w:bottom w:val="single" w:sz="4" w:space="0" w:color="auto"/>
              <w:right w:val="single" w:sz="4" w:space="0" w:color="auto"/>
            </w:tcBorders>
            <w:vAlign w:val="center"/>
          </w:tcPr>
          <w:p w14:paraId="0DB037D1" w14:textId="4CF92620"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2025年2月14日</w:t>
            </w:r>
          </w:p>
        </w:tc>
      </w:tr>
      <w:tr w:rsidR="005B2727" w14:paraId="58262936"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66FBBC7D" w14:textId="0D388B12"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16</w:t>
            </w:r>
          </w:p>
        </w:tc>
        <w:tc>
          <w:tcPr>
            <w:tcW w:w="5708" w:type="dxa"/>
            <w:tcBorders>
              <w:top w:val="single" w:sz="4" w:space="0" w:color="auto"/>
              <w:left w:val="single" w:sz="4" w:space="0" w:color="auto"/>
              <w:bottom w:val="single" w:sz="4" w:space="0" w:color="auto"/>
              <w:right w:val="single" w:sz="4" w:space="0" w:color="auto"/>
            </w:tcBorders>
            <w:vAlign w:val="bottom"/>
          </w:tcPr>
          <w:p w14:paraId="627AF7CD" w14:textId="4D3BE52A"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富荣基金管理有限公司关于旗下部分公开募集证券投资基金更新招募说明书及产品资料概要的提示性公告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22815EFF" w14:textId="03B6620F"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2025年2月18日</w:t>
            </w:r>
          </w:p>
        </w:tc>
      </w:tr>
      <w:tr w:rsidR="005B2727" w14:paraId="5E7CF5FC"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4B07EEE2" w14:textId="06DC9ADE"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17</w:t>
            </w:r>
          </w:p>
        </w:tc>
        <w:tc>
          <w:tcPr>
            <w:tcW w:w="5708" w:type="dxa"/>
            <w:tcBorders>
              <w:top w:val="single" w:sz="4" w:space="0" w:color="auto"/>
              <w:left w:val="single" w:sz="4" w:space="0" w:color="auto"/>
              <w:bottom w:val="single" w:sz="4" w:space="0" w:color="auto"/>
              <w:right w:val="single" w:sz="4" w:space="0" w:color="auto"/>
            </w:tcBorders>
            <w:vAlign w:val="bottom"/>
          </w:tcPr>
          <w:p w14:paraId="0A642E05" w14:textId="582DD9B7"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富荣福康混合型证券投资基金基金经理变更公告</w:t>
            </w:r>
          </w:p>
        </w:tc>
        <w:tc>
          <w:tcPr>
            <w:tcW w:w="2514" w:type="dxa"/>
            <w:tcBorders>
              <w:top w:val="single" w:sz="4" w:space="0" w:color="auto"/>
              <w:left w:val="single" w:sz="4" w:space="0" w:color="auto"/>
              <w:bottom w:val="single" w:sz="4" w:space="0" w:color="auto"/>
              <w:right w:val="single" w:sz="4" w:space="0" w:color="auto"/>
            </w:tcBorders>
            <w:vAlign w:val="center"/>
          </w:tcPr>
          <w:p w14:paraId="40462818" w14:textId="63478DD7"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2025年2月20日</w:t>
            </w:r>
          </w:p>
        </w:tc>
      </w:tr>
      <w:tr w:rsidR="005B2727" w14:paraId="7A3914EF"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AF5B982" w14:textId="4B1952D0"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18</w:t>
            </w:r>
          </w:p>
        </w:tc>
        <w:tc>
          <w:tcPr>
            <w:tcW w:w="5708" w:type="dxa"/>
            <w:tcBorders>
              <w:top w:val="single" w:sz="4" w:space="0" w:color="auto"/>
              <w:left w:val="single" w:sz="4" w:space="0" w:color="auto"/>
              <w:bottom w:val="single" w:sz="4" w:space="0" w:color="auto"/>
              <w:right w:val="single" w:sz="4" w:space="0" w:color="auto"/>
            </w:tcBorders>
            <w:vAlign w:val="bottom"/>
          </w:tcPr>
          <w:p w14:paraId="3FDA9ED2" w14:textId="258ACA02"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富荣基金管理有限公司关于旗下部分公开募集证券投资基金更新招募说明书及产品资料概要的提示性公告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410BBC06" w14:textId="5591EE2F"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2025年2月24日</w:t>
            </w:r>
          </w:p>
        </w:tc>
      </w:tr>
      <w:tr w:rsidR="005B2727" w14:paraId="5AEA8873"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AE4FE18" w14:textId="5A6B5764"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19</w:t>
            </w:r>
          </w:p>
        </w:tc>
        <w:tc>
          <w:tcPr>
            <w:tcW w:w="5708" w:type="dxa"/>
            <w:tcBorders>
              <w:top w:val="single" w:sz="4" w:space="0" w:color="auto"/>
              <w:left w:val="single" w:sz="4" w:space="0" w:color="auto"/>
              <w:bottom w:val="single" w:sz="4" w:space="0" w:color="auto"/>
              <w:right w:val="single" w:sz="4" w:space="0" w:color="auto"/>
            </w:tcBorders>
            <w:vAlign w:val="bottom"/>
          </w:tcPr>
          <w:p w14:paraId="3DF4E6DD" w14:textId="63047AC2"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富荣基金管理有限公司关于旗下部分基金新增国泰君安证券股份有限公司为销售机构、开通基金定期定额投资业务和基金转换业务并参加申购及定期定额投资申购费率优惠活动的公告</w:t>
            </w:r>
          </w:p>
        </w:tc>
        <w:tc>
          <w:tcPr>
            <w:tcW w:w="2514" w:type="dxa"/>
            <w:tcBorders>
              <w:top w:val="single" w:sz="4" w:space="0" w:color="auto"/>
              <w:left w:val="single" w:sz="4" w:space="0" w:color="auto"/>
              <w:bottom w:val="single" w:sz="4" w:space="0" w:color="auto"/>
              <w:right w:val="single" w:sz="4" w:space="0" w:color="auto"/>
            </w:tcBorders>
            <w:vAlign w:val="center"/>
          </w:tcPr>
          <w:p w14:paraId="774987C5" w14:textId="0CEC1938"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2025年3月17日</w:t>
            </w:r>
          </w:p>
        </w:tc>
      </w:tr>
      <w:tr w:rsidR="005B2727" w14:paraId="4D7C2063"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72819597" w14:textId="58903117"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20</w:t>
            </w:r>
          </w:p>
        </w:tc>
        <w:tc>
          <w:tcPr>
            <w:tcW w:w="5708" w:type="dxa"/>
            <w:tcBorders>
              <w:top w:val="single" w:sz="4" w:space="0" w:color="auto"/>
              <w:left w:val="single" w:sz="4" w:space="0" w:color="auto"/>
              <w:bottom w:val="single" w:sz="4" w:space="0" w:color="auto"/>
              <w:right w:val="single" w:sz="4" w:space="0" w:color="auto"/>
            </w:tcBorders>
            <w:vAlign w:val="bottom"/>
          </w:tcPr>
          <w:p w14:paraId="7054BEAF" w14:textId="2EB81E97"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富荣基金管理有限公司旗下全部基金2024年年度报告提示性公告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7E243116" w14:textId="5D16293F"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2025年3月31日</w:t>
            </w:r>
          </w:p>
        </w:tc>
      </w:tr>
      <w:tr w:rsidR="005B2727" w14:paraId="3FA51238"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DF3587F" w14:textId="36394F0C"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21</w:t>
            </w:r>
          </w:p>
        </w:tc>
        <w:tc>
          <w:tcPr>
            <w:tcW w:w="5708" w:type="dxa"/>
            <w:tcBorders>
              <w:top w:val="single" w:sz="4" w:space="0" w:color="auto"/>
              <w:left w:val="single" w:sz="4" w:space="0" w:color="auto"/>
              <w:bottom w:val="single" w:sz="4" w:space="0" w:color="auto"/>
              <w:right w:val="single" w:sz="4" w:space="0" w:color="auto"/>
            </w:tcBorders>
            <w:vAlign w:val="bottom"/>
          </w:tcPr>
          <w:p w14:paraId="6B96D481" w14:textId="037D6EFE"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富荣基金管理有限公司基金行业高级管理人员变更公告</w:t>
            </w:r>
          </w:p>
        </w:tc>
        <w:tc>
          <w:tcPr>
            <w:tcW w:w="2514" w:type="dxa"/>
            <w:tcBorders>
              <w:top w:val="single" w:sz="4" w:space="0" w:color="auto"/>
              <w:left w:val="single" w:sz="4" w:space="0" w:color="auto"/>
              <w:bottom w:val="single" w:sz="4" w:space="0" w:color="auto"/>
              <w:right w:val="single" w:sz="4" w:space="0" w:color="auto"/>
            </w:tcBorders>
            <w:vAlign w:val="center"/>
          </w:tcPr>
          <w:p w14:paraId="146346F0" w14:textId="716E8153"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2025年4月4日</w:t>
            </w:r>
          </w:p>
        </w:tc>
      </w:tr>
      <w:tr w:rsidR="005B2727" w14:paraId="23417DC1"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3AB8CE8D" w14:textId="37643FF1"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lastRenderedPageBreak/>
              <w:t>22</w:t>
            </w:r>
          </w:p>
        </w:tc>
        <w:tc>
          <w:tcPr>
            <w:tcW w:w="5708" w:type="dxa"/>
            <w:tcBorders>
              <w:top w:val="single" w:sz="4" w:space="0" w:color="auto"/>
              <w:left w:val="single" w:sz="4" w:space="0" w:color="auto"/>
              <w:bottom w:val="single" w:sz="4" w:space="0" w:color="auto"/>
              <w:right w:val="single" w:sz="4" w:space="0" w:color="auto"/>
            </w:tcBorders>
            <w:vAlign w:val="bottom"/>
          </w:tcPr>
          <w:p w14:paraId="5ED8D9C0" w14:textId="5D5F9DFF"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富荣基金管理有限公司关于旗下部分基金新增销售机构、开通基金定期定额投资和基金转换业务并参加销售机构申购及定期定额投资申购费率优惠活动的公告</w:t>
            </w:r>
          </w:p>
        </w:tc>
        <w:tc>
          <w:tcPr>
            <w:tcW w:w="2514" w:type="dxa"/>
            <w:tcBorders>
              <w:top w:val="single" w:sz="4" w:space="0" w:color="auto"/>
              <w:left w:val="single" w:sz="4" w:space="0" w:color="auto"/>
              <w:bottom w:val="single" w:sz="4" w:space="0" w:color="auto"/>
              <w:right w:val="single" w:sz="4" w:space="0" w:color="auto"/>
            </w:tcBorders>
            <w:vAlign w:val="center"/>
          </w:tcPr>
          <w:p w14:paraId="4026957C" w14:textId="12A1B99F"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2025年4月10日</w:t>
            </w:r>
          </w:p>
        </w:tc>
      </w:tr>
      <w:tr w:rsidR="005B2727" w14:paraId="3B9384E0"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2822870" w14:textId="615AC860"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23</w:t>
            </w:r>
          </w:p>
        </w:tc>
        <w:tc>
          <w:tcPr>
            <w:tcW w:w="5708" w:type="dxa"/>
            <w:tcBorders>
              <w:top w:val="single" w:sz="4" w:space="0" w:color="auto"/>
              <w:left w:val="single" w:sz="4" w:space="0" w:color="auto"/>
              <w:bottom w:val="single" w:sz="4" w:space="0" w:color="auto"/>
              <w:right w:val="single" w:sz="4" w:space="0" w:color="auto"/>
            </w:tcBorders>
            <w:vAlign w:val="bottom"/>
          </w:tcPr>
          <w:p w14:paraId="76560390" w14:textId="72C5ECE1"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富荣基金管理有限公司旗下全部基金2025年第1季度报告提示性公告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5CD391F6" w14:textId="4084B652"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2025年4月22日</w:t>
            </w:r>
          </w:p>
        </w:tc>
      </w:tr>
      <w:tr w:rsidR="005B2727" w14:paraId="74093DD9"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55D5E8B" w14:textId="3E534CF1"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24</w:t>
            </w:r>
          </w:p>
        </w:tc>
        <w:tc>
          <w:tcPr>
            <w:tcW w:w="5708" w:type="dxa"/>
            <w:tcBorders>
              <w:top w:val="single" w:sz="4" w:space="0" w:color="auto"/>
              <w:left w:val="single" w:sz="4" w:space="0" w:color="auto"/>
              <w:bottom w:val="single" w:sz="4" w:space="0" w:color="auto"/>
              <w:right w:val="single" w:sz="4" w:space="0" w:color="auto"/>
            </w:tcBorders>
            <w:vAlign w:val="bottom"/>
          </w:tcPr>
          <w:p w14:paraId="0A00B3D2" w14:textId="1CBB9BA2"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富荣基金管理有限公司关于提醒投资者防范不法分子假冒本公司名义从事诈骗活动的公告</w:t>
            </w:r>
          </w:p>
        </w:tc>
        <w:tc>
          <w:tcPr>
            <w:tcW w:w="2514" w:type="dxa"/>
            <w:tcBorders>
              <w:top w:val="single" w:sz="4" w:space="0" w:color="auto"/>
              <w:left w:val="single" w:sz="4" w:space="0" w:color="auto"/>
              <w:bottom w:val="single" w:sz="4" w:space="0" w:color="auto"/>
              <w:right w:val="single" w:sz="4" w:space="0" w:color="auto"/>
            </w:tcBorders>
            <w:vAlign w:val="center"/>
          </w:tcPr>
          <w:p w14:paraId="57FF310A" w14:textId="07C43E01"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2025年5月6日</w:t>
            </w:r>
          </w:p>
        </w:tc>
      </w:tr>
      <w:tr w:rsidR="005B2727" w14:paraId="5E7AB564"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1969948" w14:textId="0E8B6E27"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25</w:t>
            </w:r>
          </w:p>
        </w:tc>
        <w:tc>
          <w:tcPr>
            <w:tcW w:w="5708" w:type="dxa"/>
            <w:tcBorders>
              <w:top w:val="single" w:sz="4" w:space="0" w:color="auto"/>
              <w:left w:val="single" w:sz="4" w:space="0" w:color="auto"/>
              <w:bottom w:val="single" w:sz="4" w:space="0" w:color="auto"/>
              <w:right w:val="single" w:sz="4" w:space="0" w:color="auto"/>
            </w:tcBorders>
            <w:vAlign w:val="bottom"/>
          </w:tcPr>
          <w:p w14:paraId="298324EB" w14:textId="160D9414"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富荣基金管理有限公司关于旗下部分基金新增麦高证券有限责任公司为销售机构、开通基金定期定额投资业务和基金转换业务并参加申购及定期定额投资申购费率优惠活动的公告</w:t>
            </w:r>
          </w:p>
        </w:tc>
        <w:tc>
          <w:tcPr>
            <w:tcW w:w="2514" w:type="dxa"/>
            <w:tcBorders>
              <w:top w:val="single" w:sz="4" w:space="0" w:color="auto"/>
              <w:left w:val="single" w:sz="4" w:space="0" w:color="auto"/>
              <w:bottom w:val="single" w:sz="4" w:space="0" w:color="auto"/>
              <w:right w:val="single" w:sz="4" w:space="0" w:color="auto"/>
            </w:tcBorders>
            <w:vAlign w:val="center"/>
          </w:tcPr>
          <w:p w14:paraId="272C02F8" w14:textId="6924675A"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2025年5月15日</w:t>
            </w:r>
          </w:p>
        </w:tc>
      </w:tr>
      <w:tr w:rsidR="005B2727" w14:paraId="4EB49FC1"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248D9A3E" w14:textId="349DE607"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26</w:t>
            </w:r>
          </w:p>
        </w:tc>
        <w:tc>
          <w:tcPr>
            <w:tcW w:w="5708" w:type="dxa"/>
            <w:tcBorders>
              <w:top w:val="single" w:sz="4" w:space="0" w:color="auto"/>
              <w:left w:val="single" w:sz="4" w:space="0" w:color="auto"/>
              <w:bottom w:val="single" w:sz="4" w:space="0" w:color="auto"/>
              <w:right w:val="single" w:sz="4" w:space="0" w:color="auto"/>
            </w:tcBorders>
            <w:vAlign w:val="bottom"/>
          </w:tcPr>
          <w:p w14:paraId="6762F8FD" w14:textId="288E5776"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富荣基金管理有限公司关于旗下部分基金新增江苏银行股份有限公司为销售机构、开通基金定期定额投资业务和基金转换业务并参加申购及定期定额投资申购费率优惠活动的公告</w:t>
            </w:r>
          </w:p>
        </w:tc>
        <w:tc>
          <w:tcPr>
            <w:tcW w:w="2514" w:type="dxa"/>
            <w:tcBorders>
              <w:top w:val="single" w:sz="4" w:space="0" w:color="auto"/>
              <w:left w:val="single" w:sz="4" w:space="0" w:color="auto"/>
              <w:bottom w:val="single" w:sz="4" w:space="0" w:color="auto"/>
              <w:right w:val="single" w:sz="4" w:space="0" w:color="auto"/>
            </w:tcBorders>
            <w:vAlign w:val="center"/>
          </w:tcPr>
          <w:p w14:paraId="5AF6F227" w14:textId="5D3E5A37"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2025年5月23日</w:t>
            </w:r>
          </w:p>
        </w:tc>
      </w:tr>
      <w:tr w:rsidR="005B2727" w14:paraId="0936A1DD"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026183F0" w14:textId="3C17C626"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27</w:t>
            </w:r>
          </w:p>
        </w:tc>
        <w:tc>
          <w:tcPr>
            <w:tcW w:w="5708" w:type="dxa"/>
            <w:tcBorders>
              <w:top w:val="single" w:sz="4" w:space="0" w:color="auto"/>
              <w:left w:val="single" w:sz="4" w:space="0" w:color="auto"/>
              <w:bottom w:val="single" w:sz="4" w:space="0" w:color="auto"/>
              <w:right w:val="single" w:sz="4" w:space="0" w:color="auto"/>
            </w:tcBorders>
            <w:vAlign w:val="bottom"/>
          </w:tcPr>
          <w:p w14:paraId="720F32F9" w14:textId="1AC13601"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富荣基金管理有限公司关于终止民商基金销售（上海）有限公司办理旗下基金相关销售业务的公告</w:t>
            </w:r>
          </w:p>
        </w:tc>
        <w:tc>
          <w:tcPr>
            <w:tcW w:w="2514" w:type="dxa"/>
            <w:tcBorders>
              <w:top w:val="single" w:sz="4" w:space="0" w:color="auto"/>
              <w:left w:val="single" w:sz="4" w:space="0" w:color="auto"/>
              <w:bottom w:val="single" w:sz="4" w:space="0" w:color="auto"/>
              <w:right w:val="single" w:sz="4" w:space="0" w:color="auto"/>
            </w:tcBorders>
            <w:vAlign w:val="center"/>
          </w:tcPr>
          <w:p w14:paraId="4C2381C8" w14:textId="17F8ED6E"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2025年6月10日</w:t>
            </w:r>
          </w:p>
        </w:tc>
      </w:tr>
      <w:tr w:rsidR="005B2727" w14:paraId="079C9161"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0FEC4459" w14:textId="43B959D2"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28</w:t>
            </w:r>
          </w:p>
        </w:tc>
        <w:tc>
          <w:tcPr>
            <w:tcW w:w="5708" w:type="dxa"/>
            <w:tcBorders>
              <w:top w:val="single" w:sz="4" w:space="0" w:color="auto"/>
              <w:left w:val="single" w:sz="4" w:space="0" w:color="auto"/>
              <w:bottom w:val="single" w:sz="4" w:space="0" w:color="auto"/>
              <w:right w:val="single" w:sz="4" w:space="0" w:color="auto"/>
            </w:tcBorders>
            <w:vAlign w:val="bottom"/>
          </w:tcPr>
          <w:p w14:paraId="7606D27C" w14:textId="38B7A45B"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富荣基金管理有限公司关于提醒投资者持续完善身份信息资料的公告</w:t>
            </w:r>
          </w:p>
        </w:tc>
        <w:tc>
          <w:tcPr>
            <w:tcW w:w="2514" w:type="dxa"/>
            <w:tcBorders>
              <w:top w:val="single" w:sz="4" w:space="0" w:color="auto"/>
              <w:left w:val="single" w:sz="4" w:space="0" w:color="auto"/>
              <w:bottom w:val="single" w:sz="4" w:space="0" w:color="auto"/>
              <w:right w:val="single" w:sz="4" w:space="0" w:color="auto"/>
            </w:tcBorders>
            <w:vAlign w:val="center"/>
          </w:tcPr>
          <w:p w14:paraId="7EC5DC2C" w14:textId="43B264C1"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2025年6月24日</w:t>
            </w:r>
          </w:p>
        </w:tc>
      </w:tr>
      <w:tr w:rsidR="005B2727" w14:paraId="002BEB09" w14:textId="77777777" w:rsidTr="00231253">
        <w:trPr>
          <w:trHeight w:val="20"/>
        </w:trPr>
        <w:tc>
          <w:tcPr>
            <w:tcW w:w="817" w:type="dxa"/>
            <w:tcBorders>
              <w:top w:val="single" w:sz="4" w:space="0" w:color="auto"/>
              <w:left w:val="single" w:sz="4" w:space="0" w:color="auto"/>
              <w:bottom w:val="single" w:sz="4" w:space="0" w:color="auto"/>
              <w:right w:val="single" w:sz="4" w:space="0" w:color="auto"/>
            </w:tcBorders>
          </w:tcPr>
          <w:p w14:paraId="1C81E06D" w14:textId="2DD013F6" w:rsidR="005B2727" w:rsidRDefault="005B2727" w:rsidP="005B2727">
            <w:pPr>
              <w:jc w:val="center"/>
              <w:rPr>
                <w:rFonts w:asciiTheme="minorEastAsia" w:hAnsiTheme="minorEastAsia" w:cs="Arial" w:hint="eastAsia"/>
                <w:sz w:val="22"/>
              </w:rPr>
            </w:pPr>
            <w:r>
              <w:rPr>
                <w:rFonts w:asciiTheme="minorEastAsia" w:hAnsiTheme="minorEastAsia" w:cs="Arial" w:hint="eastAsia"/>
                <w:sz w:val="22"/>
              </w:rPr>
              <w:t>29</w:t>
            </w:r>
          </w:p>
        </w:tc>
        <w:tc>
          <w:tcPr>
            <w:tcW w:w="5708" w:type="dxa"/>
            <w:tcBorders>
              <w:top w:val="single" w:sz="4" w:space="0" w:color="auto"/>
              <w:left w:val="single" w:sz="4" w:space="0" w:color="auto"/>
              <w:bottom w:val="single" w:sz="4" w:space="0" w:color="auto"/>
              <w:right w:val="single" w:sz="4" w:space="0" w:color="auto"/>
            </w:tcBorders>
            <w:vAlign w:val="bottom"/>
          </w:tcPr>
          <w:p w14:paraId="3D8B7330" w14:textId="229A81A9" w:rsidR="005B2727" w:rsidRDefault="005B2727" w:rsidP="005B2727">
            <w:pPr>
              <w:jc w:val="left"/>
              <w:rPr>
                <w:rFonts w:asciiTheme="minorEastAsia" w:hAnsiTheme="minorEastAsia" w:hint="eastAsia"/>
                <w:color w:val="000000"/>
                <w:sz w:val="22"/>
              </w:rPr>
            </w:pPr>
            <w:r>
              <w:rPr>
                <w:rFonts w:ascii="宋体" w:eastAsia="宋体" w:hAnsi="宋体" w:cs="宋体" w:hint="eastAsia"/>
                <w:color w:val="000000"/>
                <w:kern w:val="0"/>
                <w:sz w:val="22"/>
                <w:lang w:bidi="ar"/>
              </w:rPr>
              <w:t>富荣基金管理有限公司旗下全部基金2025年第2季度报告提示性公告</w:t>
            </w:r>
          </w:p>
        </w:tc>
        <w:tc>
          <w:tcPr>
            <w:tcW w:w="2514" w:type="dxa"/>
            <w:tcBorders>
              <w:top w:val="single" w:sz="4" w:space="0" w:color="auto"/>
              <w:left w:val="single" w:sz="4" w:space="0" w:color="auto"/>
              <w:bottom w:val="single" w:sz="4" w:space="0" w:color="auto"/>
              <w:right w:val="single" w:sz="4" w:space="0" w:color="auto"/>
            </w:tcBorders>
            <w:vAlign w:val="center"/>
          </w:tcPr>
          <w:p w14:paraId="29CEDE1E" w14:textId="6D1E9092" w:rsidR="005B2727" w:rsidRDefault="005B2727" w:rsidP="005B2727">
            <w:pPr>
              <w:jc w:val="center"/>
              <w:rPr>
                <w:rFonts w:asciiTheme="minorEastAsia" w:hAnsiTheme="minorEastAsia" w:hint="eastAsia"/>
                <w:color w:val="000000"/>
                <w:sz w:val="22"/>
              </w:rPr>
            </w:pPr>
            <w:r>
              <w:rPr>
                <w:rFonts w:ascii="宋体" w:eastAsia="宋体" w:hAnsi="宋体" w:cs="宋体" w:hint="eastAsia"/>
                <w:color w:val="000000"/>
                <w:kern w:val="0"/>
                <w:sz w:val="22"/>
                <w:lang w:bidi="ar"/>
              </w:rPr>
              <w:t>2025年7月21日</w:t>
            </w:r>
          </w:p>
        </w:tc>
      </w:tr>
    </w:tbl>
    <w:p w14:paraId="6DF9BE40" w14:textId="77777777" w:rsidR="008D0810" w:rsidRDefault="008D0810">
      <w:pPr>
        <w:adjustRightInd w:val="0"/>
        <w:snapToGrid w:val="0"/>
        <w:spacing w:line="360" w:lineRule="auto"/>
        <w:rPr>
          <w:rFonts w:asciiTheme="minorEastAsia" w:hAnsiTheme="minorEastAsia" w:cs="Arial" w:hint="eastAsia"/>
          <w:sz w:val="24"/>
          <w:szCs w:val="24"/>
        </w:rPr>
      </w:pPr>
    </w:p>
    <w:p w14:paraId="21049656" w14:textId="77777777" w:rsidR="008D0810" w:rsidRDefault="00417F9F">
      <w:pPr>
        <w:pStyle w:val="1"/>
        <w:jc w:val="center"/>
        <w:rPr>
          <w:rFonts w:asciiTheme="minorEastAsia" w:eastAsiaTheme="minorEastAsia" w:hAnsiTheme="minorEastAsia" w:hint="eastAsia"/>
          <w:sz w:val="30"/>
          <w:szCs w:val="30"/>
        </w:rPr>
      </w:pPr>
      <w:bookmarkStart w:id="437" w:name="_Toc146096098"/>
      <w:r>
        <w:rPr>
          <w:rFonts w:asciiTheme="minorEastAsia" w:eastAsiaTheme="minorEastAsia" w:hAnsiTheme="minorEastAsia" w:hint="eastAsia"/>
          <w:sz w:val="30"/>
          <w:szCs w:val="30"/>
        </w:rPr>
        <w:t>第二十二部分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招募说明书存放及查阅方式</w:t>
      </w:r>
      <w:bookmarkEnd w:id="433"/>
      <w:bookmarkEnd w:id="434"/>
      <w:bookmarkEnd w:id="435"/>
      <w:bookmarkEnd w:id="436"/>
      <w:bookmarkEnd w:id="437"/>
    </w:p>
    <w:p w14:paraId="48082919"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7C1D8556"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t>
      </w:r>
      <w:r>
        <w:rPr>
          <w:rFonts w:asciiTheme="minorEastAsia" w:hAnsiTheme="minorEastAsia" w:cs="Arial"/>
          <w:kern w:val="0"/>
          <w:sz w:val="24"/>
          <w:szCs w:val="24"/>
        </w:rPr>
        <w:t>www.furamc.com.cn）查阅和下载招募说明书</w:t>
      </w:r>
      <w:r>
        <w:rPr>
          <w:rFonts w:asciiTheme="minorEastAsia" w:hAnsiTheme="minorEastAsia" w:cs="Arial" w:hint="eastAsia"/>
          <w:kern w:val="0"/>
          <w:sz w:val="24"/>
          <w:szCs w:val="24"/>
        </w:rPr>
        <w:t>。</w:t>
      </w:r>
    </w:p>
    <w:p w14:paraId="13912B9B" w14:textId="77777777" w:rsidR="008D0810" w:rsidRDefault="008D081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43429A6C" w14:textId="77777777" w:rsidR="008D0810" w:rsidRDefault="008D0810">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8D0810">
          <w:footerReference w:type="default" r:id="rId37"/>
          <w:pgSz w:w="11906" w:h="16838"/>
          <w:pgMar w:top="1440" w:right="1800" w:bottom="1440" w:left="1800" w:header="851" w:footer="992" w:gutter="0"/>
          <w:cols w:space="425"/>
          <w:docGrid w:type="lines" w:linePitch="312"/>
        </w:sectPr>
      </w:pPr>
      <w:bookmarkStart w:id="438" w:name="_Toc263092330"/>
      <w:bookmarkStart w:id="439" w:name="_Toc416268879"/>
    </w:p>
    <w:p w14:paraId="6D2AF527" w14:textId="77777777" w:rsidR="008D0810" w:rsidRDefault="00417F9F">
      <w:pPr>
        <w:pStyle w:val="1"/>
        <w:jc w:val="center"/>
        <w:rPr>
          <w:rFonts w:asciiTheme="minorEastAsia" w:eastAsiaTheme="minorEastAsia" w:hAnsiTheme="minorEastAsia" w:hint="eastAsia"/>
          <w:sz w:val="30"/>
          <w:szCs w:val="30"/>
        </w:rPr>
      </w:pPr>
      <w:bookmarkStart w:id="440" w:name="_Toc146096099"/>
      <w:bookmarkEnd w:id="61"/>
      <w:bookmarkEnd w:id="62"/>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8"/>
      <w:bookmarkEnd w:id="439"/>
      <w:r>
        <w:rPr>
          <w:rFonts w:asciiTheme="minorEastAsia" w:eastAsiaTheme="minorEastAsia" w:hAnsiTheme="minorEastAsia" w:hint="eastAsia"/>
          <w:sz w:val="30"/>
          <w:szCs w:val="30"/>
        </w:rPr>
        <w:lastRenderedPageBreak/>
        <w:t>第二十三部分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备查文件</w:t>
      </w:r>
      <w:bookmarkEnd w:id="440"/>
    </w:p>
    <w:p w14:paraId="240BC3CB" w14:textId="77777777" w:rsidR="008D0810" w:rsidRDefault="008D0810">
      <w:pPr>
        <w:rPr>
          <w:rFonts w:asciiTheme="minorEastAsia" w:hAnsiTheme="minorEastAsia" w:cs="Times New Roman" w:hint="eastAsia"/>
          <w:sz w:val="24"/>
          <w:szCs w:val="24"/>
        </w:rPr>
      </w:pPr>
    </w:p>
    <w:p w14:paraId="72630880"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5C4A1AD2"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富荣福康混合型证券投资基金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21F3E21A"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（二）《富荣福康混合型证券投资基金基金合同》 </w:t>
      </w:r>
    </w:p>
    <w:p w14:paraId="2435C3EF"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（三）《富荣福康混合型证券投资基金托管协议》 </w:t>
      </w:r>
    </w:p>
    <w:p w14:paraId="3DAA5C0D"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4B9A295A"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7431383C"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富荣福康混合型证券投资基金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1F474E22"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0D8D3D68" w14:textId="77777777" w:rsidR="008D0810" w:rsidRDefault="00417F9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7E796418" w14:textId="77777777" w:rsidR="008D0810" w:rsidRDefault="008D081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201D818" w14:textId="77777777" w:rsidR="008D0810" w:rsidRDefault="008D081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6BCBCF6E"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04E1B071"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613A8DBB"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1E5C1EFE"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4F1DCADE"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44FC8343"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2644684D"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296205F9"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308BFD8C" w14:textId="77777777" w:rsidR="008D0810" w:rsidRDefault="00417F9F">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富荣基金管理有限公司</w:t>
      </w:r>
      <w:r>
        <w:rPr>
          <w:rFonts w:asciiTheme="minorEastAsia" w:hAnsiTheme="minorEastAsia" w:cs="Arial"/>
          <w:kern w:val="0"/>
          <w:sz w:val="24"/>
          <w:szCs w:val="24"/>
        </w:rPr>
        <w:t xml:space="preserve"> </w:t>
      </w:r>
    </w:p>
    <w:p w14:paraId="058AA068" w14:textId="77777777" w:rsidR="008D0810" w:rsidRDefault="008D0810">
      <w:pPr>
        <w:widowControl/>
        <w:adjustRightInd w:val="0"/>
        <w:snapToGrid w:val="0"/>
        <w:spacing w:line="360" w:lineRule="auto"/>
        <w:ind w:rightChars="-85" w:right="-178"/>
        <w:jc w:val="right"/>
        <w:rPr>
          <w:rFonts w:asciiTheme="minorEastAsia" w:hAnsiTheme="minorEastAsia" w:cs="Arial" w:hint="eastAsia"/>
          <w:kern w:val="0"/>
          <w:sz w:val="24"/>
          <w:szCs w:val="24"/>
        </w:rPr>
      </w:pPr>
    </w:p>
    <w:p w14:paraId="32386044" w14:textId="78C83C1A" w:rsidR="008D0810" w:rsidRDefault="00417F9F">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kern w:val="0"/>
          <w:sz w:val="24"/>
          <w:szCs w:val="24"/>
        </w:rPr>
        <w:t>202</w:t>
      </w:r>
      <w:r>
        <w:rPr>
          <w:rFonts w:asciiTheme="minorEastAsia" w:hAnsiTheme="minorEastAsia" w:cs="Arial" w:hint="eastAsia"/>
          <w:kern w:val="0"/>
          <w:sz w:val="24"/>
          <w:szCs w:val="24"/>
        </w:rPr>
        <w:t>5年</w:t>
      </w:r>
      <w:r w:rsidR="00496D82">
        <w:rPr>
          <w:rFonts w:asciiTheme="minorEastAsia" w:hAnsiTheme="minorEastAsia" w:cs="Arial" w:hint="eastAsia"/>
          <w:kern w:val="0"/>
          <w:sz w:val="24"/>
          <w:szCs w:val="24"/>
        </w:rPr>
        <w:t>9</w:t>
      </w:r>
      <w:r>
        <w:rPr>
          <w:rFonts w:asciiTheme="minorEastAsia" w:hAnsiTheme="minorEastAsia" w:cs="Arial" w:hint="eastAsia"/>
          <w:kern w:val="0"/>
          <w:sz w:val="24"/>
          <w:szCs w:val="24"/>
        </w:rPr>
        <w:t>月</w:t>
      </w:r>
      <w:r w:rsidR="00496D82">
        <w:rPr>
          <w:rFonts w:asciiTheme="minorEastAsia" w:hAnsiTheme="minorEastAsia" w:cs="Arial" w:hint="eastAsia"/>
          <w:kern w:val="0"/>
          <w:sz w:val="24"/>
          <w:szCs w:val="24"/>
        </w:rPr>
        <w:t>23</w:t>
      </w:r>
      <w:r>
        <w:rPr>
          <w:rFonts w:asciiTheme="minorEastAsia" w:hAnsiTheme="minorEastAsia" w:cs="Arial" w:hint="eastAsia"/>
          <w:kern w:val="0"/>
          <w:sz w:val="24"/>
          <w:szCs w:val="24"/>
        </w:rPr>
        <w:t>日</w:t>
      </w:r>
    </w:p>
    <w:p w14:paraId="37D1EA2B"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0B1148D1"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3123418F"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3096D74D"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25CE8256"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7E6ADD27" w14:textId="77777777" w:rsidR="008D0810" w:rsidRDefault="008D0810">
      <w:pPr>
        <w:widowControl/>
        <w:adjustRightInd w:val="0"/>
        <w:snapToGrid w:val="0"/>
        <w:spacing w:line="360" w:lineRule="auto"/>
        <w:ind w:rightChars="-85" w:right="-178" w:firstLineChars="200" w:firstLine="420"/>
        <w:rPr>
          <w:rFonts w:asciiTheme="minorEastAsia" w:hAnsiTheme="minorEastAsia" w:cs="Arial" w:hint="eastAsia"/>
          <w:kern w:val="0"/>
          <w:szCs w:val="21"/>
        </w:rPr>
      </w:pPr>
    </w:p>
    <w:p w14:paraId="64B31F0C" w14:textId="77777777" w:rsidR="008D0810" w:rsidRDefault="008D0810">
      <w:pPr>
        <w:widowControl/>
        <w:adjustRightInd w:val="0"/>
        <w:snapToGrid w:val="0"/>
        <w:spacing w:line="360" w:lineRule="auto"/>
        <w:ind w:rightChars="-85" w:right="-178"/>
        <w:rPr>
          <w:rFonts w:asciiTheme="minorEastAsia" w:hAnsiTheme="minorEastAsia" w:hint="eastAsia"/>
        </w:rPr>
      </w:pPr>
    </w:p>
    <w:sectPr w:rsidR="008D0810">
      <w:footerReference w:type="default" r:id="rId38"/>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0B01" w14:textId="77777777" w:rsidR="00555E69" w:rsidRDefault="00555E69">
      <w:r>
        <w:separator/>
      </w:r>
    </w:p>
  </w:endnote>
  <w:endnote w:type="continuationSeparator" w:id="0">
    <w:p w14:paraId="6B625B7F" w14:textId="77777777" w:rsidR="00555E69" w:rsidRDefault="0055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543A" w14:textId="77777777" w:rsidR="00417F9F" w:rsidRDefault="00417F9F">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867518"/>
    </w:sdtPr>
    <w:sdtContent>
      <w:p w14:paraId="422BA3FF"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67</w:t>
        </w:r>
        <w:r>
          <w:rPr>
            <w:lang w:val="zh-CN"/>
          </w:rPr>
          <w:fldChar w:fldCharType="end"/>
        </w:r>
      </w:p>
    </w:sdtContent>
  </w:sdt>
  <w:p w14:paraId="1F3F363F" w14:textId="77777777" w:rsidR="00417F9F" w:rsidRDefault="00417F9F">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318167"/>
    </w:sdtPr>
    <w:sdtContent>
      <w:p w14:paraId="390B9AD0"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68</w:t>
        </w:r>
        <w:r>
          <w:rPr>
            <w:lang w:val="zh-CN"/>
          </w:rPr>
          <w:fldChar w:fldCharType="end"/>
        </w:r>
      </w:p>
    </w:sdtContent>
  </w:sdt>
  <w:p w14:paraId="0D3EE25A" w14:textId="77777777" w:rsidR="00417F9F" w:rsidRDefault="00417F9F">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095341"/>
    </w:sdtPr>
    <w:sdtContent>
      <w:p w14:paraId="467A9C78"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73</w:t>
        </w:r>
        <w:r>
          <w:rPr>
            <w:lang w:val="zh-CN"/>
          </w:rPr>
          <w:fldChar w:fldCharType="end"/>
        </w:r>
      </w:p>
    </w:sdtContent>
  </w:sdt>
  <w:p w14:paraId="68D17FA2" w14:textId="77777777" w:rsidR="00417F9F" w:rsidRDefault="00417F9F">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720435"/>
    </w:sdtPr>
    <w:sdtContent>
      <w:p w14:paraId="351932A7"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75</w:t>
        </w:r>
        <w:r>
          <w:rPr>
            <w:lang w:val="zh-CN"/>
          </w:rPr>
          <w:fldChar w:fldCharType="end"/>
        </w:r>
      </w:p>
    </w:sdtContent>
  </w:sdt>
  <w:p w14:paraId="22B8F5E7" w14:textId="77777777" w:rsidR="00417F9F" w:rsidRDefault="00417F9F">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008983"/>
    </w:sdtPr>
    <w:sdtContent>
      <w:p w14:paraId="213A0704"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78</w:t>
        </w:r>
        <w:r>
          <w:rPr>
            <w:lang w:val="zh-CN"/>
          </w:rPr>
          <w:fldChar w:fldCharType="end"/>
        </w:r>
      </w:p>
    </w:sdtContent>
  </w:sdt>
  <w:p w14:paraId="4A2BD861" w14:textId="77777777" w:rsidR="00417F9F" w:rsidRDefault="00417F9F">
    <w:pPr>
      <w:pStyle w:val="a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82047"/>
    </w:sdtPr>
    <w:sdtContent>
      <w:p w14:paraId="46E44816"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79</w:t>
        </w:r>
        <w:r>
          <w:rPr>
            <w:lang w:val="zh-CN"/>
          </w:rPr>
          <w:fldChar w:fldCharType="end"/>
        </w:r>
      </w:p>
    </w:sdtContent>
  </w:sdt>
  <w:p w14:paraId="3EAE4477" w14:textId="77777777" w:rsidR="00417F9F" w:rsidRDefault="00417F9F">
    <w:pPr>
      <w:pStyle w:val="a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749182"/>
    </w:sdtPr>
    <w:sdtContent>
      <w:p w14:paraId="1EAF35C8"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86</w:t>
        </w:r>
        <w:r>
          <w:rPr>
            <w:lang w:val="zh-CN"/>
          </w:rPr>
          <w:fldChar w:fldCharType="end"/>
        </w:r>
      </w:p>
    </w:sdtContent>
  </w:sdt>
  <w:p w14:paraId="42AEFF6A" w14:textId="77777777" w:rsidR="00417F9F" w:rsidRDefault="00417F9F">
    <w:pPr>
      <w:pStyle w:val="a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785194"/>
    </w:sdtPr>
    <w:sdtContent>
      <w:p w14:paraId="07B9C3E5"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91</w:t>
        </w:r>
        <w:r>
          <w:rPr>
            <w:lang w:val="zh-CN"/>
          </w:rPr>
          <w:fldChar w:fldCharType="end"/>
        </w:r>
      </w:p>
    </w:sdtContent>
  </w:sdt>
  <w:p w14:paraId="7C9CDEBC" w14:textId="77777777" w:rsidR="00417F9F" w:rsidRDefault="00417F9F">
    <w:pPr>
      <w:pStyle w:val="a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676496"/>
    </w:sdtPr>
    <w:sdtContent>
      <w:p w14:paraId="60063ABA"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93</w:t>
        </w:r>
        <w:r>
          <w:rPr>
            <w:lang w:val="zh-CN"/>
          </w:rPr>
          <w:fldChar w:fldCharType="end"/>
        </w:r>
      </w:p>
    </w:sdtContent>
  </w:sdt>
  <w:p w14:paraId="6A07D61F" w14:textId="77777777" w:rsidR="00417F9F" w:rsidRDefault="00417F9F">
    <w:pPr>
      <w:pStyle w:val="a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007213"/>
    </w:sdtPr>
    <w:sdtContent>
      <w:p w14:paraId="40CBEDAE"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109</w:t>
        </w:r>
        <w:r>
          <w:rPr>
            <w:lang w:val="zh-CN"/>
          </w:rPr>
          <w:fldChar w:fldCharType="end"/>
        </w:r>
      </w:p>
    </w:sdtContent>
  </w:sdt>
  <w:p w14:paraId="6A6A09A5" w14:textId="77777777" w:rsidR="00417F9F" w:rsidRDefault="00417F9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728549"/>
    </w:sdtPr>
    <w:sdtContent>
      <w:p w14:paraId="4A1480BD"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3</w:t>
        </w:r>
        <w:r>
          <w:rPr>
            <w:lang w:val="zh-CN"/>
          </w:rPr>
          <w:fldChar w:fldCharType="end"/>
        </w:r>
      </w:p>
    </w:sdtContent>
  </w:sdt>
  <w:p w14:paraId="0F9BA622" w14:textId="77777777" w:rsidR="00417F9F" w:rsidRDefault="00417F9F">
    <w:pPr>
      <w:pStyle w:val="a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734758"/>
    </w:sdtPr>
    <w:sdtContent>
      <w:p w14:paraId="1B71C0D6"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122</w:t>
        </w:r>
        <w:r>
          <w:rPr>
            <w:lang w:val="zh-CN"/>
          </w:rPr>
          <w:fldChar w:fldCharType="end"/>
        </w:r>
      </w:p>
    </w:sdtContent>
  </w:sdt>
  <w:p w14:paraId="75FF8B96" w14:textId="77777777" w:rsidR="00417F9F" w:rsidRDefault="00417F9F">
    <w:pPr>
      <w:pStyle w:val="a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904440"/>
    </w:sdtPr>
    <w:sdtContent>
      <w:p w14:paraId="3CB0E2CF"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124</w:t>
        </w:r>
        <w:r>
          <w:rPr>
            <w:lang w:val="zh-CN"/>
          </w:rPr>
          <w:fldChar w:fldCharType="end"/>
        </w:r>
      </w:p>
    </w:sdtContent>
  </w:sdt>
  <w:p w14:paraId="68FA04F3" w14:textId="77777777" w:rsidR="00417F9F" w:rsidRDefault="00417F9F">
    <w:pPr>
      <w:pStyle w:val="a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05084"/>
    </w:sdtPr>
    <w:sdtContent>
      <w:p w14:paraId="4D273C57"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128</w:t>
        </w:r>
        <w:r>
          <w:rPr>
            <w:lang w:val="zh-CN"/>
          </w:rPr>
          <w:fldChar w:fldCharType="end"/>
        </w:r>
      </w:p>
    </w:sdtContent>
  </w:sdt>
  <w:p w14:paraId="7542B908" w14:textId="77777777" w:rsidR="00417F9F" w:rsidRDefault="00417F9F">
    <w:pPr>
      <w:pStyle w:val="a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306275"/>
    </w:sdtPr>
    <w:sdtContent>
      <w:p w14:paraId="65FA6989"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129</w:t>
        </w:r>
        <w:r>
          <w:rPr>
            <w:lang w:val="zh-CN"/>
          </w:rPr>
          <w:fldChar w:fldCharType="end"/>
        </w:r>
      </w:p>
    </w:sdtContent>
  </w:sdt>
  <w:p w14:paraId="52AF9285" w14:textId="77777777" w:rsidR="00417F9F" w:rsidRDefault="00417F9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6A9D" w14:textId="77777777" w:rsidR="00417F9F" w:rsidRDefault="00417F9F">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469772"/>
    </w:sdtPr>
    <w:sdtContent>
      <w:p w14:paraId="1B8854AC"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4</w:t>
        </w:r>
        <w:r>
          <w:rPr>
            <w:lang w:val="zh-CN"/>
          </w:rPr>
          <w:fldChar w:fldCharType="end"/>
        </w:r>
      </w:p>
    </w:sdtContent>
  </w:sdt>
  <w:p w14:paraId="5824F8DD" w14:textId="77777777" w:rsidR="00417F9F" w:rsidRDefault="00417F9F">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97496"/>
    </w:sdtPr>
    <w:sdtContent>
      <w:p w14:paraId="58347075"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13</w:t>
        </w:r>
        <w:r>
          <w:rPr>
            <w:lang w:val="zh-CN"/>
          </w:rPr>
          <w:fldChar w:fldCharType="end"/>
        </w:r>
      </w:p>
    </w:sdtContent>
  </w:sdt>
  <w:p w14:paraId="6ECB139D" w14:textId="77777777" w:rsidR="00417F9F" w:rsidRDefault="00417F9F">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229504"/>
    </w:sdtPr>
    <w:sdtContent>
      <w:p w14:paraId="7A25F42E"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37</w:t>
        </w:r>
        <w:r>
          <w:rPr>
            <w:lang w:val="zh-CN"/>
          </w:rPr>
          <w:fldChar w:fldCharType="end"/>
        </w:r>
      </w:p>
    </w:sdtContent>
  </w:sdt>
  <w:p w14:paraId="1D158AB7" w14:textId="77777777" w:rsidR="00417F9F" w:rsidRDefault="00417F9F">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574829"/>
    </w:sdtPr>
    <w:sdtContent>
      <w:p w14:paraId="21049BD9"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38</w:t>
        </w:r>
        <w:r>
          <w:rPr>
            <w:lang w:val="zh-CN"/>
          </w:rPr>
          <w:fldChar w:fldCharType="end"/>
        </w:r>
      </w:p>
    </w:sdtContent>
  </w:sdt>
  <w:p w14:paraId="48DBA6ED" w14:textId="77777777" w:rsidR="00417F9F" w:rsidRDefault="00417F9F">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55541"/>
    </w:sdtPr>
    <w:sdtContent>
      <w:p w14:paraId="641AAAC2"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39</w:t>
        </w:r>
        <w:r>
          <w:rPr>
            <w:lang w:val="zh-CN"/>
          </w:rPr>
          <w:fldChar w:fldCharType="end"/>
        </w:r>
      </w:p>
    </w:sdtContent>
  </w:sdt>
  <w:p w14:paraId="6E15CDB5" w14:textId="77777777" w:rsidR="00417F9F" w:rsidRDefault="00417F9F">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62473"/>
    </w:sdtPr>
    <w:sdtContent>
      <w:p w14:paraId="673A87BB" w14:textId="77777777" w:rsidR="00417F9F" w:rsidRDefault="00417F9F">
        <w:pPr>
          <w:pStyle w:val="ae"/>
          <w:jc w:val="center"/>
        </w:pPr>
        <w:r>
          <w:rPr>
            <w:lang w:val="zh-CN"/>
          </w:rPr>
          <w:fldChar w:fldCharType="begin"/>
        </w:r>
        <w:r>
          <w:rPr>
            <w:lang w:val="zh-CN"/>
          </w:rPr>
          <w:instrText>PAGE   \* MERGEFORMAT</w:instrText>
        </w:r>
        <w:r>
          <w:rPr>
            <w:lang w:val="zh-CN"/>
          </w:rPr>
          <w:fldChar w:fldCharType="separate"/>
        </w:r>
        <w:r w:rsidR="00C0539C">
          <w:rPr>
            <w:noProof/>
            <w:lang w:val="zh-CN"/>
          </w:rPr>
          <w:t>50</w:t>
        </w:r>
        <w:r>
          <w:rPr>
            <w:lang w:val="zh-CN"/>
          </w:rPr>
          <w:fldChar w:fldCharType="end"/>
        </w:r>
      </w:p>
    </w:sdtContent>
  </w:sdt>
  <w:p w14:paraId="4B761003" w14:textId="77777777" w:rsidR="00417F9F" w:rsidRDefault="00417F9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0584" w14:textId="77777777" w:rsidR="00555E69" w:rsidRDefault="00555E69">
      <w:r>
        <w:separator/>
      </w:r>
    </w:p>
  </w:footnote>
  <w:footnote w:type="continuationSeparator" w:id="0">
    <w:p w14:paraId="3430546D" w14:textId="77777777" w:rsidR="00555E69" w:rsidRDefault="0055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D2BC" w14:textId="77777777" w:rsidR="00417F9F" w:rsidRDefault="00417F9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BCD9" w14:textId="34B6A4D6" w:rsidR="00417F9F" w:rsidRDefault="00417F9F">
    <w:pPr>
      <w:pStyle w:val="af0"/>
      <w:jc w:val="both"/>
    </w:pPr>
    <w:r>
      <w:rPr>
        <w:rFonts w:ascii="Arial" w:hAnsi="Arial" w:cs="Arial" w:hint="eastAsia"/>
        <w:szCs w:val="21"/>
      </w:rPr>
      <w:t>富荣福康混合型证券投资基金更新的招募说明书（</w:t>
    </w:r>
    <w:r>
      <w:rPr>
        <w:rFonts w:ascii="Arial" w:hAnsi="Arial" w:cs="Arial" w:hint="eastAsia"/>
        <w:szCs w:val="21"/>
      </w:rPr>
      <w:t>2025</w:t>
    </w:r>
    <w:r>
      <w:rPr>
        <w:rFonts w:ascii="Arial" w:hAnsi="Arial" w:cs="Arial" w:hint="eastAsia"/>
        <w:szCs w:val="21"/>
      </w:rPr>
      <w:t>年第</w:t>
    </w:r>
    <w:r>
      <w:rPr>
        <w:rFonts w:ascii="Arial" w:hAnsi="Arial" w:cs="Arial" w:hint="eastAsia"/>
        <w:szCs w:val="21"/>
      </w:rPr>
      <w:t>3</w:t>
    </w:r>
    <w:r>
      <w:rPr>
        <w:rFonts w:ascii="Arial" w:hAnsi="Arial" w:cs="Arial" w:hint="eastAsia"/>
        <w:szCs w:val="21"/>
      </w:rPr>
      <w:t>号）</w:t>
    </w:r>
    <w:r>
      <w:rPr>
        <w:rFonts w:ascii="Arial" w:hAnsi="Arial" w:cs="Arial" w:hint="eastAsia"/>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9758" w14:textId="77777777" w:rsidR="00417F9F" w:rsidRDefault="00417F9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num w:numId="1" w16cid:durableId="1213884005">
    <w:abstractNumId w:val="0"/>
  </w:num>
  <w:num w:numId="2" w16cid:durableId="100159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CC"/>
    <w:rsid w:val="00000923"/>
    <w:rsid w:val="00000B3B"/>
    <w:rsid w:val="000026B6"/>
    <w:rsid w:val="0000336D"/>
    <w:rsid w:val="00011E0C"/>
    <w:rsid w:val="000150A1"/>
    <w:rsid w:val="00016B2F"/>
    <w:rsid w:val="00021C39"/>
    <w:rsid w:val="00021C6F"/>
    <w:rsid w:val="00022A34"/>
    <w:rsid w:val="0002581E"/>
    <w:rsid w:val="00025857"/>
    <w:rsid w:val="00026A47"/>
    <w:rsid w:val="00026DA2"/>
    <w:rsid w:val="0002708B"/>
    <w:rsid w:val="00027A1A"/>
    <w:rsid w:val="000319C7"/>
    <w:rsid w:val="00032C15"/>
    <w:rsid w:val="00037654"/>
    <w:rsid w:val="00041EB7"/>
    <w:rsid w:val="00043AE3"/>
    <w:rsid w:val="000455CE"/>
    <w:rsid w:val="0004712E"/>
    <w:rsid w:val="000507C1"/>
    <w:rsid w:val="00050E32"/>
    <w:rsid w:val="000514BB"/>
    <w:rsid w:val="0005270F"/>
    <w:rsid w:val="00055285"/>
    <w:rsid w:val="00055889"/>
    <w:rsid w:val="00056512"/>
    <w:rsid w:val="00056541"/>
    <w:rsid w:val="0006090B"/>
    <w:rsid w:val="000619E8"/>
    <w:rsid w:val="00061EFE"/>
    <w:rsid w:val="0006254D"/>
    <w:rsid w:val="00062C1B"/>
    <w:rsid w:val="000648FC"/>
    <w:rsid w:val="00065FA9"/>
    <w:rsid w:val="00066597"/>
    <w:rsid w:val="0006715B"/>
    <w:rsid w:val="00067F02"/>
    <w:rsid w:val="00072066"/>
    <w:rsid w:val="000721D0"/>
    <w:rsid w:val="00074D28"/>
    <w:rsid w:val="000752DA"/>
    <w:rsid w:val="00075A2F"/>
    <w:rsid w:val="00076E9C"/>
    <w:rsid w:val="000776EE"/>
    <w:rsid w:val="00077F44"/>
    <w:rsid w:val="000817BB"/>
    <w:rsid w:val="00081AEC"/>
    <w:rsid w:val="00082EAF"/>
    <w:rsid w:val="00084A9D"/>
    <w:rsid w:val="00092FE3"/>
    <w:rsid w:val="00093B11"/>
    <w:rsid w:val="0009505B"/>
    <w:rsid w:val="0009610D"/>
    <w:rsid w:val="00096D0E"/>
    <w:rsid w:val="000A043B"/>
    <w:rsid w:val="000A1798"/>
    <w:rsid w:val="000A2109"/>
    <w:rsid w:val="000A2809"/>
    <w:rsid w:val="000A34E4"/>
    <w:rsid w:val="000A68DF"/>
    <w:rsid w:val="000A6900"/>
    <w:rsid w:val="000A749E"/>
    <w:rsid w:val="000B0075"/>
    <w:rsid w:val="000B0476"/>
    <w:rsid w:val="000B2275"/>
    <w:rsid w:val="000B2D1B"/>
    <w:rsid w:val="000B32D2"/>
    <w:rsid w:val="000B4DA0"/>
    <w:rsid w:val="000B5D4C"/>
    <w:rsid w:val="000B6836"/>
    <w:rsid w:val="000B720D"/>
    <w:rsid w:val="000B7428"/>
    <w:rsid w:val="000B7ACE"/>
    <w:rsid w:val="000C28BF"/>
    <w:rsid w:val="000C2A62"/>
    <w:rsid w:val="000C3020"/>
    <w:rsid w:val="000C365B"/>
    <w:rsid w:val="000C36FD"/>
    <w:rsid w:val="000C39C0"/>
    <w:rsid w:val="000C4C8F"/>
    <w:rsid w:val="000C4CDF"/>
    <w:rsid w:val="000D3337"/>
    <w:rsid w:val="000D48FE"/>
    <w:rsid w:val="000D5178"/>
    <w:rsid w:val="000D718E"/>
    <w:rsid w:val="000E1E9B"/>
    <w:rsid w:val="000E2274"/>
    <w:rsid w:val="000E3D34"/>
    <w:rsid w:val="000E4187"/>
    <w:rsid w:val="000E4C06"/>
    <w:rsid w:val="000E6811"/>
    <w:rsid w:val="000F294B"/>
    <w:rsid w:val="000F4000"/>
    <w:rsid w:val="000F5C40"/>
    <w:rsid w:val="000F63F5"/>
    <w:rsid w:val="00100174"/>
    <w:rsid w:val="0010210E"/>
    <w:rsid w:val="00102D5B"/>
    <w:rsid w:val="001035D3"/>
    <w:rsid w:val="0010455F"/>
    <w:rsid w:val="00105C79"/>
    <w:rsid w:val="00106771"/>
    <w:rsid w:val="00106F56"/>
    <w:rsid w:val="00110E6E"/>
    <w:rsid w:val="001117AE"/>
    <w:rsid w:val="00111FD3"/>
    <w:rsid w:val="00112609"/>
    <w:rsid w:val="00112ACF"/>
    <w:rsid w:val="00113B13"/>
    <w:rsid w:val="00116E09"/>
    <w:rsid w:val="0012019B"/>
    <w:rsid w:val="001240ED"/>
    <w:rsid w:val="001252C4"/>
    <w:rsid w:val="00125D1A"/>
    <w:rsid w:val="001275BA"/>
    <w:rsid w:val="00127ED5"/>
    <w:rsid w:val="0013130B"/>
    <w:rsid w:val="00131320"/>
    <w:rsid w:val="00132839"/>
    <w:rsid w:val="0013292C"/>
    <w:rsid w:val="00132DD5"/>
    <w:rsid w:val="00133E49"/>
    <w:rsid w:val="0013445E"/>
    <w:rsid w:val="00135275"/>
    <w:rsid w:val="001357CB"/>
    <w:rsid w:val="00135938"/>
    <w:rsid w:val="00135BC6"/>
    <w:rsid w:val="00135DD6"/>
    <w:rsid w:val="001369D9"/>
    <w:rsid w:val="001445DD"/>
    <w:rsid w:val="00145063"/>
    <w:rsid w:val="00147C35"/>
    <w:rsid w:val="00151916"/>
    <w:rsid w:val="00151B6A"/>
    <w:rsid w:val="00154429"/>
    <w:rsid w:val="001569AD"/>
    <w:rsid w:val="001609F9"/>
    <w:rsid w:val="001616B4"/>
    <w:rsid w:val="001634E3"/>
    <w:rsid w:val="001635EE"/>
    <w:rsid w:val="00166406"/>
    <w:rsid w:val="0016706A"/>
    <w:rsid w:val="00167922"/>
    <w:rsid w:val="00172537"/>
    <w:rsid w:val="001745C9"/>
    <w:rsid w:val="00180DAD"/>
    <w:rsid w:val="00181F45"/>
    <w:rsid w:val="00183CCD"/>
    <w:rsid w:val="00183F89"/>
    <w:rsid w:val="00184AAE"/>
    <w:rsid w:val="00184E9F"/>
    <w:rsid w:val="00185938"/>
    <w:rsid w:val="00187570"/>
    <w:rsid w:val="00194E71"/>
    <w:rsid w:val="00195FCE"/>
    <w:rsid w:val="001968DF"/>
    <w:rsid w:val="001A0D71"/>
    <w:rsid w:val="001A1315"/>
    <w:rsid w:val="001A1C76"/>
    <w:rsid w:val="001A3539"/>
    <w:rsid w:val="001A4CAD"/>
    <w:rsid w:val="001B0534"/>
    <w:rsid w:val="001B101B"/>
    <w:rsid w:val="001B1C13"/>
    <w:rsid w:val="001B48A6"/>
    <w:rsid w:val="001B523F"/>
    <w:rsid w:val="001B598D"/>
    <w:rsid w:val="001B716E"/>
    <w:rsid w:val="001B7598"/>
    <w:rsid w:val="001C404F"/>
    <w:rsid w:val="001D075D"/>
    <w:rsid w:val="001D31E9"/>
    <w:rsid w:val="001D4C82"/>
    <w:rsid w:val="001D577F"/>
    <w:rsid w:val="001D6044"/>
    <w:rsid w:val="001D761E"/>
    <w:rsid w:val="001E05E8"/>
    <w:rsid w:val="001E099D"/>
    <w:rsid w:val="001E12AB"/>
    <w:rsid w:val="001E1CF9"/>
    <w:rsid w:val="001E3B99"/>
    <w:rsid w:val="001E4D17"/>
    <w:rsid w:val="001E6662"/>
    <w:rsid w:val="001F029F"/>
    <w:rsid w:val="001F141D"/>
    <w:rsid w:val="001F2A1F"/>
    <w:rsid w:val="001F2B4F"/>
    <w:rsid w:val="001F2D36"/>
    <w:rsid w:val="001F32BF"/>
    <w:rsid w:val="001F6581"/>
    <w:rsid w:val="001F7512"/>
    <w:rsid w:val="001F79AA"/>
    <w:rsid w:val="001F7F4A"/>
    <w:rsid w:val="00201AB5"/>
    <w:rsid w:val="00203A84"/>
    <w:rsid w:val="002078F3"/>
    <w:rsid w:val="00207CD5"/>
    <w:rsid w:val="00210026"/>
    <w:rsid w:val="00216176"/>
    <w:rsid w:val="0022118B"/>
    <w:rsid w:val="00221BB5"/>
    <w:rsid w:val="00223443"/>
    <w:rsid w:val="00224EE1"/>
    <w:rsid w:val="0022543F"/>
    <w:rsid w:val="0022597A"/>
    <w:rsid w:val="00225DB5"/>
    <w:rsid w:val="00227859"/>
    <w:rsid w:val="00231253"/>
    <w:rsid w:val="002346A4"/>
    <w:rsid w:val="0023618C"/>
    <w:rsid w:val="0023684F"/>
    <w:rsid w:val="00241ACA"/>
    <w:rsid w:val="00242D1E"/>
    <w:rsid w:val="002430FE"/>
    <w:rsid w:val="002472F8"/>
    <w:rsid w:val="002507FE"/>
    <w:rsid w:val="0025184A"/>
    <w:rsid w:val="002518DB"/>
    <w:rsid w:val="0025398C"/>
    <w:rsid w:val="00256DDD"/>
    <w:rsid w:val="002601E9"/>
    <w:rsid w:val="00260AE0"/>
    <w:rsid w:val="00263BCA"/>
    <w:rsid w:val="002641B7"/>
    <w:rsid w:val="00264614"/>
    <w:rsid w:val="00266A12"/>
    <w:rsid w:val="002701CE"/>
    <w:rsid w:val="0027140E"/>
    <w:rsid w:val="0027156A"/>
    <w:rsid w:val="00272867"/>
    <w:rsid w:val="00272F3A"/>
    <w:rsid w:val="0027410A"/>
    <w:rsid w:val="00274F39"/>
    <w:rsid w:val="002775A2"/>
    <w:rsid w:val="00283A8E"/>
    <w:rsid w:val="00283F15"/>
    <w:rsid w:val="002863C8"/>
    <w:rsid w:val="00287C51"/>
    <w:rsid w:val="0029145F"/>
    <w:rsid w:val="00291943"/>
    <w:rsid w:val="00293220"/>
    <w:rsid w:val="00294254"/>
    <w:rsid w:val="002959F8"/>
    <w:rsid w:val="002966EC"/>
    <w:rsid w:val="002969E2"/>
    <w:rsid w:val="002A0FDE"/>
    <w:rsid w:val="002A17C1"/>
    <w:rsid w:val="002A1DD0"/>
    <w:rsid w:val="002A397A"/>
    <w:rsid w:val="002A6E10"/>
    <w:rsid w:val="002B01D8"/>
    <w:rsid w:val="002B1A83"/>
    <w:rsid w:val="002B1C7A"/>
    <w:rsid w:val="002B397E"/>
    <w:rsid w:val="002B440F"/>
    <w:rsid w:val="002B64A8"/>
    <w:rsid w:val="002C0754"/>
    <w:rsid w:val="002C084A"/>
    <w:rsid w:val="002C0907"/>
    <w:rsid w:val="002C0F09"/>
    <w:rsid w:val="002C1768"/>
    <w:rsid w:val="002C2DAA"/>
    <w:rsid w:val="002C438F"/>
    <w:rsid w:val="002C782A"/>
    <w:rsid w:val="002C799C"/>
    <w:rsid w:val="002D1207"/>
    <w:rsid w:val="002D1275"/>
    <w:rsid w:val="002D32E2"/>
    <w:rsid w:val="002D3DC9"/>
    <w:rsid w:val="002E2B52"/>
    <w:rsid w:val="002E330E"/>
    <w:rsid w:val="002E342B"/>
    <w:rsid w:val="002E3582"/>
    <w:rsid w:val="002E5FC9"/>
    <w:rsid w:val="002E6559"/>
    <w:rsid w:val="002E7690"/>
    <w:rsid w:val="002F0AEB"/>
    <w:rsid w:val="002F2F08"/>
    <w:rsid w:val="002F77DC"/>
    <w:rsid w:val="002F7CB8"/>
    <w:rsid w:val="003015F4"/>
    <w:rsid w:val="0030539A"/>
    <w:rsid w:val="003155E3"/>
    <w:rsid w:val="00315D57"/>
    <w:rsid w:val="0031687C"/>
    <w:rsid w:val="003226CC"/>
    <w:rsid w:val="00322E28"/>
    <w:rsid w:val="00325616"/>
    <w:rsid w:val="00325B78"/>
    <w:rsid w:val="00326A72"/>
    <w:rsid w:val="00327A3E"/>
    <w:rsid w:val="00327DF4"/>
    <w:rsid w:val="00327F7E"/>
    <w:rsid w:val="00331C50"/>
    <w:rsid w:val="00331EAA"/>
    <w:rsid w:val="0033271C"/>
    <w:rsid w:val="0033347C"/>
    <w:rsid w:val="00333E36"/>
    <w:rsid w:val="00334235"/>
    <w:rsid w:val="00342CBA"/>
    <w:rsid w:val="00343997"/>
    <w:rsid w:val="00344461"/>
    <w:rsid w:val="003464D5"/>
    <w:rsid w:val="003505A5"/>
    <w:rsid w:val="00350E58"/>
    <w:rsid w:val="00351CCF"/>
    <w:rsid w:val="00352C16"/>
    <w:rsid w:val="003532A3"/>
    <w:rsid w:val="00353591"/>
    <w:rsid w:val="00354A44"/>
    <w:rsid w:val="003559C3"/>
    <w:rsid w:val="00355E38"/>
    <w:rsid w:val="00357378"/>
    <w:rsid w:val="00357BC7"/>
    <w:rsid w:val="00363318"/>
    <w:rsid w:val="00365C58"/>
    <w:rsid w:val="0036697D"/>
    <w:rsid w:val="00366D39"/>
    <w:rsid w:val="003677C0"/>
    <w:rsid w:val="00367DD2"/>
    <w:rsid w:val="00367E2C"/>
    <w:rsid w:val="00370B4F"/>
    <w:rsid w:val="0037193D"/>
    <w:rsid w:val="00371D07"/>
    <w:rsid w:val="00371EC6"/>
    <w:rsid w:val="00371ED5"/>
    <w:rsid w:val="00372E3E"/>
    <w:rsid w:val="003749A9"/>
    <w:rsid w:val="00377542"/>
    <w:rsid w:val="00386439"/>
    <w:rsid w:val="00386A86"/>
    <w:rsid w:val="00390432"/>
    <w:rsid w:val="00390719"/>
    <w:rsid w:val="003928DF"/>
    <w:rsid w:val="00392C0F"/>
    <w:rsid w:val="0039339F"/>
    <w:rsid w:val="003962D5"/>
    <w:rsid w:val="003A1C92"/>
    <w:rsid w:val="003A3022"/>
    <w:rsid w:val="003A3EFD"/>
    <w:rsid w:val="003A6148"/>
    <w:rsid w:val="003A733C"/>
    <w:rsid w:val="003A797A"/>
    <w:rsid w:val="003B18F6"/>
    <w:rsid w:val="003B2407"/>
    <w:rsid w:val="003B318D"/>
    <w:rsid w:val="003B374D"/>
    <w:rsid w:val="003B3CAD"/>
    <w:rsid w:val="003B3D76"/>
    <w:rsid w:val="003B77F3"/>
    <w:rsid w:val="003C0A28"/>
    <w:rsid w:val="003C0C60"/>
    <w:rsid w:val="003C3BD4"/>
    <w:rsid w:val="003C4DC0"/>
    <w:rsid w:val="003C4E68"/>
    <w:rsid w:val="003C6835"/>
    <w:rsid w:val="003C6950"/>
    <w:rsid w:val="003C71FB"/>
    <w:rsid w:val="003C7991"/>
    <w:rsid w:val="003C7BE4"/>
    <w:rsid w:val="003D32C5"/>
    <w:rsid w:val="003D4F54"/>
    <w:rsid w:val="003E027C"/>
    <w:rsid w:val="003E33DE"/>
    <w:rsid w:val="003E4E0F"/>
    <w:rsid w:val="003E5A95"/>
    <w:rsid w:val="003E62C9"/>
    <w:rsid w:val="003E6C2C"/>
    <w:rsid w:val="003F024E"/>
    <w:rsid w:val="003F0B66"/>
    <w:rsid w:val="003F0D6B"/>
    <w:rsid w:val="003F1495"/>
    <w:rsid w:val="003F1645"/>
    <w:rsid w:val="003F2BD6"/>
    <w:rsid w:val="003F2C03"/>
    <w:rsid w:val="003F2F14"/>
    <w:rsid w:val="003F5E9A"/>
    <w:rsid w:val="003F7179"/>
    <w:rsid w:val="00400EAE"/>
    <w:rsid w:val="00402349"/>
    <w:rsid w:val="004052E3"/>
    <w:rsid w:val="004062DD"/>
    <w:rsid w:val="00407289"/>
    <w:rsid w:val="00407951"/>
    <w:rsid w:val="0041206B"/>
    <w:rsid w:val="00412850"/>
    <w:rsid w:val="00413B26"/>
    <w:rsid w:val="00416668"/>
    <w:rsid w:val="0041693E"/>
    <w:rsid w:val="00416A03"/>
    <w:rsid w:val="00417728"/>
    <w:rsid w:val="00417F9F"/>
    <w:rsid w:val="0042179E"/>
    <w:rsid w:val="00421C84"/>
    <w:rsid w:val="004239F5"/>
    <w:rsid w:val="004254CB"/>
    <w:rsid w:val="00425D00"/>
    <w:rsid w:val="00427D57"/>
    <w:rsid w:val="004307A3"/>
    <w:rsid w:val="00431DC0"/>
    <w:rsid w:val="00432722"/>
    <w:rsid w:val="004334EC"/>
    <w:rsid w:val="004340C3"/>
    <w:rsid w:val="004344F1"/>
    <w:rsid w:val="00434ACE"/>
    <w:rsid w:val="00436C40"/>
    <w:rsid w:val="0043746E"/>
    <w:rsid w:val="004419FB"/>
    <w:rsid w:val="004432D0"/>
    <w:rsid w:val="00443D7D"/>
    <w:rsid w:val="00445451"/>
    <w:rsid w:val="00446D95"/>
    <w:rsid w:val="00451215"/>
    <w:rsid w:val="00452DBD"/>
    <w:rsid w:val="00453D1D"/>
    <w:rsid w:val="004542A1"/>
    <w:rsid w:val="004549DF"/>
    <w:rsid w:val="00454D30"/>
    <w:rsid w:val="00457352"/>
    <w:rsid w:val="0046082E"/>
    <w:rsid w:val="00462135"/>
    <w:rsid w:val="004635C4"/>
    <w:rsid w:val="00463AC0"/>
    <w:rsid w:val="00463D15"/>
    <w:rsid w:val="004657EA"/>
    <w:rsid w:val="004665ED"/>
    <w:rsid w:val="00467352"/>
    <w:rsid w:val="00467F0E"/>
    <w:rsid w:val="00470701"/>
    <w:rsid w:val="00481714"/>
    <w:rsid w:val="004822AA"/>
    <w:rsid w:val="004822FB"/>
    <w:rsid w:val="004827F4"/>
    <w:rsid w:val="00483521"/>
    <w:rsid w:val="0048715E"/>
    <w:rsid w:val="00487357"/>
    <w:rsid w:val="00487C6F"/>
    <w:rsid w:val="004906C4"/>
    <w:rsid w:val="00494FA6"/>
    <w:rsid w:val="00496B25"/>
    <w:rsid w:val="00496D82"/>
    <w:rsid w:val="004A07AB"/>
    <w:rsid w:val="004A65D7"/>
    <w:rsid w:val="004B388E"/>
    <w:rsid w:val="004B62CB"/>
    <w:rsid w:val="004B6544"/>
    <w:rsid w:val="004C0D5A"/>
    <w:rsid w:val="004C1A15"/>
    <w:rsid w:val="004C27F1"/>
    <w:rsid w:val="004C3C4A"/>
    <w:rsid w:val="004C4A0F"/>
    <w:rsid w:val="004C6542"/>
    <w:rsid w:val="004D0579"/>
    <w:rsid w:val="004D0F65"/>
    <w:rsid w:val="004D2D86"/>
    <w:rsid w:val="004D3208"/>
    <w:rsid w:val="004D73CA"/>
    <w:rsid w:val="004D7A1C"/>
    <w:rsid w:val="004E08FD"/>
    <w:rsid w:val="004E131A"/>
    <w:rsid w:val="004E231D"/>
    <w:rsid w:val="004E3ABE"/>
    <w:rsid w:val="004E3FD5"/>
    <w:rsid w:val="004E4528"/>
    <w:rsid w:val="004E5BE5"/>
    <w:rsid w:val="004F02E3"/>
    <w:rsid w:val="004F1743"/>
    <w:rsid w:val="004F2140"/>
    <w:rsid w:val="004F2ED3"/>
    <w:rsid w:val="004F458A"/>
    <w:rsid w:val="004F4E5A"/>
    <w:rsid w:val="004F7007"/>
    <w:rsid w:val="005030B1"/>
    <w:rsid w:val="00503979"/>
    <w:rsid w:val="005043F9"/>
    <w:rsid w:val="00506A9D"/>
    <w:rsid w:val="005113A3"/>
    <w:rsid w:val="00514CF8"/>
    <w:rsid w:val="00517167"/>
    <w:rsid w:val="00520016"/>
    <w:rsid w:val="005213D4"/>
    <w:rsid w:val="005215B8"/>
    <w:rsid w:val="005221B4"/>
    <w:rsid w:val="005222B6"/>
    <w:rsid w:val="005248CC"/>
    <w:rsid w:val="005266D4"/>
    <w:rsid w:val="00526E92"/>
    <w:rsid w:val="005303D1"/>
    <w:rsid w:val="00530E6A"/>
    <w:rsid w:val="0053159D"/>
    <w:rsid w:val="005378A4"/>
    <w:rsid w:val="00540285"/>
    <w:rsid w:val="00540709"/>
    <w:rsid w:val="005435FB"/>
    <w:rsid w:val="00546AE8"/>
    <w:rsid w:val="00550995"/>
    <w:rsid w:val="00550B96"/>
    <w:rsid w:val="00552750"/>
    <w:rsid w:val="0055353E"/>
    <w:rsid w:val="00553FA0"/>
    <w:rsid w:val="00554FBF"/>
    <w:rsid w:val="005559B3"/>
    <w:rsid w:val="00555BA2"/>
    <w:rsid w:val="00555E69"/>
    <w:rsid w:val="00556041"/>
    <w:rsid w:val="00556925"/>
    <w:rsid w:val="00556D92"/>
    <w:rsid w:val="0055734F"/>
    <w:rsid w:val="00561B52"/>
    <w:rsid w:val="005622B6"/>
    <w:rsid w:val="00562DCF"/>
    <w:rsid w:val="00565596"/>
    <w:rsid w:val="00566616"/>
    <w:rsid w:val="00566BEE"/>
    <w:rsid w:val="005677AD"/>
    <w:rsid w:val="00571308"/>
    <w:rsid w:val="005730A9"/>
    <w:rsid w:val="0057704C"/>
    <w:rsid w:val="005803F4"/>
    <w:rsid w:val="00581FB9"/>
    <w:rsid w:val="005847BA"/>
    <w:rsid w:val="00585A88"/>
    <w:rsid w:val="0059053F"/>
    <w:rsid w:val="0059102D"/>
    <w:rsid w:val="005916C4"/>
    <w:rsid w:val="00591CD5"/>
    <w:rsid w:val="0059486A"/>
    <w:rsid w:val="00595C87"/>
    <w:rsid w:val="00597B85"/>
    <w:rsid w:val="005A098B"/>
    <w:rsid w:val="005A3605"/>
    <w:rsid w:val="005A373E"/>
    <w:rsid w:val="005A4328"/>
    <w:rsid w:val="005A7A85"/>
    <w:rsid w:val="005B04E6"/>
    <w:rsid w:val="005B2034"/>
    <w:rsid w:val="005B2081"/>
    <w:rsid w:val="005B2727"/>
    <w:rsid w:val="005B7208"/>
    <w:rsid w:val="005B766D"/>
    <w:rsid w:val="005C5145"/>
    <w:rsid w:val="005C689C"/>
    <w:rsid w:val="005D2142"/>
    <w:rsid w:val="005D2220"/>
    <w:rsid w:val="005D3D69"/>
    <w:rsid w:val="005D5CC3"/>
    <w:rsid w:val="005E1405"/>
    <w:rsid w:val="005E4F62"/>
    <w:rsid w:val="005E5653"/>
    <w:rsid w:val="005F02EA"/>
    <w:rsid w:val="005F39AA"/>
    <w:rsid w:val="005F3AD5"/>
    <w:rsid w:val="005F62D9"/>
    <w:rsid w:val="005F6C53"/>
    <w:rsid w:val="00601DA1"/>
    <w:rsid w:val="00601E16"/>
    <w:rsid w:val="00602B88"/>
    <w:rsid w:val="006038C3"/>
    <w:rsid w:val="00604E3F"/>
    <w:rsid w:val="00605B0C"/>
    <w:rsid w:val="00606C72"/>
    <w:rsid w:val="00607B97"/>
    <w:rsid w:val="00607CA9"/>
    <w:rsid w:val="00611423"/>
    <w:rsid w:val="00611677"/>
    <w:rsid w:val="00611CEA"/>
    <w:rsid w:val="006132D5"/>
    <w:rsid w:val="0061396F"/>
    <w:rsid w:val="006140CC"/>
    <w:rsid w:val="0061438B"/>
    <w:rsid w:val="00614DDD"/>
    <w:rsid w:val="006212EC"/>
    <w:rsid w:val="00621934"/>
    <w:rsid w:val="006224D2"/>
    <w:rsid w:val="00624228"/>
    <w:rsid w:val="006259CB"/>
    <w:rsid w:val="00626425"/>
    <w:rsid w:val="00627DBF"/>
    <w:rsid w:val="006305AC"/>
    <w:rsid w:val="00632249"/>
    <w:rsid w:val="00634488"/>
    <w:rsid w:val="00635709"/>
    <w:rsid w:val="006367A1"/>
    <w:rsid w:val="00637A2B"/>
    <w:rsid w:val="006411E7"/>
    <w:rsid w:val="00641FA1"/>
    <w:rsid w:val="006424F1"/>
    <w:rsid w:val="00646484"/>
    <w:rsid w:val="0064649E"/>
    <w:rsid w:val="00646DF1"/>
    <w:rsid w:val="00647036"/>
    <w:rsid w:val="006504A9"/>
    <w:rsid w:val="00656429"/>
    <w:rsid w:val="00656F9A"/>
    <w:rsid w:val="00660F8B"/>
    <w:rsid w:val="006620BA"/>
    <w:rsid w:val="00662717"/>
    <w:rsid w:val="00662A0F"/>
    <w:rsid w:val="00664560"/>
    <w:rsid w:val="0066529D"/>
    <w:rsid w:val="006662A1"/>
    <w:rsid w:val="00667665"/>
    <w:rsid w:val="00673644"/>
    <w:rsid w:val="00673746"/>
    <w:rsid w:val="00673BD7"/>
    <w:rsid w:val="0067414F"/>
    <w:rsid w:val="00674566"/>
    <w:rsid w:val="006748D6"/>
    <w:rsid w:val="00675885"/>
    <w:rsid w:val="0068156F"/>
    <w:rsid w:val="006827D6"/>
    <w:rsid w:val="006837BA"/>
    <w:rsid w:val="006845DD"/>
    <w:rsid w:val="006857D6"/>
    <w:rsid w:val="00695707"/>
    <w:rsid w:val="00695780"/>
    <w:rsid w:val="006958B8"/>
    <w:rsid w:val="00695E91"/>
    <w:rsid w:val="006A2263"/>
    <w:rsid w:val="006A3AEA"/>
    <w:rsid w:val="006A609D"/>
    <w:rsid w:val="006A62A6"/>
    <w:rsid w:val="006A7859"/>
    <w:rsid w:val="006B1357"/>
    <w:rsid w:val="006B324A"/>
    <w:rsid w:val="006B4060"/>
    <w:rsid w:val="006B5E4E"/>
    <w:rsid w:val="006B6E2A"/>
    <w:rsid w:val="006B788D"/>
    <w:rsid w:val="006C082D"/>
    <w:rsid w:val="006C19EA"/>
    <w:rsid w:val="006C1C6C"/>
    <w:rsid w:val="006C27D1"/>
    <w:rsid w:val="006C2816"/>
    <w:rsid w:val="006C4485"/>
    <w:rsid w:val="006C51E4"/>
    <w:rsid w:val="006C632A"/>
    <w:rsid w:val="006D0194"/>
    <w:rsid w:val="006D0CE5"/>
    <w:rsid w:val="006D11CD"/>
    <w:rsid w:val="006D1F47"/>
    <w:rsid w:val="006D2BE4"/>
    <w:rsid w:val="006D4512"/>
    <w:rsid w:val="006D6E03"/>
    <w:rsid w:val="006E1102"/>
    <w:rsid w:val="006E55E8"/>
    <w:rsid w:val="006F1B08"/>
    <w:rsid w:val="006F36D3"/>
    <w:rsid w:val="006F4638"/>
    <w:rsid w:val="006F6F4F"/>
    <w:rsid w:val="006F774D"/>
    <w:rsid w:val="00702DD7"/>
    <w:rsid w:val="00703A67"/>
    <w:rsid w:val="00703F25"/>
    <w:rsid w:val="00704D7F"/>
    <w:rsid w:val="007066B5"/>
    <w:rsid w:val="00710D35"/>
    <w:rsid w:val="00713346"/>
    <w:rsid w:val="00716D3B"/>
    <w:rsid w:val="00722704"/>
    <w:rsid w:val="00723B1D"/>
    <w:rsid w:val="00731F99"/>
    <w:rsid w:val="00732DA2"/>
    <w:rsid w:val="00736572"/>
    <w:rsid w:val="00736608"/>
    <w:rsid w:val="00736E3E"/>
    <w:rsid w:val="00740060"/>
    <w:rsid w:val="00740CBA"/>
    <w:rsid w:val="00742372"/>
    <w:rsid w:val="00742F81"/>
    <w:rsid w:val="00743C6B"/>
    <w:rsid w:val="0074463C"/>
    <w:rsid w:val="007451E4"/>
    <w:rsid w:val="00746029"/>
    <w:rsid w:val="00750314"/>
    <w:rsid w:val="00750772"/>
    <w:rsid w:val="00751181"/>
    <w:rsid w:val="00751456"/>
    <w:rsid w:val="0075335F"/>
    <w:rsid w:val="0075534A"/>
    <w:rsid w:val="00760BD6"/>
    <w:rsid w:val="0076246F"/>
    <w:rsid w:val="00763F5F"/>
    <w:rsid w:val="00766DBF"/>
    <w:rsid w:val="00767E9E"/>
    <w:rsid w:val="00770C2E"/>
    <w:rsid w:val="00771C0C"/>
    <w:rsid w:val="00771D0E"/>
    <w:rsid w:val="00773E87"/>
    <w:rsid w:val="00774210"/>
    <w:rsid w:val="007743FF"/>
    <w:rsid w:val="0077712F"/>
    <w:rsid w:val="007807AF"/>
    <w:rsid w:val="00780A15"/>
    <w:rsid w:val="00782F15"/>
    <w:rsid w:val="00785310"/>
    <w:rsid w:val="00785A76"/>
    <w:rsid w:val="00790FC7"/>
    <w:rsid w:val="007929DD"/>
    <w:rsid w:val="00795893"/>
    <w:rsid w:val="00795A6A"/>
    <w:rsid w:val="00796614"/>
    <w:rsid w:val="00796706"/>
    <w:rsid w:val="007A2C74"/>
    <w:rsid w:val="007A559F"/>
    <w:rsid w:val="007A57BE"/>
    <w:rsid w:val="007A659F"/>
    <w:rsid w:val="007A708A"/>
    <w:rsid w:val="007B0530"/>
    <w:rsid w:val="007B11A4"/>
    <w:rsid w:val="007B1A77"/>
    <w:rsid w:val="007B35C5"/>
    <w:rsid w:val="007B4EB1"/>
    <w:rsid w:val="007B61BB"/>
    <w:rsid w:val="007C09AB"/>
    <w:rsid w:val="007C30A7"/>
    <w:rsid w:val="007C384C"/>
    <w:rsid w:val="007C5AC5"/>
    <w:rsid w:val="007C5BF3"/>
    <w:rsid w:val="007C7D83"/>
    <w:rsid w:val="007D0529"/>
    <w:rsid w:val="007D3828"/>
    <w:rsid w:val="007D3B33"/>
    <w:rsid w:val="007D3D79"/>
    <w:rsid w:val="007D43A4"/>
    <w:rsid w:val="007D6C16"/>
    <w:rsid w:val="007E0DDF"/>
    <w:rsid w:val="007E174A"/>
    <w:rsid w:val="007E6165"/>
    <w:rsid w:val="007E645D"/>
    <w:rsid w:val="007E6BA9"/>
    <w:rsid w:val="007E7483"/>
    <w:rsid w:val="007F0460"/>
    <w:rsid w:val="007F0F86"/>
    <w:rsid w:val="007F1829"/>
    <w:rsid w:val="007F189E"/>
    <w:rsid w:val="007F3452"/>
    <w:rsid w:val="007F39A8"/>
    <w:rsid w:val="007F3CE7"/>
    <w:rsid w:val="007F610C"/>
    <w:rsid w:val="007F72A0"/>
    <w:rsid w:val="00800562"/>
    <w:rsid w:val="00800633"/>
    <w:rsid w:val="008042D3"/>
    <w:rsid w:val="00806000"/>
    <w:rsid w:val="008101DA"/>
    <w:rsid w:val="00810FC5"/>
    <w:rsid w:val="0081243C"/>
    <w:rsid w:val="00813295"/>
    <w:rsid w:val="00815169"/>
    <w:rsid w:val="00816C19"/>
    <w:rsid w:val="008170B0"/>
    <w:rsid w:val="008178C9"/>
    <w:rsid w:val="00817FFC"/>
    <w:rsid w:val="0082067E"/>
    <w:rsid w:val="0082089D"/>
    <w:rsid w:val="00821726"/>
    <w:rsid w:val="00822A8A"/>
    <w:rsid w:val="00822AB2"/>
    <w:rsid w:val="00822B2B"/>
    <w:rsid w:val="00824FDE"/>
    <w:rsid w:val="008253FA"/>
    <w:rsid w:val="0082588A"/>
    <w:rsid w:val="00826E64"/>
    <w:rsid w:val="00827565"/>
    <w:rsid w:val="008276B4"/>
    <w:rsid w:val="00827F46"/>
    <w:rsid w:val="00831A98"/>
    <w:rsid w:val="00835495"/>
    <w:rsid w:val="008436D1"/>
    <w:rsid w:val="00844951"/>
    <w:rsid w:val="00847C44"/>
    <w:rsid w:val="00847C56"/>
    <w:rsid w:val="008524D9"/>
    <w:rsid w:val="00853093"/>
    <w:rsid w:val="00861559"/>
    <w:rsid w:val="00864D27"/>
    <w:rsid w:val="0086578E"/>
    <w:rsid w:val="00865A22"/>
    <w:rsid w:val="00865F42"/>
    <w:rsid w:val="008663FA"/>
    <w:rsid w:val="008667D3"/>
    <w:rsid w:val="00866D71"/>
    <w:rsid w:val="00872D8F"/>
    <w:rsid w:val="00872EAF"/>
    <w:rsid w:val="00875A9F"/>
    <w:rsid w:val="00881FEF"/>
    <w:rsid w:val="00884B02"/>
    <w:rsid w:val="00886530"/>
    <w:rsid w:val="0088667C"/>
    <w:rsid w:val="00886917"/>
    <w:rsid w:val="00886EAA"/>
    <w:rsid w:val="00890371"/>
    <w:rsid w:val="00890E0F"/>
    <w:rsid w:val="0089172A"/>
    <w:rsid w:val="008929A7"/>
    <w:rsid w:val="0089384B"/>
    <w:rsid w:val="00897455"/>
    <w:rsid w:val="008A35AA"/>
    <w:rsid w:val="008A3777"/>
    <w:rsid w:val="008A4553"/>
    <w:rsid w:val="008B2070"/>
    <w:rsid w:val="008B23EF"/>
    <w:rsid w:val="008B2FEF"/>
    <w:rsid w:val="008B3CDD"/>
    <w:rsid w:val="008B50EA"/>
    <w:rsid w:val="008C0C03"/>
    <w:rsid w:val="008C71A7"/>
    <w:rsid w:val="008C72FF"/>
    <w:rsid w:val="008D0810"/>
    <w:rsid w:val="008D2EA1"/>
    <w:rsid w:val="008D4429"/>
    <w:rsid w:val="008D682A"/>
    <w:rsid w:val="008D696E"/>
    <w:rsid w:val="008D769B"/>
    <w:rsid w:val="008E00A7"/>
    <w:rsid w:val="008E0352"/>
    <w:rsid w:val="008E3E70"/>
    <w:rsid w:val="008E6BDD"/>
    <w:rsid w:val="008E6F35"/>
    <w:rsid w:val="008E7FA1"/>
    <w:rsid w:val="008F0670"/>
    <w:rsid w:val="008F3918"/>
    <w:rsid w:val="008F4A1A"/>
    <w:rsid w:val="008F6E7A"/>
    <w:rsid w:val="008F6E8B"/>
    <w:rsid w:val="0090135A"/>
    <w:rsid w:val="00902224"/>
    <w:rsid w:val="00904611"/>
    <w:rsid w:val="009046B4"/>
    <w:rsid w:val="00904EB3"/>
    <w:rsid w:val="0090511D"/>
    <w:rsid w:val="00905381"/>
    <w:rsid w:val="009061AD"/>
    <w:rsid w:val="00906588"/>
    <w:rsid w:val="009105E8"/>
    <w:rsid w:val="00913D49"/>
    <w:rsid w:val="0091567A"/>
    <w:rsid w:val="00916A1B"/>
    <w:rsid w:val="00917135"/>
    <w:rsid w:val="009202B7"/>
    <w:rsid w:val="009230E5"/>
    <w:rsid w:val="00923E49"/>
    <w:rsid w:val="009277AE"/>
    <w:rsid w:val="00934F92"/>
    <w:rsid w:val="00943D86"/>
    <w:rsid w:val="00943E94"/>
    <w:rsid w:val="0095094F"/>
    <w:rsid w:val="009515C2"/>
    <w:rsid w:val="00953446"/>
    <w:rsid w:val="0095700E"/>
    <w:rsid w:val="00961263"/>
    <w:rsid w:val="00961F52"/>
    <w:rsid w:val="009639D8"/>
    <w:rsid w:val="009643A6"/>
    <w:rsid w:val="00965E53"/>
    <w:rsid w:val="00967A13"/>
    <w:rsid w:val="00971061"/>
    <w:rsid w:val="00971861"/>
    <w:rsid w:val="00971974"/>
    <w:rsid w:val="009771EE"/>
    <w:rsid w:val="00980EE0"/>
    <w:rsid w:val="00982F8A"/>
    <w:rsid w:val="00985231"/>
    <w:rsid w:val="00986F18"/>
    <w:rsid w:val="0098753F"/>
    <w:rsid w:val="0099002D"/>
    <w:rsid w:val="009904FF"/>
    <w:rsid w:val="00990719"/>
    <w:rsid w:val="00992BC7"/>
    <w:rsid w:val="009942CD"/>
    <w:rsid w:val="00994D65"/>
    <w:rsid w:val="0099664A"/>
    <w:rsid w:val="00997021"/>
    <w:rsid w:val="009974C2"/>
    <w:rsid w:val="00997664"/>
    <w:rsid w:val="00997906"/>
    <w:rsid w:val="009A1160"/>
    <w:rsid w:val="009A22FD"/>
    <w:rsid w:val="009A2800"/>
    <w:rsid w:val="009A30DA"/>
    <w:rsid w:val="009A5496"/>
    <w:rsid w:val="009A5870"/>
    <w:rsid w:val="009A5C6A"/>
    <w:rsid w:val="009A72FF"/>
    <w:rsid w:val="009B15A5"/>
    <w:rsid w:val="009B2161"/>
    <w:rsid w:val="009B261B"/>
    <w:rsid w:val="009B33F0"/>
    <w:rsid w:val="009B5534"/>
    <w:rsid w:val="009B5614"/>
    <w:rsid w:val="009B76D2"/>
    <w:rsid w:val="009C148D"/>
    <w:rsid w:val="009C4184"/>
    <w:rsid w:val="009C4CCC"/>
    <w:rsid w:val="009C4D5D"/>
    <w:rsid w:val="009C6E4C"/>
    <w:rsid w:val="009D11EF"/>
    <w:rsid w:val="009D1F6B"/>
    <w:rsid w:val="009D29A9"/>
    <w:rsid w:val="009D2A5A"/>
    <w:rsid w:val="009D2B1D"/>
    <w:rsid w:val="009D3F2E"/>
    <w:rsid w:val="009D4992"/>
    <w:rsid w:val="009D5E69"/>
    <w:rsid w:val="009D6111"/>
    <w:rsid w:val="009D6F91"/>
    <w:rsid w:val="009E0008"/>
    <w:rsid w:val="009E71B1"/>
    <w:rsid w:val="009F05AC"/>
    <w:rsid w:val="009F2352"/>
    <w:rsid w:val="009F3DB0"/>
    <w:rsid w:val="009F5200"/>
    <w:rsid w:val="009F527B"/>
    <w:rsid w:val="009F54F9"/>
    <w:rsid w:val="00A037E1"/>
    <w:rsid w:val="00A039CD"/>
    <w:rsid w:val="00A0497F"/>
    <w:rsid w:val="00A04FD9"/>
    <w:rsid w:val="00A06405"/>
    <w:rsid w:val="00A10026"/>
    <w:rsid w:val="00A10B82"/>
    <w:rsid w:val="00A13228"/>
    <w:rsid w:val="00A13DCC"/>
    <w:rsid w:val="00A161D3"/>
    <w:rsid w:val="00A20267"/>
    <w:rsid w:val="00A21518"/>
    <w:rsid w:val="00A233EB"/>
    <w:rsid w:val="00A25549"/>
    <w:rsid w:val="00A25F53"/>
    <w:rsid w:val="00A268F2"/>
    <w:rsid w:val="00A27A58"/>
    <w:rsid w:val="00A303E5"/>
    <w:rsid w:val="00A32C05"/>
    <w:rsid w:val="00A34762"/>
    <w:rsid w:val="00A35E32"/>
    <w:rsid w:val="00A36D05"/>
    <w:rsid w:val="00A40719"/>
    <w:rsid w:val="00A4419B"/>
    <w:rsid w:val="00A441D8"/>
    <w:rsid w:val="00A44360"/>
    <w:rsid w:val="00A45AC5"/>
    <w:rsid w:val="00A53A3B"/>
    <w:rsid w:val="00A54116"/>
    <w:rsid w:val="00A576DD"/>
    <w:rsid w:val="00A608E8"/>
    <w:rsid w:val="00A61321"/>
    <w:rsid w:val="00A617C7"/>
    <w:rsid w:val="00A64091"/>
    <w:rsid w:val="00A66633"/>
    <w:rsid w:val="00A70800"/>
    <w:rsid w:val="00A70CD3"/>
    <w:rsid w:val="00A737CD"/>
    <w:rsid w:val="00A758EB"/>
    <w:rsid w:val="00A80BA7"/>
    <w:rsid w:val="00A83261"/>
    <w:rsid w:val="00A83AE2"/>
    <w:rsid w:val="00A85BF2"/>
    <w:rsid w:val="00A86555"/>
    <w:rsid w:val="00A87854"/>
    <w:rsid w:val="00A901FF"/>
    <w:rsid w:val="00A902FD"/>
    <w:rsid w:val="00A90C15"/>
    <w:rsid w:val="00A92336"/>
    <w:rsid w:val="00A94934"/>
    <w:rsid w:val="00A94EE3"/>
    <w:rsid w:val="00A963C4"/>
    <w:rsid w:val="00A96EC4"/>
    <w:rsid w:val="00A9733E"/>
    <w:rsid w:val="00AA00C1"/>
    <w:rsid w:val="00AA06B3"/>
    <w:rsid w:val="00AA23F2"/>
    <w:rsid w:val="00AA5252"/>
    <w:rsid w:val="00AB0858"/>
    <w:rsid w:val="00AB2A46"/>
    <w:rsid w:val="00AB38E7"/>
    <w:rsid w:val="00AB7A62"/>
    <w:rsid w:val="00AC0802"/>
    <w:rsid w:val="00AC160A"/>
    <w:rsid w:val="00AC48B9"/>
    <w:rsid w:val="00AC4A47"/>
    <w:rsid w:val="00AC5048"/>
    <w:rsid w:val="00AC6648"/>
    <w:rsid w:val="00AC6ACB"/>
    <w:rsid w:val="00AC6FDC"/>
    <w:rsid w:val="00AC76DE"/>
    <w:rsid w:val="00AC7FFA"/>
    <w:rsid w:val="00AD2515"/>
    <w:rsid w:val="00AD352B"/>
    <w:rsid w:val="00AD4A06"/>
    <w:rsid w:val="00AD5119"/>
    <w:rsid w:val="00AD6A1A"/>
    <w:rsid w:val="00AE3BBE"/>
    <w:rsid w:val="00AE5186"/>
    <w:rsid w:val="00AE51A0"/>
    <w:rsid w:val="00AE58E1"/>
    <w:rsid w:val="00AF0459"/>
    <w:rsid w:val="00AF2BE9"/>
    <w:rsid w:val="00AF2EDB"/>
    <w:rsid w:val="00AF42DA"/>
    <w:rsid w:val="00AF661B"/>
    <w:rsid w:val="00AF666B"/>
    <w:rsid w:val="00AF7806"/>
    <w:rsid w:val="00B00CB2"/>
    <w:rsid w:val="00B01097"/>
    <w:rsid w:val="00B013D2"/>
    <w:rsid w:val="00B045DE"/>
    <w:rsid w:val="00B05F2B"/>
    <w:rsid w:val="00B06B61"/>
    <w:rsid w:val="00B11BD0"/>
    <w:rsid w:val="00B13E02"/>
    <w:rsid w:val="00B208BE"/>
    <w:rsid w:val="00B230AC"/>
    <w:rsid w:val="00B23BD5"/>
    <w:rsid w:val="00B257F8"/>
    <w:rsid w:val="00B26126"/>
    <w:rsid w:val="00B3218B"/>
    <w:rsid w:val="00B35517"/>
    <w:rsid w:val="00B362A4"/>
    <w:rsid w:val="00B378E1"/>
    <w:rsid w:val="00B4667C"/>
    <w:rsid w:val="00B508BC"/>
    <w:rsid w:val="00B51F1F"/>
    <w:rsid w:val="00B52A6F"/>
    <w:rsid w:val="00B53466"/>
    <w:rsid w:val="00B57460"/>
    <w:rsid w:val="00B57A86"/>
    <w:rsid w:val="00B57EA4"/>
    <w:rsid w:val="00B60CAE"/>
    <w:rsid w:val="00B64BBB"/>
    <w:rsid w:val="00B6572D"/>
    <w:rsid w:val="00B6627B"/>
    <w:rsid w:val="00B67EAC"/>
    <w:rsid w:val="00B713F9"/>
    <w:rsid w:val="00B725B9"/>
    <w:rsid w:val="00B72E29"/>
    <w:rsid w:val="00B7394E"/>
    <w:rsid w:val="00B76A24"/>
    <w:rsid w:val="00B8145F"/>
    <w:rsid w:val="00B8243F"/>
    <w:rsid w:val="00B841A9"/>
    <w:rsid w:val="00B84C0E"/>
    <w:rsid w:val="00B86DF9"/>
    <w:rsid w:val="00B94476"/>
    <w:rsid w:val="00B961F4"/>
    <w:rsid w:val="00B97216"/>
    <w:rsid w:val="00BA46F3"/>
    <w:rsid w:val="00BA6526"/>
    <w:rsid w:val="00BB1BFC"/>
    <w:rsid w:val="00BB21E7"/>
    <w:rsid w:val="00BB329F"/>
    <w:rsid w:val="00BC6CE3"/>
    <w:rsid w:val="00BD0931"/>
    <w:rsid w:val="00BD5195"/>
    <w:rsid w:val="00BD5B5F"/>
    <w:rsid w:val="00BE059D"/>
    <w:rsid w:val="00BE3049"/>
    <w:rsid w:val="00BE31E8"/>
    <w:rsid w:val="00BE41B3"/>
    <w:rsid w:val="00BE52BC"/>
    <w:rsid w:val="00BE5CE3"/>
    <w:rsid w:val="00BF2EB5"/>
    <w:rsid w:val="00BF303E"/>
    <w:rsid w:val="00BF439A"/>
    <w:rsid w:val="00BF5CAD"/>
    <w:rsid w:val="00BF7B8F"/>
    <w:rsid w:val="00C002BD"/>
    <w:rsid w:val="00C0132B"/>
    <w:rsid w:val="00C01DB3"/>
    <w:rsid w:val="00C02B65"/>
    <w:rsid w:val="00C0377D"/>
    <w:rsid w:val="00C04E7F"/>
    <w:rsid w:val="00C0539C"/>
    <w:rsid w:val="00C05960"/>
    <w:rsid w:val="00C13C8B"/>
    <w:rsid w:val="00C169CD"/>
    <w:rsid w:val="00C17620"/>
    <w:rsid w:val="00C273CC"/>
    <w:rsid w:val="00C315E9"/>
    <w:rsid w:val="00C3180D"/>
    <w:rsid w:val="00C325B9"/>
    <w:rsid w:val="00C33B54"/>
    <w:rsid w:val="00C348D2"/>
    <w:rsid w:val="00C3564E"/>
    <w:rsid w:val="00C3703F"/>
    <w:rsid w:val="00C427B6"/>
    <w:rsid w:val="00C43018"/>
    <w:rsid w:val="00C4420B"/>
    <w:rsid w:val="00C4544F"/>
    <w:rsid w:val="00C45E81"/>
    <w:rsid w:val="00C46747"/>
    <w:rsid w:val="00C46A1B"/>
    <w:rsid w:val="00C47A65"/>
    <w:rsid w:val="00C54D07"/>
    <w:rsid w:val="00C55372"/>
    <w:rsid w:val="00C553BF"/>
    <w:rsid w:val="00C569CB"/>
    <w:rsid w:val="00C61360"/>
    <w:rsid w:val="00C61A87"/>
    <w:rsid w:val="00C62978"/>
    <w:rsid w:val="00C63530"/>
    <w:rsid w:val="00C63609"/>
    <w:rsid w:val="00C70AB7"/>
    <w:rsid w:val="00C70DA5"/>
    <w:rsid w:val="00C71655"/>
    <w:rsid w:val="00C716C4"/>
    <w:rsid w:val="00C71CCE"/>
    <w:rsid w:val="00C734EA"/>
    <w:rsid w:val="00C73F8C"/>
    <w:rsid w:val="00C74060"/>
    <w:rsid w:val="00C7408A"/>
    <w:rsid w:val="00C7780F"/>
    <w:rsid w:val="00C800F1"/>
    <w:rsid w:val="00C816EA"/>
    <w:rsid w:val="00C82227"/>
    <w:rsid w:val="00C833E4"/>
    <w:rsid w:val="00C83E86"/>
    <w:rsid w:val="00C86C23"/>
    <w:rsid w:val="00C8745B"/>
    <w:rsid w:val="00C879BA"/>
    <w:rsid w:val="00C87F34"/>
    <w:rsid w:val="00C9344D"/>
    <w:rsid w:val="00CA184C"/>
    <w:rsid w:val="00CA200C"/>
    <w:rsid w:val="00CA3D1C"/>
    <w:rsid w:val="00CA4149"/>
    <w:rsid w:val="00CA4831"/>
    <w:rsid w:val="00CA4E43"/>
    <w:rsid w:val="00CA6AB3"/>
    <w:rsid w:val="00CA6AE2"/>
    <w:rsid w:val="00CB25B8"/>
    <w:rsid w:val="00CB483E"/>
    <w:rsid w:val="00CB4C34"/>
    <w:rsid w:val="00CB7CC8"/>
    <w:rsid w:val="00CB7FDF"/>
    <w:rsid w:val="00CC016C"/>
    <w:rsid w:val="00CC1524"/>
    <w:rsid w:val="00CC38BC"/>
    <w:rsid w:val="00CC38D5"/>
    <w:rsid w:val="00CC3FD6"/>
    <w:rsid w:val="00CC4646"/>
    <w:rsid w:val="00CC4BBF"/>
    <w:rsid w:val="00CC5029"/>
    <w:rsid w:val="00CC65D6"/>
    <w:rsid w:val="00CC6F62"/>
    <w:rsid w:val="00CD0F84"/>
    <w:rsid w:val="00CD1D45"/>
    <w:rsid w:val="00CD3951"/>
    <w:rsid w:val="00CD3F60"/>
    <w:rsid w:val="00CD585F"/>
    <w:rsid w:val="00CD6407"/>
    <w:rsid w:val="00CD680A"/>
    <w:rsid w:val="00CE0FC7"/>
    <w:rsid w:val="00CE2DE5"/>
    <w:rsid w:val="00CE433D"/>
    <w:rsid w:val="00CE50FA"/>
    <w:rsid w:val="00CE64A8"/>
    <w:rsid w:val="00CF1707"/>
    <w:rsid w:val="00CF2220"/>
    <w:rsid w:val="00CF242D"/>
    <w:rsid w:val="00CF2DF7"/>
    <w:rsid w:val="00CF48EF"/>
    <w:rsid w:val="00CF6984"/>
    <w:rsid w:val="00D02716"/>
    <w:rsid w:val="00D0390E"/>
    <w:rsid w:val="00D071FF"/>
    <w:rsid w:val="00D076A0"/>
    <w:rsid w:val="00D12C1D"/>
    <w:rsid w:val="00D153A1"/>
    <w:rsid w:val="00D15D01"/>
    <w:rsid w:val="00D201F4"/>
    <w:rsid w:val="00D20D5E"/>
    <w:rsid w:val="00D21C3E"/>
    <w:rsid w:val="00D24C41"/>
    <w:rsid w:val="00D250D0"/>
    <w:rsid w:val="00D27077"/>
    <w:rsid w:val="00D32E0A"/>
    <w:rsid w:val="00D3314C"/>
    <w:rsid w:val="00D3588A"/>
    <w:rsid w:val="00D3594F"/>
    <w:rsid w:val="00D36466"/>
    <w:rsid w:val="00D40DD3"/>
    <w:rsid w:val="00D40F56"/>
    <w:rsid w:val="00D425A8"/>
    <w:rsid w:val="00D42938"/>
    <w:rsid w:val="00D436A2"/>
    <w:rsid w:val="00D44ADE"/>
    <w:rsid w:val="00D4649C"/>
    <w:rsid w:val="00D46710"/>
    <w:rsid w:val="00D476FA"/>
    <w:rsid w:val="00D51F1D"/>
    <w:rsid w:val="00D54704"/>
    <w:rsid w:val="00D56867"/>
    <w:rsid w:val="00D579D9"/>
    <w:rsid w:val="00D60C57"/>
    <w:rsid w:val="00D627C7"/>
    <w:rsid w:val="00D62D7A"/>
    <w:rsid w:val="00D62E9F"/>
    <w:rsid w:val="00D646EF"/>
    <w:rsid w:val="00D65943"/>
    <w:rsid w:val="00D678EB"/>
    <w:rsid w:val="00D67A9A"/>
    <w:rsid w:val="00D67B99"/>
    <w:rsid w:val="00D67D25"/>
    <w:rsid w:val="00D705DD"/>
    <w:rsid w:val="00D71E6B"/>
    <w:rsid w:val="00D72B9B"/>
    <w:rsid w:val="00D72D13"/>
    <w:rsid w:val="00D72F9D"/>
    <w:rsid w:val="00D73195"/>
    <w:rsid w:val="00D73D18"/>
    <w:rsid w:val="00D74935"/>
    <w:rsid w:val="00D74B31"/>
    <w:rsid w:val="00D81268"/>
    <w:rsid w:val="00D84CBE"/>
    <w:rsid w:val="00D85C71"/>
    <w:rsid w:val="00D86EBE"/>
    <w:rsid w:val="00D87C54"/>
    <w:rsid w:val="00D87E89"/>
    <w:rsid w:val="00D90250"/>
    <w:rsid w:val="00D9048A"/>
    <w:rsid w:val="00D91460"/>
    <w:rsid w:val="00D92DD8"/>
    <w:rsid w:val="00D9445F"/>
    <w:rsid w:val="00D9458E"/>
    <w:rsid w:val="00D963EA"/>
    <w:rsid w:val="00DA3702"/>
    <w:rsid w:val="00DA3803"/>
    <w:rsid w:val="00DA3916"/>
    <w:rsid w:val="00DA4881"/>
    <w:rsid w:val="00DA53A0"/>
    <w:rsid w:val="00DA5FBF"/>
    <w:rsid w:val="00DA6765"/>
    <w:rsid w:val="00DA79A0"/>
    <w:rsid w:val="00DB14B2"/>
    <w:rsid w:val="00DB2F5F"/>
    <w:rsid w:val="00DB36A1"/>
    <w:rsid w:val="00DB371C"/>
    <w:rsid w:val="00DB6A8E"/>
    <w:rsid w:val="00DC09FD"/>
    <w:rsid w:val="00DC1499"/>
    <w:rsid w:val="00DC18B9"/>
    <w:rsid w:val="00DC18DB"/>
    <w:rsid w:val="00DC29D9"/>
    <w:rsid w:val="00DD0A4B"/>
    <w:rsid w:val="00DD2068"/>
    <w:rsid w:val="00DD27F1"/>
    <w:rsid w:val="00DD3443"/>
    <w:rsid w:val="00DD4408"/>
    <w:rsid w:val="00DD4528"/>
    <w:rsid w:val="00DD53A7"/>
    <w:rsid w:val="00DD53E9"/>
    <w:rsid w:val="00DD56A4"/>
    <w:rsid w:val="00DD6105"/>
    <w:rsid w:val="00DD7EA6"/>
    <w:rsid w:val="00DE3476"/>
    <w:rsid w:val="00DE4B9A"/>
    <w:rsid w:val="00DE58BF"/>
    <w:rsid w:val="00DE5FCF"/>
    <w:rsid w:val="00DE633F"/>
    <w:rsid w:val="00DE702B"/>
    <w:rsid w:val="00DF1293"/>
    <w:rsid w:val="00DF2A40"/>
    <w:rsid w:val="00DF304F"/>
    <w:rsid w:val="00DF38F8"/>
    <w:rsid w:val="00DF45B1"/>
    <w:rsid w:val="00DF5641"/>
    <w:rsid w:val="00DF7BE4"/>
    <w:rsid w:val="00E009F7"/>
    <w:rsid w:val="00E01803"/>
    <w:rsid w:val="00E02857"/>
    <w:rsid w:val="00E07A0D"/>
    <w:rsid w:val="00E102A0"/>
    <w:rsid w:val="00E10FD6"/>
    <w:rsid w:val="00E12766"/>
    <w:rsid w:val="00E14466"/>
    <w:rsid w:val="00E14B36"/>
    <w:rsid w:val="00E15CB2"/>
    <w:rsid w:val="00E16212"/>
    <w:rsid w:val="00E174CD"/>
    <w:rsid w:val="00E22407"/>
    <w:rsid w:val="00E228CB"/>
    <w:rsid w:val="00E229E8"/>
    <w:rsid w:val="00E240DA"/>
    <w:rsid w:val="00E2460D"/>
    <w:rsid w:val="00E24BAE"/>
    <w:rsid w:val="00E30609"/>
    <w:rsid w:val="00E312EF"/>
    <w:rsid w:val="00E33B1F"/>
    <w:rsid w:val="00E355E6"/>
    <w:rsid w:val="00E365A5"/>
    <w:rsid w:val="00E36F74"/>
    <w:rsid w:val="00E41248"/>
    <w:rsid w:val="00E420B8"/>
    <w:rsid w:val="00E44F94"/>
    <w:rsid w:val="00E4532C"/>
    <w:rsid w:val="00E51132"/>
    <w:rsid w:val="00E5151B"/>
    <w:rsid w:val="00E5173A"/>
    <w:rsid w:val="00E5327D"/>
    <w:rsid w:val="00E55236"/>
    <w:rsid w:val="00E5556B"/>
    <w:rsid w:val="00E616B7"/>
    <w:rsid w:val="00E62684"/>
    <w:rsid w:val="00E63661"/>
    <w:rsid w:val="00E63ED8"/>
    <w:rsid w:val="00E640F0"/>
    <w:rsid w:val="00E669D9"/>
    <w:rsid w:val="00E70940"/>
    <w:rsid w:val="00E70FC5"/>
    <w:rsid w:val="00E7129C"/>
    <w:rsid w:val="00E717B9"/>
    <w:rsid w:val="00E7181D"/>
    <w:rsid w:val="00E74B49"/>
    <w:rsid w:val="00E76519"/>
    <w:rsid w:val="00E80778"/>
    <w:rsid w:val="00E80F55"/>
    <w:rsid w:val="00E84156"/>
    <w:rsid w:val="00E85501"/>
    <w:rsid w:val="00E86CD1"/>
    <w:rsid w:val="00E94FCE"/>
    <w:rsid w:val="00E953B4"/>
    <w:rsid w:val="00E9733B"/>
    <w:rsid w:val="00EA478E"/>
    <w:rsid w:val="00EA5748"/>
    <w:rsid w:val="00EA71F7"/>
    <w:rsid w:val="00EB12C5"/>
    <w:rsid w:val="00EB13D2"/>
    <w:rsid w:val="00EB1C04"/>
    <w:rsid w:val="00EB38E8"/>
    <w:rsid w:val="00EB41A1"/>
    <w:rsid w:val="00EB5346"/>
    <w:rsid w:val="00EB7500"/>
    <w:rsid w:val="00EC02DA"/>
    <w:rsid w:val="00EC0806"/>
    <w:rsid w:val="00EC0E9A"/>
    <w:rsid w:val="00EC35C2"/>
    <w:rsid w:val="00EC3DA3"/>
    <w:rsid w:val="00EC5CCC"/>
    <w:rsid w:val="00ED00EB"/>
    <w:rsid w:val="00ED0C88"/>
    <w:rsid w:val="00ED161A"/>
    <w:rsid w:val="00ED60A1"/>
    <w:rsid w:val="00ED6B62"/>
    <w:rsid w:val="00ED759A"/>
    <w:rsid w:val="00ED7A4A"/>
    <w:rsid w:val="00EE0269"/>
    <w:rsid w:val="00EE211E"/>
    <w:rsid w:val="00EE292D"/>
    <w:rsid w:val="00EE2CAD"/>
    <w:rsid w:val="00EE2DDB"/>
    <w:rsid w:val="00EE361C"/>
    <w:rsid w:val="00EE769B"/>
    <w:rsid w:val="00EF005C"/>
    <w:rsid w:val="00EF0BA8"/>
    <w:rsid w:val="00EF2D18"/>
    <w:rsid w:val="00EF666F"/>
    <w:rsid w:val="00F0312E"/>
    <w:rsid w:val="00F1298F"/>
    <w:rsid w:val="00F13903"/>
    <w:rsid w:val="00F152EA"/>
    <w:rsid w:val="00F16B98"/>
    <w:rsid w:val="00F21671"/>
    <w:rsid w:val="00F276A7"/>
    <w:rsid w:val="00F32B8F"/>
    <w:rsid w:val="00F3334E"/>
    <w:rsid w:val="00F35928"/>
    <w:rsid w:val="00F37574"/>
    <w:rsid w:val="00F42802"/>
    <w:rsid w:val="00F45010"/>
    <w:rsid w:val="00F46BD2"/>
    <w:rsid w:val="00F47904"/>
    <w:rsid w:val="00F52598"/>
    <w:rsid w:val="00F53671"/>
    <w:rsid w:val="00F554A3"/>
    <w:rsid w:val="00F559B1"/>
    <w:rsid w:val="00F562CC"/>
    <w:rsid w:val="00F56458"/>
    <w:rsid w:val="00F5696E"/>
    <w:rsid w:val="00F5736C"/>
    <w:rsid w:val="00F57BAE"/>
    <w:rsid w:val="00F61C4E"/>
    <w:rsid w:val="00F61F55"/>
    <w:rsid w:val="00F6295C"/>
    <w:rsid w:val="00F655F5"/>
    <w:rsid w:val="00F677AE"/>
    <w:rsid w:val="00F71129"/>
    <w:rsid w:val="00F76506"/>
    <w:rsid w:val="00F77AB2"/>
    <w:rsid w:val="00F80437"/>
    <w:rsid w:val="00F808D9"/>
    <w:rsid w:val="00F80BE3"/>
    <w:rsid w:val="00F8118C"/>
    <w:rsid w:val="00F8348C"/>
    <w:rsid w:val="00F86EA6"/>
    <w:rsid w:val="00F87422"/>
    <w:rsid w:val="00F90D8B"/>
    <w:rsid w:val="00F919AC"/>
    <w:rsid w:val="00F92807"/>
    <w:rsid w:val="00F92CCB"/>
    <w:rsid w:val="00F92D34"/>
    <w:rsid w:val="00F93644"/>
    <w:rsid w:val="00F93F13"/>
    <w:rsid w:val="00F94719"/>
    <w:rsid w:val="00F961CD"/>
    <w:rsid w:val="00F974D6"/>
    <w:rsid w:val="00F97F5F"/>
    <w:rsid w:val="00FA20E0"/>
    <w:rsid w:val="00FA371A"/>
    <w:rsid w:val="00FA588E"/>
    <w:rsid w:val="00FA6603"/>
    <w:rsid w:val="00FA67CF"/>
    <w:rsid w:val="00FA6943"/>
    <w:rsid w:val="00FA759F"/>
    <w:rsid w:val="00FB360B"/>
    <w:rsid w:val="00FB389B"/>
    <w:rsid w:val="00FB433A"/>
    <w:rsid w:val="00FB44D3"/>
    <w:rsid w:val="00FB5917"/>
    <w:rsid w:val="00FC105B"/>
    <w:rsid w:val="00FC761C"/>
    <w:rsid w:val="00FD0BDF"/>
    <w:rsid w:val="00FD13AE"/>
    <w:rsid w:val="00FD3125"/>
    <w:rsid w:val="00FD40A6"/>
    <w:rsid w:val="00FD654D"/>
    <w:rsid w:val="00FD7847"/>
    <w:rsid w:val="00FE09BA"/>
    <w:rsid w:val="00FE1EBD"/>
    <w:rsid w:val="00FE2DA6"/>
    <w:rsid w:val="00FE4DB0"/>
    <w:rsid w:val="00FE6303"/>
    <w:rsid w:val="00FE71D4"/>
    <w:rsid w:val="00FF171F"/>
    <w:rsid w:val="00FF1AC9"/>
    <w:rsid w:val="00FF3265"/>
    <w:rsid w:val="00FF4029"/>
    <w:rsid w:val="00FF5B67"/>
    <w:rsid w:val="050F59D2"/>
    <w:rsid w:val="0C672BC6"/>
    <w:rsid w:val="193105E3"/>
    <w:rsid w:val="642A6C2E"/>
    <w:rsid w:val="6A9242F2"/>
    <w:rsid w:val="7E23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0C663"/>
  <w15:docId w15:val="{D7554510-709C-4BE4-93C9-2F7F75E8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a">
    <w:name w:val="Plain Text"/>
    <w:basedOn w:val="a"/>
    <w:link w:val="ab"/>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semiHidden/>
    <w:unhideWhenUsed/>
    <w:qFormat/>
    <w:rPr>
      <w:rFonts w:ascii="Times New Roman" w:eastAsia="宋体" w:hAnsi="Times New Roman" w:cs="Times New Roman"/>
      <w:sz w:val="18"/>
      <w:szCs w:val="20"/>
    </w:rPr>
  </w:style>
  <w:style w:type="paragraph" w:styleId="ae">
    <w:name w:val="footer"/>
    <w:basedOn w:val="a"/>
    <w:link w:val="af"/>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2">
    <w:name w:val="footnote text"/>
    <w:basedOn w:val="a"/>
    <w:link w:val="af3"/>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4">
    <w:name w:val="Title"/>
    <w:basedOn w:val="a"/>
    <w:next w:val="a"/>
    <w:link w:val="af5"/>
    <w:qFormat/>
    <w:pPr>
      <w:spacing w:before="240" w:after="60"/>
      <w:jc w:val="center"/>
      <w:outlineLvl w:val="0"/>
    </w:pPr>
    <w:rPr>
      <w:rFonts w:ascii="Cambria" w:eastAsia="宋体" w:hAnsi="Cambria" w:cs="Times New Roman"/>
      <w:b/>
      <w:sz w:val="32"/>
    </w:rPr>
  </w:style>
  <w:style w:type="paragraph" w:styleId="af6">
    <w:name w:val="annotation subject"/>
    <w:basedOn w:val="a6"/>
    <w:next w:val="a6"/>
    <w:link w:val="af7"/>
    <w:semiHidden/>
    <w:unhideWhenUsed/>
    <w:qFormat/>
    <w:rPr>
      <w:b/>
    </w:rPr>
  </w:style>
  <w:style w:type="table" w:styleId="af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basedOn w:val="a0"/>
    <w:uiPriority w:val="99"/>
    <w:semiHidden/>
    <w:unhideWhenUsed/>
    <w:qFormat/>
    <w:rPr>
      <w:color w:val="800080" w:themeColor="followedHyperlink"/>
      <w:u w:val="single"/>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rPr>
  </w:style>
  <w:style w:type="character" w:styleId="afc">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3">
    <w:name w:val="脚注文本 字符"/>
    <w:basedOn w:val="a0"/>
    <w:link w:val="af2"/>
    <w:semiHidden/>
    <w:qFormat/>
    <w:rPr>
      <w:rFonts w:ascii="Times New Roman" w:eastAsia="宋体" w:hAnsi="Times New Roman" w:cs="Times New Roman"/>
      <w:sz w:val="18"/>
      <w:szCs w:val="20"/>
    </w:rPr>
  </w:style>
  <w:style w:type="character" w:customStyle="1" w:styleId="Char">
    <w:name w:val="批注文字 Char"/>
    <w:basedOn w:val="a0"/>
    <w:uiPriority w:val="99"/>
    <w:qFormat/>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af5">
    <w:name w:val="标题 字符"/>
    <w:basedOn w:val="a0"/>
    <w:link w:val="af4"/>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纯文本 字符"/>
    <w:basedOn w:val="a0"/>
    <w:link w:val="aa"/>
    <w:semiHidden/>
    <w:qFormat/>
    <w:rPr>
      <w:rFonts w:ascii="宋体" w:eastAsia="宋体" w:hAnsi="Courier New" w:cs="Times New Roman"/>
      <w:kern w:val="0"/>
      <w:szCs w:val="20"/>
    </w:rPr>
  </w:style>
  <w:style w:type="character" w:customStyle="1" w:styleId="af7">
    <w:name w:val="批注主题 字符"/>
    <w:basedOn w:val="Char"/>
    <w:link w:val="af6"/>
    <w:semiHidden/>
    <w:qFormat/>
    <w:rPr>
      <w:rFonts w:ascii="Times New Roman" w:eastAsia="宋体" w:hAnsi="Times New Roman" w:cs="Times New Roman"/>
      <w:b/>
      <w:szCs w:val="20"/>
    </w:rPr>
  </w:style>
  <w:style w:type="character" w:customStyle="1" w:styleId="ad">
    <w:name w:val="批注框文本 字符"/>
    <w:basedOn w:val="a0"/>
    <w:link w:val="ac"/>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e">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dazhangjie">
    <w:name w:val="dazhangjie"/>
    <w:basedOn w:val="a"/>
    <w:qFormat/>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 w:type="paragraph" w:customStyle="1" w:styleId="qisshowcfid-ptguyouzijintouzibenjijinjiaoyimingxi">
    <w:name w:val="$q_isshow_cfid-pt_guyouzijintouzibenjijinjiaoyimingxi"/>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table" w:customStyle="1" w:styleId="13">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修订3"/>
    <w:hidden/>
    <w:uiPriority w:val="99"/>
    <w:unhideWhenUsed/>
    <w:qFormat/>
    <w:rPr>
      <w:rFonts w:asciiTheme="minorHAnsi" w:eastAsiaTheme="minorEastAsia" w:hAnsiTheme="minorHAnsi" w:cstheme="minorBidi"/>
      <w:kern w:val="2"/>
      <w:sz w:val="21"/>
      <w:szCs w:val="22"/>
    </w:rPr>
  </w:style>
  <w:style w:type="paragraph" w:styleId="aff0">
    <w:name w:val="Revision"/>
    <w:hidden/>
    <w:uiPriority w:val="99"/>
    <w:unhideWhenUsed/>
    <w:rsid w:val="00F276A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ntTable" Target="fontTable.xml"/><Relationship Id="rId21" Type="http://schemas.openxmlformats.org/officeDocument/2006/relationships/footer" Target="footer8.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jpeg"/><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FDB0-6857-4596-8CA9-AB84D1869760}">
  <ds:schemaRefs>
    <ds:schemaRef ds:uri="http://schemas.openxmlformats.org/officeDocument/2006/bibliography"/>
  </ds:schemaRefs>
</ds:datastoreItem>
</file>

<file path=customXml/itemProps2.xml><?xml version="1.0" encoding="utf-8"?>
<ds:datastoreItem xmlns:ds="http://schemas.openxmlformats.org/officeDocument/2006/customXml" ds:itemID="{1E237120-3286-4DA3-8A29-FD9643C99384}">
  <ds:schemaRefs>
    <ds:schemaRef ds:uri="http://schemas.openxmlformats.org/officeDocument/2006/bibliography"/>
  </ds:schemaRefs>
</ds:datastoreItem>
</file>

<file path=customXml/itemProps3.xml><?xml version="1.0" encoding="utf-8"?>
<ds:datastoreItem xmlns:ds="http://schemas.openxmlformats.org/officeDocument/2006/customXml" ds:itemID="{8963A8B6-4070-4CEE-93EC-E8E49522EABC}">
  <ds:schemaRefs>
    <ds:schemaRef ds:uri="http://schemas.openxmlformats.org/officeDocument/2006/bibliography"/>
  </ds:schemaRefs>
</ds:datastoreItem>
</file>

<file path=customXml/itemProps4.xml><?xml version="1.0" encoding="utf-8"?>
<ds:datastoreItem xmlns:ds="http://schemas.openxmlformats.org/officeDocument/2006/customXml" ds:itemID="{08A26453-B680-48DA-8C5B-E46AC4D8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116</Pages>
  <Words>39322</Words>
  <Characters>40503</Characters>
  <Application>Microsoft Office Word</Application>
  <DocSecurity>0</DocSecurity>
  <Lines>2025</Lines>
  <Paragraphs>1900</Paragraphs>
  <ScaleCrop>false</ScaleCrop>
  <Company/>
  <LinksUpToDate>false</LinksUpToDate>
  <CharactersWithSpaces>77925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范柔淳</dc:creator>
  <cp:lastModifiedBy>徐铮</cp:lastModifiedBy>
  <cp:revision>166</cp:revision>
  <cp:lastPrinted>2019-03-01T06:01:00Z</cp:lastPrinted>
  <dcterms:created xsi:type="dcterms:W3CDTF">2023-03-08T04:38:00Z</dcterms:created>
  <dcterms:modified xsi:type="dcterms:W3CDTF">2025-09-19T06:00:00Z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eyJoZGlkIjoiOTJiNGIxMWYyMGQxMGUwNzEzNjg5OWFkODNmZmRmYWEiLCJ1c2VySWQiOiIzNTU5Mzk0MTIifQ==</vt:lpwstr>
  </property>
  <property fmtid="{D5CDD505-2E9C-101B-9397-08002B2CF9AE}" pid="4" name="ICV">
    <vt:lpwstr>BF8FE752C92B45919BA5B87A0007E17F_13</vt:lpwstr>
  </property>
</Properties>
</file>