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2DCEF">
      <w:pPr>
        <w:pStyle w:val="2"/>
        <w:tabs>
          <w:tab w:val="left" w:pos="4364"/>
          <w:tab w:val="right" w:pos="10204"/>
        </w:tabs>
        <w:jc w:val="center"/>
        <w:rPr>
          <w:rFonts w:ascii="思源黑体 CN Bold" w:hAnsi="思源黑体 CN Bold" w:eastAsia="思源黑体 CN Bold" w:cs="Times New Roman"/>
          <w:b/>
          <w:color w:val="FA842D"/>
          <w:kern w:val="0"/>
          <w:sz w:val="24"/>
          <w:szCs w:val="18"/>
        </w:rPr>
      </w:pPr>
      <w:bookmarkStart w:id="0" w:name="_Hlk182226954"/>
      <w:r>
        <w:rPr>
          <w:rFonts w:hint="eastAsia" w:ascii="思源黑体 CN Bold" w:hAnsi="思源黑体 CN Bold" w:eastAsia="思源黑体 CN Bold" w:cs="Times New Roman"/>
          <w:b/>
          <w:color w:val="FA842D"/>
          <w:kern w:val="0"/>
          <w:sz w:val="24"/>
          <w:szCs w:val="18"/>
        </w:rPr>
        <w:t>富荣权益：市场短期偏震荡 以结构性机会为主</w:t>
      </w:r>
    </w:p>
    <w:p w14:paraId="0BF40090">
      <w:pPr>
        <w:pStyle w:val="2"/>
        <w:tabs>
          <w:tab w:val="left" w:pos="4364"/>
          <w:tab w:val="right" w:pos="10204"/>
        </w:tabs>
        <w:rPr>
          <w:rFonts w:ascii="思源黑体 CN Light" w:hAnsi="思源黑体 CN Light" w:eastAsia="思源黑体 CN Light" w:cs="Times New Roman"/>
          <w:b/>
          <w:bCs/>
          <w:sz w:val="22"/>
          <w:szCs w:val="24"/>
        </w:rPr>
      </w:pPr>
      <w:r>
        <w:rPr>
          <w:rFonts w:hint="eastAsia" w:ascii="思源黑体 CN Light" w:hAnsi="思源黑体 CN Light" w:eastAsia="思源黑体 CN Light" w:cs="Times New Roman"/>
          <w:b/>
          <w:bCs/>
          <w:sz w:val="22"/>
          <w:szCs w:val="24"/>
        </w:rPr>
        <w:t>一</w:t>
      </w:r>
      <w:r>
        <w:rPr>
          <w:rFonts w:ascii="思源黑体 CN Light" w:hAnsi="思源黑体 CN Light" w:eastAsia="思源黑体 CN Light" w:cs="Times New Roman"/>
          <w:b/>
          <w:bCs/>
          <w:sz w:val="22"/>
          <w:szCs w:val="24"/>
        </w:rPr>
        <w:t>、</w:t>
      </w:r>
      <w:r>
        <w:rPr>
          <w:rFonts w:hint="eastAsia" w:ascii="思源黑体 CN Light" w:hAnsi="思源黑体 CN Light" w:eastAsia="思源黑体 CN Light" w:cs="Times New Roman"/>
          <w:b/>
          <w:bCs/>
          <w:sz w:val="22"/>
          <w:szCs w:val="24"/>
        </w:rPr>
        <w:t>权益</w:t>
      </w:r>
      <w:r>
        <w:rPr>
          <w:rFonts w:ascii="思源黑体 CN Light" w:hAnsi="思源黑体 CN Light" w:eastAsia="思源黑体 CN Light" w:cs="Times New Roman"/>
          <w:b/>
          <w:bCs/>
          <w:sz w:val="22"/>
          <w:szCs w:val="24"/>
        </w:rPr>
        <w:t>市场</w:t>
      </w:r>
      <w:r>
        <w:rPr>
          <w:rFonts w:hint="eastAsia" w:ascii="思源黑体 CN Light" w:hAnsi="思源黑体 CN Light" w:eastAsia="思源黑体 CN Light" w:cs="Times New Roman"/>
          <w:b/>
          <w:bCs/>
          <w:sz w:val="22"/>
          <w:szCs w:val="24"/>
        </w:rPr>
        <w:t>周度表现</w:t>
      </w:r>
    </w:p>
    <w:p w14:paraId="282FA346">
      <w:pPr>
        <w:ind w:firstLine="420" w:firstLineChars="200"/>
        <w:jc w:val="left"/>
        <w:rPr>
          <w:rFonts w:ascii="思源黑体 CN Light" w:hAnsi="思源黑体 CN Light" w:eastAsia="思源黑体 CN Light" w:cs="Times New Roman"/>
          <w:color w:val="000000" w:themeColor="text1"/>
          <w:sz w:val="21"/>
          <w:szCs w:val="20"/>
          <w14:textFill>
            <w14:solidFill>
              <w14:schemeClr w14:val="tx1"/>
            </w14:solidFill>
          </w14:textFill>
        </w:rPr>
      </w:pPr>
      <w:r>
        <w:rPr>
          <w:rFonts w:hint="eastAsia" w:ascii="思源黑体 CN Light" w:hAnsi="思源黑体 CN Light" w:eastAsia="思源黑体 CN Light" w:cs="Times New Roman"/>
          <w:color w:val="000000" w:themeColor="text1"/>
          <w:sz w:val="21"/>
          <w:szCs w:val="20"/>
          <w14:textFill>
            <w14:solidFill>
              <w14:schemeClr w14:val="tx1"/>
            </w14:solidFill>
          </w14:textFill>
        </w:rPr>
        <w:t>上周（2025年9月15日至2025年9月19日，下同）权益市场分化明显，</w:t>
      </w:r>
      <w:r>
        <w:rPr>
          <w:rFonts w:ascii="思源黑体 CN Light" w:hAnsi="思源黑体 CN Light" w:eastAsia="思源黑体 CN Light" w:cs="Times New Roman"/>
          <w:color w:val="000000" w:themeColor="text1"/>
          <w:sz w:val="21"/>
          <w:szCs w:val="20"/>
          <w14:textFill>
            <w14:solidFill>
              <w14:schemeClr w14:val="tx1"/>
            </w14:solidFill>
          </w14:textFill>
        </w:rPr>
        <w:t>深证成指、上证指数、创业板指分别报收</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13070.86点、3820.09点、3091.00点。各指数表现如下：创业板50（+2.84%）、创业板指（+2.34%）、科创50（+1.84%）、深证成指（+1.14%）、创成长（+0.88%）、中证500（+0.32%）、中证1000（+0.21%）、沪深300（-0.44%）、上证指数（-1.30%）、上证50（-1.98%）。</w:t>
      </w:r>
    </w:p>
    <w:p w14:paraId="2A76AD54">
      <w:pPr>
        <w:ind w:firstLine="422" w:firstLineChars="200"/>
        <w:jc w:val="left"/>
        <w:rPr>
          <w:rFonts w:ascii="思源黑体 CN Light" w:hAnsi="思源黑体 CN Light" w:eastAsia="思源黑体 CN Light" w:cs="Times New Roman"/>
          <w:b/>
          <w:sz w:val="21"/>
          <w:szCs w:val="20"/>
        </w:rPr>
      </w:pPr>
      <w:r>
        <w:rPr>
          <w:rFonts w:ascii="思源黑体 CN Light" w:hAnsi="思源黑体 CN Light" w:eastAsia="思源黑体 CN Light" w:cs="Times New Roman"/>
          <w:b/>
          <w:sz w:val="21"/>
          <w:szCs w:val="20"/>
        </w:rPr>
        <w:t>图：主要股指</w:t>
      </w:r>
      <w:r>
        <w:rPr>
          <w:rFonts w:hint="eastAsia" w:ascii="思源黑体 CN Light" w:hAnsi="思源黑体 CN Light" w:eastAsia="思源黑体 CN Light" w:cs="Times New Roman"/>
          <w:b/>
          <w:sz w:val="21"/>
          <w:szCs w:val="20"/>
        </w:rPr>
        <w:t>周度/月度</w:t>
      </w:r>
      <w:r>
        <w:rPr>
          <w:rFonts w:ascii="思源黑体 CN Light" w:hAnsi="思源黑体 CN Light" w:eastAsia="思源黑体 CN Light" w:cs="Times New Roman"/>
          <w:b/>
          <w:sz w:val="21"/>
          <w:szCs w:val="20"/>
        </w:rPr>
        <w:t>涨跌幅（单位：%）</w:t>
      </w:r>
    </w:p>
    <w:p w14:paraId="28F853BF">
      <w:pPr>
        <w:ind w:firstLine="480" w:firstLineChars="200"/>
        <w:jc w:val="left"/>
        <w:rPr>
          <w:rFonts w:ascii="思源黑体 CN Light" w:hAnsi="思源黑体 CN Light" w:eastAsia="思源黑体 CN Light" w:cs="Times New Roman"/>
          <w:b/>
          <w:sz w:val="21"/>
          <w:szCs w:val="20"/>
        </w:rPr>
      </w:pPr>
      <w:r>
        <w:drawing>
          <wp:inline distT="0" distB="0" distL="114300" distR="114300">
            <wp:extent cx="6431280" cy="3291840"/>
            <wp:effectExtent l="0" t="0" r="7620" b="3810"/>
            <wp:docPr id="4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pic:cNvPicPr>
                      <a:picLocks noChangeAspect="1"/>
                    </pic:cNvPicPr>
                  </pic:nvPicPr>
                  <pic:blipFill>
                    <a:blip r:embed="rId8"/>
                    <a:stretch>
                      <a:fillRect/>
                    </a:stretch>
                  </pic:blipFill>
                  <pic:spPr>
                    <a:xfrm>
                      <a:off x="0" y="0"/>
                      <a:ext cx="6431280" cy="3291840"/>
                    </a:xfrm>
                    <a:prstGeom prst="rect">
                      <a:avLst/>
                    </a:prstGeom>
                  </pic:spPr>
                </pic:pic>
              </a:graphicData>
            </a:graphic>
          </wp:inline>
        </w:drawing>
      </w:r>
    </w:p>
    <w:p w14:paraId="78AC54A1">
      <w:pPr>
        <w:ind w:firstLine="260" w:firstLineChars="200"/>
        <w:jc w:val="left"/>
        <w:rPr>
          <w:rFonts w:ascii="思源黑体 CN Light" w:hAnsi="思源黑体 CN Light" w:eastAsia="思源黑体 CN Light" w:cs="Times New Roman"/>
          <w:sz w:val="13"/>
          <w:szCs w:val="20"/>
        </w:rPr>
      </w:pPr>
      <w:r>
        <w:rPr>
          <w:rFonts w:ascii="思源黑体 CN Light" w:hAnsi="思源黑体 CN Light" w:eastAsia="思源黑体 CN Light" w:cs="Times New Roman"/>
          <w:sz w:val="13"/>
          <w:szCs w:val="20"/>
        </w:rPr>
        <w:t>数据来源：wind，富荣基金管理有限公司</w:t>
      </w:r>
      <w:r>
        <w:rPr>
          <w:rFonts w:hint="eastAsia" w:ascii="思源黑体 CN Light" w:hAnsi="思源黑体 CN Light" w:eastAsia="思源黑体 CN Light" w:cs="Times New Roman"/>
          <w:sz w:val="13"/>
          <w:szCs w:val="20"/>
        </w:rPr>
        <w:t>；周涨跌幅统计区间：20250915-20250919；月涨跌幅统计区间：20250901-20250919</w:t>
      </w:r>
    </w:p>
    <w:p w14:paraId="2B940E27">
      <w:pPr>
        <w:ind w:firstLine="420" w:firstLineChars="200"/>
        <w:jc w:val="left"/>
        <w:rPr>
          <w:rFonts w:ascii="思源黑体 CN Light" w:hAnsi="思源黑体 CN Light" w:eastAsia="思源黑体 CN Light" w:cs="Times New Roman"/>
          <w:color w:val="000000" w:themeColor="text1"/>
          <w:sz w:val="21"/>
          <w:szCs w:val="20"/>
          <w14:textFill>
            <w14:solidFill>
              <w14:schemeClr w14:val="tx1"/>
            </w14:solidFill>
          </w14:textFill>
        </w:rPr>
      </w:pPr>
      <w:r>
        <w:rPr>
          <w:rFonts w:hint="eastAsia" w:ascii="思源黑体 CN Light" w:hAnsi="思源黑体 CN Light" w:eastAsia="思源黑体 CN Light" w:cs="Times New Roman"/>
          <w:color w:val="000000" w:themeColor="text1"/>
          <w:sz w:val="21"/>
          <w:szCs w:val="20"/>
          <w14:textFill>
            <w14:solidFill>
              <w14:schemeClr w14:val="tx1"/>
            </w14:solidFill>
          </w14:textFill>
        </w:rPr>
        <w:t>各行业分化，部分行业反弹，其中申万行业指数中，煤炭（+3.51%）、电力设备（+3.07%）、电子（+2.96%）等行业逆势上涨，非银金融（-3.66%）、有色金属（-4.02%）、银行（-4.21%）等行业领跌。</w:t>
      </w:r>
    </w:p>
    <w:p w14:paraId="474D2F4E">
      <w:pPr>
        <w:ind w:firstLine="422" w:firstLineChars="200"/>
        <w:jc w:val="left"/>
        <w:rPr>
          <w:rFonts w:ascii="思源黑体 CN Light" w:hAnsi="思源黑体 CN Light" w:eastAsia="思源黑体 CN Light" w:cs="Times New Roman"/>
          <w:b/>
          <w:sz w:val="21"/>
          <w:szCs w:val="20"/>
        </w:rPr>
      </w:pPr>
      <w:r>
        <w:rPr>
          <w:rFonts w:ascii="思源黑体 CN Light" w:hAnsi="思源黑体 CN Light" w:eastAsia="思源黑体 CN Light" w:cs="Times New Roman"/>
          <w:b/>
          <w:sz w:val="21"/>
          <w:szCs w:val="20"/>
        </w:rPr>
        <w:t>图：申万一级行业周涨跌幅（单位：%）</w:t>
      </w:r>
    </w:p>
    <w:p w14:paraId="2D8485A1">
      <w:pPr>
        <w:ind w:firstLine="480" w:firstLineChars="200"/>
        <w:jc w:val="left"/>
        <w:rPr>
          <w:rFonts w:ascii="思源黑体 CN Light" w:hAnsi="思源黑体 CN Light" w:eastAsia="思源黑体 CN Light" w:cs="Times New Roman"/>
          <w:b/>
          <w:sz w:val="21"/>
          <w:szCs w:val="20"/>
        </w:rPr>
      </w:pPr>
      <w:r>
        <w:drawing>
          <wp:inline distT="0" distB="0" distL="114300" distR="114300">
            <wp:extent cx="5765165" cy="3796665"/>
            <wp:effectExtent l="0" t="0" r="6985" b="13335"/>
            <wp:docPr id="5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pic:cNvPicPr>
                      <a:picLocks noChangeAspect="1"/>
                    </pic:cNvPicPr>
                  </pic:nvPicPr>
                  <pic:blipFill>
                    <a:blip r:embed="rId9"/>
                    <a:stretch>
                      <a:fillRect/>
                    </a:stretch>
                  </pic:blipFill>
                  <pic:spPr>
                    <a:xfrm>
                      <a:off x="0" y="0"/>
                      <a:ext cx="5765165" cy="3796665"/>
                    </a:xfrm>
                    <a:prstGeom prst="rect">
                      <a:avLst/>
                    </a:prstGeom>
                  </pic:spPr>
                </pic:pic>
              </a:graphicData>
            </a:graphic>
          </wp:inline>
        </w:drawing>
      </w:r>
    </w:p>
    <w:p w14:paraId="1C992718">
      <w:pPr>
        <w:ind w:firstLine="260" w:firstLineChars="200"/>
        <w:jc w:val="left"/>
        <w:rPr>
          <w:rFonts w:ascii="思源黑体 CN Light" w:hAnsi="思源黑体 CN Light" w:eastAsia="思源黑体 CN Light" w:cs="Times New Roman"/>
          <w:sz w:val="13"/>
          <w:szCs w:val="20"/>
        </w:rPr>
      </w:pPr>
      <w:r>
        <w:rPr>
          <w:rFonts w:ascii="思源黑体 CN Light" w:hAnsi="思源黑体 CN Light" w:eastAsia="思源黑体 CN Light" w:cs="Times New Roman"/>
          <w:sz w:val="13"/>
          <w:szCs w:val="20"/>
        </w:rPr>
        <w:t>数据来源：wind，富荣基金管理有限公司</w:t>
      </w:r>
      <w:r>
        <w:rPr>
          <w:rFonts w:hint="eastAsia" w:ascii="思源黑体 CN Light" w:hAnsi="思源黑体 CN Light" w:eastAsia="思源黑体 CN Light" w:cs="Times New Roman"/>
          <w:sz w:val="13"/>
          <w:szCs w:val="20"/>
        </w:rPr>
        <w:t>；统计区间：20250915-20250919</w:t>
      </w:r>
    </w:p>
    <w:p w14:paraId="4EDEF8AC">
      <w:pPr>
        <w:pStyle w:val="2"/>
        <w:tabs>
          <w:tab w:val="left" w:pos="4364"/>
          <w:tab w:val="right" w:pos="10204"/>
        </w:tabs>
        <w:rPr>
          <w:rFonts w:ascii="思源黑体 CN Light" w:hAnsi="思源黑体 CN Light" w:eastAsia="思源黑体 CN Light" w:cs="Times New Roman"/>
          <w:b/>
          <w:bCs/>
          <w:sz w:val="22"/>
          <w:szCs w:val="24"/>
        </w:rPr>
      </w:pPr>
    </w:p>
    <w:p w14:paraId="4A502EAC">
      <w:pPr>
        <w:pStyle w:val="2"/>
        <w:tabs>
          <w:tab w:val="left" w:pos="4364"/>
          <w:tab w:val="right" w:pos="10204"/>
        </w:tabs>
        <w:rPr>
          <w:rFonts w:ascii="思源黑体 CN Light" w:hAnsi="思源黑体 CN Light" w:eastAsia="思源黑体 CN Light" w:cs="Times New Roman"/>
          <w:b/>
          <w:bCs/>
          <w:sz w:val="22"/>
          <w:szCs w:val="24"/>
        </w:rPr>
      </w:pPr>
      <w:r>
        <w:rPr>
          <w:rFonts w:hint="eastAsia" w:ascii="思源黑体 CN Light" w:hAnsi="思源黑体 CN Light" w:eastAsia="思源黑体 CN Light" w:cs="Times New Roman"/>
          <w:b/>
          <w:bCs/>
          <w:sz w:val="22"/>
          <w:szCs w:val="24"/>
        </w:rPr>
        <w:t>二、煤炭行业点评与展望</w:t>
      </w:r>
    </w:p>
    <w:p w14:paraId="1DE4A367">
      <w:pPr>
        <w:tabs>
          <w:tab w:val="left" w:pos="5594"/>
        </w:tabs>
        <w:ind w:firstLine="420" w:firstLineChars="200"/>
        <w:rPr>
          <w:rFonts w:ascii="思源黑体 CN Light" w:hAnsi="思源黑体 CN Light" w:eastAsia="思源黑体 CN Light" w:cs="Times New Roman"/>
          <w:color w:val="000000" w:themeColor="text1"/>
          <w:sz w:val="21"/>
          <w:szCs w:val="20"/>
          <w14:textFill>
            <w14:solidFill>
              <w14:schemeClr w14:val="tx1"/>
            </w14:solidFill>
          </w14:textFill>
        </w:rPr>
      </w:pPr>
      <w:bookmarkStart w:id="1" w:name="_Hlk140420797"/>
      <w:r>
        <w:rPr>
          <w:rFonts w:hint="eastAsia" w:ascii="思源黑体 CN Light" w:hAnsi="思源黑体 CN Light" w:eastAsia="思源黑体 CN Light" w:cs="Times New Roman"/>
          <w:color w:val="000000" w:themeColor="text1"/>
          <w:sz w:val="21"/>
          <w:szCs w:val="20"/>
          <w14:textFill>
            <w14:solidFill>
              <w14:schemeClr w14:val="tx1"/>
            </w14:solidFill>
          </w14:textFill>
        </w:rPr>
        <w:t>上周申万煤炭行业指数涨幅为3.51%，相对沪深300指数超额收益为3.96%，其周涨幅在所有的申万一级行业指数中高居第一。</w:t>
      </w:r>
    </w:p>
    <w:p w14:paraId="1B3CD3B3">
      <w:pPr>
        <w:tabs>
          <w:tab w:val="left" w:pos="5594"/>
        </w:tabs>
        <w:ind w:firstLine="420" w:firstLineChars="200"/>
        <w:rPr>
          <w:rFonts w:ascii="思源黑体 CN Light" w:hAnsi="思源黑体 CN Light" w:eastAsia="思源黑体 CN Light" w:cs="Times New Roman"/>
          <w:color w:val="000000" w:themeColor="text1"/>
          <w:sz w:val="21"/>
          <w:szCs w:val="20"/>
          <w14:textFill>
            <w14:solidFill>
              <w14:schemeClr w14:val="tx1"/>
            </w14:solidFill>
          </w14:textFill>
        </w:rPr>
      </w:pPr>
      <w:r>
        <w:rPr>
          <w:rFonts w:hint="eastAsia" w:ascii="思源黑体 CN Light" w:hAnsi="思源黑体 CN Light" w:eastAsia="思源黑体 CN Light" w:cs="Times New Roman"/>
          <w:color w:val="000000" w:themeColor="text1"/>
          <w:sz w:val="21"/>
          <w:szCs w:val="20"/>
          <w14:textFill>
            <w14:solidFill>
              <w14:schemeClr w14:val="tx1"/>
            </w14:solidFill>
          </w14:textFill>
        </w:rPr>
        <w:t xml:space="preserve">  上周市场在上证指数创出新高以后开启了调整，银行与非银金融等权重板块领跌。从基本面来看，上周秦皇岛5500卡热值动力煤平仓价为698元/吨，周环比回升显著，煤价持续回暖。消息面上，9月16日，内蒙古自治区能源局发布《关于全区生产煤矿生产能力核查情况的通报》。《通报》显示，全区共发现超公告产能组织生产煤矿93处。超产核查以来贸易商所在集团内部陆续有煤矿因为安全生产、超产问题导致7-10天的临时停产。市场交易“反内卷”大背景下行业自律对煤炭供需关系的积极影响。</w:t>
      </w:r>
    </w:p>
    <w:p w14:paraId="0072CFDF">
      <w:pPr>
        <w:tabs>
          <w:tab w:val="left" w:pos="5594"/>
        </w:tabs>
        <w:ind w:firstLine="420" w:firstLineChars="200"/>
        <w:rPr>
          <w:rFonts w:ascii="思源黑体 CN Light" w:hAnsi="思源黑体 CN Light" w:eastAsia="思源黑体 CN Light" w:cs="Times New Roman"/>
          <w:color w:val="000000" w:themeColor="text1"/>
          <w:sz w:val="21"/>
          <w:szCs w:val="20"/>
          <w14:textFill>
            <w14:solidFill>
              <w14:schemeClr w14:val="tx1"/>
            </w14:solidFill>
          </w14:textFill>
        </w:rPr>
      </w:pPr>
      <w:r>
        <w:rPr>
          <w:rFonts w:hint="eastAsia" w:ascii="思源黑体 CN Light" w:hAnsi="思源黑体 CN Light" w:eastAsia="思源黑体 CN Light" w:cs="Times New Roman"/>
          <w:color w:val="000000" w:themeColor="text1"/>
          <w:sz w:val="21"/>
          <w:szCs w:val="20"/>
          <w14:textFill>
            <w14:solidFill>
              <w14:schemeClr w14:val="tx1"/>
            </w14:solidFill>
          </w14:textFill>
        </w:rPr>
        <w:t xml:space="preserve">   展望后市，“反内卷”大背景下超产核查对供应的限制将长期存在，煤价的波动低点大概率相对抬升，煤炭企业在四季度有望扭转今年以来业绩一直同比下滑的颓势。当前市场对“反内卷”受益行业的偏好使得部分煤企，尤其是焦煤企业的估值中包含较强对“反内卷”力度的预期，需要注意市场定价的前瞻性与基本面改善的滞后性错位的风险，尤其是潜在的煤炭企业三季度盈利普遍同比去年大幅下滑的风险。</w:t>
      </w:r>
    </w:p>
    <w:p w14:paraId="551090B1">
      <w:pPr>
        <w:tabs>
          <w:tab w:val="left" w:pos="5594"/>
        </w:tabs>
        <w:rPr>
          <w:rFonts w:ascii="思源黑体 CN Light" w:hAnsi="思源黑体 CN Light" w:eastAsia="思源黑体 CN Light" w:cs="Times New Roman"/>
          <w:color w:val="000000"/>
          <w:sz w:val="21"/>
          <w:szCs w:val="20"/>
          <w:shd w:val="clear" w:color="auto" w:fill="FFFFFF"/>
        </w:rPr>
      </w:pPr>
    </w:p>
    <w:bookmarkEnd w:id="1"/>
    <w:p w14:paraId="16677328">
      <w:pPr>
        <w:pStyle w:val="2"/>
        <w:tabs>
          <w:tab w:val="left" w:pos="4364"/>
          <w:tab w:val="right" w:pos="10204"/>
        </w:tabs>
        <w:rPr>
          <w:rFonts w:ascii="思源黑体 CN Light" w:hAnsi="思源黑体 CN Light" w:eastAsia="思源黑体 CN Light" w:cs="Times New Roman"/>
          <w:b/>
          <w:bCs/>
          <w:sz w:val="22"/>
          <w:szCs w:val="24"/>
        </w:rPr>
      </w:pPr>
      <w:r>
        <w:rPr>
          <w:rFonts w:ascii="思源黑体 CN Light" w:hAnsi="思源黑体 CN Light" w:eastAsia="思源黑体 CN Light" w:cs="Times New Roman"/>
          <w:b/>
          <w:bCs/>
          <w:sz w:val="22"/>
          <w:szCs w:val="24"/>
        </w:rPr>
        <w:t>三、本周展望</w:t>
      </w:r>
    </w:p>
    <w:p w14:paraId="2A061A1C">
      <w:pPr>
        <w:pStyle w:val="10"/>
        <w:ind w:firstLine="420"/>
        <w:rPr>
          <w:rFonts w:ascii="思源黑体 CN Light" w:hAnsi="思源黑体 CN Light" w:eastAsia="思源黑体 CN Light" w:cs="Times New Roman"/>
          <w:color w:val="000000"/>
          <w:sz w:val="21"/>
          <w:szCs w:val="20"/>
          <w:shd w:val="clear" w:color="auto" w:fill="FFFFFF"/>
        </w:rPr>
      </w:pPr>
      <w:r>
        <w:rPr>
          <w:rFonts w:hint="eastAsia" w:ascii="思源黑体 CN Light" w:hAnsi="思源黑体 CN Light" w:eastAsia="思源黑体 CN Light" w:cs="Times New Roman"/>
          <w:color w:val="000000"/>
          <w:sz w:val="21"/>
          <w:szCs w:val="20"/>
          <w:shd w:val="clear" w:color="auto" w:fill="FFFFFF"/>
        </w:rPr>
        <w:t>上周A股市场偏震荡，其中上证指数周涨跌-1.30%，深证成指周涨跌+1.14%，科创50周涨跌+1.84%。行业结构上，煤炭、电力设备、电子等板块涨幅靠前，银行、有色、非银金融等板块跌幅靠前。</w:t>
      </w:r>
    </w:p>
    <w:p w14:paraId="5E31DCFC">
      <w:pPr>
        <w:pStyle w:val="10"/>
        <w:ind w:firstLine="420"/>
        <w:rPr>
          <w:rFonts w:ascii="思源黑体 CN Light" w:hAnsi="思源黑体 CN Light" w:eastAsia="思源黑体 CN Light" w:cs="Times New Roman"/>
          <w:color w:val="000000"/>
          <w:sz w:val="21"/>
          <w:szCs w:val="20"/>
          <w:shd w:val="clear" w:color="auto" w:fill="FFFFFF"/>
        </w:rPr>
      </w:pPr>
      <w:r>
        <w:rPr>
          <w:rFonts w:hint="eastAsia" w:ascii="思源黑体 CN Light" w:hAnsi="思源黑体 CN Light" w:eastAsia="思源黑体 CN Light" w:cs="Times New Roman"/>
          <w:color w:val="000000"/>
          <w:sz w:val="21"/>
          <w:szCs w:val="20"/>
          <w:shd w:val="clear" w:color="auto" w:fill="FFFFFF"/>
        </w:rPr>
        <w:t>上周市场在前期快速修复后转入震荡整固格局，其中创业板、科创板等成长风格板块表现相对强势，领涨市场。从结构上看，板块轮动速度有所加快，新能源、人形机器人、半导体等题材表现强势，市场热点呈现扩散迹象。外部环境上，美联储宣布将联邦基金目标区间下调25BP至4.00%-4.25%，点阵图暗示2025年或再降息两次共50BP，定性来看美联储“预防式降息”落地，全球资本市场整体表现平稳。</w:t>
      </w:r>
    </w:p>
    <w:p w14:paraId="0FC1B7F9">
      <w:pPr>
        <w:pStyle w:val="10"/>
        <w:ind w:firstLine="420"/>
        <w:rPr>
          <w:rFonts w:ascii="思源黑体 CN Light" w:hAnsi="思源黑体 CN Light" w:eastAsia="思源黑体 CN Light" w:cs="Times New Roman"/>
          <w:color w:val="000000"/>
          <w:sz w:val="21"/>
          <w:szCs w:val="20"/>
          <w:shd w:val="clear" w:color="auto" w:fill="FFFFFF"/>
        </w:rPr>
      </w:pPr>
      <w:r>
        <w:rPr>
          <w:rFonts w:hint="eastAsia" w:ascii="思源黑体 CN Light" w:hAnsi="思源黑体 CN Light" w:eastAsia="思源黑体 CN Light" w:cs="Times New Roman"/>
          <w:color w:val="000000"/>
          <w:sz w:val="21"/>
          <w:szCs w:val="20"/>
          <w:shd w:val="clear" w:color="auto" w:fill="FFFFFF"/>
        </w:rPr>
        <w:t>展望后市，市场在快速上涨后仍需时间消化，预计短期走势偏震荡，以结构性机会为主。策略上强调“稳中求进”，逢低布局为主、避免追高。行业配置方面，重点推荐两大方向：一是成长赛道，包括AI应用、半导体和医药等产业空间明确、景气度较高的板块；二是受益于反内卷政策的领域，如电新、钢铁、有色等，政策预期改善有望推动估值修复。</w:t>
      </w:r>
      <w:bookmarkStart w:id="2" w:name="_GoBack"/>
      <w:bookmarkEnd w:id="2"/>
    </w:p>
    <w:p w14:paraId="48646116">
      <w:pPr>
        <w:pStyle w:val="10"/>
        <w:ind w:firstLine="400"/>
        <w:rPr>
          <w:rFonts w:ascii="思源黑体 CN Light" w:hAnsi="思源黑体 CN Light" w:eastAsia="思源黑体 CN Light" w:cs="Times New Roman"/>
          <w:sz w:val="20"/>
          <w:szCs w:val="20"/>
        </w:rPr>
      </w:pPr>
    </w:p>
    <w:p w14:paraId="28EAB63B">
      <w:pPr>
        <w:ind w:firstLine="360" w:firstLineChars="200"/>
      </w:pPr>
      <w:r>
        <w:rPr>
          <w:rFonts w:hint="eastAsia" w:ascii="思源黑体 CN Light" w:hAnsi="思源黑体 CN Light" w:eastAsia="思源黑体 CN Light"/>
          <w:sz w:val="18"/>
          <w:szCs w:val="15"/>
        </w:rPr>
        <w:t>风险提示：</w:t>
      </w:r>
      <w:r>
        <w:rPr>
          <w:rFonts w:ascii="思源黑体 CN Light" w:hAnsi="思源黑体 CN Light" w:eastAsia="思源黑体 CN Light"/>
          <w:sz w:val="18"/>
          <w:szCs w:val="15"/>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作出调整。2、本材料中的资料、观点和预测等仅供参考，在任何时候均不构成对任何人的个人推荐。市场有风险，投资需谨慎。</w:t>
      </w:r>
      <w:bookmarkEnd w:id="0"/>
    </w:p>
    <w:p w14:paraId="4D519608"/>
    <w:sectPr>
      <w:headerReference r:id="rId5" w:type="default"/>
      <w:footerReference r:id="rId6" w:type="default"/>
      <w:pgSz w:w="11906" w:h="16838"/>
      <w:pgMar w:top="1440" w:right="851" w:bottom="1134" w:left="851" w:header="851" w:footer="56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思源黑体 CN Bold">
    <w:altName w:val="黑体"/>
    <w:panose1 w:val="00000000000000000000"/>
    <w:charset w:val="86"/>
    <w:family w:val="swiss"/>
    <w:pitch w:val="default"/>
    <w:sig w:usb0="00000000" w:usb1="00000000" w:usb2="00000016" w:usb3="00000000" w:csb0="6006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7B46A">
    <w:pPr>
      <w:pStyle w:val="4"/>
      <w:tabs>
        <w:tab w:val="center" w:pos="5102"/>
        <w:tab w:val="left" w:pos="6847"/>
      </w:tabs>
    </w:pPr>
    <w:r>
      <w:tab/>
    </w:r>
    <w:r>
      <w:tab/>
    </w:r>
    <w:sdt>
      <w:sdtPr>
        <w:id w:val="1107850672"/>
      </w:sdtPr>
      <w:sdtContent>
        <w:sdt>
          <w:sdtPr>
            <w:id w:val="1728636285"/>
          </w:sdtPr>
          <w:sdtContent>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sdtContent>
        </w:sdt>
      </w:sdtContent>
    </w:sdt>
    <w:r>
      <w:tab/>
    </w:r>
  </w:p>
  <w:p w14:paraId="462665E9">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pPr w:leftFromText="180" w:rightFromText="180" w:vertAnchor="text" w:tblpXSpec="right" w:tblpY="1"/>
      <w:tblOverlap w:val="never"/>
      <w:tblW w:w="62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2"/>
      <w:gridCol w:w="284"/>
      <w:gridCol w:w="2335"/>
    </w:tblGrid>
    <w:tr w14:paraId="73877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652" w:type="dxa"/>
          <w:shd w:val="clear" w:color="auto" w:fill="F3F3F3"/>
          <w:vAlign w:val="center"/>
        </w:tcPr>
        <w:p w14:paraId="314C589F">
          <w:pPr>
            <w:pStyle w:val="5"/>
            <w:pBdr>
              <w:bottom w:val="none" w:color="auto" w:sz="0" w:space="0"/>
            </w:pBdr>
            <w:jc w:val="right"/>
            <w:rPr>
              <w:rFonts w:ascii="Times New Roman" w:hAnsi="Times New Roman" w:eastAsia="宋体" w:cs="Times New Roman"/>
              <w:kern w:val="0"/>
            </w:rPr>
          </w:pPr>
          <w:r>
            <w:rPr>
              <w:rFonts w:hint="eastAsia" w:ascii="Times New Roman" w:hAnsi="Times New Roman" w:eastAsia="宋体" w:cs="Times New Roman"/>
              <w:kern w:val="0"/>
            </w:rPr>
            <w:t>证券研究报告</w:t>
          </w:r>
        </w:p>
      </w:tc>
      <w:tc>
        <w:tcPr>
          <w:tcW w:w="284" w:type="dxa"/>
          <w:shd w:val="clear" w:color="auto" w:fill="C3E2F4"/>
        </w:tcPr>
        <w:p w14:paraId="0B44BCA5">
          <w:pPr>
            <w:pStyle w:val="5"/>
            <w:pBdr>
              <w:bottom w:val="none" w:color="auto" w:sz="0" w:space="0"/>
            </w:pBdr>
            <w:jc w:val="left"/>
            <w:rPr>
              <w:rFonts w:ascii="Times New Roman" w:hAnsi="Times New Roman" w:eastAsia="宋体" w:cs="Times New Roman"/>
              <w:kern w:val="0"/>
            </w:rPr>
          </w:pPr>
        </w:p>
      </w:tc>
      <w:tc>
        <w:tcPr>
          <w:tcW w:w="2335" w:type="dxa"/>
          <w:shd w:val="clear" w:color="auto" w:fill="013F98"/>
          <w:vAlign w:val="center"/>
        </w:tcPr>
        <w:p w14:paraId="212253D6">
          <w:pPr>
            <w:pStyle w:val="5"/>
            <w:pBdr>
              <w:bottom w:val="none" w:color="auto" w:sz="0" w:space="0"/>
            </w:pBdr>
            <w:rPr>
              <w:rFonts w:ascii="Times New Roman" w:hAnsi="Times New Roman" w:eastAsia="宋体" w:cs="Times New Roman"/>
              <w:kern w:val="0"/>
            </w:rPr>
          </w:pPr>
          <w:r>
            <w:rPr>
              <w:rFonts w:hint="eastAsia" w:ascii="Times New Roman" w:hAnsi="Times New Roman" w:eastAsia="宋体" w:cs="Times New Roman"/>
              <w:kern w:val="0"/>
            </w:rPr>
            <w:t>权益周报</w:t>
          </w:r>
        </w:p>
      </w:tc>
    </w:tr>
  </w:tbl>
  <w:p w14:paraId="3E92A235">
    <w:pPr>
      <w:pStyle w:val="5"/>
      <w:pBdr>
        <w:bottom w:val="single" w:color="auto" w:sz="6" w:space="0"/>
      </w:pBdr>
      <w:tabs>
        <w:tab w:val="left" w:pos="4673"/>
        <w:tab w:val="left" w:pos="8341"/>
        <w:tab w:val="clear" w:pos="4153"/>
        <w:tab w:val="clear" w:pos="8306"/>
      </w:tabs>
      <w:ind w:left="-809" w:leftChars="-337" w:right="-1848" w:rightChars="-770" w:firstLine="540" w:firstLineChars="300"/>
      <w:jc w:val="left"/>
    </w:pPr>
    <w:r>
      <w:drawing>
        <wp:inline distT="0" distB="0" distL="0" distR="0">
          <wp:extent cx="883920" cy="285750"/>
          <wp:effectExtent l="0" t="0" r="0" b="3810"/>
          <wp:docPr id="2" name="图片 2" descr="C:\Users\Administrator\Desktop\富荣基金SIRM-G1\{EE36CA8E-224C-471B-8096-7E812271AC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富荣基金SIRM-G1\{EE36CA8E-224C-471B-8096-7E812271AC7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84041" cy="285750"/>
                  </a:xfrm>
                  <a:prstGeom prst="rect">
                    <a:avLst/>
                  </a:prstGeom>
                  <a:noFill/>
                  <a:ln>
                    <a:noFill/>
                  </a:ln>
                </pic:spPr>
              </pic:pic>
            </a:graphicData>
          </a:graphic>
        </wp:inline>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B675D"/>
    <w:rsid w:val="00A674EC"/>
    <w:rsid w:val="00CD20AE"/>
    <w:rsid w:val="00E72635"/>
    <w:rsid w:val="238A4CA6"/>
    <w:rsid w:val="307D05DD"/>
    <w:rsid w:val="3A5129E3"/>
    <w:rsid w:val="3A8B105F"/>
    <w:rsid w:val="3B8F3E01"/>
    <w:rsid w:val="3D215609"/>
    <w:rsid w:val="4D363841"/>
    <w:rsid w:val="4EE71234"/>
    <w:rsid w:val="5915417D"/>
    <w:rsid w:val="70903082"/>
    <w:rsid w:val="767C1DB7"/>
    <w:rsid w:val="773D3837"/>
    <w:rsid w:val="774B6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2">
    <w:name w:val="heading 2"/>
    <w:basedOn w:val="1"/>
    <w:next w:val="1"/>
    <w:unhideWhenUsed/>
    <w:qFormat/>
    <w:uiPriority w:val="9"/>
    <w:pPr>
      <w:keepNext/>
      <w:keepLines/>
      <w:spacing w:before="160" w:after="80" w:line="278" w:lineRule="auto"/>
      <w:jc w:val="left"/>
      <w:outlineLvl w:val="1"/>
    </w:pPr>
    <w:rPr>
      <w:rFonts w:asciiTheme="majorHAnsi" w:hAnsiTheme="majorHAnsi" w:eastAsiaTheme="majorEastAsia" w:cstheme="majorBidi"/>
      <w:color w:val="2E54A1" w:themeColor="accent1" w:themeShade="BF"/>
      <w:sz w:val="40"/>
      <w:szCs w:val="40"/>
      <w14:ligatures w14:val="standardContextual"/>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qFormat/>
    <w:uiPriority w:val="0"/>
    <w:pPr>
      <w:spacing w:line="240" w:lineRule="auto"/>
    </w:pPr>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rFonts w:ascii="Times New Roman" w:hAnsi="Times New Roman" w:cs="Times New Roman"/>
      <w:szCs w:val="24"/>
    </w:rPr>
  </w:style>
  <w:style w:type="table" w:styleId="8">
    <w:name w:val="Table Grid"/>
    <w:basedOn w:val="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No Spacing"/>
    <w:basedOn w:val="6"/>
    <w:qFormat/>
    <w:uiPriority w:val="1"/>
    <w:pPr>
      <w:widowControl/>
      <w:shd w:val="clear" w:color="auto" w:fill="FFFFFF"/>
      <w:ind w:firstLine="200" w:firstLineChars="200"/>
      <w:jc w:val="left"/>
    </w:pPr>
    <w:rPr>
      <w:rFonts w:asciiTheme="minorHAnsi" w:hAnsiTheme="minorHAnsi" w:cstheme="minorBidi"/>
      <w:kern w:val="0"/>
      <w:szCs w:val="22"/>
    </w:rPr>
  </w:style>
  <w:style w:type="character" w:customStyle="1" w:styleId="11">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1408</Words>
  <Characters>1637</Characters>
  <Lines>11</Lines>
  <Paragraphs>3</Paragraphs>
  <TotalTime>1</TotalTime>
  <ScaleCrop>false</ScaleCrop>
  <LinksUpToDate>false</LinksUpToDate>
  <CharactersWithSpaces>1643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2025-09-22T06:31:00Z</dcterms:created>
  <dc:creator>叶蕊</dc:creator>
  <cp:lastModifiedBy>旋木流水</cp:lastModifiedBy>
  <dcterms:modified xsi:type="dcterms:W3CDTF">2025-09-22T07:01:51Z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C1ED290E358B49EF9C521D0FF14973FC_13</vt:lpwstr>
  </property>
  <property fmtid="{D5CDD505-2E9C-101B-9397-08002B2CF9AE}" pid="4" name="KSOTemplateDocerSaveRecord">
    <vt:lpwstr>eyJoZGlkIjoiZDVmZGI2NzZkYWVmZTkwYjdmNzRlNTRmMGJmZmU0NTgiLCJ1c2VySWQiOiIyMzM4NTczODIifQ==</vt:lpwstr>
  </property>
</Properties>
</file>