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9376C">
      <w:pPr>
        <w:jc w:val="center"/>
        <w:rPr>
          <w:rFonts w:ascii="思源黑体 CN Bold" w:hAnsi="思源黑体 CN Bold" w:eastAsia="思源黑体 CN Bold"/>
          <w:b/>
          <w:bCs/>
          <w:sz w:val="28"/>
          <w:szCs w:val="28"/>
        </w:rPr>
      </w:pPr>
      <w:r>
        <w:rPr>
          <w:rFonts w:hint="eastAsia" w:ascii="思源黑体 CN Bold" w:hAnsi="思源黑体 CN Bold" w:eastAsia="思源黑体 CN Bold"/>
          <w:b/>
          <w:bCs/>
          <w:sz w:val="28"/>
          <w:szCs w:val="28"/>
        </w:rPr>
        <w:t>富荣固收：债市震荡偏弱，谨慎为主</w:t>
      </w:r>
    </w:p>
    <w:p w14:paraId="4A96A0CF">
      <w:pPr>
        <w:rPr>
          <w:rFonts w:ascii="思源黑体 CN Light" w:hAnsi="思源黑体 CN Light" w:eastAsia="思源黑体 CN Light"/>
          <w:b/>
          <w:bCs/>
          <w:szCs w:val="21"/>
        </w:rPr>
      </w:pPr>
    </w:p>
    <w:p w14:paraId="339E8633">
      <w:pPr>
        <w:rPr>
          <w:rFonts w:ascii="思源黑体 CN Light" w:hAnsi="思源黑体 CN Light" w:eastAsia="思源黑体 CN Light"/>
          <w:b/>
          <w:bCs/>
          <w:szCs w:val="21"/>
        </w:rPr>
      </w:pPr>
      <w:r>
        <w:rPr>
          <w:rFonts w:hint="eastAsia" w:ascii="思源黑体 CN Light" w:hAnsi="思源黑体 CN Light" w:eastAsia="思源黑体 CN Light"/>
          <w:b/>
          <w:bCs/>
          <w:szCs w:val="21"/>
        </w:rPr>
        <w:t>观点：</w:t>
      </w:r>
      <w:bookmarkStart w:id="0" w:name="_Toc134985519"/>
    </w:p>
    <w:p w14:paraId="7ADCAD3A">
      <w:pPr>
        <w:ind w:firstLine="420" w:firstLineChars="200"/>
        <w:rPr>
          <w:rFonts w:ascii="思源黑体 CN Light" w:hAnsi="思源黑体 CN Light" w:eastAsia="思源黑体 CN Light"/>
          <w:szCs w:val="21"/>
        </w:rPr>
      </w:pPr>
      <w:r>
        <w:rPr>
          <w:rFonts w:hint="eastAsia" w:ascii="思源黑体 CN Light" w:hAnsi="思源黑体 CN Light" w:eastAsia="思源黑体 CN Light"/>
          <w:szCs w:val="21"/>
        </w:rPr>
        <w:t>（1）国内方面：</w:t>
      </w:r>
    </w:p>
    <w:p w14:paraId="1F2ABDC4">
      <w:pPr>
        <w:ind w:firstLine="420" w:firstLineChars="200"/>
        <w:rPr>
          <w:rFonts w:ascii="思源黑体 CN Light" w:hAnsi="思源黑体 CN Light" w:eastAsia="思源黑体 CN Light"/>
          <w:szCs w:val="21"/>
        </w:rPr>
      </w:pPr>
      <w:r>
        <w:rPr>
          <w:rFonts w:hint="eastAsia" w:ascii="思源黑体 CN Light" w:hAnsi="思源黑体 CN Light" w:eastAsia="思源黑体 CN Light"/>
          <w:szCs w:val="21"/>
        </w:rPr>
        <w:t>今年四季度</w:t>
      </w:r>
      <w:r>
        <w:rPr>
          <w:rFonts w:hint="eastAsia" w:ascii="思源黑体 CN Light" w:hAnsi="思源黑体 CN Light" w:eastAsia="思源黑体 CN Light"/>
          <w:szCs w:val="21"/>
          <w:lang w:val="en-US" w:eastAsia="zh-CN"/>
        </w:rPr>
        <w:t>经济</w:t>
      </w:r>
      <w:r>
        <w:rPr>
          <w:rFonts w:hint="eastAsia" w:ascii="思源黑体 CN Light" w:hAnsi="思源黑体 CN Light" w:eastAsia="思源黑体 CN Light"/>
          <w:szCs w:val="21"/>
        </w:rPr>
        <w:t>基本面压力或加大，资产供给或下降，经济修复动能有待提升，信贷需求修复依赖政策，若无增量政策亮点则有望利好债市。</w:t>
      </w:r>
    </w:p>
    <w:p w14:paraId="712AEC90">
      <w:pPr>
        <w:ind w:firstLine="420" w:firstLineChars="200"/>
        <w:rPr>
          <w:rFonts w:ascii="思源黑体 CN Light" w:hAnsi="思源黑体 CN Light" w:eastAsia="思源黑体 CN Light"/>
          <w:szCs w:val="21"/>
        </w:rPr>
      </w:pPr>
      <w:r>
        <w:rPr>
          <w:rFonts w:hint="eastAsia" w:ascii="思源黑体 CN Light" w:hAnsi="思源黑体 CN Light" w:eastAsia="思源黑体 CN Light"/>
          <w:szCs w:val="21"/>
        </w:rPr>
        <w:t>三、四季度通胀预期偏弱。资金面，季末资金面有扰动但整体可控，跨季资金利率波动大概率不超季节性，央行或会呵护资金面。货币政策，四季度货币政策宽松情况存在不确定性，降息、降准概率增大，可能重启国债买卖，加大流动性投放。机构行为，四季度资产荒可能加大，部分银行或缩表，大行融出意愿待修复。</w:t>
      </w:r>
    </w:p>
    <w:p w14:paraId="3CD4F19D">
      <w:pPr>
        <w:ind w:firstLine="420" w:firstLineChars="200"/>
        <w:rPr>
          <w:rFonts w:ascii="思源黑体 CN Light" w:hAnsi="思源黑体 CN Light" w:eastAsia="思源黑体 CN Light"/>
          <w:szCs w:val="21"/>
        </w:rPr>
      </w:pPr>
      <w:r>
        <w:rPr>
          <w:rFonts w:hint="eastAsia" w:ascii="思源黑体 CN Light" w:hAnsi="思源黑体 CN Light" w:eastAsia="思源黑体 CN Light"/>
          <w:szCs w:val="21"/>
        </w:rPr>
        <w:t>（2）海外及其他：</w:t>
      </w:r>
    </w:p>
    <w:p w14:paraId="401D21DC">
      <w:pPr>
        <w:ind w:firstLine="420" w:firstLineChars="200"/>
        <w:rPr>
          <w:rFonts w:ascii="思源黑体 CN Light" w:hAnsi="思源黑体 CN Light" w:eastAsia="思源黑体 CN Light"/>
          <w:szCs w:val="21"/>
        </w:rPr>
      </w:pPr>
      <w:r>
        <w:rPr>
          <w:rFonts w:hint="eastAsia" w:ascii="思源黑体 CN Light" w:hAnsi="思源黑体 CN Light" w:eastAsia="思源黑体 CN Light"/>
          <w:szCs w:val="21"/>
        </w:rPr>
        <w:t>美联储年内大概率还会降息，美国国债收益率可能回落。</w:t>
      </w:r>
    </w:p>
    <w:p w14:paraId="2F4120CF">
      <w:pPr>
        <w:ind w:firstLine="420" w:firstLineChars="200"/>
        <w:rPr>
          <w:rFonts w:ascii="思源黑体 CN Light" w:hAnsi="思源黑体 CN Light" w:eastAsia="思源黑体 CN Light"/>
          <w:szCs w:val="21"/>
        </w:rPr>
      </w:pPr>
      <w:r>
        <w:rPr>
          <w:rFonts w:hint="eastAsia" w:ascii="思源黑体 CN Light" w:hAnsi="思源黑体 CN Light" w:eastAsia="思源黑体 CN Light"/>
          <w:szCs w:val="21"/>
        </w:rPr>
        <w:t>（3）上周债券市场：</w:t>
      </w:r>
    </w:p>
    <w:p w14:paraId="41BB7DBF">
      <w:pPr>
        <w:ind w:firstLine="420" w:firstLineChars="200"/>
        <w:rPr>
          <w:rFonts w:ascii="思源黑体 CN Light" w:hAnsi="思源黑体 CN Light" w:eastAsia="思源黑体 CN Light"/>
          <w:szCs w:val="21"/>
        </w:rPr>
      </w:pPr>
      <w:r>
        <w:rPr>
          <w:rFonts w:hint="eastAsia" w:ascii="思源黑体 CN Light" w:hAnsi="思源黑体 CN Light" w:eastAsia="思源黑体 CN Light"/>
          <w:szCs w:val="21"/>
        </w:rPr>
        <w:t>上周（2025年9月15日-2025年9月19日，以下简称上周）债券市场呈现“过山车”行情，收益率先上后下再上。周初反内卷情绪下，长债收益率触及阶段性高点，而后开启一波修复行情，央行重启买债预期高涨，随着周中20Y国债发行结果好于预期，多头情绪达到周内顶点，10Y国债最低修复至1.761%，但情绪难言彻底乐观，债市进一步下探乏力。美联储如期降息25BP，债市定价利空后仍难有效反弹，尽管盘中股市一度放量下跌，债市情绪依旧谨慎，收益率居高不下，直至周五国债“发飞”再度引爆市场悲观情绪，债市大幅跳水，回吐涨幅。相较于长端，短债行情明显强势，期限利差持续走阔。</w:t>
      </w:r>
    </w:p>
    <w:p w14:paraId="09F4B780">
      <w:pPr>
        <w:ind w:firstLine="420" w:firstLineChars="200"/>
        <w:rPr>
          <w:rFonts w:ascii="思源黑体 CN Light" w:hAnsi="思源黑体 CN Light" w:eastAsia="思源黑体 CN Light"/>
          <w:szCs w:val="21"/>
        </w:rPr>
      </w:pPr>
      <w:r>
        <w:rPr>
          <w:rFonts w:hint="eastAsia" w:ascii="思源黑体 CN Light" w:hAnsi="思源黑体 CN Light" w:eastAsia="思源黑体 CN Light"/>
          <w:szCs w:val="21"/>
        </w:rPr>
        <w:t>展望后市，债市将维持区间震荡，甚至四季度利率或延续向上走势。</w:t>
      </w:r>
    </w:p>
    <w:p w14:paraId="1E49092F">
      <w:pPr>
        <w:ind w:firstLine="420" w:firstLineChars="200"/>
        <w:rPr>
          <w:rFonts w:ascii="思源黑体 CN Light" w:hAnsi="思源黑体 CN Light" w:eastAsia="思源黑体 CN Light"/>
          <w:szCs w:val="21"/>
        </w:rPr>
      </w:pPr>
    </w:p>
    <w:p w14:paraId="54720CAC">
      <w:pPr>
        <w:pStyle w:val="2"/>
        <w:tabs>
          <w:tab w:val="left" w:pos="6289"/>
        </w:tabs>
        <w:spacing w:line="360" w:lineRule="auto"/>
        <w:rPr>
          <w:rFonts w:ascii="思源黑体 CN Light" w:hAnsi="思源黑体 CN Light" w:eastAsia="思源黑体 CN Light" w:cs="Times New Roman"/>
          <w:szCs w:val="21"/>
        </w:rPr>
      </w:pPr>
      <w:r>
        <w:rPr>
          <w:rFonts w:hint="eastAsia" w:ascii="思源黑体 CN Light" w:hAnsi="思源黑体 CN Light" w:eastAsia="思源黑体 CN Light" w:cs="Arial"/>
          <w:sz w:val="36"/>
          <w:szCs w:val="36"/>
        </w:rPr>
        <w:t>1</w:t>
      </w:r>
      <w:r>
        <w:rPr>
          <w:rFonts w:ascii="思源黑体 CN Light" w:hAnsi="思源黑体 CN Light" w:eastAsia="思源黑体 CN Light" w:cs="Arial"/>
          <w:sz w:val="36"/>
          <w:szCs w:val="36"/>
        </w:rPr>
        <w:t>、</w:t>
      </w:r>
      <w:r>
        <w:rPr>
          <w:rFonts w:hint="eastAsia" w:ascii="思源黑体 CN Light" w:hAnsi="思源黑体 CN Light" w:eastAsia="思源黑体 CN Light" w:cs="Arial"/>
          <w:sz w:val="36"/>
          <w:szCs w:val="36"/>
        </w:rPr>
        <w:t>上周</w:t>
      </w:r>
      <w:r>
        <w:rPr>
          <w:rFonts w:ascii="思源黑体 CN Light" w:hAnsi="思源黑体 CN Light" w:eastAsia="思源黑体 CN Light" w:cs="Arial"/>
          <w:sz w:val="36"/>
          <w:szCs w:val="36"/>
        </w:rPr>
        <w:t>高频数据</w:t>
      </w:r>
      <w:bookmarkEnd w:id="0"/>
    </w:p>
    <w:p w14:paraId="359CAE9C">
      <w:pPr>
        <w:spacing w:line="288" w:lineRule="auto"/>
        <w:ind w:firstLine="440" w:firstLineChars="200"/>
        <w:jc w:val="left"/>
        <w:rPr>
          <w:rFonts w:ascii="思源黑体 CN Light" w:hAnsi="思源黑体 CN Light" w:eastAsia="思源黑体 CN Light" w:cs="Times New Roman"/>
          <w:b/>
          <w:color w:val="000000"/>
          <w:kern w:val="0"/>
          <w:sz w:val="20"/>
          <w:szCs w:val="20"/>
        </w:rPr>
      </w:pPr>
      <w:r>
        <w:rPr>
          <w:rFonts w:hint="eastAsia" w:ascii="思源黑体 CN Light" w:hAnsi="思源黑体 CN Light" w:eastAsia="思源黑体 CN Light" w:cs="Times New Roman"/>
          <w:sz w:val="22"/>
          <w:szCs w:val="21"/>
          <w14:ligatures w14:val="standardContextual"/>
        </w:rPr>
        <w:t>美联储</w:t>
      </w:r>
      <w:r>
        <w:rPr>
          <w:rFonts w:hint="eastAsia" w:ascii="思源黑体 CN Light" w:hAnsi="思源黑体 CN Light" w:eastAsia="思源黑体 CN Light" w:cs="Times New Roman"/>
          <w:sz w:val="22"/>
          <w:szCs w:val="21"/>
          <w:lang w:val="en-US" w:eastAsia="zh-CN"/>
          <w14:ligatures w14:val="standardContextual"/>
        </w:rPr>
        <w:t>降息</w:t>
      </w:r>
      <w:r>
        <w:rPr>
          <w:rFonts w:hint="eastAsia" w:ascii="思源黑体 CN Light" w:hAnsi="思源黑体 CN Light" w:eastAsia="思源黑体 CN Light" w:cs="Times New Roman"/>
          <w:sz w:val="22"/>
          <w:szCs w:val="21"/>
          <w14:ligatures w14:val="standardContextual"/>
        </w:rPr>
        <w:t>落地，失业金人数从26.3万人降至23.1万人，显示就业市场韧性增强。截至9月19日，美元指数涨0.04%，在岸人民币涨0.14%，欧元涨0.33%，英镑跌0.47%。</w:t>
      </w:r>
      <w:r>
        <w:rPr>
          <w:rFonts w:hint="eastAsia" w:ascii="思源黑体 CN Light" w:hAnsi="思源黑体 CN Light" w:eastAsia="思源黑体 CN Light" w:cs="Times New Roman"/>
          <w:b/>
          <w:color w:val="000000"/>
          <w:kern w:val="0"/>
          <w:sz w:val="20"/>
          <w:szCs w:val="20"/>
        </w:rPr>
        <w:t>图一：主要货币变化率</w:t>
      </w:r>
    </w:p>
    <w:p w14:paraId="162FC5C5">
      <w:pPr>
        <w:spacing w:line="288" w:lineRule="auto"/>
        <w:ind w:firstLine="420" w:firstLineChars="200"/>
        <w:jc w:val="left"/>
        <w:rPr>
          <w:rFonts w:ascii="思源黑体 CN Light" w:hAnsi="思源黑体 CN Light" w:eastAsia="思源黑体 CN Light" w:cs="Times New Roman"/>
          <w:sz w:val="16"/>
          <w:szCs w:val="16"/>
        </w:rPr>
      </w:pPr>
      <w:r>
        <w:drawing>
          <wp:inline distT="0" distB="0" distL="114300" distR="114300">
            <wp:extent cx="5194300" cy="2028825"/>
            <wp:effectExtent l="0" t="0" r="6350" b="9525"/>
            <wp:docPr id="1"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5"/>
                    <pic:cNvPicPr>
                      <a:picLocks noChangeAspect="1"/>
                    </pic:cNvPicPr>
                  </pic:nvPicPr>
                  <pic:blipFill>
                    <a:blip r:embed="rId4"/>
                    <a:stretch>
                      <a:fillRect/>
                    </a:stretch>
                  </pic:blipFill>
                  <pic:spPr>
                    <a:xfrm>
                      <a:off x="0" y="0"/>
                      <a:ext cx="5194300" cy="2028825"/>
                    </a:xfrm>
                    <a:prstGeom prst="rect">
                      <a:avLst/>
                    </a:prstGeom>
                  </pic:spPr>
                </pic:pic>
              </a:graphicData>
            </a:graphic>
          </wp:inline>
        </w:drawing>
      </w:r>
    </w:p>
    <w:p w14:paraId="714E0A5A">
      <w:pPr>
        <w:spacing w:line="288" w:lineRule="auto"/>
        <w:ind w:firstLine="320" w:firstLineChars="200"/>
        <w:jc w:val="left"/>
        <w:rPr>
          <w:rFonts w:ascii="思源黑体 CN Light" w:hAnsi="思源黑体 CN Light" w:eastAsia="思源黑体 CN Light" w:cs="Times New Roman"/>
          <w:sz w:val="16"/>
          <w:szCs w:val="16"/>
        </w:rPr>
      </w:pPr>
      <w:r>
        <w:rPr>
          <w:rFonts w:hint="eastAsia" w:ascii="思源黑体 CN Light" w:hAnsi="思源黑体 CN Light" w:eastAsia="思源黑体 CN Light" w:cs="Times New Roman"/>
          <w:sz w:val="16"/>
          <w:szCs w:val="16"/>
        </w:rPr>
        <w:t>数据来源：wind，富荣基金；统计区间：20250915-2025</w:t>
      </w:r>
      <w:bookmarkStart w:id="1" w:name="_Toc134985520"/>
      <w:r>
        <w:rPr>
          <w:rFonts w:hint="eastAsia" w:ascii="思源黑体 CN Light" w:hAnsi="思源黑体 CN Light" w:eastAsia="思源黑体 CN Light" w:cs="Times New Roman"/>
          <w:sz w:val="16"/>
          <w:szCs w:val="16"/>
        </w:rPr>
        <w:t>0919</w:t>
      </w:r>
    </w:p>
    <w:p w14:paraId="013DB680">
      <w:pPr>
        <w:pStyle w:val="2"/>
        <w:spacing w:line="360" w:lineRule="auto"/>
        <w:rPr>
          <w:rFonts w:ascii="思源黑体 CN Light" w:hAnsi="思源黑体 CN Light" w:eastAsia="思源黑体 CN Light" w:cs="Arial"/>
          <w:sz w:val="36"/>
          <w:szCs w:val="36"/>
        </w:rPr>
      </w:pPr>
      <w:r>
        <w:rPr>
          <w:rFonts w:hint="eastAsia" w:ascii="思源黑体 CN Light" w:hAnsi="思源黑体 CN Light" w:eastAsia="思源黑体 CN Light" w:cs="Arial"/>
          <w:sz w:val="36"/>
          <w:szCs w:val="36"/>
        </w:rPr>
        <w:t>2</w:t>
      </w:r>
      <w:r>
        <w:rPr>
          <w:rFonts w:ascii="思源黑体 CN Light" w:hAnsi="思源黑体 CN Light" w:eastAsia="思源黑体 CN Light" w:cs="Arial"/>
          <w:sz w:val="36"/>
          <w:szCs w:val="36"/>
        </w:rPr>
        <w:t>、</w:t>
      </w:r>
      <w:r>
        <w:rPr>
          <w:rFonts w:hint="eastAsia" w:ascii="思源黑体 CN Light" w:hAnsi="思源黑体 CN Light" w:eastAsia="思源黑体 CN Light" w:cs="Arial"/>
          <w:sz w:val="36"/>
          <w:szCs w:val="36"/>
        </w:rPr>
        <w:t>上周</w:t>
      </w:r>
      <w:r>
        <w:rPr>
          <w:rFonts w:ascii="思源黑体 CN Light" w:hAnsi="思源黑体 CN Light" w:eastAsia="思源黑体 CN Light" w:cs="Arial"/>
          <w:sz w:val="36"/>
          <w:szCs w:val="36"/>
        </w:rPr>
        <w:t>债券市场</w:t>
      </w:r>
      <w:bookmarkEnd w:id="1"/>
    </w:p>
    <w:p w14:paraId="0CC35BCD">
      <w:pPr>
        <w:spacing w:line="288" w:lineRule="auto"/>
        <w:ind w:firstLine="442" w:firstLineChars="200"/>
        <w:jc w:val="left"/>
        <w:rPr>
          <w:rFonts w:ascii="思源黑体 CN Light" w:hAnsi="思源黑体 CN Light" w:eastAsia="思源黑体 CN Light" w:cs="Times New Roman"/>
          <w:sz w:val="22"/>
          <w:szCs w:val="21"/>
          <w14:ligatures w14:val="standardContextual"/>
        </w:rPr>
      </w:pPr>
      <w:r>
        <w:rPr>
          <w:rFonts w:hint="eastAsia" w:ascii="思源黑体 CN Light" w:hAnsi="思源黑体 CN Light" w:eastAsia="思源黑体 CN Light" w:cs="Times New Roman"/>
          <w:b/>
          <w:bCs/>
          <w:sz w:val="22"/>
          <w:szCs w:val="21"/>
          <w14:ligatures w14:val="standardContextual"/>
        </w:rPr>
        <w:t>资金面呈现边际收紧趋势。</w:t>
      </w:r>
      <w:r>
        <w:rPr>
          <w:rFonts w:hint="eastAsia" w:ascii="思源黑体 CN Light" w:hAnsi="思源黑体 CN Light" w:eastAsia="思源黑体 CN Light" w:cs="Times New Roman"/>
          <w:sz w:val="22"/>
          <w:szCs w:val="21"/>
          <w14:ligatures w14:val="standardContextual"/>
        </w:rPr>
        <w:t>DR001上行9.98BP至1.46%，DR007上行5.21BP至1.51%，R001上行10.14BP至1.50％，R007上行5.09BP至1.52％，GC001上行5.</w:t>
      </w:r>
      <w:r>
        <w:rPr>
          <w:rFonts w:hint="eastAsia" w:ascii="思源黑体 CN Light" w:hAnsi="思源黑体 CN Light" w:eastAsia="思源黑体 CN Light" w:cs="Times New Roman"/>
          <w:sz w:val="22"/>
          <w:szCs w:val="21"/>
          <w:lang w:val="en-US" w:eastAsia="zh-CN"/>
          <w14:ligatures w14:val="standardContextual"/>
        </w:rPr>
        <w:t>9</w:t>
      </w:r>
      <w:r>
        <w:rPr>
          <w:rFonts w:hint="eastAsia" w:ascii="思源黑体 CN Light" w:hAnsi="思源黑体 CN Light" w:eastAsia="思源黑体 CN Light" w:cs="Times New Roman"/>
          <w:sz w:val="22"/>
          <w:szCs w:val="21"/>
          <w14:ligatures w14:val="standardContextual"/>
        </w:rPr>
        <w:t>0BP至1.41%，GC007上行7.10BP至1.53%。</w:t>
      </w:r>
      <w:bookmarkStart w:id="2" w:name="_GoBack"/>
      <w:bookmarkEnd w:id="2"/>
    </w:p>
    <w:p w14:paraId="510C89EC">
      <w:pPr>
        <w:spacing w:line="288" w:lineRule="auto"/>
        <w:ind w:firstLine="442" w:firstLineChars="200"/>
        <w:jc w:val="left"/>
        <w:rPr>
          <w:rFonts w:ascii="思源黑体 CN Light" w:hAnsi="思源黑体 CN Light" w:eastAsia="思源黑体 CN Light" w:cs="Times New Roman"/>
          <w:b/>
          <w:bCs/>
          <w:sz w:val="22"/>
          <w:szCs w:val="21"/>
          <w14:ligatures w14:val="standardContextual"/>
        </w:rPr>
      </w:pPr>
      <w:r>
        <w:rPr>
          <w:rFonts w:hint="eastAsia" w:ascii="思源黑体 CN Light" w:hAnsi="思源黑体 CN Light" w:eastAsia="思源黑体 CN Light" w:cs="Times New Roman"/>
          <w:b/>
          <w:bCs/>
          <w:sz w:val="22"/>
          <w:szCs w:val="21"/>
          <w14:ligatures w14:val="standardContextual"/>
        </w:rPr>
        <w:t>本周债市持续震荡。</w:t>
      </w:r>
      <w:r>
        <w:rPr>
          <w:rFonts w:hint="eastAsia" w:ascii="思源黑体 CN Light" w:hAnsi="思源黑体 CN Light" w:eastAsia="思源黑体 CN Light" w:cs="Times New Roman"/>
          <w:sz w:val="22"/>
          <w:szCs w:val="21"/>
          <w14:ligatures w14:val="standardContextual"/>
        </w:rPr>
        <w:t>1Y、5Y、10Y、30Y国债收益率分别较前一周变化-1.00BP、0.47BP、1.19BP、1.56BP至1.3900</w:t>
      </w:r>
      <w:r>
        <w:rPr>
          <w:rFonts w:hint="eastAsia" w:ascii="思源黑体 CN Light" w:hAnsi="思源黑体 CN Light" w:eastAsia="思源黑体 CN Light" w:cs="Times New Roman"/>
          <w:sz w:val="22"/>
          <w:szCs w:val="21"/>
          <w:lang w:val="en-US" w:eastAsia="zh-CN"/>
          <w14:ligatures w14:val="standardContextual"/>
        </w:rPr>
        <w:t>%</w:t>
      </w:r>
      <w:r>
        <w:rPr>
          <w:rFonts w:hint="eastAsia" w:ascii="思源黑体 CN Light" w:hAnsi="思源黑体 CN Light" w:eastAsia="思源黑体 CN Light" w:cs="Times New Roman"/>
          <w:sz w:val="22"/>
          <w:szCs w:val="21"/>
          <w14:ligatures w14:val="standardContextual"/>
        </w:rPr>
        <w:t>、1.6186</w:t>
      </w:r>
      <w:r>
        <w:rPr>
          <w:rFonts w:hint="eastAsia" w:ascii="思源黑体 CN Light" w:hAnsi="思源黑体 CN Light" w:eastAsia="思源黑体 CN Light" w:cs="Times New Roman"/>
          <w:sz w:val="22"/>
          <w:szCs w:val="21"/>
          <w:lang w:val="en-US" w:eastAsia="zh-CN"/>
          <w14:ligatures w14:val="standardContextual"/>
        </w:rPr>
        <w:t>%</w:t>
      </w:r>
      <w:r>
        <w:rPr>
          <w:rFonts w:hint="eastAsia" w:ascii="思源黑体 CN Light" w:hAnsi="思源黑体 CN Light" w:eastAsia="思源黑体 CN Light" w:cs="Times New Roman"/>
          <w:sz w:val="22"/>
          <w:szCs w:val="21"/>
          <w14:ligatures w14:val="standardContextual"/>
        </w:rPr>
        <w:t>、1.8789</w:t>
      </w:r>
      <w:r>
        <w:rPr>
          <w:rFonts w:hint="eastAsia" w:ascii="思源黑体 CN Light" w:hAnsi="思源黑体 CN Light" w:eastAsia="思源黑体 CN Light" w:cs="Times New Roman"/>
          <w:sz w:val="22"/>
          <w:szCs w:val="21"/>
          <w:lang w:val="en-US" w:eastAsia="zh-CN"/>
          <w14:ligatures w14:val="standardContextual"/>
        </w:rPr>
        <w:t>%</w:t>
      </w:r>
      <w:r>
        <w:rPr>
          <w:rFonts w:hint="eastAsia" w:ascii="思源黑体 CN Light" w:hAnsi="思源黑体 CN Light" w:eastAsia="思源黑体 CN Light" w:cs="Times New Roman"/>
          <w:sz w:val="22"/>
          <w:szCs w:val="21"/>
          <w14:ligatures w14:val="standardContextual"/>
        </w:rPr>
        <w:t>、2.1996</w:t>
      </w:r>
      <w:r>
        <w:rPr>
          <w:rFonts w:hint="eastAsia" w:ascii="思源黑体 CN Light" w:hAnsi="思源黑体 CN Light" w:eastAsia="思源黑体 CN Light" w:cs="Times New Roman"/>
          <w:sz w:val="22"/>
          <w:szCs w:val="21"/>
          <w:lang w:val="en-US" w:eastAsia="zh-CN"/>
          <w14:ligatures w14:val="standardContextual"/>
        </w:rPr>
        <w:t>%</w:t>
      </w:r>
      <w:r>
        <w:rPr>
          <w:rFonts w:hint="eastAsia" w:ascii="思源黑体 CN Light" w:hAnsi="思源黑体 CN Light" w:eastAsia="思源黑体 CN Light" w:cs="Times New Roman"/>
          <w:sz w:val="22"/>
          <w:szCs w:val="21"/>
          <w14:ligatures w14:val="standardContextual"/>
        </w:rPr>
        <w:t xml:space="preserve">。  </w:t>
      </w:r>
      <w:r>
        <w:rPr>
          <w:rFonts w:hint="eastAsia" w:ascii="思源黑体 CN Light" w:hAnsi="思源黑体 CN Light" w:eastAsia="思源黑体 CN Light" w:cs="Times New Roman"/>
          <w:b/>
          <w:bCs/>
          <w:sz w:val="22"/>
          <w:szCs w:val="21"/>
          <w14:ligatures w14:val="standardContextual"/>
        </w:rPr>
        <w:t xml:space="preserve">     </w:t>
      </w:r>
      <w:r>
        <w:rPr>
          <w:rFonts w:hint="eastAsia" w:ascii="思源黑体 CN Light" w:hAnsi="思源黑体 CN Light" w:eastAsia="思源黑体 CN Light" w:cs="Times New Roman"/>
          <w:sz w:val="22"/>
          <w:szCs w:val="21"/>
          <w14:ligatures w14:val="standardContextual"/>
        </w:rPr>
        <w:t xml:space="preserve">                                   </w:t>
      </w:r>
      <w:r>
        <w:rPr>
          <w:rFonts w:hint="eastAsia" w:ascii="思源黑体 CN Light" w:hAnsi="思源黑体 CN Light" w:eastAsia="思源黑体 CN Light" w:cs="Times New Roman"/>
          <w:b/>
          <w:bCs/>
          <w:sz w:val="22"/>
          <w:szCs w:val="21"/>
          <w14:ligatures w14:val="standardContextual"/>
        </w:rPr>
        <w:t xml:space="preserve">                                                                                                                                      </w:t>
      </w:r>
    </w:p>
    <w:p w14:paraId="0B212C5A">
      <w:pPr>
        <w:spacing w:line="288" w:lineRule="auto"/>
        <w:jc w:val="left"/>
        <w:rPr>
          <w:rFonts w:ascii="思源黑体 CN Light" w:hAnsi="思源黑体 CN Light" w:eastAsia="思源黑体 CN Light" w:cs="Times New Roman"/>
          <w:b/>
          <w:color w:val="000000"/>
          <w:kern w:val="0"/>
          <w:sz w:val="20"/>
          <w:szCs w:val="20"/>
        </w:rPr>
      </w:pPr>
      <w:r>
        <w:rPr>
          <w:rFonts w:hint="eastAsia" w:ascii="思源黑体 CN Light" w:hAnsi="思源黑体 CN Light" w:eastAsia="思源黑体 CN Light" w:cs="Times New Roman"/>
          <w:b/>
          <w:color w:val="000000"/>
          <w:kern w:val="0"/>
          <w:sz w:val="20"/>
          <w:szCs w:val="20"/>
        </w:rPr>
        <w:t>图二：资金面变化</w:t>
      </w:r>
    </w:p>
    <w:p w14:paraId="09B7ADD9">
      <w:pPr>
        <w:spacing w:line="288" w:lineRule="auto"/>
        <w:jc w:val="left"/>
        <w:rPr>
          <w:rFonts w:ascii="思源黑体 CN Light" w:hAnsi="思源黑体 CN Light" w:eastAsia="思源黑体 CN Light" w:cs="Times New Roman"/>
          <w:b/>
          <w:color w:val="000000"/>
          <w:kern w:val="0"/>
          <w:sz w:val="20"/>
          <w:szCs w:val="20"/>
        </w:rPr>
      </w:pPr>
      <w:r>
        <w:drawing>
          <wp:inline distT="0" distB="0" distL="114300" distR="114300">
            <wp:extent cx="4924425" cy="2872105"/>
            <wp:effectExtent l="0" t="0" r="9525" b="4445"/>
            <wp:docPr id="69"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8"/>
                    <pic:cNvPicPr>
                      <a:picLocks noChangeAspect="1"/>
                    </pic:cNvPicPr>
                  </pic:nvPicPr>
                  <pic:blipFill>
                    <a:blip r:embed="rId5"/>
                    <a:stretch>
                      <a:fillRect/>
                    </a:stretch>
                  </pic:blipFill>
                  <pic:spPr>
                    <a:xfrm>
                      <a:off x="0" y="0"/>
                      <a:ext cx="4924425" cy="2872105"/>
                    </a:xfrm>
                    <a:prstGeom prst="rect">
                      <a:avLst/>
                    </a:prstGeom>
                  </pic:spPr>
                </pic:pic>
              </a:graphicData>
            </a:graphic>
          </wp:inline>
        </w:drawing>
      </w:r>
    </w:p>
    <w:p w14:paraId="185E1041">
      <w:pPr>
        <w:spacing w:line="288" w:lineRule="auto"/>
        <w:jc w:val="left"/>
        <w:rPr>
          <w:rFonts w:ascii="思源黑体 CN Light" w:hAnsi="思源黑体 CN Light" w:eastAsia="思源黑体 CN Light" w:cs="Times New Roman"/>
          <w:sz w:val="16"/>
          <w:szCs w:val="16"/>
        </w:rPr>
      </w:pPr>
      <w:r>
        <w:rPr>
          <w:rFonts w:hint="eastAsia" w:ascii="思源黑体 CN Light" w:hAnsi="思源黑体 CN Light" w:eastAsia="思源黑体 CN Light" w:cs="Times New Roman"/>
          <w:sz w:val="16"/>
          <w:szCs w:val="16"/>
        </w:rPr>
        <w:t>数据来源：wind，富荣基金；统计区间：20250915-20250919</w:t>
      </w:r>
    </w:p>
    <w:p w14:paraId="1642A3AF">
      <w:pPr>
        <w:spacing w:line="288" w:lineRule="auto"/>
        <w:jc w:val="left"/>
        <w:rPr>
          <w:rFonts w:ascii="思源黑体 CN Light" w:hAnsi="思源黑体 CN Light" w:eastAsia="思源黑体 CN Light" w:cs="Times New Roman"/>
          <w:b/>
          <w:color w:val="000000"/>
          <w:kern w:val="0"/>
          <w:sz w:val="20"/>
          <w:szCs w:val="20"/>
        </w:rPr>
      </w:pPr>
      <w:r>
        <w:rPr>
          <w:rFonts w:hint="eastAsia" w:ascii="思源黑体 CN Light" w:hAnsi="思源黑体 CN Light" w:eastAsia="思源黑体 CN Light" w:cs="Times New Roman"/>
          <w:b/>
          <w:color w:val="000000"/>
          <w:kern w:val="0"/>
          <w:sz w:val="20"/>
          <w:szCs w:val="20"/>
        </w:rPr>
        <w:t>图三：国债周度变化</w:t>
      </w:r>
    </w:p>
    <w:p w14:paraId="0E6F99B9">
      <w:pPr>
        <w:spacing w:line="288" w:lineRule="auto"/>
        <w:jc w:val="left"/>
        <w:rPr>
          <w:rFonts w:ascii="思源黑体 CN Light" w:hAnsi="思源黑体 CN Light" w:eastAsia="思源黑体 CN Light" w:cs="Times New Roman"/>
          <w:b/>
          <w:color w:val="000000"/>
          <w:kern w:val="0"/>
          <w:sz w:val="20"/>
          <w:szCs w:val="20"/>
        </w:rPr>
      </w:pPr>
      <w:r>
        <w:drawing>
          <wp:inline distT="0" distB="0" distL="114300" distR="114300">
            <wp:extent cx="5057775" cy="3211830"/>
            <wp:effectExtent l="0" t="0" r="9525" b="7620"/>
            <wp:docPr id="68"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7"/>
                    <pic:cNvPicPr>
                      <a:picLocks noChangeAspect="1"/>
                    </pic:cNvPicPr>
                  </pic:nvPicPr>
                  <pic:blipFill>
                    <a:blip r:embed="rId6"/>
                    <a:stretch>
                      <a:fillRect/>
                    </a:stretch>
                  </pic:blipFill>
                  <pic:spPr>
                    <a:xfrm>
                      <a:off x="0" y="0"/>
                      <a:ext cx="5057775" cy="3211830"/>
                    </a:xfrm>
                    <a:prstGeom prst="rect">
                      <a:avLst/>
                    </a:prstGeom>
                  </pic:spPr>
                </pic:pic>
              </a:graphicData>
            </a:graphic>
          </wp:inline>
        </w:drawing>
      </w:r>
    </w:p>
    <w:p w14:paraId="100050D7">
      <w:pPr>
        <w:spacing w:line="288" w:lineRule="auto"/>
        <w:jc w:val="left"/>
        <w:rPr>
          <w:rFonts w:ascii="思源黑体 CN Light" w:hAnsi="思源黑体 CN Light" w:eastAsia="思源黑体 CN Light" w:cs="Times New Roman"/>
          <w:sz w:val="16"/>
          <w:szCs w:val="16"/>
        </w:rPr>
      </w:pPr>
      <w:r>
        <w:rPr>
          <w:rFonts w:hint="eastAsia" w:ascii="思源黑体 CN Light" w:hAnsi="思源黑体 CN Light" w:eastAsia="思源黑体 CN Light" w:cs="Times New Roman"/>
          <w:sz w:val="16"/>
          <w:szCs w:val="16"/>
        </w:rPr>
        <w:t>数据来源：wind，富荣基金；统计区间：20250915-20250919</w:t>
      </w:r>
    </w:p>
    <w:p w14:paraId="03A72BDF">
      <w:pPr>
        <w:spacing w:line="288" w:lineRule="auto"/>
        <w:ind w:firstLine="440" w:firstLineChars="200"/>
        <w:rPr>
          <w:rFonts w:ascii="思源黑体 CN Light" w:hAnsi="思源黑体 CN Light" w:eastAsia="思源黑体 CN Light" w:cs="Times New Roman"/>
          <w:sz w:val="22"/>
          <w:szCs w:val="21"/>
          <w14:ligatures w14:val="standardContextual"/>
        </w:rPr>
      </w:pPr>
      <w:r>
        <w:rPr>
          <w:rFonts w:hint="eastAsia" w:ascii="思源黑体 CN Light" w:hAnsi="思源黑体 CN Light" w:eastAsia="思源黑体 CN Light" w:cs="Times New Roman"/>
          <w:sz w:val="22"/>
          <w:szCs w:val="21"/>
          <w14:ligatures w14:val="standardContextual"/>
        </w:rPr>
        <w:t>上周央行全口径净投放11923亿元，资金情绪指数基本在50以上，税期央行流动性投放偏克制。资金面先紧后松，1Y国股行存单发行价格上行至1.68%，DR007加权价格上行至1.5096%。</w:t>
      </w:r>
    </w:p>
    <w:p w14:paraId="162AD093">
      <w:pPr>
        <w:spacing w:line="288" w:lineRule="auto"/>
        <w:ind w:firstLine="440" w:firstLineChars="200"/>
        <w:rPr>
          <w:rFonts w:ascii="思源黑体 CN Light" w:hAnsi="思源黑体 CN Light" w:eastAsia="思源黑体 CN Light" w:cs="Times New Roman"/>
          <w:sz w:val="22"/>
          <w:szCs w:val="21"/>
          <w14:ligatures w14:val="standardContextual"/>
        </w:rPr>
      </w:pPr>
      <w:r>
        <w:rPr>
          <w:rFonts w:hint="eastAsia" w:ascii="思源黑体 CN Light" w:hAnsi="思源黑体 CN Light" w:eastAsia="思源黑体 CN Light" w:cs="Times New Roman"/>
          <w:sz w:val="22"/>
          <w:szCs w:val="21"/>
          <w14:ligatures w14:val="standardContextual"/>
        </w:rPr>
        <w:t>上周信用债收益率多数品种继续上行，银行二级资本债等流动性较好品种或已调整到位，但城投品种可能还有上行空间。利差方面，多数品种长端继续走阔，短端上行幅度不及利率品种，开始收窄。</w:t>
      </w:r>
    </w:p>
    <w:p w14:paraId="7EB00278">
      <w:pPr>
        <w:spacing w:line="288" w:lineRule="auto"/>
        <w:rPr>
          <w:rFonts w:ascii="思源黑体 CN Light" w:hAnsi="思源黑体 CN Light" w:eastAsia="思源黑体 CN Light" w:cs="Times New Roman"/>
          <w:b/>
          <w:color w:val="000000"/>
          <w:kern w:val="0"/>
          <w:sz w:val="20"/>
          <w:szCs w:val="20"/>
        </w:rPr>
      </w:pPr>
      <w:r>
        <w:rPr>
          <w:rFonts w:hint="eastAsia" w:ascii="思源黑体 CN Light" w:hAnsi="思源黑体 CN Light" w:eastAsia="思源黑体 CN Light" w:cs="Times New Roman"/>
          <w:b/>
          <w:color w:val="000000"/>
          <w:kern w:val="0"/>
          <w:sz w:val="20"/>
          <w:szCs w:val="20"/>
        </w:rPr>
        <w:t>图四：信用债收益率变化</w:t>
      </w:r>
    </w:p>
    <w:p w14:paraId="3BEF6427">
      <w:pPr>
        <w:spacing w:line="288" w:lineRule="auto"/>
      </w:pPr>
      <w:r>
        <w:drawing>
          <wp:inline distT="0" distB="0" distL="114300" distR="114300">
            <wp:extent cx="5588635" cy="2661285"/>
            <wp:effectExtent l="0" t="0" r="12065" b="571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588679" cy="2661771"/>
                    </a:xfrm>
                    <a:prstGeom prst="rect">
                      <a:avLst/>
                    </a:prstGeom>
                  </pic:spPr>
                </pic:pic>
              </a:graphicData>
            </a:graphic>
          </wp:inline>
        </w:drawing>
      </w:r>
    </w:p>
    <w:p w14:paraId="0E23D332">
      <w:pPr>
        <w:spacing w:line="288" w:lineRule="auto"/>
        <w:rPr>
          <w:rFonts w:ascii="思源黑体 CN Light" w:hAnsi="思源黑体 CN Light" w:eastAsia="思源黑体 CN Light" w:cs="Times New Roman"/>
          <w:sz w:val="16"/>
          <w:szCs w:val="16"/>
        </w:rPr>
      </w:pPr>
      <w:r>
        <w:rPr>
          <w:rFonts w:hint="eastAsia" w:ascii="思源黑体 CN Light" w:hAnsi="思源黑体 CN Light" w:eastAsia="思源黑体 CN Light" w:cs="Times New Roman"/>
          <w:sz w:val="16"/>
          <w:szCs w:val="16"/>
        </w:rPr>
        <w:t>数据来源：wind，富荣基金；统计区间：20250915-20250919</w:t>
      </w:r>
    </w:p>
    <w:p w14:paraId="03BC169D">
      <w:pPr>
        <w:spacing w:line="288" w:lineRule="auto"/>
        <w:jc w:val="left"/>
        <w:rPr>
          <w:rFonts w:ascii="思源黑体 CN Light" w:hAnsi="思源黑体 CN Light" w:eastAsia="思源黑体 CN Light" w:cs="Times New Roman"/>
          <w:b/>
          <w:color w:val="000000"/>
          <w:kern w:val="0"/>
          <w:sz w:val="20"/>
          <w:szCs w:val="20"/>
        </w:rPr>
      </w:pPr>
      <w:r>
        <w:rPr>
          <w:rFonts w:hint="eastAsia" w:ascii="思源黑体 CN Light" w:hAnsi="思源黑体 CN Light" w:eastAsia="思源黑体 CN Light" w:cs="Times New Roman"/>
          <w:b/>
          <w:color w:val="000000"/>
          <w:kern w:val="0"/>
          <w:sz w:val="20"/>
          <w:szCs w:val="20"/>
        </w:rPr>
        <w:t>图五：信用利差变化</w:t>
      </w:r>
    </w:p>
    <w:p w14:paraId="35BC0F88">
      <w:pPr>
        <w:spacing w:line="288" w:lineRule="auto"/>
        <w:jc w:val="left"/>
      </w:pPr>
      <w:r>
        <w:drawing>
          <wp:inline distT="0" distB="0" distL="114300" distR="114300">
            <wp:extent cx="5882005" cy="2423795"/>
            <wp:effectExtent l="0" t="0" r="4445" b="14605"/>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8"/>
                    <a:stretch>
                      <a:fillRect/>
                    </a:stretch>
                  </pic:blipFill>
                  <pic:spPr>
                    <a:xfrm>
                      <a:off x="0" y="0"/>
                      <a:ext cx="5882199" cy="2423954"/>
                    </a:xfrm>
                    <a:prstGeom prst="rect">
                      <a:avLst/>
                    </a:prstGeom>
                  </pic:spPr>
                </pic:pic>
              </a:graphicData>
            </a:graphic>
          </wp:inline>
        </w:drawing>
      </w:r>
    </w:p>
    <w:p w14:paraId="795509E6">
      <w:pPr>
        <w:spacing w:line="288" w:lineRule="auto"/>
        <w:jc w:val="left"/>
        <w:rPr>
          <w:rFonts w:ascii="思源黑体 CN Light" w:hAnsi="思源黑体 CN Light" w:eastAsia="思源黑体 CN Light" w:cs="Times New Roman"/>
          <w:sz w:val="16"/>
          <w:szCs w:val="16"/>
        </w:rPr>
      </w:pPr>
      <w:r>
        <w:rPr>
          <w:rFonts w:hint="eastAsia" w:ascii="思源黑体 CN Light" w:hAnsi="思源黑体 CN Light" w:eastAsia="思源黑体 CN Light" w:cs="Times New Roman"/>
          <w:sz w:val="16"/>
          <w:szCs w:val="16"/>
        </w:rPr>
        <w:t>数据来源：wind，富荣基金；统计区间：20250915-20250919</w:t>
      </w:r>
    </w:p>
    <w:p w14:paraId="3750A7E3">
      <w:pPr>
        <w:rPr>
          <w:rFonts w:ascii="思源黑体 CN Light" w:hAnsi="思源黑体 CN Light" w:eastAsia="思源黑体 CN Light"/>
          <w:sz w:val="20"/>
          <w:szCs w:val="20"/>
        </w:rPr>
      </w:pPr>
    </w:p>
    <w:p w14:paraId="4D8FB7BB">
      <w:pPr>
        <w:rPr>
          <w:rFonts w:ascii="思源黑体 CN Light" w:hAnsi="思源黑体 CN Light" w:eastAsia="思源黑体 CN Light" w:cs="Times New Roman"/>
          <w:sz w:val="18"/>
          <w:szCs w:val="18"/>
        </w:rPr>
      </w:pPr>
      <w:r>
        <w:rPr>
          <w:rFonts w:hint="eastAsia" w:ascii="思源黑体 CN Light" w:hAnsi="思源黑体 CN Light" w:eastAsia="思源黑体 CN Light"/>
          <w:sz w:val="18"/>
          <w:szCs w:val="18"/>
        </w:rPr>
        <w:t>风险提示：</w:t>
      </w:r>
    </w:p>
    <w:p w14:paraId="33263F18">
      <w:r>
        <w:rPr>
          <w:rFonts w:ascii="思源黑体 CN Light" w:hAnsi="思源黑体 CN Light" w:eastAsia="思源黑体 CN Light"/>
          <w:sz w:val="18"/>
          <w:szCs w:val="18"/>
        </w:rPr>
        <w:t>1、本材料中的信息均来源于我们认为可靠的已公开资料和合作客户的研究成果，但本公司及研究人员对这些信息的准确性和完整性不作任何保证，也不保证本材料所包含的信息或建议在本材料发出后不会发生任何变更，且本材料仅反映发布时的资料、观点和预测，可能在随后会作出调整。2、本材料中的资料、观点和预测等仅供参考，在任何时候均不构成对任何人的个人推荐。市场有风险，投资需谨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思源黑体 CN Bold">
    <w:altName w:val="黑体"/>
    <w:panose1 w:val="00000000000000000000"/>
    <w:charset w:val="86"/>
    <w:family w:val="swiss"/>
    <w:pitch w:val="default"/>
    <w:sig w:usb0="00000000" w:usb1="00000000" w:usb2="00000016" w:usb3="00000000" w:csb0="60060107" w:csb1="00000000"/>
  </w:font>
  <w:font w:name="思源黑体 CN Light">
    <w:altName w:val="黑体"/>
    <w:panose1 w:val="00000000000000000000"/>
    <w:charset w:val="86"/>
    <w:family w:val="swiss"/>
    <w:pitch w:val="default"/>
    <w:sig w:usb0="00000000" w:usb1="00000000" w:usb2="00000016" w:usb3="00000000" w:csb0="60060107"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BA496F"/>
    <w:rsid w:val="00326AB9"/>
    <w:rsid w:val="004C0096"/>
    <w:rsid w:val="00796551"/>
    <w:rsid w:val="0AAA3C4D"/>
    <w:rsid w:val="0D5319E8"/>
    <w:rsid w:val="0E9953A0"/>
    <w:rsid w:val="18916B11"/>
    <w:rsid w:val="18D31DD1"/>
    <w:rsid w:val="1DDE692B"/>
    <w:rsid w:val="20F4758C"/>
    <w:rsid w:val="21BA496F"/>
    <w:rsid w:val="281573ED"/>
    <w:rsid w:val="2F4F1437"/>
    <w:rsid w:val="3C577B7C"/>
    <w:rsid w:val="455E01CE"/>
    <w:rsid w:val="47857F79"/>
    <w:rsid w:val="5200419C"/>
    <w:rsid w:val="55B53F29"/>
    <w:rsid w:val="7BB55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480" w:after="80" w:line="278" w:lineRule="auto"/>
      <w:jc w:val="left"/>
      <w:outlineLvl w:val="0"/>
    </w:pPr>
    <w:rPr>
      <w:rFonts w:asciiTheme="majorHAnsi" w:hAnsiTheme="majorHAnsi" w:eastAsiaTheme="majorEastAsia" w:cstheme="majorBidi"/>
      <w:color w:val="2E54A1" w:themeColor="accent1" w:themeShade="BF"/>
      <w:sz w:val="48"/>
      <w:szCs w:val="48"/>
      <w14:ligatures w14:val="standardContextual"/>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Balloon Text"/>
    <w:basedOn w:val="1"/>
    <w:link w:val="11"/>
    <w:qFormat/>
    <w:uiPriority w:val="0"/>
    <w:rPr>
      <w:sz w:val="18"/>
      <w:szCs w:val="18"/>
    </w:r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qFormat/>
    <w:uiPriority w:val="0"/>
    <w:rPr>
      <w:b/>
      <w:bCs/>
    </w:rPr>
  </w:style>
  <w:style w:type="character" w:styleId="10">
    <w:name w:val="annotation reference"/>
    <w:basedOn w:val="9"/>
    <w:uiPriority w:val="0"/>
    <w:rPr>
      <w:sz w:val="21"/>
      <w:szCs w:val="21"/>
    </w:rPr>
  </w:style>
  <w:style w:type="character" w:customStyle="1" w:styleId="11">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2">
    <w:name w:val="页眉 Char"/>
    <w:basedOn w:val="9"/>
    <w:link w:val="6"/>
    <w:qFormat/>
    <w:uiPriority w:val="0"/>
    <w:rPr>
      <w:rFonts w:asciiTheme="minorHAnsi" w:hAnsiTheme="minorHAnsi" w:eastAsiaTheme="minorEastAsia" w:cstheme="minorBidi"/>
      <w:kern w:val="2"/>
      <w:sz w:val="18"/>
      <w:szCs w:val="18"/>
    </w:rPr>
  </w:style>
  <w:style w:type="character" w:customStyle="1" w:styleId="13">
    <w:name w:val="页脚 Char"/>
    <w:basedOn w:val="9"/>
    <w:link w:val="5"/>
    <w:qFormat/>
    <w:uiPriority w:val="0"/>
    <w:rPr>
      <w:rFonts w:asciiTheme="minorHAnsi" w:hAnsiTheme="minorHAnsi" w:eastAsiaTheme="minorEastAsia" w:cstheme="minorBidi"/>
      <w:kern w:val="2"/>
      <w:sz w:val="18"/>
      <w:szCs w:val="18"/>
    </w:rPr>
  </w:style>
  <w:style w:type="character" w:customStyle="1" w:styleId="14">
    <w:name w:val="批注文字 Char"/>
    <w:basedOn w:val="9"/>
    <w:link w:val="3"/>
    <w:qFormat/>
    <w:uiPriority w:val="0"/>
    <w:rPr>
      <w:rFonts w:asciiTheme="minorHAnsi" w:hAnsiTheme="minorHAnsi" w:eastAsiaTheme="minorEastAsia" w:cstheme="minorBidi"/>
      <w:kern w:val="2"/>
      <w:sz w:val="21"/>
      <w:szCs w:val="22"/>
    </w:rPr>
  </w:style>
  <w:style w:type="character" w:customStyle="1" w:styleId="15">
    <w:name w:val="批注主题 Char"/>
    <w:basedOn w:val="14"/>
    <w:link w:val="7"/>
    <w:qFormat/>
    <w:uiPriority w:val="0"/>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1255</Words>
  <Characters>1537</Characters>
  <Lines>12</Lines>
  <Paragraphs>3</Paragraphs>
  <TotalTime>54</TotalTime>
  <ScaleCrop>false</ScaleCrop>
  <LinksUpToDate>false</LinksUpToDate>
  <CharactersWithSpaces>1714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2025-09-22T06:43:00Z</dcterms:created>
  <dc:creator>叶蕊</dc:creator>
  <cp:lastModifiedBy>旋木流水</cp:lastModifiedBy>
  <dcterms:modified xsi:type="dcterms:W3CDTF">2025-09-22T08:00:23Z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26A006155A6F4A51AA8D5A41EB3531A9_13</vt:lpwstr>
  </property>
  <property fmtid="{D5CDD505-2E9C-101B-9397-08002B2CF9AE}" pid="4" name="KSOTemplateDocerSaveRecord">
    <vt:lpwstr>eyJoZGlkIjoiZDVmZGI2NzZkYWVmZTkwYjdmNzRlNTRmMGJmZmU0NTgiLCJ1c2VySWQiOiIyMzM4NTczODIifQ==</vt:lpwstr>
  </property>
</Properties>
</file>