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E48B" w14:textId="77777777" w:rsidR="00B804EC" w:rsidRDefault="00B804EC">
      <w:pPr>
        <w:spacing w:line="360" w:lineRule="auto"/>
        <w:jc w:val="center"/>
        <w:rPr>
          <w:sz w:val="48"/>
          <w:szCs w:val="48"/>
        </w:rPr>
      </w:pPr>
    </w:p>
    <w:p w14:paraId="1446578E" w14:textId="77777777" w:rsidR="00B804EC" w:rsidRDefault="00B804EC">
      <w:pPr>
        <w:spacing w:line="360" w:lineRule="auto"/>
        <w:jc w:val="center"/>
        <w:rPr>
          <w:sz w:val="48"/>
          <w:szCs w:val="48"/>
        </w:rPr>
      </w:pPr>
    </w:p>
    <w:p w14:paraId="699998C2" w14:textId="77777777" w:rsidR="00B804EC" w:rsidRDefault="00B804EC">
      <w:pPr>
        <w:spacing w:line="360" w:lineRule="auto"/>
        <w:jc w:val="center"/>
        <w:rPr>
          <w:sz w:val="48"/>
          <w:szCs w:val="48"/>
        </w:rPr>
      </w:pPr>
    </w:p>
    <w:p w14:paraId="448630D4" w14:textId="77777777" w:rsidR="00B804EC" w:rsidRDefault="00B804EC">
      <w:pPr>
        <w:spacing w:line="360" w:lineRule="auto"/>
        <w:jc w:val="center"/>
        <w:rPr>
          <w:sz w:val="48"/>
          <w:szCs w:val="48"/>
        </w:rPr>
      </w:pPr>
    </w:p>
    <w:p w14:paraId="6B0C137F" w14:textId="77777777" w:rsidR="00B804EC" w:rsidRDefault="00B804EC">
      <w:pPr>
        <w:spacing w:line="360" w:lineRule="auto"/>
        <w:jc w:val="center"/>
        <w:rPr>
          <w:sz w:val="48"/>
          <w:szCs w:val="48"/>
        </w:rPr>
      </w:pPr>
    </w:p>
    <w:p w14:paraId="4954F136" w14:textId="77777777" w:rsidR="00B804EC" w:rsidRDefault="00000000">
      <w:pPr>
        <w:spacing w:line="360" w:lineRule="auto"/>
        <w:jc w:val="center"/>
        <w:rPr>
          <w:b/>
          <w:sz w:val="48"/>
          <w:szCs w:val="48"/>
        </w:rPr>
      </w:pPr>
      <w:r>
        <w:rPr>
          <w:b/>
          <w:sz w:val="48"/>
          <w:szCs w:val="48"/>
        </w:rPr>
        <w:t>富荣富兴纯债债券型证券投资基金</w:t>
      </w:r>
    </w:p>
    <w:p w14:paraId="5AB68B0B" w14:textId="77777777" w:rsidR="00B804EC" w:rsidRDefault="00000000">
      <w:pPr>
        <w:spacing w:line="360" w:lineRule="auto"/>
        <w:jc w:val="center"/>
        <w:rPr>
          <w:b/>
          <w:sz w:val="48"/>
          <w:szCs w:val="48"/>
        </w:rPr>
      </w:pPr>
      <w:r>
        <w:rPr>
          <w:rFonts w:hint="eastAsia"/>
          <w:b/>
          <w:sz w:val="48"/>
          <w:szCs w:val="48"/>
        </w:rPr>
        <w:t>更新的</w:t>
      </w:r>
      <w:r>
        <w:rPr>
          <w:b/>
          <w:sz w:val="48"/>
          <w:szCs w:val="48"/>
        </w:rPr>
        <w:t>招募说明书</w:t>
      </w:r>
    </w:p>
    <w:p w14:paraId="28010A73" w14:textId="76334D83" w:rsidR="00B804EC" w:rsidRDefault="00000000">
      <w:pPr>
        <w:spacing w:line="360" w:lineRule="auto"/>
        <w:jc w:val="center"/>
        <w:rPr>
          <w:b/>
          <w:sz w:val="48"/>
          <w:szCs w:val="48"/>
        </w:rPr>
      </w:pPr>
      <w:r>
        <w:rPr>
          <w:rFonts w:hint="eastAsia"/>
          <w:b/>
          <w:sz w:val="48"/>
          <w:szCs w:val="48"/>
        </w:rPr>
        <w:t>（</w:t>
      </w:r>
      <w:r>
        <w:rPr>
          <w:rFonts w:hint="eastAsia"/>
          <w:b/>
          <w:sz w:val="48"/>
          <w:szCs w:val="48"/>
        </w:rPr>
        <w:t>2026</w:t>
      </w:r>
      <w:r>
        <w:rPr>
          <w:rFonts w:hint="eastAsia"/>
          <w:b/>
          <w:sz w:val="48"/>
          <w:szCs w:val="48"/>
        </w:rPr>
        <w:t>年第</w:t>
      </w:r>
      <w:r>
        <w:rPr>
          <w:rFonts w:hint="eastAsia"/>
          <w:b/>
          <w:sz w:val="48"/>
          <w:szCs w:val="48"/>
        </w:rPr>
        <w:t>1</w:t>
      </w:r>
      <w:r>
        <w:rPr>
          <w:rFonts w:hint="eastAsia"/>
          <w:b/>
          <w:sz w:val="48"/>
          <w:szCs w:val="48"/>
        </w:rPr>
        <w:t>号）</w:t>
      </w:r>
    </w:p>
    <w:p w14:paraId="4AFAB55E" w14:textId="77777777" w:rsidR="00B804EC" w:rsidRDefault="00B804EC">
      <w:pPr>
        <w:spacing w:line="360" w:lineRule="auto"/>
        <w:jc w:val="center"/>
        <w:rPr>
          <w:sz w:val="48"/>
          <w:szCs w:val="48"/>
        </w:rPr>
      </w:pPr>
    </w:p>
    <w:p w14:paraId="0F0CBDF4" w14:textId="77777777" w:rsidR="00B804EC" w:rsidRDefault="00B804EC">
      <w:pPr>
        <w:spacing w:line="360" w:lineRule="auto"/>
        <w:jc w:val="center"/>
        <w:rPr>
          <w:sz w:val="48"/>
          <w:szCs w:val="48"/>
        </w:rPr>
      </w:pPr>
    </w:p>
    <w:p w14:paraId="76DFF535" w14:textId="77777777" w:rsidR="00B804EC" w:rsidRDefault="00B804EC">
      <w:pPr>
        <w:spacing w:line="360" w:lineRule="auto"/>
        <w:jc w:val="center"/>
        <w:rPr>
          <w:sz w:val="48"/>
          <w:szCs w:val="48"/>
        </w:rPr>
      </w:pPr>
    </w:p>
    <w:p w14:paraId="08CEDB9B" w14:textId="77777777" w:rsidR="00B804EC" w:rsidRDefault="00B804EC">
      <w:pPr>
        <w:spacing w:line="360" w:lineRule="auto"/>
        <w:jc w:val="center"/>
        <w:rPr>
          <w:sz w:val="48"/>
          <w:szCs w:val="48"/>
        </w:rPr>
      </w:pPr>
    </w:p>
    <w:p w14:paraId="02CB8BC6" w14:textId="77777777" w:rsidR="00B804EC" w:rsidRDefault="00000000">
      <w:pPr>
        <w:snapToGrid w:val="0"/>
        <w:spacing w:line="360" w:lineRule="auto"/>
        <w:jc w:val="center"/>
        <w:rPr>
          <w:rFonts w:ascii="Arial Unicode MS" w:hAnsi="Arial Unicode MS" w:cs="Arial" w:hint="eastAsia"/>
          <w:b/>
          <w:sz w:val="30"/>
          <w:szCs w:val="30"/>
        </w:rPr>
      </w:pPr>
      <w:r>
        <w:rPr>
          <w:rFonts w:ascii="Arial Unicode MS" w:hAnsi="Arial Unicode MS" w:cs="Arial"/>
          <w:b/>
          <w:sz w:val="30"/>
          <w:szCs w:val="30"/>
        </w:rPr>
        <w:t>基金管理人：富荣基金管理有限公司</w:t>
      </w:r>
    </w:p>
    <w:p w14:paraId="55BDE2D3" w14:textId="77777777" w:rsidR="00B804EC" w:rsidRDefault="00000000">
      <w:pPr>
        <w:snapToGrid w:val="0"/>
        <w:spacing w:line="360" w:lineRule="auto"/>
        <w:jc w:val="center"/>
        <w:rPr>
          <w:rFonts w:ascii="Arial Unicode MS" w:hAnsi="Arial Unicode MS" w:cs="Arial" w:hint="eastAsia"/>
          <w:b/>
          <w:bCs/>
          <w:sz w:val="28"/>
          <w:szCs w:val="28"/>
        </w:rPr>
      </w:pPr>
      <w:r>
        <w:rPr>
          <w:rFonts w:ascii="Arial Unicode MS" w:hAnsi="Arial Unicode MS" w:cs="Arial"/>
          <w:b/>
          <w:sz w:val="30"/>
          <w:szCs w:val="30"/>
        </w:rPr>
        <w:t>基金托管人：</w:t>
      </w:r>
      <w:r>
        <w:rPr>
          <w:rFonts w:ascii="Arial Unicode MS" w:hAnsi="Arial Unicode MS" w:cs="Arial" w:hint="eastAsia"/>
          <w:b/>
          <w:sz w:val="30"/>
          <w:szCs w:val="30"/>
        </w:rPr>
        <w:t>中国建设银行股份有限公司</w:t>
      </w:r>
    </w:p>
    <w:p w14:paraId="70B3A5D3" w14:textId="77777777" w:rsidR="00B804EC" w:rsidRDefault="00000000">
      <w:pPr>
        <w:spacing w:line="360" w:lineRule="auto"/>
        <w:jc w:val="center"/>
        <w:rPr>
          <w:rFonts w:ascii="宋体" w:hAnsi="宋体" w:hint="eastAsia"/>
          <w:color w:val="000000"/>
          <w:sz w:val="30"/>
          <w:szCs w:val="30"/>
        </w:rPr>
      </w:pPr>
      <w:r>
        <w:rPr>
          <w:rFonts w:ascii="Arial Unicode MS" w:hAnsi="Arial Unicode MS" w:cs="Arial"/>
          <w:sz w:val="30"/>
          <w:szCs w:val="30"/>
        </w:rPr>
        <w:tab/>
      </w:r>
    </w:p>
    <w:p w14:paraId="36ED7315" w14:textId="77777777" w:rsidR="00B804EC" w:rsidRDefault="00B804EC">
      <w:pPr>
        <w:spacing w:line="360" w:lineRule="auto"/>
        <w:jc w:val="center"/>
        <w:rPr>
          <w:b/>
          <w:sz w:val="36"/>
          <w:szCs w:val="20"/>
        </w:rPr>
      </w:pPr>
    </w:p>
    <w:p w14:paraId="4E64C7F7" w14:textId="77777777" w:rsidR="00B804EC" w:rsidRDefault="00B804EC">
      <w:pPr>
        <w:rPr>
          <w:rFonts w:ascii="Arial Unicode MS" w:hAnsi="Arial Unicode MS" w:cs="Arial" w:hint="eastAsia"/>
          <w:sz w:val="28"/>
          <w:szCs w:val="28"/>
        </w:rPr>
        <w:sectPr w:rsidR="00B804EC">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720"/>
          <w:titlePg/>
          <w:docGrid w:linePitch="312"/>
        </w:sectPr>
      </w:pPr>
    </w:p>
    <w:p w14:paraId="0B5838AF" w14:textId="77777777" w:rsidR="00B804EC" w:rsidRDefault="00000000">
      <w:pPr>
        <w:autoSpaceDE w:val="0"/>
        <w:autoSpaceDN w:val="0"/>
        <w:adjustRightInd w:val="0"/>
        <w:snapToGrid w:val="0"/>
        <w:spacing w:line="360" w:lineRule="auto"/>
        <w:ind w:firstLineChars="200" w:firstLine="562"/>
        <w:jc w:val="center"/>
        <w:rPr>
          <w:rFonts w:ascii="Arial Unicode MS" w:hAnsi="Arial Unicode MS" w:cs="Arial" w:hint="eastAsia"/>
          <w:b/>
          <w:bCs/>
          <w:sz w:val="28"/>
          <w:szCs w:val="28"/>
        </w:rPr>
      </w:pPr>
      <w:r>
        <w:rPr>
          <w:rFonts w:ascii="Arial Unicode MS" w:hAnsi="Arial Unicode MS" w:cs="Arial"/>
          <w:b/>
          <w:bCs/>
          <w:sz w:val="28"/>
          <w:szCs w:val="28"/>
        </w:rPr>
        <w:lastRenderedPageBreak/>
        <w:t>【重要提示】</w:t>
      </w:r>
    </w:p>
    <w:p w14:paraId="52833EE8" w14:textId="77777777" w:rsidR="00B804EC" w:rsidRDefault="00000000">
      <w:pPr>
        <w:spacing w:line="360" w:lineRule="auto"/>
        <w:ind w:firstLineChars="200" w:firstLine="420"/>
      </w:pPr>
      <w:r>
        <w:rPr>
          <w:rFonts w:hint="eastAsia"/>
        </w:rPr>
        <w:t>1</w:t>
      </w:r>
      <w:r>
        <w:rPr>
          <w:rFonts w:hint="eastAsia"/>
        </w:rPr>
        <w:t>、本基金根据</w:t>
      </w:r>
      <w:r>
        <w:rPr>
          <w:rFonts w:hint="eastAsia"/>
        </w:rPr>
        <w:t>201</w:t>
      </w:r>
      <w:r>
        <w:t>6</w:t>
      </w:r>
      <w:r>
        <w:rPr>
          <w:rFonts w:hint="eastAsia"/>
        </w:rPr>
        <w:t>年</w:t>
      </w:r>
      <w:r>
        <w:rPr>
          <w:rFonts w:hint="eastAsia"/>
        </w:rPr>
        <w:t>11</w:t>
      </w:r>
      <w:r>
        <w:rPr>
          <w:rFonts w:hint="eastAsia"/>
        </w:rPr>
        <w:t>月</w:t>
      </w:r>
      <w:r>
        <w:t>7</w:t>
      </w:r>
      <w:r>
        <w:rPr>
          <w:rFonts w:hint="eastAsia"/>
        </w:rPr>
        <w:t>日中国证券监督管理委员会（以下简称“中国证监会”）《关于准予富荣富兴纯债债券型证券投资基金注册的批复》（证监许可【</w:t>
      </w:r>
      <w:r>
        <w:t>2016</w:t>
      </w:r>
      <w:r>
        <w:rPr>
          <w:rFonts w:hint="eastAsia"/>
        </w:rPr>
        <w:t>】</w:t>
      </w:r>
      <w:r>
        <w:t>2526</w:t>
      </w:r>
      <w:r>
        <w:rPr>
          <w:rFonts w:hint="eastAsia"/>
        </w:rPr>
        <w:t>号）进行募集。</w:t>
      </w:r>
      <w:r>
        <w:rPr>
          <w:rFonts w:hint="eastAsia"/>
        </w:rPr>
        <w:t>2021</w:t>
      </w:r>
      <w:r>
        <w:rPr>
          <w:rFonts w:hint="eastAsia"/>
        </w:rPr>
        <w:t>年</w:t>
      </w:r>
      <w:r>
        <w:rPr>
          <w:rFonts w:hint="eastAsia"/>
        </w:rPr>
        <w:t>2</w:t>
      </w:r>
      <w:r>
        <w:rPr>
          <w:rFonts w:hint="eastAsia"/>
        </w:rPr>
        <w:t>月</w:t>
      </w:r>
      <w:r>
        <w:rPr>
          <w:rFonts w:hint="eastAsia"/>
        </w:rPr>
        <w:t>7</w:t>
      </w:r>
      <w:r>
        <w:rPr>
          <w:rFonts w:hint="eastAsia"/>
        </w:rPr>
        <w:t>日由中国证监会指定中国建设银行股份有限公司为本基金临时基金托管人。</w:t>
      </w:r>
    </w:p>
    <w:p w14:paraId="10112001" w14:textId="77777777" w:rsidR="00B804EC" w:rsidRDefault="00000000">
      <w:pPr>
        <w:spacing w:line="360" w:lineRule="auto"/>
        <w:ind w:firstLineChars="200" w:firstLine="420"/>
      </w:pPr>
      <w:r>
        <w:rPr>
          <w:rFonts w:hint="eastAsia"/>
        </w:rPr>
        <w:t>2021</w:t>
      </w:r>
      <w:r>
        <w:rPr>
          <w:rFonts w:hint="eastAsia"/>
        </w:rPr>
        <w:t>年</w:t>
      </w:r>
      <w:r>
        <w:t>5</w:t>
      </w:r>
      <w:r>
        <w:rPr>
          <w:rFonts w:hint="eastAsia"/>
        </w:rPr>
        <w:t>月</w:t>
      </w:r>
      <w:r>
        <w:rPr>
          <w:rFonts w:hint="eastAsia"/>
        </w:rPr>
        <w:t>1</w:t>
      </w:r>
      <w:r>
        <w:t>5</w:t>
      </w:r>
      <w:r>
        <w:rPr>
          <w:rFonts w:hint="eastAsia"/>
        </w:rPr>
        <w:t>日至</w:t>
      </w:r>
      <w:r>
        <w:rPr>
          <w:rFonts w:hint="eastAsia"/>
        </w:rPr>
        <w:t>2021</w:t>
      </w:r>
      <w:r>
        <w:rPr>
          <w:rFonts w:hint="eastAsia"/>
        </w:rPr>
        <w:t>年</w:t>
      </w:r>
      <w:r>
        <w:t>6</w:t>
      </w:r>
      <w:r>
        <w:rPr>
          <w:rFonts w:hint="eastAsia"/>
        </w:rPr>
        <w:t>月</w:t>
      </w:r>
      <w:r>
        <w:rPr>
          <w:rFonts w:hint="eastAsia"/>
        </w:rPr>
        <w:t>1</w:t>
      </w:r>
      <w:r>
        <w:t>4</w:t>
      </w:r>
      <w:r>
        <w:rPr>
          <w:rFonts w:hint="eastAsia"/>
        </w:rPr>
        <w:t>日富荣富兴纯债债券型证券投资基金召开基金份额持有人大会，会议审议通过了《关于富荣富兴纯债债券型证券投资基金更换基金托管人等并修改法律文件等有关事项的议案》，主要内容为富荣富兴纯债债券型证券投资基金更换基金托管人为中国建设银行股份有限公司并相应修订基金合同，上述基金份额持有人大会决议自表决通过之日起生效。</w:t>
      </w:r>
    </w:p>
    <w:p w14:paraId="7C05720B" w14:textId="77777777" w:rsidR="00B804EC" w:rsidRDefault="00000000">
      <w:pPr>
        <w:spacing w:line="360" w:lineRule="auto"/>
        <w:ind w:firstLineChars="200" w:firstLine="420"/>
      </w:pPr>
      <w:r>
        <w:rPr>
          <w:rFonts w:hint="eastAsia"/>
        </w:rPr>
        <w:t>自</w:t>
      </w:r>
      <w:r>
        <w:rPr>
          <w:rFonts w:hint="eastAsia"/>
        </w:rPr>
        <w:t>2021</w:t>
      </w:r>
      <w:r>
        <w:rPr>
          <w:rFonts w:hint="eastAsia"/>
        </w:rPr>
        <w:t>年</w:t>
      </w:r>
      <w:r>
        <w:t>6</w:t>
      </w:r>
      <w:r>
        <w:rPr>
          <w:rFonts w:hint="eastAsia"/>
        </w:rPr>
        <w:t>月</w:t>
      </w:r>
      <w:r>
        <w:t>16</w:t>
      </w:r>
      <w:r>
        <w:rPr>
          <w:rFonts w:hint="eastAsia"/>
        </w:rPr>
        <w:t>日起，原《富荣富兴纯债债券型证券投资基金基金合同》失效，更换基金托管人后的《富荣富兴纯债债券型证券投资基金基金合同》生效。</w:t>
      </w:r>
    </w:p>
    <w:p w14:paraId="77F50C39" w14:textId="77777777" w:rsidR="00B804EC" w:rsidRDefault="00000000">
      <w:pPr>
        <w:spacing w:line="360" w:lineRule="auto"/>
        <w:ind w:firstLineChars="200" w:firstLine="420"/>
      </w:pPr>
      <w:r>
        <w:t>2</w:t>
      </w:r>
      <w:r>
        <w:rPr>
          <w:rFonts w:hint="eastAsia"/>
        </w:rPr>
        <w:t>、基金管理人保证招募说明书的内容真实、准确、完整。本招募说明书经中国证监会注册，但中国证监会对本基金募集的注册</w:t>
      </w:r>
      <w:r>
        <w:rPr>
          <w:rFonts w:hint="eastAsia"/>
          <w:bCs/>
        </w:rPr>
        <w:t>及后续变更的注册</w:t>
      </w:r>
      <w:r>
        <w:rPr>
          <w:rFonts w:hint="eastAsia"/>
        </w:rPr>
        <w:t>，并不表明其对本基金的投资价值和市场前景作出实质性判断或保证，也不表明投资于本基金没有风险。</w:t>
      </w:r>
    </w:p>
    <w:p w14:paraId="0EE2ED35" w14:textId="77777777" w:rsidR="00B804EC" w:rsidRDefault="00000000">
      <w:pPr>
        <w:spacing w:line="360" w:lineRule="auto"/>
        <w:ind w:firstLineChars="200" w:firstLine="420"/>
      </w:pPr>
      <w:r>
        <w:t>3</w:t>
      </w:r>
      <w:r>
        <w:rPr>
          <w:rFonts w:hint="eastAsia"/>
        </w:rPr>
        <w:t>、投资有风险，投资者认购（或申购）基金份额时应认真阅读基金合同、本招募说明书、基金产品资料概要等信息披露文件，自主判断基金的投资价值，全面认识本基金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14:paraId="32B2BF87" w14:textId="77777777" w:rsidR="00B804EC" w:rsidRDefault="00000000">
      <w:pPr>
        <w:spacing w:line="360" w:lineRule="auto"/>
        <w:ind w:firstLineChars="200" w:firstLine="420"/>
      </w:pPr>
      <w:r>
        <w:t>4</w:t>
      </w:r>
      <w:r>
        <w:rPr>
          <w:rFonts w:hint="eastAsia"/>
        </w:rPr>
        <w:t>、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0E6A7D81" w14:textId="77777777" w:rsidR="00B804EC" w:rsidRDefault="00000000">
      <w:pPr>
        <w:spacing w:line="360" w:lineRule="auto"/>
        <w:ind w:firstLineChars="200" w:firstLine="420"/>
      </w:pPr>
      <w:r>
        <w:t>5</w:t>
      </w:r>
      <w:r>
        <w:rPr>
          <w:rFonts w:hint="eastAsia"/>
        </w:rPr>
        <w:t>、本基金为债券型基金，预期收益和预期风险高于货币市场基金，但低于混合型基金、股票型基金，属于中低预期风险</w:t>
      </w:r>
      <w:r>
        <w:t>/</w:t>
      </w:r>
      <w:r>
        <w:rPr>
          <w:rFonts w:hint="eastAsia"/>
        </w:rPr>
        <w:t>预期收益的产品。</w:t>
      </w:r>
    </w:p>
    <w:p w14:paraId="265D8113" w14:textId="77777777" w:rsidR="00B804EC" w:rsidRDefault="00000000">
      <w:pPr>
        <w:spacing w:line="360" w:lineRule="auto"/>
        <w:ind w:firstLineChars="200" w:firstLine="420"/>
      </w:pPr>
      <w:r>
        <w:t>6</w:t>
      </w:r>
      <w:r>
        <w:rPr>
          <w:rFonts w:hint="eastAsia"/>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6C2D8D1E" w14:textId="77777777" w:rsidR="00B804EC" w:rsidRDefault="00000000">
      <w:pPr>
        <w:spacing w:line="360" w:lineRule="auto"/>
        <w:ind w:firstLineChars="200" w:firstLine="420"/>
      </w:pPr>
      <w:r>
        <w:rPr>
          <w:rFonts w:hint="eastAsia"/>
        </w:rPr>
        <w:t>本基金不投资于股票和权证，也不投资于可转换债券（可分离交易可转债的纯债部分除外）、可交换债券。</w:t>
      </w:r>
    </w:p>
    <w:p w14:paraId="2A8BA239" w14:textId="77777777" w:rsidR="00B804EC" w:rsidRDefault="00000000">
      <w:pPr>
        <w:spacing w:line="360" w:lineRule="auto"/>
        <w:ind w:firstLineChars="200" w:firstLine="420"/>
      </w:pPr>
      <w:r>
        <w:rPr>
          <w:rFonts w:hint="eastAsia"/>
        </w:rPr>
        <w:t>如法律法规或监管机构以后允许基金投资的其他品种，基金管理人在履行适当程序后，</w:t>
      </w:r>
      <w:r>
        <w:rPr>
          <w:rFonts w:hint="eastAsia"/>
        </w:rPr>
        <w:lastRenderedPageBreak/>
        <w:t>可以将其纳入投资范围。</w:t>
      </w:r>
    </w:p>
    <w:p w14:paraId="49DB34F4" w14:textId="77777777" w:rsidR="00B804EC" w:rsidRDefault="00000000">
      <w:pPr>
        <w:spacing w:line="360" w:lineRule="auto"/>
        <w:ind w:firstLineChars="200" w:firstLine="420"/>
      </w:pPr>
      <w:r>
        <w:t>7</w:t>
      </w:r>
      <w:r>
        <w:rPr>
          <w:rFonts w:hint="eastAsia"/>
        </w:rPr>
        <w:t>、基金的投资组合比例为：本基金对债券的投资比例不低于基金资产的</w:t>
      </w:r>
      <w:r>
        <w:t>80</w:t>
      </w:r>
      <w:r>
        <w:rPr>
          <w:rFonts w:hint="eastAsia"/>
        </w:rPr>
        <w:t>％；本基金持有现金或者到期日在一年以内的政府债券投资比例不低于基金资产净值的</w:t>
      </w:r>
      <w:r>
        <w:t>5%</w:t>
      </w:r>
      <w:r>
        <w:rPr>
          <w:rFonts w:hint="eastAsia"/>
        </w:rPr>
        <w:t>，其中，现金不包括结算备付金、存出保证金、应收申购款。</w:t>
      </w:r>
    </w:p>
    <w:p w14:paraId="798B6315" w14:textId="77777777" w:rsidR="00B804EC" w:rsidRDefault="00000000">
      <w:pPr>
        <w:spacing w:line="360" w:lineRule="auto"/>
        <w:ind w:firstLineChars="200" w:firstLine="420"/>
      </w:pPr>
      <w:r>
        <w:t>8</w:t>
      </w:r>
      <w:r>
        <w:rPr>
          <w:rFonts w:hint="eastAsia"/>
        </w:rPr>
        <w:t>、本基金初始募集面值为人民币</w:t>
      </w:r>
      <w:r>
        <w:t xml:space="preserve">1.00 </w:t>
      </w:r>
      <w:r>
        <w:rPr>
          <w:rFonts w:hint="eastAsia"/>
        </w:rPr>
        <w:t>元。在市场波动因素影响下，本基金净值可能低于初始面值，本基金投资者有可能出现亏损。</w:t>
      </w:r>
    </w:p>
    <w:p w14:paraId="736512CA" w14:textId="77777777" w:rsidR="00B804EC" w:rsidRDefault="00000000">
      <w:pPr>
        <w:spacing w:line="360" w:lineRule="auto"/>
        <w:ind w:firstLineChars="200" w:firstLine="420"/>
      </w:pPr>
      <w:r>
        <w:t>9</w:t>
      </w:r>
      <w:r>
        <w:rPr>
          <w:rFonts w:hint="eastAsia"/>
        </w:rPr>
        <w:t>、基金的过往业绩并不预示其未来表现，基金管理人管理的其他基金的业绩也不构成对本基金业绩表现的保证。</w:t>
      </w:r>
    </w:p>
    <w:p w14:paraId="078EBA76" w14:textId="77777777" w:rsidR="00B804EC" w:rsidRDefault="00000000">
      <w:pPr>
        <w:spacing w:line="360" w:lineRule="auto"/>
        <w:ind w:firstLineChars="200" w:firstLine="420"/>
      </w:pPr>
      <w:r>
        <w:t>10</w:t>
      </w:r>
      <w:r>
        <w:rPr>
          <w:rFonts w:hint="eastAsia"/>
        </w:rPr>
        <w:t>、基金管理人依照恪尽职守、诚实信用、谨慎勤勉的原则管理和运用基金财产，但不保证基金一定盈利，也不保证最低收益。</w:t>
      </w:r>
    </w:p>
    <w:p w14:paraId="0993E3B6" w14:textId="77777777" w:rsidR="00B804EC" w:rsidRDefault="00000000">
      <w:pPr>
        <w:spacing w:line="360" w:lineRule="auto"/>
        <w:ind w:firstLineChars="200" w:firstLine="420"/>
      </w:pPr>
      <w:r>
        <w:rPr>
          <w:rFonts w:hint="eastAsia"/>
        </w:rPr>
        <w:t>11</w:t>
      </w:r>
      <w:r>
        <w:rPr>
          <w:rFonts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80F474E" w14:textId="75A5A860" w:rsidR="00B804EC" w:rsidRDefault="00000000">
      <w:pPr>
        <w:spacing w:line="360" w:lineRule="auto"/>
        <w:ind w:firstLineChars="200" w:firstLine="420"/>
      </w:pPr>
      <w:r>
        <w:rPr>
          <w:rFonts w:hint="eastAsia"/>
        </w:rPr>
        <w:t>12</w:t>
      </w:r>
      <w:r>
        <w:rPr>
          <w:rFonts w:hint="eastAsia"/>
        </w:rPr>
        <w:t>、</w:t>
      </w:r>
      <w:r w:rsidRPr="0021714D">
        <w:rPr>
          <w:rFonts w:hint="eastAsia"/>
        </w:rPr>
        <w:t>本招募说明书</w:t>
      </w:r>
      <w:r>
        <w:rPr>
          <w:rFonts w:hint="eastAsia"/>
        </w:rPr>
        <w:t>所载内容截止日为</w:t>
      </w:r>
      <w:r>
        <w:rPr>
          <w:rFonts w:hint="eastAsia"/>
        </w:rPr>
        <w:t>2026</w:t>
      </w:r>
      <w:r>
        <w:rPr>
          <w:rFonts w:hint="eastAsia"/>
        </w:rPr>
        <w:t>年</w:t>
      </w:r>
      <w:r>
        <w:rPr>
          <w:rFonts w:hint="eastAsia"/>
        </w:rPr>
        <w:t>2</w:t>
      </w:r>
      <w:r>
        <w:rPr>
          <w:rFonts w:hint="eastAsia"/>
        </w:rPr>
        <w:t>月</w:t>
      </w:r>
      <w:r>
        <w:rPr>
          <w:rFonts w:hint="eastAsia"/>
        </w:rPr>
        <w:t>28</w:t>
      </w:r>
      <w:r>
        <w:rPr>
          <w:rFonts w:hint="eastAsia"/>
        </w:rPr>
        <w:t>日，有关财务数据截止日为</w:t>
      </w:r>
      <w:r>
        <w:rPr>
          <w:rFonts w:hint="eastAsia"/>
        </w:rPr>
        <w:t>2025</w:t>
      </w:r>
      <w:r>
        <w:rPr>
          <w:rFonts w:hint="eastAsia"/>
        </w:rPr>
        <w:t>年</w:t>
      </w:r>
      <w:r>
        <w:rPr>
          <w:rFonts w:hint="eastAsia"/>
        </w:rPr>
        <w:t>12</w:t>
      </w:r>
      <w:r>
        <w:rPr>
          <w:rFonts w:hint="eastAsia"/>
        </w:rPr>
        <w:t>月</w:t>
      </w:r>
      <w:r>
        <w:rPr>
          <w:rFonts w:hint="eastAsia"/>
        </w:rPr>
        <w:t>31</w:t>
      </w:r>
      <w:r>
        <w:rPr>
          <w:rFonts w:hint="eastAsia"/>
        </w:rPr>
        <w:t>日，净值表现截止日为</w:t>
      </w:r>
      <w:r>
        <w:rPr>
          <w:rFonts w:hint="eastAsia"/>
        </w:rPr>
        <w:t>2025</w:t>
      </w:r>
      <w:r>
        <w:rPr>
          <w:rFonts w:hint="eastAsia"/>
        </w:rPr>
        <w:t>年</w:t>
      </w:r>
      <w:r>
        <w:rPr>
          <w:rFonts w:hint="eastAsia"/>
        </w:rPr>
        <w:t>12</w:t>
      </w:r>
      <w:r>
        <w:rPr>
          <w:rFonts w:hint="eastAsia"/>
        </w:rPr>
        <w:t>月</w:t>
      </w:r>
      <w:r>
        <w:rPr>
          <w:rFonts w:hint="eastAsia"/>
        </w:rPr>
        <w:t>31</w:t>
      </w:r>
      <w:r>
        <w:rPr>
          <w:rFonts w:hint="eastAsia"/>
        </w:rPr>
        <w:t>日，本报告中所列财务数据未经审计。</w:t>
      </w:r>
    </w:p>
    <w:p w14:paraId="6DABD851" w14:textId="77777777" w:rsidR="00B804EC" w:rsidRDefault="00000000">
      <w:pPr>
        <w:spacing w:line="360" w:lineRule="auto"/>
        <w:ind w:firstLineChars="200" w:firstLine="420"/>
      </w:pPr>
      <w:r>
        <w:rPr>
          <w:rFonts w:hint="eastAsia"/>
        </w:rPr>
        <w:t>本基金托管人中国建设银行股份有限公司已复核了本次更新的招募说明书。</w:t>
      </w:r>
    </w:p>
    <w:p w14:paraId="4550344E" w14:textId="77777777" w:rsidR="00B804EC" w:rsidRDefault="00000000">
      <w:pPr>
        <w:autoSpaceDE w:val="0"/>
        <w:autoSpaceDN w:val="0"/>
        <w:adjustRightInd w:val="0"/>
        <w:snapToGrid w:val="0"/>
        <w:spacing w:line="360" w:lineRule="auto"/>
        <w:ind w:firstLineChars="200" w:firstLine="900"/>
        <w:jc w:val="center"/>
        <w:rPr>
          <w:rFonts w:ascii="Arial Unicode MS" w:hAnsi="Arial Unicode MS" w:cs="Arial" w:hint="eastAsia"/>
          <w:b/>
          <w:bCs/>
          <w:spacing w:val="120"/>
          <w:sz w:val="28"/>
          <w:szCs w:val="21"/>
        </w:rPr>
      </w:pPr>
      <w:r>
        <w:rPr>
          <w:rFonts w:ascii="Arial Unicode MS" w:hAnsi="Arial Unicode MS" w:cs="Arial"/>
          <w:bCs/>
          <w:spacing w:val="120"/>
          <w:szCs w:val="21"/>
        </w:rPr>
        <w:br w:type="page"/>
      </w:r>
      <w:r>
        <w:rPr>
          <w:rFonts w:ascii="Arial Unicode MS" w:hAnsi="Arial Unicode MS" w:cs="Arial"/>
          <w:b/>
          <w:bCs/>
          <w:spacing w:val="120"/>
          <w:sz w:val="28"/>
          <w:szCs w:val="21"/>
        </w:rPr>
        <w:lastRenderedPageBreak/>
        <w:t>目录</w:t>
      </w:r>
    </w:p>
    <w:p w14:paraId="30F36EC7" w14:textId="407CE400" w:rsidR="00B804EC" w:rsidRDefault="00000000">
      <w:pPr>
        <w:pStyle w:val="TOC1"/>
        <w:rPr>
          <w:rFonts w:asciiTheme="minorHAnsi" w:eastAsiaTheme="minorEastAsia" w:hAnsiTheme="minorHAnsi" w:cstheme="minorBidi"/>
          <w:caps w:val="0"/>
          <w:noProof/>
          <w:sz w:val="21"/>
          <w:szCs w:val="22"/>
        </w:rPr>
      </w:pPr>
      <w:r>
        <w:rPr>
          <w:rFonts w:ascii="Arial Unicode MS" w:hAnsi="Arial Unicode MS" w:cs="Arial"/>
          <w:bCs/>
          <w:spacing w:val="120"/>
          <w:sz w:val="21"/>
          <w:szCs w:val="21"/>
        </w:rPr>
        <w:fldChar w:fldCharType="begin"/>
      </w:r>
      <w:r>
        <w:rPr>
          <w:rFonts w:ascii="Arial Unicode MS" w:hAnsi="Arial Unicode MS" w:cs="Arial"/>
          <w:bCs/>
          <w:spacing w:val="120"/>
          <w:sz w:val="21"/>
          <w:szCs w:val="21"/>
        </w:rPr>
        <w:instrText xml:space="preserve"> TOC \o "1-1" \h \z </w:instrText>
      </w:r>
      <w:r>
        <w:rPr>
          <w:rFonts w:ascii="Arial Unicode MS" w:hAnsi="Arial Unicode MS" w:cs="Arial"/>
          <w:bCs/>
          <w:spacing w:val="120"/>
          <w:sz w:val="21"/>
          <w:szCs w:val="21"/>
        </w:rPr>
        <w:fldChar w:fldCharType="separate"/>
      </w:r>
      <w:hyperlink w:anchor="_Toc63676436" w:history="1">
        <w:r>
          <w:rPr>
            <w:rStyle w:val="affb"/>
            <w:rFonts w:ascii="Arial Unicode MS" w:hAnsi="Arial Unicode MS" w:cs="Arial" w:hint="eastAsia"/>
            <w:b/>
            <w:bCs/>
            <w:noProof/>
          </w:rPr>
          <w:t>第一部分</w:t>
        </w:r>
        <w:r>
          <w:rPr>
            <w:rStyle w:val="affb"/>
            <w:rFonts w:ascii="Arial Unicode MS" w:hAnsi="Arial Unicode MS" w:cs="Arial"/>
            <w:b/>
            <w:bCs/>
            <w:noProof/>
          </w:rPr>
          <w:t xml:space="preserve">  </w:t>
        </w:r>
        <w:r>
          <w:rPr>
            <w:rStyle w:val="affb"/>
            <w:rFonts w:ascii="Arial Unicode MS" w:hAnsi="Arial Unicode MS" w:cs="Arial" w:hint="eastAsia"/>
            <w:b/>
            <w:bCs/>
            <w:noProof/>
          </w:rPr>
          <w:t>绪言</w:t>
        </w:r>
        <w:r>
          <w:rPr>
            <w:noProof/>
          </w:rPr>
          <w:tab/>
        </w:r>
        <w:r>
          <w:rPr>
            <w:noProof/>
          </w:rPr>
          <w:fldChar w:fldCharType="begin"/>
        </w:r>
        <w:r>
          <w:rPr>
            <w:noProof/>
          </w:rPr>
          <w:instrText xml:space="preserve"> PAGEREF _Toc63676436 \h </w:instrText>
        </w:r>
        <w:r>
          <w:rPr>
            <w:noProof/>
          </w:rPr>
        </w:r>
        <w:r>
          <w:rPr>
            <w:noProof/>
          </w:rPr>
          <w:fldChar w:fldCharType="separate"/>
        </w:r>
        <w:r w:rsidR="00A67B88">
          <w:rPr>
            <w:rFonts w:hint="eastAsia"/>
            <w:noProof/>
          </w:rPr>
          <w:t>4</w:t>
        </w:r>
        <w:r>
          <w:rPr>
            <w:noProof/>
          </w:rPr>
          <w:fldChar w:fldCharType="end"/>
        </w:r>
      </w:hyperlink>
    </w:p>
    <w:p w14:paraId="05ED84FD" w14:textId="2DC56DCC" w:rsidR="00B804EC" w:rsidRDefault="00000000">
      <w:pPr>
        <w:pStyle w:val="TOC1"/>
        <w:rPr>
          <w:rFonts w:asciiTheme="minorHAnsi" w:eastAsiaTheme="minorEastAsia" w:hAnsiTheme="minorHAnsi" w:cstheme="minorBidi"/>
          <w:caps w:val="0"/>
          <w:noProof/>
          <w:sz w:val="21"/>
          <w:szCs w:val="22"/>
        </w:rPr>
      </w:pPr>
      <w:hyperlink w:anchor="_Toc63676437" w:history="1">
        <w:r>
          <w:rPr>
            <w:rStyle w:val="affb"/>
            <w:rFonts w:ascii="Arial Unicode MS" w:hAnsi="Arial Unicode MS" w:cs="Arial" w:hint="eastAsia"/>
            <w:b/>
            <w:bCs/>
            <w:noProof/>
          </w:rPr>
          <w:t>第二部分</w:t>
        </w:r>
        <w:r>
          <w:rPr>
            <w:rStyle w:val="affb"/>
            <w:rFonts w:ascii="Arial Unicode MS" w:hAnsi="Arial Unicode MS" w:cs="Arial"/>
            <w:b/>
            <w:bCs/>
            <w:noProof/>
          </w:rPr>
          <w:t xml:space="preserve">  </w:t>
        </w:r>
        <w:r>
          <w:rPr>
            <w:rStyle w:val="affb"/>
            <w:rFonts w:ascii="Arial Unicode MS" w:hAnsi="Arial Unicode MS" w:cs="Arial" w:hint="eastAsia"/>
            <w:b/>
            <w:bCs/>
            <w:noProof/>
          </w:rPr>
          <w:t>释义</w:t>
        </w:r>
        <w:r>
          <w:rPr>
            <w:noProof/>
          </w:rPr>
          <w:tab/>
        </w:r>
        <w:r>
          <w:rPr>
            <w:noProof/>
          </w:rPr>
          <w:fldChar w:fldCharType="begin"/>
        </w:r>
        <w:r>
          <w:rPr>
            <w:noProof/>
          </w:rPr>
          <w:instrText xml:space="preserve"> PAGEREF _Toc63676437 \h </w:instrText>
        </w:r>
        <w:r>
          <w:rPr>
            <w:noProof/>
          </w:rPr>
        </w:r>
        <w:r>
          <w:rPr>
            <w:noProof/>
          </w:rPr>
          <w:fldChar w:fldCharType="separate"/>
        </w:r>
        <w:r w:rsidR="00A67B88">
          <w:rPr>
            <w:rFonts w:hint="eastAsia"/>
            <w:noProof/>
          </w:rPr>
          <w:t>5</w:t>
        </w:r>
        <w:r>
          <w:rPr>
            <w:noProof/>
          </w:rPr>
          <w:fldChar w:fldCharType="end"/>
        </w:r>
      </w:hyperlink>
    </w:p>
    <w:p w14:paraId="04139656" w14:textId="43D13892" w:rsidR="00B804EC" w:rsidRDefault="00000000">
      <w:pPr>
        <w:pStyle w:val="TOC1"/>
        <w:rPr>
          <w:rFonts w:asciiTheme="minorHAnsi" w:eastAsiaTheme="minorEastAsia" w:hAnsiTheme="minorHAnsi" w:cstheme="minorBidi"/>
          <w:caps w:val="0"/>
          <w:noProof/>
          <w:sz w:val="21"/>
          <w:szCs w:val="22"/>
        </w:rPr>
      </w:pPr>
      <w:hyperlink w:anchor="_Toc63676438" w:history="1">
        <w:r>
          <w:rPr>
            <w:rStyle w:val="affb"/>
            <w:rFonts w:ascii="Arial Unicode MS" w:hAnsi="Arial Unicode MS" w:cs="Arial" w:hint="eastAsia"/>
            <w:b/>
            <w:bCs/>
            <w:noProof/>
          </w:rPr>
          <w:t>第三部分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基金管理人</w:t>
        </w:r>
        <w:r>
          <w:rPr>
            <w:noProof/>
          </w:rPr>
          <w:tab/>
        </w:r>
        <w:r>
          <w:rPr>
            <w:noProof/>
          </w:rPr>
          <w:fldChar w:fldCharType="begin"/>
        </w:r>
        <w:r>
          <w:rPr>
            <w:noProof/>
          </w:rPr>
          <w:instrText xml:space="preserve"> PAGEREF _Toc63676438 \h </w:instrText>
        </w:r>
        <w:r>
          <w:rPr>
            <w:noProof/>
          </w:rPr>
        </w:r>
        <w:r>
          <w:rPr>
            <w:noProof/>
          </w:rPr>
          <w:fldChar w:fldCharType="separate"/>
        </w:r>
        <w:r w:rsidR="00A67B88">
          <w:rPr>
            <w:rFonts w:hint="eastAsia"/>
            <w:noProof/>
          </w:rPr>
          <w:t>10</w:t>
        </w:r>
        <w:r>
          <w:rPr>
            <w:noProof/>
          </w:rPr>
          <w:fldChar w:fldCharType="end"/>
        </w:r>
      </w:hyperlink>
    </w:p>
    <w:p w14:paraId="7E7B0C19" w14:textId="752FF7D6" w:rsidR="00B804EC" w:rsidRDefault="00000000">
      <w:pPr>
        <w:pStyle w:val="TOC1"/>
        <w:rPr>
          <w:rFonts w:asciiTheme="minorHAnsi" w:eastAsiaTheme="minorEastAsia" w:hAnsiTheme="minorHAnsi" w:cstheme="minorBidi"/>
          <w:caps w:val="0"/>
          <w:noProof/>
          <w:sz w:val="21"/>
          <w:szCs w:val="22"/>
        </w:rPr>
      </w:pPr>
      <w:hyperlink w:anchor="_Toc63676439" w:history="1">
        <w:r>
          <w:rPr>
            <w:rStyle w:val="affb"/>
            <w:rFonts w:ascii="Arial Unicode MS" w:hAnsi="Arial Unicode MS" w:cs="Arial" w:hint="eastAsia"/>
            <w:b/>
            <w:bCs/>
            <w:noProof/>
          </w:rPr>
          <w:t>第四部分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基金托管人</w:t>
        </w:r>
        <w:r>
          <w:rPr>
            <w:noProof/>
          </w:rPr>
          <w:tab/>
        </w:r>
        <w:r>
          <w:rPr>
            <w:noProof/>
          </w:rPr>
          <w:fldChar w:fldCharType="begin"/>
        </w:r>
        <w:r>
          <w:rPr>
            <w:noProof/>
          </w:rPr>
          <w:instrText xml:space="preserve"> PAGEREF _Toc63676439 \h </w:instrText>
        </w:r>
        <w:r>
          <w:rPr>
            <w:noProof/>
          </w:rPr>
        </w:r>
        <w:r>
          <w:rPr>
            <w:noProof/>
          </w:rPr>
          <w:fldChar w:fldCharType="separate"/>
        </w:r>
        <w:r w:rsidR="00A67B88">
          <w:rPr>
            <w:rFonts w:hint="eastAsia"/>
            <w:noProof/>
          </w:rPr>
          <w:t>21</w:t>
        </w:r>
        <w:r>
          <w:rPr>
            <w:noProof/>
          </w:rPr>
          <w:fldChar w:fldCharType="end"/>
        </w:r>
      </w:hyperlink>
    </w:p>
    <w:p w14:paraId="518C1763" w14:textId="0975BFE1" w:rsidR="00B804EC" w:rsidRDefault="00000000">
      <w:pPr>
        <w:pStyle w:val="TOC1"/>
        <w:rPr>
          <w:rFonts w:asciiTheme="minorHAnsi" w:eastAsiaTheme="minorEastAsia" w:hAnsiTheme="minorHAnsi" w:cstheme="minorBidi"/>
          <w:caps w:val="0"/>
          <w:noProof/>
          <w:sz w:val="21"/>
          <w:szCs w:val="22"/>
        </w:rPr>
      </w:pPr>
      <w:hyperlink w:anchor="_Toc63676440" w:history="1">
        <w:r>
          <w:rPr>
            <w:rStyle w:val="affb"/>
            <w:rFonts w:ascii="Arial Unicode MS" w:hAnsi="Arial Unicode MS" w:cs="Arial" w:hint="eastAsia"/>
            <w:b/>
            <w:bCs/>
            <w:noProof/>
          </w:rPr>
          <w:t>第五部分</w:t>
        </w:r>
        <w:r>
          <w:rPr>
            <w:rStyle w:val="affb"/>
            <w:rFonts w:ascii="Arial Unicode MS" w:hAnsi="Arial Unicode MS" w:cs="Arial"/>
            <w:b/>
            <w:bCs/>
            <w:noProof/>
          </w:rPr>
          <w:t xml:space="preserve">  </w:t>
        </w:r>
        <w:r>
          <w:rPr>
            <w:rStyle w:val="affb"/>
            <w:rFonts w:ascii="Arial Unicode MS" w:hAnsi="Arial Unicode MS" w:cs="Arial" w:hint="eastAsia"/>
            <w:b/>
            <w:bCs/>
            <w:noProof/>
          </w:rPr>
          <w:t>相关服务机构</w:t>
        </w:r>
        <w:r>
          <w:rPr>
            <w:noProof/>
          </w:rPr>
          <w:tab/>
        </w:r>
        <w:r>
          <w:rPr>
            <w:noProof/>
          </w:rPr>
          <w:fldChar w:fldCharType="begin"/>
        </w:r>
        <w:r>
          <w:rPr>
            <w:noProof/>
          </w:rPr>
          <w:instrText xml:space="preserve"> PAGEREF _Toc63676440 \h </w:instrText>
        </w:r>
        <w:r>
          <w:rPr>
            <w:noProof/>
          </w:rPr>
        </w:r>
        <w:r>
          <w:rPr>
            <w:noProof/>
          </w:rPr>
          <w:fldChar w:fldCharType="separate"/>
        </w:r>
        <w:r w:rsidR="00A67B88">
          <w:rPr>
            <w:rFonts w:hint="eastAsia"/>
            <w:noProof/>
          </w:rPr>
          <w:t>24</w:t>
        </w:r>
        <w:r>
          <w:rPr>
            <w:noProof/>
          </w:rPr>
          <w:fldChar w:fldCharType="end"/>
        </w:r>
      </w:hyperlink>
    </w:p>
    <w:p w14:paraId="066A17FF" w14:textId="2CB6B439" w:rsidR="00B804EC" w:rsidRDefault="00000000">
      <w:pPr>
        <w:pStyle w:val="TOC1"/>
        <w:rPr>
          <w:rFonts w:asciiTheme="minorHAnsi" w:eastAsiaTheme="minorEastAsia" w:hAnsiTheme="minorHAnsi" w:cstheme="minorBidi"/>
          <w:caps w:val="0"/>
          <w:noProof/>
          <w:sz w:val="21"/>
          <w:szCs w:val="22"/>
        </w:rPr>
      </w:pPr>
      <w:hyperlink w:anchor="_Toc63676441" w:history="1">
        <w:r>
          <w:rPr>
            <w:rStyle w:val="affb"/>
            <w:rFonts w:ascii="Arial Unicode MS" w:hAnsi="Arial Unicode MS" w:cs="Arial" w:hint="eastAsia"/>
            <w:b/>
            <w:bCs/>
            <w:noProof/>
          </w:rPr>
          <w:t>第六部分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基金份额的发售</w:t>
        </w:r>
        <w:r>
          <w:rPr>
            <w:noProof/>
          </w:rPr>
          <w:tab/>
        </w:r>
        <w:r>
          <w:rPr>
            <w:noProof/>
          </w:rPr>
          <w:fldChar w:fldCharType="begin"/>
        </w:r>
        <w:r>
          <w:rPr>
            <w:noProof/>
          </w:rPr>
          <w:instrText xml:space="preserve"> PAGEREF _Toc63676441 \h </w:instrText>
        </w:r>
        <w:r>
          <w:rPr>
            <w:noProof/>
          </w:rPr>
        </w:r>
        <w:r>
          <w:rPr>
            <w:noProof/>
          </w:rPr>
          <w:fldChar w:fldCharType="separate"/>
        </w:r>
        <w:r w:rsidR="00A67B88">
          <w:rPr>
            <w:rFonts w:hint="eastAsia"/>
            <w:noProof/>
          </w:rPr>
          <w:t>26</w:t>
        </w:r>
        <w:r>
          <w:rPr>
            <w:noProof/>
          </w:rPr>
          <w:fldChar w:fldCharType="end"/>
        </w:r>
      </w:hyperlink>
    </w:p>
    <w:p w14:paraId="2F273BBF" w14:textId="77412D3A" w:rsidR="00B804EC" w:rsidRDefault="00000000">
      <w:pPr>
        <w:pStyle w:val="TOC1"/>
        <w:rPr>
          <w:rFonts w:asciiTheme="minorHAnsi" w:eastAsiaTheme="minorEastAsia" w:hAnsiTheme="minorHAnsi" w:cstheme="minorBidi"/>
          <w:caps w:val="0"/>
          <w:noProof/>
          <w:sz w:val="21"/>
          <w:szCs w:val="22"/>
        </w:rPr>
      </w:pPr>
      <w:hyperlink w:anchor="_Toc63676442" w:history="1">
        <w:r>
          <w:rPr>
            <w:rStyle w:val="affb"/>
            <w:rFonts w:ascii="Arial Unicode MS" w:hAnsi="Arial Unicode MS" w:cs="Arial" w:hint="eastAsia"/>
            <w:b/>
            <w:bCs/>
            <w:noProof/>
          </w:rPr>
          <w:t>第七部分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基金合同的生效</w:t>
        </w:r>
        <w:r>
          <w:rPr>
            <w:noProof/>
          </w:rPr>
          <w:tab/>
        </w:r>
        <w:r>
          <w:rPr>
            <w:noProof/>
          </w:rPr>
          <w:fldChar w:fldCharType="begin"/>
        </w:r>
        <w:r>
          <w:rPr>
            <w:noProof/>
          </w:rPr>
          <w:instrText xml:space="preserve"> PAGEREF _Toc63676442 \h </w:instrText>
        </w:r>
        <w:r>
          <w:rPr>
            <w:noProof/>
          </w:rPr>
        </w:r>
        <w:r>
          <w:rPr>
            <w:noProof/>
          </w:rPr>
          <w:fldChar w:fldCharType="separate"/>
        </w:r>
        <w:r w:rsidR="00A67B88">
          <w:rPr>
            <w:rFonts w:hint="eastAsia"/>
            <w:noProof/>
          </w:rPr>
          <w:t>27</w:t>
        </w:r>
        <w:r>
          <w:rPr>
            <w:noProof/>
          </w:rPr>
          <w:fldChar w:fldCharType="end"/>
        </w:r>
      </w:hyperlink>
    </w:p>
    <w:p w14:paraId="0F2BEB60" w14:textId="1FDB362B" w:rsidR="00B804EC" w:rsidRDefault="00000000">
      <w:pPr>
        <w:pStyle w:val="TOC1"/>
        <w:rPr>
          <w:rFonts w:asciiTheme="minorHAnsi" w:eastAsiaTheme="minorEastAsia" w:hAnsiTheme="minorHAnsi" w:cstheme="minorBidi"/>
          <w:caps w:val="0"/>
          <w:noProof/>
          <w:sz w:val="21"/>
          <w:szCs w:val="22"/>
        </w:rPr>
      </w:pPr>
      <w:hyperlink w:anchor="_Toc63676443" w:history="1">
        <w:r>
          <w:rPr>
            <w:rStyle w:val="affb"/>
            <w:rFonts w:ascii="Arial Unicode MS" w:hAnsi="Arial Unicode MS" w:cs="Arial" w:hint="eastAsia"/>
            <w:b/>
            <w:bCs/>
            <w:noProof/>
          </w:rPr>
          <w:t>第八部分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基金份额的申购与赎回</w:t>
        </w:r>
        <w:r>
          <w:rPr>
            <w:noProof/>
          </w:rPr>
          <w:tab/>
        </w:r>
        <w:r>
          <w:rPr>
            <w:noProof/>
          </w:rPr>
          <w:fldChar w:fldCharType="begin"/>
        </w:r>
        <w:r>
          <w:rPr>
            <w:noProof/>
          </w:rPr>
          <w:instrText xml:space="preserve"> PAGEREF _Toc63676443 \h </w:instrText>
        </w:r>
        <w:r>
          <w:rPr>
            <w:noProof/>
          </w:rPr>
        </w:r>
        <w:r>
          <w:rPr>
            <w:noProof/>
          </w:rPr>
          <w:fldChar w:fldCharType="separate"/>
        </w:r>
        <w:r w:rsidR="00A67B88">
          <w:rPr>
            <w:rFonts w:hint="eastAsia"/>
            <w:noProof/>
          </w:rPr>
          <w:t>28</w:t>
        </w:r>
        <w:r>
          <w:rPr>
            <w:noProof/>
          </w:rPr>
          <w:fldChar w:fldCharType="end"/>
        </w:r>
      </w:hyperlink>
    </w:p>
    <w:p w14:paraId="22F18550" w14:textId="6E278086" w:rsidR="00B804EC" w:rsidRDefault="00000000">
      <w:pPr>
        <w:pStyle w:val="TOC1"/>
        <w:rPr>
          <w:rFonts w:asciiTheme="minorHAnsi" w:eastAsiaTheme="minorEastAsia" w:hAnsiTheme="minorHAnsi" w:cstheme="minorBidi"/>
          <w:caps w:val="0"/>
          <w:noProof/>
          <w:sz w:val="21"/>
          <w:szCs w:val="22"/>
        </w:rPr>
      </w:pPr>
      <w:hyperlink w:anchor="_Toc63676444" w:history="1">
        <w:r>
          <w:rPr>
            <w:rStyle w:val="affb"/>
            <w:rFonts w:ascii="Arial Unicode MS" w:hAnsi="Arial Unicode MS" w:cs="Arial" w:hint="eastAsia"/>
            <w:b/>
            <w:bCs/>
            <w:noProof/>
          </w:rPr>
          <w:t>第九部分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基金的投资</w:t>
        </w:r>
        <w:r>
          <w:rPr>
            <w:noProof/>
          </w:rPr>
          <w:tab/>
        </w:r>
        <w:r>
          <w:rPr>
            <w:noProof/>
          </w:rPr>
          <w:fldChar w:fldCharType="begin"/>
        </w:r>
        <w:r>
          <w:rPr>
            <w:noProof/>
          </w:rPr>
          <w:instrText xml:space="preserve"> PAGEREF _Toc63676444 \h </w:instrText>
        </w:r>
        <w:r>
          <w:rPr>
            <w:noProof/>
          </w:rPr>
        </w:r>
        <w:r>
          <w:rPr>
            <w:noProof/>
          </w:rPr>
          <w:fldChar w:fldCharType="separate"/>
        </w:r>
        <w:r w:rsidR="00A67B88">
          <w:rPr>
            <w:rFonts w:hint="eastAsia"/>
            <w:noProof/>
          </w:rPr>
          <w:t>38</w:t>
        </w:r>
        <w:r>
          <w:rPr>
            <w:noProof/>
          </w:rPr>
          <w:fldChar w:fldCharType="end"/>
        </w:r>
      </w:hyperlink>
    </w:p>
    <w:p w14:paraId="269413D3" w14:textId="00FF44D0" w:rsidR="00B804EC" w:rsidRDefault="00000000">
      <w:pPr>
        <w:pStyle w:val="TOC1"/>
        <w:rPr>
          <w:rFonts w:asciiTheme="minorHAnsi" w:eastAsiaTheme="minorEastAsia" w:hAnsiTheme="minorHAnsi" w:cstheme="minorBidi"/>
          <w:caps w:val="0"/>
          <w:noProof/>
          <w:sz w:val="21"/>
          <w:szCs w:val="22"/>
        </w:rPr>
      </w:pPr>
      <w:hyperlink w:anchor="_Toc63676445" w:history="1">
        <w:r>
          <w:rPr>
            <w:rStyle w:val="affb"/>
            <w:rFonts w:ascii="Arial Unicode MS" w:hAnsi="Arial Unicode MS" w:cs="Arial" w:hint="eastAsia"/>
            <w:b/>
            <w:bCs/>
            <w:noProof/>
          </w:rPr>
          <w:t>第十部分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基金的财产</w:t>
        </w:r>
        <w:r>
          <w:rPr>
            <w:noProof/>
          </w:rPr>
          <w:tab/>
        </w:r>
        <w:r>
          <w:rPr>
            <w:noProof/>
          </w:rPr>
          <w:fldChar w:fldCharType="begin"/>
        </w:r>
        <w:r>
          <w:rPr>
            <w:noProof/>
          </w:rPr>
          <w:instrText xml:space="preserve"> PAGEREF _Toc63676445 \h </w:instrText>
        </w:r>
        <w:r>
          <w:rPr>
            <w:noProof/>
          </w:rPr>
        </w:r>
        <w:r>
          <w:rPr>
            <w:noProof/>
          </w:rPr>
          <w:fldChar w:fldCharType="separate"/>
        </w:r>
        <w:r w:rsidR="00A67B88">
          <w:rPr>
            <w:rFonts w:hint="eastAsia"/>
            <w:noProof/>
          </w:rPr>
          <w:t>49</w:t>
        </w:r>
        <w:r>
          <w:rPr>
            <w:noProof/>
          </w:rPr>
          <w:fldChar w:fldCharType="end"/>
        </w:r>
      </w:hyperlink>
    </w:p>
    <w:p w14:paraId="19C93D40" w14:textId="1C95892B" w:rsidR="00B804EC" w:rsidRDefault="00000000">
      <w:pPr>
        <w:pStyle w:val="TOC1"/>
        <w:rPr>
          <w:rFonts w:asciiTheme="minorHAnsi" w:eastAsiaTheme="minorEastAsia" w:hAnsiTheme="minorHAnsi" w:cstheme="minorBidi"/>
          <w:caps w:val="0"/>
          <w:noProof/>
          <w:sz w:val="21"/>
          <w:szCs w:val="22"/>
        </w:rPr>
      </w:pPr>
      <w:hyperlink w:anchor="_Toc63676446" w:history="1">
        <w:r>
          <w:rPr>
            <w:rStyle w:val="affb"/>
            <w:rFonts w:ascii="Arial Unicode MS" w:hAnsi="Arial Unicode MS" w:cs="Arial" w:hint="eastAsia"/>
            <w:b/>
            <w:bCs/>
            <w:noProof/>
          </w:rPr>
          <w:t>第十一部分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基金资产的估值</w:t>
        </w:r>
        <w:r>
          <w:rPr>
            <w:noProof/>
          </w:rPr>
          <w:tab/>
        </w:r>
        <w:r>
          <w:rPr>
            <w:noProof/>
          </w:rPr>
          <w:fldChar w:fldCharType="begin"/>
        </w:r>
        <w:r>
          <w:rPr>
            <w:noProof/>
          </w:rPr>
          <w:instrText xml:space="preserve"> PAGEREF _Toc63676446 \h </w:instrText>
        </w:r>
        <w:r>
          <w:rPr>
            <w:noProof/>
          </w:rPr>
        </w:r>
        <w:r>
          <w:rPr>
            <w:noProof/>
          </w:rPr>
          <w:fldChar w:fldCharType="separate"/>
        </w:r>
        <w:r w:rsidR="00A67B88">
          <w:rPr>
            <w:rFonts w:hint="eastAsia"/>
            <w:noProof/>
          </w:rPr>
          <w:t>50</w:t>
        </w:r>
        <w:r>
          <w:rPr>
            <w:noProof/>
          </w:rPr>
          <w:fldChar w:fldCharType="end"/>
        </w:r>
      </w:hyperlink>
    </w:p>
    <w:p w14:paraId="583F918C" w14:textId="525BCEE1" w:rsidR="00B804EC" w:rsidRDefault="00000000">
      <w:pPr>
        <w:pStyle w:val="TOC1"/>
        <w:rPr>
          <w:rFonts w:asciiTheme="minorHAnsi" w:eastAsiaTheme="minorEastAsia" w:hAnsiTheme="minorHAnsi" w:cstheme="minorBidi"/>
          <w:caps w:val="0"/>
          <w:noProof/>
          <w:sz w:val="21"/>
          <w:szCs w:val="22"/>
        </w:rPr>
      </w:pPr>
      <w:hyperlink w:anchor="_Toc63676447" w:history="1">
        <w:r>
          <w:rPr>
            <w:rStyle w:val="affb"/>
            <w:rFonts w:ascii="Arial Unicode MS" w:hAnsi="Arial Unicode MS" w:cs="Arial" w:hint="eastAsia"/>
            <w:b/>
            <w:bCs/>
            <w:noProof/>
          </w:rPr>
          <w:t>第十二部分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基金的收益分配</w:t>
        </w:r>
        <w:r>
          <w:rPr>
            <w:noProof/>
          </w:rPr>
          <w:tab/>
        </w:r>
        <w:r>
          <w:rPr>
            <w:noProof/>
          </w:rPr>
          <w:fldChar w:fldCharType="begin"/>
        </w:r>
        <w:r>
          <w:rPr>
            <w:noProof/>
          </w:rPr>
          <w:instrText xml:space="preserve"> PAGEREF _Toc63676447 \h </w:instrText>
        </w:r>
        <w:r>
          <w:rPr>
            <w:noProof/>
          </w:rPr>
        </w:r>
        <w:r>
          <w:rPr>
            <w:noProof/>
          </w:rPr>
          <w:fldChar w:fldCharType="separate"/>
        </w:r>
        <w:r w:rsidR="00A67B88">
          <w:rPr>
            <w:rFonts w:hint="eastAsia"/>
            <w:noProof/>
          </w:rPr>
          <w:t>55</w:t>
        </w:r>
        <w:r>
          <w:rPr>
            <w:noProof/>
          </w:rPr>
          <w:fldChar w:fldCharType="end"/>
        </w:r>
      </w:hyperlink>
    </w:p>
    <w:p w14:paraId="19BF84C6" w14:textId="121397DB" w:rsidR="00B804EC" w:rsidRDefault="00000000">
      <w:pPr>
        <w:pStyle w:val="TOC1"/>
        <w:rPr>
          <w:rFonts w:asciiTheme="minorHAnsi" w:eastAsiaTheme="minorEastAsia" w:hAnsiTheme="minorHAnsi" w:cstheme="minorBidi"/>
          <w:caps w:val="0"/>
          <w:noProof/>
          <w:sz w:val="21"/>
          <w:szCs w:val="22"/>
        </w:rPr>
      </w:pPr>
      <w:hyperlink w:anchor="_Toc63676448" w:history="1">
        <w:r>
          <w:rPr>
            <w:rStyle w:val="affb"/>
            <w:rFonts w:ascii="Arial Unicode MS" w:hAnsi="Arial Unicode MS" w:cs="Arial" w:hint="eastAsia"/>
            <w:b/>
            <w:bCs/>
            <w:noProof/>
          </w:rPr>
          <w:t>第十三部分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基金费用与税收</w:t>
        </w:r>
        <w:r>
          <w:rPr>
            <w:noProof/>
          </w:rPr>
          <w:tab/>
        </w:r>
        <w:r>
          <w:rPr>
            <w:noProof/>
          </w:rPr>
          <w:fldChar w:fldCharType="begin"/>
        </w:r>
        <w:r>
          <w:rPr>
            <w:noProof/>
          </w:rPr>
          <w:instrText xml:space="preserve"> PAGEREF _Toc63676448 \h </w:instrText>
        </w:r>
        <w:r>
          <w:rPr>
            <w:noProof/>
          </w:rPr>
        </w:r>
        <w:r>
          <w:rPr>
            <w:noProof/>
          </w:rPr>
          <w:fldChar w:fldCharType="separate"/>
        </w:r>
        <w:r w:rsidR="00A67B88">
          <w:rPr>
            <w:rFonts w:hint="eastAsia"/>
            <w:noProof/>
          </w:rPr>
          <w:t>57</w:t>
        </w:r>
        <w:r>
          <w:rPr>
            <w:noProof/>
          </w:rPr>
          <w:fldChar w:fldCharType="end"/>
        </w:r>
      </w:hyperlink>
    </w:p>
    <w:p w14:paraId="63555C65" w14:textId="0F7ABCDE" w:rsidR="00B804EC" w:rsidRDefault="00000000">
      <w:pPr>
        <w:pStyle w:val="TOC1"/>
        <w:rPr>
          <w:rFonts w:asciiTheme="minorHAnsi" w:eastAsiaTheme="minorEastAsia" w:hAnsiTheme="minorHAnsi" w:cstheme="minorBidi"/>
          <w:caps w:val="0"/>
          <w:noProof/>
          <w:sz w:val="21"/>
          <w:szCs w:val="22"/>
        </w:rPr>
      </w:pPr>
      <w:hyperlink w:anchor="_Toc63676449" w:history="1">
        <w:r>
          <w:rPr>
            <w:rStyle w:val="affb"/>
            <w:rFonts w:ascii="Arial Unicode MS" w:hAnsi="Arial Unicode MS" w:cs="Arial" w:hint="eastAsia"/>
            <w:b/>
            <w:bCs/>
            <w:noProof/>
          </w:rPr>
          <w:t>第十四部分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基金的会计与审计</w:t>
        </w:r>
        <w:r>
          <w:rPr>
            <w:noProof/>
          </w:rPr>
          <w:tab/>
        </w:r>
        <w:r>
          <w:rPr>
            <w:noProof/>
          </w:rPr>
          <w:fldChar w:fldCharType="begin"/>
        </w:r>
        <w:r>
          <w:rPr>
            <w:noProof/>
          </w:rPr>
          <w:instrText xml:space="preserve"> PAGEREF _Toc63676449 \h </w:instrText>
        </w:r>
        <w:r>
          <w:rPr>
            <w:noProof/>
          </w:rPr>
        </w:r>
        <w:r>
          <w:rPr>
            <w:noProof/>
          </w:rPr>
          <w:fldChar w:fldCharType="separate"/>
        </w:r>
        <w:r w:rsidR="00A67B88">
          <w:rPr>
            <w:rFonts w:hint="eastAsia"/>
            <w:noProof/>
          </w:rPr>
          <w:t>60</w:t>
        </w:r>
        <w:r>
          <w:rPr>
            <w:noProof/>
          </w:rPr>
          <w:fldChar w:fldCharType="end"/>
        </w:r>
      </w:hyperlink>
    </w:p>
    <w:p w14:paraId="5CC67EEF" w14:textId="590B60B4" w:rsidR="00B804EC" w:rsidRDefault="00000000">
      <w:pPr>
        <w:pStyle w:val="TOC1"/>
        <w:rPr>
          <w:rFonts w:asciiTheme="minorHAnsi" w:eastAsiaTheme="minorEastAsia" w:hAnsiTheme="minorHAnsi" w:cstheme="minorBidi"/>
          <w:caps w:val="0"/>
          <w:noProof/>
          <w:sz w:val="21"/>
          <w:szCs w:val="22"/>
        </w:rPr>
      </w:pPr>
      <w:hyperlink w:anchor="_Toc63676450" w:history="1">
        <w:r>
          <w:rPr>
            <w:rStyle w:val="affb"/>
            <w:rFonts w:ascii="Arial Unicode MS" w:hAnsi="Arial Unicode MS" w:hint="eastAsia"/>
            <w:b/>
            <w:noProof/>
          </w:rPr>
          <w:t>第十五部分</w:t>
        </w:r>
        <w:r>
          <w:rPr>
            <w:rStyle w:val="affb"/>
            <w:rFonts w:ascii="Arial Unicode MS" w:hAnsi="Arial Unicode MS"/>
            <w:b/>
            <w:noProof/>
          </w:rPr>
          <w:t xml:space="preserve">  </w:t>
        </w:r>
        <w:r>
          <w:rPr>
            <w:rStyle w:val="affb"/>
            <w:rFonts w:ascii="Arial Unicode MS" w:hAnsi="Arial Unicode MS" w:hint="eastAsia"/>
            <w:b/>
            <w:noProof/>
          </w:rPr>
          <w:t>基金的信息披露</w:t>
        </w:r>
        <w:r>
          <w:rPr>
            <w:noProof/>
          </w:rPr>
          <w:tab/>
        </w:r>
        <w:r>
          <w:rPr>
            <w:noProof/>
          </w:rPr>
          <w:fldChar w:fldCharType="begin"/>
        </w:r>
        <w:r>
          <w:rPr>
            <w:noProof/>
          </w:rPr>
          <w:instrText xml:space="preserve"> PAGEREF _Toc63676450 \h </w:instrText>
        </w:r>
        <w:r>
          <w:rPr>
            <w:noProof/>
          </w:rPr>
        </w:r>
        <w:r>
          <w:rPr>
            <w:noProof/>
          </w:rPr>
          <w:fldChar w:fldCharType="separate"/>
        </w:r>
        <w:r w:rsidR="00A67B88">
          <w:rPr>
            <w:rFonts w:hint="eastAsia"/>
            <w:noProof/>
          </w:rPr>
          <w:t>61</w:t>
        </w:r>
        <w:r>
          <w:rPr>
            <w:noProof/>
          </w:rPr>
          <w:fldChar w:fldCharType="end"/>
        </w:r>
      </w:hyperlink>
    </w:p>
    <w:p w14:paraId="46007469" w14:textId="44ACEDB5" w:rsidR="00B804EC" w:rsidRDefault="00000000">
      <w:pPr>
        <w:pStyle w:val="TOC1"/>
        <w:rPr>
          <w:rFonts w:asciiTheme="minorHAnsi" w:eastAsiaTheme="minorEastAsia" w:hAnsiTheme="minorHAnsi" w:cstheme="minorBidi"/>
          <w:caps w:val="0"/>
          <w:noProof/>
          <w:sz w:val="21"/>
          <w:szCs w:val="22"/>
        </w:rPr>
      </w:pPr>
      <w:hyperlink w:anchor="_Toc63676451" w:history="1">
        <w:r>
          <w:rPr>
            <w:rStyle w:val="affb"/>
            <w:rFonts w:ascii="Arial Unicode MS" w:hAnsi="Arial Unicode MS" w:cs="Arial" w:hint="eastAsia"/>
            <w:b/>
            <w:bCs/>
            <w:noProof/>
          </w:rPr>
          <w:t>第十六部分</w:t>
        </w:r>
        <w:r>
          <w:rPr>
            <w:rStyle w:val="affb"/>
            <w:rFonts w:ascii="Arial Unicode MS" w:hAnsi="Arial Unicode MS" w:cs="Arial"/>
            <w:b/>
            <w:bCs/>
            <w:noProof/>
          </w:rPr>
          <w:t xml:space="preserve">  </w:t>
        </w:r>
        <w:r>
          <w:rPr>
            <w:rStyle w:val="affb"/>
            <w:rFonts w:ascii="Arial Unicode MS" w:hAnsi="Arial Unicode MS" w:cs="Arial" w:hint="eastAsia"/>
            <w:b/>
            <w:bCs/>
            <w:noProof/>
          </w:rPr>
          <w:t>侧袋机制</w:t>
        </w:r>
        <w:r>
          <w:rPr>
            <w:noProof/>
          </w:rPr>
          <w:tab/>
        </w:r>
        <w:r>
          <w:rPr>
            <w:noProof/>
          </w:rPr>
          <w:fldChar w:fldCharType="begin"/>
        </w:r>
        <w:r>
          <w:rPr>
            <w:noProof/>
          </w:rPr>
          <w:instrText xml:space="preserve"> PAGEREF _Toc63676451 \h </w:instrText>
        </w:r>
        <w:r>
          <w:rPr>
            <w:noProof/>
          </w:rPr>
        </w:r>
        <w:r>
          <w:rPr>
            <w:noProof/>
          </w:rPr>
          <w:fldChar w:fldCharType="separate"/>
        </w:r>
        <w:r w:rsidR="00A67B88">
          <w:rPr>
            <w:rFonts w:hint="eastAsia"/>
            <w:noProof/>
          </w:rPr>
          <w:t>67</w:t>
        </w:r>
        <w:r>
          <w:rPr>
            <w:noProof/>
          </w:rPr>
          <w:fldChar w:fldCharType="end"/>
        </w:r>
      </w:hyperlink>
    </w:p>
    <w:p w14:paraId="1A7EB4F7" w14:textId="6FE18C66" w:rsidR="00B804EC" w:rsidRDefault="00000000">
      <w:pPr>
        <w:pStyle w:val="TOC1"/>
        <w:rPr>
          <w:rFonts w:asciiTheme="minorHAnsi" w:eastAsiaTheme="minorEastAsia" w:hAnsiTheme="minorHAnsi" w:cstheme="minorBidi"/>
          <w:caps w:val="0"/>
          <w:noProof/>
          <w:sz w:val="21"/>
          <w:szCs w:val="22"/>
        </w:rPr>
      </w:pPr>
      <w:hyperlink w:anchor="_Toc63676452" w:history="1">
        <w:r>
          <w:rPr>
            <w:rStyle w:val="affb"/>
            <w:rFonts w:ascii="Arial Unicode MS" w:hAnsi="Arial Unicode MS" w:cs="Arial" w:hint="eastAsia"/>
            <w:b/>
            <w:bCs/>
            <w:noProof/>
          </w:rPr>
          <w:t>第</w:t>
        </w:r>
        <w:r>
          <w:rPr>
            <w:rStyle w:val="affb"/>
            <w:rFonts w:ascii="Arial Unicode MS" w:hAnsi="Arial Unicode MS" w:hint="eastAsia"/>
            <w:b/>
            <w:noProof/>
          </w:rPr>
          <w:t>十七部分</w:t>
        </w:r>
        <w:r>
          <w:rPr>
            <w:rStyle w:val="affb"/>
            <w:rFonts w:ascii="Arial Unicode MS" w:hAnsi="Arial Unicode MS"/>
            <w:b/>
            <w:noProof/>
          </w:rPr>
          <w:t xml:space="preserve">  </w:t>
        </w:r>
        <w:r>
          <w:rPr>
            <w:rStyle w:val="affb"/>
            <w:rFonts w:ascii="Arial Unicode MS" w:hAnsi="Arial Unicode MS" w:hint="eastAsia"/>
            <w:b/>
            <w:noProof/>
          </w:rPr>
          <w:t>风险揭示</w:t>
        </w:r>
        <w:r>
          <w:rPr>
            <w:noProof/>
          </w:rPr>
          <w:tab/>
        </w:r>
        <w:r>
          <w:rPr>
            <w:noProof/>
          </w:rPr>
          <w:fldChar w:fldCharType="begin"/>
        </w:r>
        <w:r>
          <w:rPr>
            <w:noProof/>
          </w:rPr>
          <w:instrText xml:space="preserve"> PAGEREF _Toc63676452 \h </w:instrText>
        </w:r>
        <w:r>
          <w:rPr>
            <w:noProof/>
          </w:rPr>
        </w:r>
        <w:r>
          <w:rPr>
            <w:noProof/>
          </w:rPr>
          <w:fldChar w:fldCharType="separate"/>
        </w:r>
        <w:r w:rsidR="00A67B88">
          <w:rPr>
            <w:rFonts w:hint="eastAsia"/>
            <w:noProof/>
          </w:rPr>
          <w:t>70</w:t>
        </w:r>
        <w:r>
          <w:rPr>
            <w:noProof/>
          </w:rPr>
          <w:fldChar w:fldCharType="end"/>
        </w:r>
      </w:hyperlink>
    </w:p>
    <w:p w14:paraId="09F132E3" w14:textId="62907E87" w:rsidR="00B804EC" w:rsidRDefault="00000000">
      <w:pPr>
        <w:pStyle w:val="TOC1"/>
        <w:rPr>
          <w:rFonts w:asciiTheme="minorHAnsi" w:eastAsiaTheme="minorEastAsia" w:hAnsiTheme="minorHAnsi" w:cstheme="minorBidi"/>
          <w:caps w:val="0"/>
          <w:noProof/>
          <w:sz w:val="21"/>
          <w:szCs w:val="22"/>
        </w:rPr>
      </w:pPr>
      <w:hyperlink w:anchor="_Toc63676453" w:history="1">
        <w:r>
          <w:rPr>
            <w:rStyle w:val="affb"/>
            <w:rFonts w:ascii="Arial Unicode MS" w:hAnsi="Arial Unicode MS" w:cs="Arial" w:hint="eastAsia"/>
            <w:b/>
            <w:bCs/>
            <w:noProof/>
          </w:rPr>
          <w:t>第十八部分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基金合同的变更、终止与基金财产的清算</w:t>
        </w:r>
        <w:r>
          <w:rPr>
            <w:noProof/>
          </w:rPr>
          <w:tab/>
        </w:r>
        <w:r>
          <w:rPr>
            <w:noProof/>
          </w:rPr>
          <w:fldChar w:fldCharType="begin"/>
        </w:r>
        <w:r>
          <w:rPr>
            <w:noProof/>
          </w:rPr>
          <w:instrText xml:space="preserve"> PAGEREF _Toc63676453 \h </w:instrText>
        </w:r>
        <w:r>
          <w:rPr>
            <w:noProof/>
          </w:rPr>
        </w:r>
        <w:r>
          <w:rPr>
            <w:noProof/>
          </w:rPr>
          <w:fldChar w:fldCharType="separate"/>
        </w:r>
        <w:r w:rsidR="00A67B88">
          <w:rPr>
            <w:rFonts w:hint="eastAsia"/>
            <w:noProof/>
          </w:rPr>
          <w:t>74</w:t>
        </w:r>
        <w:r>
          <w:rPr>
            <w:noProof/>
          </w:rPr>
          <w:fldChar w:fldCharType="end"/>
        </w:r>
      </w:hyperlink>
    </w:p>
    <w:p w14:paraId="0539E910" w14:textId="7C95AB2C" w:rsidR="00B804EC" w:rsidRDefault="00000000">
      <w:pPr>
        <w:pStyle w:val="TOC1"/>
        <w:rPr>
          <w:rFonts w:asciiTheme="minorHAnsi" w:eastAsiaTheme="minorEastAsia" w:hAnsiTheme="minorHAnsi" w:cstheme="minorBidi"/>
          <w:caps w:val="0"/>
          <w:noProof/>
          <w:sz w:val="21"/>
          <w:szCs w:val="22"/>
        </w:rPr>
      </w:pPr>
      <w:hyperlink w:anchor="_Toc63676454" w:history="1">
        <w:r>
          <w:rPr>
            <w:rStyle w:val="affb"/>
            <w:rFonts w:ascii="Arial Unicode MS" w:hAnsi="Arial Unicode MS" w:cs="Arial" w:hint="eastAsia"/>
            <w:b/>
            <w:bCs/>
            <w:noProof/>
          </w:rPr>
          <w:t>第十九部分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基金合同的内容摘要</w:t>
        </w:r>
        <w:r>
          <w:rPr>
            <w:noProof/>
          </w:rPr>
          <w:tab/>
        </w:r>
        <w:r>
          <w:rPr>
            <w:noProof/>
          </w:rPr>
          <w:fldChar w:fldCharType="begin"/>
        </w:r>
        <w:r>
          <w:rPr>
            <w:noProof/>
          </w:rPr>
          <w:instrText xml:space="preserve"> PAGEREF _Toc63676454 \h </w:instrText>
        </w:r>
        <w:r>
          <w:rPr>
            <w:noProof/>
          </w:rPr>
        </w:r>
        <w:r>
          <w:rPr>
            <w:noProof/>
          </w:rPr>
          <w:fldChar w:fldCharType="separate"/>
        </w:r>
        <w:r w:rsidR="00A67B88">
          <w:rPr>
            <w:rFonts w:hint="eastAsia"/>
            <w:noProof/>
          </w:rPr>
          <w:t>76</w:t>
        </w:r>
        <w:r>
          <w:rPr>
            <w:noProof/>
          </w:rPr>
          <w:fldChar w:fldCharType="end"/>
        </w:r>
      </w:hyperlink>
    </w:p>
    <w:p w14:paraId="19AEBFF0" w14:textId="0342D31F" w:rsidR="00B804EC" w:rsidRDefault="00000000">
      <w:pPr>
        <w:pStyle w:val="TOC1"/>
        <w:rPr>
          <w:rFonts w:asciiTheme="minorHAnsi" w:eastAsiaTheme="minorEastAsia" w:hAnsiTheme="minorHAnsi" w:cstheme="minorBidi"/>
          <w:caps w:val="0"/>
          <w:noProof/>
          <w:sz w:val="21"/>
          <w:szCs w:val="22"/>
        </w:rPr>
      </w:pPr>
      <w:hyperlink w:anchor="_Toc63676455" w:history="1">
        <w:r>
          <w:rPr>
            <w:rStyle w:val="affb"/>
            <w:rFonts w:ascii="Arial Unicode MS" w:hAnsi="Arial Unicode MS" w:cs="Arial" w:hint="eastAsia"/>
            <w:b/>
            <w:bCs/>
            <w:noProof/>
          </w:rPr>
          <w:t>第二十部分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基金托管协议的内容摘要</w:t>
        </w:r>
        <w:r>
          <w:rPr>
            <w:noProof/>
          </w:rPr>
          <w:tab/>
        </w:r>
        <w:r>
          <w:rPr>
            <w:noProof/>
          </w:rPr>
          <w:fldChar w:fldCharType="begin"/>
        </w:r>
        <w:r>
          <w:rPr>
            <w:noProof/>
          </w:rPr>
          <w:instrText xml:space="preserve"> PAGEREF _Toc63676455 \h </w:instrText>
        </w:r>
        <w:r>
          <w:rPr>
            <w:noProof/>
          </w:rPr>
        </w:r>
        <w:r>
          <w:rPr>
            <w:noProof/>
          </w:rPr>
          <w:fldChar w:fldCharType="separate"/>
        </w:r>
        <w:r w:rsidR="00A67B88">
          <w:rPr>
            <w:rFonts w:hint="eastAsia"/>
            <w:noProof/>
          </w:rPr>
          <w:t>91</w:t>
        </w:r>
        <w:r>
          <w:rPr>
            <w:noProof/>
          </w:rPr>
          <w:fldChar w:fldCharType="end"/>
        </w:r>
      </w:hyperlink>
    </w:p>
    <w:p w14:paraId="60062BB5" w14:textId="2A775007" w:rsidR="00B804EC" w:rsidRDefault="00000000">
      <w:pPr>
        <w:pStyle w:val="TOC1"/>
        <w:rPr>
          <w:rFonts w:asciiTheme="minorHAnsi" w:eastAsiaTheme="minorEastAsia" w:hAnsiTheme="minorHAnsi" w:cstheme="minorBidi"/>
          <w:caps w:val="0"/>
          <w:noProof/>
          <w:sz w:val="21"/>
          <w:szCs w:val="22"/>
        </w:rPr>
      </w:pPr>
      <w:hyperlink w:anchor="_Toc63676456" w:history="1">
        <w:r>
          <w:rPr>
            <w:rStyle w:val="affb"/>
            <w:rFonts w:ascii="Arial Unicode MS" w:hAnsi="Arial Unicode MS" w:cs="Arial" w:hint="eastAsia"/>
            <w:b/>
            <w:bCs/>
            <w:noProof/>
          </w:rPr>
          <w:t>第二十一部分</w:t>
        </w:r>
        <w:r>
          <w:rPr>
            <w:rStyle w:val="affb"/>
            <w:rFonts w:ascii="Arial Unicode MS" w:hAnsi="Arial Unicode MS" w:cs="Arial"/>
            <w:b/>
            <w:bCs/>
            <w:noProof/>
          </w:rPr>
          <w:t xml:space="preserve">  </w:t>
        </w:r>
        <w:r>
          <w:rPr>
            <w:rStyle w:val="affb"/>
            <w:rFonts w:ascii="Arial Unicode MS" w:hAnsi="Arial Unicode MS" w:cs="Arial" w:hint="eastAsia"/>
            <w:b/>
            <w:bCs/>
            <w:noProof/>
          </w:rPr>
          <w:t>对基金份额持有人的服务</w:t>
        </w:r>
        <w:r>
          <w:rPr>
            <w:noProof/>
          </w:rPr>
          <w:tab/>
        </w:r>
        <w:r>
          <w:rPr>
            <w:noProof/>
          </w:rPr>
          <w:fldChar w:fldCharType="begin"/>
        </w:r>
        <w:r>
          <w:rPr>
            <w:noProof/>
          </w:rPr>
          <w:instrText xml:space="preserve"> PAGEREF _Toc63676456 \h </w:instrText>
        </w:r>
        <w:r>
          <w:rPr>
            <w:noProof/>
          </w:rPr>
        </w:r>
        <w:r>
          <w:rPr>
            <w:noProof/>
          </w:rPr>
          <w:fldChar w:fldCharType="separate"/>
        </w:r>
        <w:r w:rsidR="00A67B88">
          <w:rPr>
            <w:rFonts w:hint="eastAsia"/>
            <w:noProof/>
          </w:rPr>
          <w:t>104</w:t>
        </w:r>
        <w:r>
          <w:rPr>
            <w:noProof/>
          </w:rPr>
          <w:fldChar w:fldCharType="end"/>
        </w:r>
      </w:hyperlink>
    </w:p>
    <w:p w14:paraId="67C7B091" w14:textId="43EA3A43" w:rsidR="00B804EC" w:rsidRDefault="00000000">
      <w:pPr>
        <w:pStyle w:val="TOC1"/>
        <w:rPr>
          <w:rFonts w:asciiTheme="minorHAnsi" w:eastAsiaTheme="minorEastAsia" w:hAnsiTheme="minorHAnsi" w:cstheme="minorBidi"/>
          <w:caps w:val="0"/>
          <w:noProof/>
          <w:sz w:val="21"/>
          <w:szCs w:val="22"/>
        </w:rPr>
      </w:pPr>
      <w:hyperlink w:anchor="_Toc63676457" w:history="1">
        <w:r>
          <w:rPr>
            <w:rStyle w:val="affb"/>
            <w:rFonts w:hint="eastAsia"/>
            <w:b/>
            <w:noProof/>
          </w:rPr>
          <w:t>第二十二部分</w:t>
        </w:r>
        <w:r>
          <w:rPr>
            <w:rStyle w:val="affb"/>
            <w:b/>
            <w:noProof/>
          </w:rPr>
          <w:t xml:space="preserve">  </w:t>
        </w:r>
        <w:r>
          <w:rPr>
            <w:rStyle w:val="affb"/>
            <w:rFonts w:hint="eastAsia"/>
            <w:b/>
            <w:noProof/>
          </w:rPr>
          <w:t>其他应披露事项</w:t>
        </w:r>
        <w:r>
          <w:rPr>
            <w:noProof/>
          </w:rPr>
          <w:tab/>
        </w:r>
        <w:r>
          <w:rPr>
            <w:noProof/>
          </w:rPr>
          <w:fldChar w:fldCharType="begin"/>
        </w:r>
        <w:r>
          <w:rPr>
            <w:noProof/>
          </w:rPr>
          <w:instrText xml:space="preserve"> PAGEREF _Toc63676457 \h </w:instrText>
        </w:r>
        <w:r>
          <w:rPr>
            <w:noProof/>
          </w:rPr>
        </w:r>
        <w:r>
          <w:rPr>
            <w:noProof/>
          </w:rPr>
          <w:fldChar w:fldCharType="separate"/>
        </w:r>
        <w:r w:rsidR="00A67B88">
          <w:rPr>
            <w:rFonts w:hint="eastAsia"/>
            <w:noProof/>
          </w:rPr>
          <w:t>106</w:t>
        </w:r>
        <w:r>
          <w:rPr>
            <w:noProof/>
          </w:rPr>
          <w:fldChar w:fldCharType="end"/>
        </w:r>
      </w:hyperlink>
    </w:p>
    <w:p w14:paraId="72CDA781" w14:textId="59AADA0E" w:rsidR="00B804EC" w:rsidRDefault="00000000">
      <w:pPr>
        <w:pStyle w:val="TOC1"/>
        <w:rPr>
          <w:rFonts w:asciiTheme="minorHAnsi" w:eastAsiaTheme="minorEastAsia" w:hAnsiTheme="minorHAnsi" w:cstheme="minorBidi"/>
          <w:caps w:val="0"/>
          <w:noProof/>
          <w:sz w:val="21"/>
          <w:szCs w:val="22"/>
        </w:rPr>
      </w:pPr>
      <w:hyperlink w:anchor="_Toc63676458" w:history="1">
        <w:r>
          <w:rPr>
            <w:rStyle w:val="affb"/>
            <w:rFonts w:ascii="Arial Unicode MS" w:hAnsi="Arial Unicode MS" w:cs="Arial" w:hint="eastAsia"/>
            <w:b/>
            <w:bCs/>
            <w:noProof/>
          </w:rPr>
          <w:t>第二十三部分</w:t>
        </w:r>
        <w:r>
          <w:rPr>
            <w:rStyle w:val="affb"/>
            <w:rFonts w:ascii="Arial Unicode MS" w:hAnsi="Arial Unicode MS" w:cs="Arial"/>
            <w:b/>
            <w:bCs/>
            <w:noProof/>
          </w:rPr>
          <w:t xml:space="preserve">  </w:t>
        </w:r>
        <w:r>
          <w:rPr>
            <w:rStyle w:val="affb"/>
            <w:rFonts w:ascii="Arial Unicode MS" w:hAnsi="Arial Unicode MS" w:cs="Arial" w:hint="eastAsia"/>
            <w:b/>
            <w:bCs/>
            <w:noProof/>
          </w:rPr>
          <w:t>招募说明书的存放及查阅方式</w:t>
        </w:r>
        <w:r>
          <w:rPr>
            <w:noProof/>
          </w:rPr>
          <w:tab/>
        </w:r>
        <w:r>
          <w:rPr>
            <w:noProof/>
          </w:rPr>
          <w:fldChar w:fldCharType="begin"/>
        </w:r>
        <w:r>
          <w:rPr>
            <w:noProof/>
          </w:rPr>
          <w:instrText xml:space="preserve"> PAGEREF _Toc63676458 \h </w:instrText>
        </w:r>
        <w:r>
          <w:rPr>
            <w:noProof/>
          </w:rPr>
        </w:r>
        <w:r>
          <w:rPr>
            <w:noProof/>
          </w:rPr>
          <w:fldChar w:fldCharType="separate"/>
        </w:r>
        <w:r w:rsidR="00A67B88">
          <w:rPr>
            <w:rFonts w:hint="eastAsia"/>
            <w:noProof/>
          </w:rPr>
          <w:t>108</w:t>
        </w:r>
        <w:r>
          <w:rPr>
            <w:noProof/>
          </w:rPr>
          <w:fldChar w:fldCharType="end"/>
        </w:r>
      </w:hyperlink>
    </w:p>
    <w:p w14:paraId="569FF13B" w14:textId="2FAD7D7C" w:rsidR="00B804EC" w:rsidRDefault="00000000">
      <w:pPr>
        <w:pStyle w:val="TOC1"/>
        <w:rPr>
          <w:rFonts w:asciiTheme="minorHAnsi" w:eastAsiaTheme="minorEastAsia" w:hAnsiTheme="minorHAnsi" w:cstheme="minorBidi"/>
          <w:caps w:val="0"/>
          <w:noProof/>
          <w:sz w:val="21"/>
          <w:szCs w:val="22"/>
        </w:rPr>
      </w:pPr>
      <w:hyperlink w:anchor="_Toc63676459" w:history="1">
        <w:r>
          <w:rPr>
            <w:rStyle w:val="affb"/>
            <w:rFonts w:ascii="Arial Unicode MS" w:hAnsi="Arial Unicode MS" w:cs="Arial" w:hint="eastAsia"/>
            <w:b/>
            <w:bCs/>
            <w:noProof/>
          </w:rPr>
          <w:t>第二十四部分</w:t>
        </w:r>
        <w:r>
          <w:rPr>
            <w:rStyle w:val="affb"/>
            <w:rFonts w:ascii="Arial Unicode MS" w:hAnsi="Arial Unicode MS" w:cs="Arial"/>
            <w:b/>
            <w:bCs/>
            <w:noProof/>
          </w:rPr>
          <w:t xml:space="preserve">  </w:t>
        </w:r>
        <w:r>
          <w:rPr>
            <w:rStyle w:val="affb"/>
            <w:rFonts w:ascii="Arial Unicode MS" w:hAnsi="Arial Unicode MS" w:cs="Arial" w:hint="eastAsia"/>
            <w:b/>
            <w:bCs/>
            <w:noProof/>
          </w:rPr>
          <w:t>备查文件</w:t>
        </w:r>
        <w:r>
          <w:rPr>
            <w:noProof/>
          </w:rPr>
          <w:tab/>
        </w:r>
        <w:r>
          <w:rPr>
            <w:noProof/>
          </w:rPr>
          <w:fldChar w:fldCharType="begin"/>
        </w:r>
        <w:r>
          <w:rPr>
            <w:noProof/>
          </w:rPr>
          <w:instrText xml:space="preserve"> PAGEREF _Toc63676459 \h </w:instrText>
        </w:r>
        <w:r>
          <w:rPr>
            <w:noProof/>
          </w:rPr>
        </w:r>
        <w:r>
          <w:rPr>
            <w:noProof/>
          </w:rPr>
          <w:fldChar w:fldCharType="separate"/>
        </w:r>
        <w:r w:rsidR="00A67B88">
          <w:rPr>
            <w:rFonts w:hint="eastAsia"/>
            <w:noProof/>
          </w:rPr>
          <w:t>109</w:t>
        </w:r>
        <w:r>
          <w:rPr>
            <w:noProof/>
          </w:rPr>
          <w:fldChar w:fldCharType="end"/>
        </w:r>
      </w:hyperlink>
    </w:p>
    <w:p w14:paraId="50F63787" w14:textId="77777777" w:rsidR="00B804EC" w:rsidRDefault="00000000">
      <w:pPr>
        <w:adjustRightInd w:val="0"/>
        <w:snapToGrid w:val="0"/>
        <w:spacing w:line="360" w:lineRule="auto"/>
        <w:rPr>
          <w:rFonts w:ascii="Arial Unicode MS" w:hAnsi="Arial Unicode MS" w:cs="Arial" w:hint="eastAsia"/>
          <w:bCs/>
          <w:spacing w:val="120"/>
          <w:szCs w:val="21"/>
        </w:rPr>
        <w:sectPr w:rsidR="00B804EC">
          <w:footerReference w:type="default" r:id="rId27"/>
          <w:headerReference w:type="first" r:id="rId28"/>
          <w:footerReference w:type="first" r:id="rId29"/>
          <w:pgSz w:w="11906" w:h="16838"/>
          <w:pgMar w:top="1440" w:right="1800" w:bottom="1440" w:left="1800" w:header="851" w:footer="992" w:gutter="0"/>
          <w:pgNumType w:start="1"/>
          <w:cols w:space="720"/>
          <w:titlePg/>
          <w:docGrid w:linePitch="312"/>
        </w:sectPr>
      </w:pPr>
      <w:r>
        <w:rPr>
          <w:rFonts w:ascii="Arial Unicode MS" w:hAnsi="Arial Unicode MS" w:cs="Arial"/>
          <w:bCs/>
          <w:spacing w:val="120"/>
          <w:szCs w:val="21"/>
        </w:rPr>
        <w:fldChar w:fldCharType="end"/>
      </w:r>
    </w:p>
    <w:p w14:paraId="429DE5AD" w14:textId="77777777" w:rsidR="00B804EC" w:rsidRDefault="00B804EC">
      <w:pPr>
        <w:spacing w:line="360" w:lineRule="auto"/>
        <w:ind w:firstLine="120"/>
        <w:rPr>
          <w:rFonts w:ascii="Arial Unicode MS" w:hAnsi="Arial Unicode MS" w:hint="eastAsia"/>
        </w:rPr>
      </w:pPr>
    </w:p>
    <w:p w14:paraId="3E80F0B8" w14:textId="77777777" w:rsidR="00B804EC" w:rsidRDefault="00000000">
      <w:pPr>
        <w:tabs>
          <w:tab w:val="left" w:pos="2179"/>
        </w:tabs>
        <w:spacing w:line="360" w:lineRule="auto"/>
        <w:ind w:firstLine="105"/>
        <w:rPr>
          <w:rFonts w:ascii="Arial Unicode MS" w:hAnsi="Arial Unicode MS" w:hint="eastAsia"/>
        </w:rPr>
      </w:pPr>
      <w:r>
        <w:rPr>
          <w:rFonts w:ascii="Arial Unicode MS" w:hAnsi="Arial Unicode MS"/>
        </w:rPr>
        <w:tab/>
      </w:r>
    </w:p>
    <w:p w14:paraId="739F98A2" w14:textId="77777777" w:rsidR="00B804EC" w:rsidRDefault="00B804EC">
      <w:pPr>
        <w:rPr>
          <w:rFonts w:ascii="Arial Unicode MS" w:hAnsi="Arial Unicode MS" w:hint="eastAsia"/>
        </w:rPr>
      </w:pPr>
    </w:p>
    <w:p w14:paraId="4CAF7E3B" w14:textId="77777777" w:rsidR="00B804EC" w:rsidRDefault="00B804EC">
      <w:pPr>
        <w:rPr>
          <w:rFonts w:ascii="Arial Unicode MS" w:hAnsi="Arial Unicode MS" w:hint="eastAsia"/>
        </w:rPr>
        <w:sectPr w:rsidR="00B804EC">
          <w:footerReference w:type="default" r:id="rId30"/>
          <w:footerReference w:type="first" r:id="rId31"/>
          <w:type w:val="continuous"/>
          <w:pgSz w:w="11906" w:h="16838"/>
          <w:pgMar w:top="1440" w:right="1800" w:bottom="1440" w:left="1800" w:header="851" w:footer="992" w:gutter="0"/>
          <w:cols w:space="720"/>
          <w:titlePg/>
          <w:docGrid w:linePitch="312"/>
        </w:sectPr>
      </w:pPr>
    </w:p>
    <w:p w14:paraId="038A6F2F" w14:textId="77777777" w:rsidR="00B804EC" w:rsidRDefault="00000000">
      <w:pPr>
        <w:pStyle w:val="11"/>
        <w:snapToGrid w:val="0"/>
        <w:spacing w:before="0" w:after="0" w:line="360" w:lineRule="auto"/>
        <w:ind w:firstLineChars="50" w:firstLine="141"/>
        <w:rPr>
          <w:rFonts w:ascii="Arial Unicode MS" w:eastAsia="宋体" w:hAnsi="Arial Unicode MS" w:cs="Arial" w:hint="eastAsia"/>
          <w:b/>
          <w:bCs/>
          <w:sz w:val="28"/>
          <w:szCs w:val="28"/>
        </w:rPr>
      </w:pPr>
      <w:bookmarkStart w:id="0" w:name="_Toc63676436"/>
      <w:bookmarkStart w:id="1" w:name="_Toc335232691"/>
      <w:r>
        <w:rPr>
          <w:rFonts w:ascii="Arial Unicode MS" w:eastAsia="宋体" w:hAnsi="Arial Unicode MS" w:cs="Arial"/>
          <w:b/>
          <w:bCs/>
          <w:sz w:val="28"/>
          <w:szCs w:val="28"/>
        </w:rPr>
        <w:lastRenderedPageBreak/>
        <w:t>第一部分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绪言</w:t>
      </w:r>
      <w:bookmarkEnd w:id="0"/>
      <w:bookmarkEnd w:id="1"/>
    </w:p>
    <w:p w14:paraId="70D81811" w14:textId="77777777" w:rsidR="00B804EC" w:rsidRDefault="00B804EC">
      <w:pPr>
        <w:ind w:firstLine="105"/>
      </w:pPr>
    </w:p>
    <w:p w14:paraId="2D2034A5" w14:textId="77777777" w:rsidR="00B804EC" w:rsidRDefault="00000000">
      <w:pPr>
        <w:spacing w:line="360" w:lineRule="auto"/>
        <w:ind w:firstLineChars="200" w:firstLine="420"/>
      </w:pPr>
      <w:r>
        <w:t>《富荣富兴纯债债券型证券投资基金招募说明书》（以下简称</w:t>
      </w:r>
      <w:r>
        <w:t>“</w:t>
      </w:r>
      <w:r>
        <w:t>招募说明书</w:t>
      </w:r>
      <w:r>
        <w:t>”</w:t>
      </w:r>
      <w:r>
        <w:t>或</w:t>
      </w:r>
      <w:r>
        <w:t>“</w:t>
      </w:r>
      <w:r>
        <w:t>本招募说明书</w:t>
      </w:r>
      <w:r>
        <w:t>”</w:t>
      </w:r>
      <w:r>
        <w:t>）依照《中华人民共和国证券投资基金法》（以下简称</w:t>
      </w:r>
      <w:r>
        <w:t>“</w:t>
      </w:r>
      <w:r>
        <w:t>《基金法》</w:t>
      </w:r>
      <w:r>
        <w:t>”</w:t>
      </w:r>
      <w:r>
        <w:t>）、《</w:t>
      </w:r>
      <w:r>
        <w:rPr>
          <w:rFonts w:hint="eastAsia"/>
        </w:rPr>
        <w:t>公开募集</w:t>
      </w:r>
      <w:r>
        <w:t>证券投资基金运作管理办法》（以下简称</w:t>
      </w:r>
      <w:r>
        <w:t>“</w:t>
      </w:r>
      <w:r>
        <w:rPr>
          <w:rFonts w:hint="eastAsia"/>
        </w:rPr>
        <w:t>《运作办法》</w:t>
      </w:r>
      <w:r>
        <w:t>”</w:t>
      </w:r>
      <w:r>
        <w:rPr>
          <w:rFonts w:hint="eastAsia"/>
        </w:rPr>
        <w:t>）、《公开募集证券投资基金销售机构监督管理办法》（以下简称</w:t>
      </w:r>
      <w:r>
        <w:t>“</w:t>
      </w:r>
      <w:r>
        <w:rPr>
          <w:rFonts w:hint="eastAsia"/>
        </w:rPr>
        <w:t>《销售办法》</w:t>
      </w:r>
      <w:r>
        <w:t>”</w:t>
      </w:r>
      <w:r>
        <w:rPr>
          <w:rFonts w:hint="eastAsia"/>
        </w:rPr>
        <w:t>）、《</w:t>
      </w:r>
      <w:r>
        <w:rPr>
          <w:rFonts w:ascii="Arial Unicode MS" w:hAnsi="Arial Unicode MS" w:cs="Arial" w:hint="eastAsia"/>
          <w:kern w:val="0"/>
          <w:szCs w:val="21"/>
        </w:rPr>
        <w:t>公开募集证券投资基金信息披露管理办法</w:t>
      </w:r>
      <w:r>
        <w:rPr>
          <w:rFonts w:hint="eastAsia"/>
        </w:rPr>
        <w:t>》（以下简称</w:t>
      </w:r>
      <w:r>
        <w:t>“</w:t>
      </w:r>
      <w:r>
        <w:rPr>
          <w:rFonts w:hint="eastAsia"/>
        </w:rPr>
        <w:t>《信息披露办法》</w:t>
      </w:r>
      <w:r>
        <w:t>”</w:t>
      </w:r>
      <w:r>
        <w:rPr>
          <w:rFonts w:hint="eastAsia"/>
        </w:rPr>
        <w:t>）、《公开募集开放式证券投资基金流动性风险管理规定》（以下简称“《管理规定》”）和其他有关法律法规以及《富荣富兴纯债债券型证券投资基金基金合同》（以下简称</w:t>
      </w:r>
      <w:r>
        <w:t>“</w:t>
      </w:r>
      <w:r>
        <w:rPr>
          <w:rFonts w:hint="eastAsia"/>
        </w:rPr>
        <w:t>基金合同</w:t>
      </w:r>
      <w:r>
        <w:t>”</w:t>
      </w:r>
      <w:r>
        <w:rPr>
          <w:rFonts w:hint="eastAsia"/>
        </w:rPr>
        <w:t>）编写。本招募说明书阐述了</w:t>
      </w:r>
      <w:r>
        <w:t>富荣富兴纯债债券型证券投资基金</w:t>
      </w:r>
      <w:r>
        <w:rPr>
          <w:rFonts w:hint="eastAsia"/>
        </w:rPr>
        <w:t>的投资目标、策略、风险、费率等与投资人投资决策有关的必要事项，投资人在作出投资决策前应仔细阅读本招募说明书。</w:t>
      </w:r>
      <w:r>
        <w:t>基金管理人承诺本招募说明书不存在任何虚假记载、误导性陈述或重大遗漏，并对其真实性、准确性、完整性承担法律责任。</w:t>
      </w:r>
    </w:p>
    <w:p w14:paraId="47906A25" w14:textId="77777777" w:rsidR="00B804EC" w:rsidRDefault="00000000">
      <w:pPr>
        <w:spacing w:line="360" w:lineRule="auto"/>
        <w:ind w:firstLineChars="200" w:firstLine="420"/>
      </w:pPr>
      <w:r>
        <w:t>富荣富兴纯债债券型证券投资基金（以下简称</w:t>
      </w:r>
      <w:r>
        <w:t>“</w:t>
      </w:r>
      <w:r>
        <w:t>基金</w:t>
      </w:r>
      <w:r>
        <w:t>”</w:t>
      </w:r>
      <w:r>
        <w:rPr>
          <w:rFonts w:hint="eastAsia"/>
        </w:rPr>
        <w:t>或</w:t>
      </w:r>
      <w:r>
        <w:t>“</w:t>
      </w:r>
      <w:r>
        <w:rPr>
          <w:rFonts w:hint="eastAsia"/>
        </w:rPr>
        <w:t>本基金</w:t>
      </w:r>
      <w:r>
        <w:t>”</w:t>
      </w:r>
      <w:r>
        <w:rPr>
          <w:rFonts w:hint="eastAsia"/>
        </w:rPr>
        <w:t>）是根据本招募说明书所载明的资料申请募集的。本基金管理人没有委托或授权任何其他人提供未在本招募说明书中载明的信息，或对本招募说明书作任何解释或者说明。</w:t>
      </w:r>
    </w:p>
    <w:p w14:paraId="0A44DCDE" w14:textId="77777777" w:rsidR="00B804EC" w:rsidRDefault="00000000">
      <w:pPr>
        <w:spacing w:line="360" w:lineRule="auto"/>
        <w:ind w:firstLineChars="200" w:firstLine="420"/>
      </w:pPr>
      <w:r>
        <w:t>本招募说明书根据本基金的基金合同编写，并经中国证监会</w:t>
      </w:r>
      <w:r>
        <w:rPr>
          <w:rFonts w:hint="eastAsia"/>
        </w:rPr>
        <w:t>注册</w:t>
      </w:r>
      <w:r>
        <w:t>。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0ED9F8CF" w14:textId="77777777" w:rsidR="00B804EC" w:rsidRDefault="00B804EC">
      <w:pPr>
        <w:spacing w:line="360" w:lineRule="auto"/>
        <w:ind w:firstLineChars="200" w:firstLine="420"/>
      </w:pPr>
    </w:p>
    <w:p w14:paraId="5B2ACD9A" w14:textId="77777777" w:rsidR="00B804EC" w:rsidRDefault="00B804EC">
      <w:pPr>
        <w:spacing w:line="360" w:lineRule="auto"/>
        <w:ind w:firstLineChars="200" w:firstLine="420"/>
      </w:pPr>
    </w:p>
    <w:p w14:paraId="141E73D3" w14:textId="77777777" w:rsidR="00B804EC" w:rsidRDefault="00B804EC">
      <w:pPr>
        <w:spacing w:line="360" w:lineRule="auto"/>
        <w:ind w:firstLineChars="200" w:firstLine="420"/>
      </w:pPr>
    </w:p>
    <w:p w14:paraId="6F4E2830" w14:textId="77777777" w:rsidR="00B804EC" w:rsidRDefault="00B804EC">
      <w:pPr>
        <w:spacing w:line="360" w:lineRule="auto"/>
        <w:ind w:firstLineChars="200" w:firstLine="420"/>
      </w:pPr>
    </w:p>
    <w:p w14:paraId="24689EAB" w14:textId="77777777" w:rsidR="00B804EC" w:rsidRDefault="00B804EC">
      <w:pPr>
        <w:spacing w:line="360" w:lineRule="auto"/>
        <w:ind w:firstLineChars="200" w:firstLine="420"/>
      </w:pPr>
    </w:p>
    <w:p w14:paraId="5C9BC8E1" w14:textId="77777777" w:rsidR="00B804EC" w:rsidRDefault="00B804EC">
      <w:pPr>
        <w:spacing w:line="360" w:lineRule="auto"/>
        <w:ind w:firstLineChars="200" w:firstLine="420"/>
      </w:pPr>
    </w:p>
    <w:p w14:paraId="5F7659DF" w14:textId="77777777" w:rsidR="00B804EC" w:rsidRDefault="00B804EC">
      <w:pPr>
        <w:spacing w:line="360" w:lineRule="auto"/>
        <w:ind w:firstLineChars="200" w:firstLine="420"/>
      </w:pPr>
    </w:p>
    <w:p w14:paraId="5A629CB2" w14:textId="77777777" w:rsidR="00B804EC" w:rsidRDefault="00B804EC">
      <w:pPr>
        <w:spacing w:line="360" w:lineRule="auto"/>
        <w:ind w:firstLineChars="200" w:firstLine="420"/>
      </w:pPr>
    </w:p>
    <w:p w14:paraId="14224CF5" w14:textId="77777777" w:rsidR="00B804EC" w:rsidRDefault="00B804EC">
      <w:pPr>
        <w:spacing w:line="360" w:lineRule="auto"/>
        <w:ind w:firstLineChars="200" w:firstLine="420"/>
      </w:pPr>
    </w:p>
    <w:p w14:paraId="02EF02E3" w14:textId="77777777" w:rsidR="00B804EC" w:rsidRDefault="00B804EC">
      <w:pPr>
        <w:spacing w:line="360" w:lineRule="auto"/>
        <w:ind w:firstLineChars="200" w:firstLine="420"/>
      </w:pPr>
    </w:p>
    <w:p w14:paraId="264E7491" w14:textId="77777777" w:rsidR="00B804EC" w:rsidRDefault="00B804EC">
      <w:pPr>
        <w:spacing w:line="360" w:lineRule="auto"/>
        <w:ind w:firstLineChars="200" w:firstLine="420"/>
      </w:pPr>
    </w:p>
    <w:p w14:paraId="2ADA97B3" w14:textId="77777777" w:rsidR="00B804EC" w:rsidRDefault="00B804EC">
      <w:pPr>
        <w:spacing w:line="360" w:lineRule="auto"/>
        <w:ind w:firstLineChars="200" w:firstLine="420"/>
      </w:pPr>
    </w:p>
    <w:p w14:paraId="1EFA8146" w14:textId="77777777" w:rsidR="00B804EC" w:rsidRDefault="00B804EC">
      <w:pPr>
        <w:spacing w:line="360" w:lineRule="auto"/>
        <w:ind w:firstLineChars="200" w:firstLine="420"/>
      </w:pPr>
    </w:p>
    <w:p w14:paraId="0B3E2CB4" w14:textId="77777777" w:rsidR="00B804EC" w:rsidRDefault="00B804EC">
      <w:pPr>
        <w:spacing w:line="360" w:lineRule="auto"/>
        <w:ind w:firstLineChars="200" w:firstLine="420"/>
      </w:pPr>
    </w:p>
    <w:p w14:paraId="6B45B9CC" w14:textId="77777777" w:rsidR="00B804EC" w:rsidRDefault="00B804EC">
      <w:pPr>
        <w:spacing w:line="360" w:lineRule="auto"/>
        <w:ind w:firstLineChars="200" w:firstLine="420"/>
      </w:pPr>
    </w:p>
    <w:p w14:paraId="6CF5C117" w14:textId="77777777" w:rsidR="00B804EC" w:rsidRDefault="00B804EC">
      <w:pPr>
        <w:spacing w:line="360" w:lineRule="auto"/>
        <w:ind w:firstLineChars="200" w:firstLine="420"/>
      </w:pPr>
    </w:p>
    <w:p w14:paraId="2AFD8478" w14:textId="77777777" w:rsidR="00B804EC" w:rsidRDefault="00000000">
      <w:pPr>
        <w:pStyle w:val="11"/>
        <w:snapToGrid w:val="0"/>
        <w:spacing w:before="0" w:after="0" w:line="360" w:lineRule="auto"/>
        <w:ind w:firstLine="141"/>
        <w:rPr>
          <w:rFonts w:ascii="Arial Unicode MS" w:eastAsia="宋体" w:hAnsi="Arial Unicode MS" w:cs="Arial" w:hint="eastAsia"/>
          <w:b/>
          <w:bCs/>
          <w:sz w:val="28"/>
          <w:szCs w:val="28"/>
        </w:rPr>
      </w:pPr>
      <w:bookmarkStart w:id="2" w:name="_Toc335232692"/>
      <w:bookmarkStart w:id="3" w:name="_Toc214873591"/>
      <w:bookmarkStart w:id="4" w:name="_Toc63676437"/>
      <w:r>
        <w:rPr>
          <w:rFonts w:ascii="Arial Unicode MS" w:eastAsia="宋体" w:hAnsi="Arial Unicode MS" w:cs="Arial"/>
          <w:b/>
          <w:bCs/>
          <w:sz w:val="28"/>
          <w:szCs w:val="28"/>
        </w:rPr>
        <w:lastRenderedPageBreak/>
        <w:t>第二部分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释义</w:t>
      </w:r>
      <w:bookmarkEnd w:id="2"/>
      <w:bookmarkEnd w:id="3"/>
      <w:bookmarkEnd w:id="4"/>
    </w:p>
    <w:p w14:paraId="5ACFC5D6" w14:textId="77777777" w:rsidR="00B804EC" w:rsidRDefault="00B804EC"/>
    <w:p w14:paraId="6FE57F33"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在本招募说明书中，除非文</w:t>
      </w:r>
      <w:r>
        <w:rPr>
          <w:rFonts w:ascii="Arial Unicode MS" w:hAnsi="Arial Unicode MS" w:cs="Arial" w:hint="eastAsia"/>
          <w:szCs w:val="21"/>
        </w:rPr>
        <w:t>义</w:t>
      </w:r>
      <w:r>
        <w:rPr>
          <w:rFonts w:ascii="Arial Unicode MS" w:hAnsi="Arial Unicode MS" w:cs="Arial"/>
          <w:szCs w:val="21"/>
        </w:rPr>
        <w:t>另有所指，下列词语</w:t>
      </w:r>
      <w:r>
        <w:rPr>
          <w:rFonts w:ascii="Arial Unicode MS" w:hAnsi="Arial Unicode MS" w:cs="Arial" w:hint="eastAsia"/>
          <w:szCs w:val="21"/>
        </w:rPr>
        <w:t>或简称</w:t>
      </w:r>
      <w:r>
        <w:rPr>
          <w:rFonts w:ascii="Arial Unicode MS" w:hAnsi="Arial Unicode MS" w:cs="Arial"/>
          <w:szCs w:val="21"/>
        </w:rPr>
        <w:t>具有</w:t>
      </w:r>
      <w:r>
        <w:rPr>
          <w:rFonts w:ascii="Arial Unicode MS" w:hAnsi="Arial Unicode MS" w:cs="Arial" w:hint="eastAsia"/>
          <w:szCs w:val="21"/>
        </w:rPr>
        <w:t>以下</w:t>
      </w:r>
      <w:r>
        <w:rPr>
          <w:rFonts w:ascii="Arial Unicode MS" w:hAnsi="Arial Unicode MS" w:cs="Arial"/>
          <w:szCs w:val="21"/>
        </w:rPr>
        <w:t>含义：</w:t>
      </w:r>
    </w:p>
    <w:p w14:paraId="524DCD46" w14:textId="77777777" w:rsidR="00B804EC" w:rsidRDefault="00000000">
      <w:pPr>
        <w:spacing w:line="360" w:lineRule="auto"/>
        <w:ind w:firstLineChars="150" w:firstLine="315"/>
        <w:rPr>
          <w:rFonts w:ascii="Arial Unicode MS" w:hAnsi="Arial Unicode MS" w:cs="Arial" w:hint="eastAsia"/>
          <w:szCs w:val="21"/>
        </w:rPr>
      </w:pPr>
      <w:r>
        <w:rPr>
          <w:rFonts w:ascii="Arial Unicode MS" w:hAnsi="Arial Unicode MS" w:cs="Arial"/>
          <w:szCs w:val="21"/>
        </w:rPr>
        <w:t>1</w:t>
      </w:r>
      <w:r>
        <w:rPr>
          <w:rFonts w:ascii="Arial Unicode MS" w:hAnsi="Arial Unicode MS" w:cs="Arial" w:hint="eastAsia"/>
          <w:szCs w:val="21"/>
        </w:rPr>
        <w:t>、</w:t>
      </w:r>
      <w:r>
        <w:rPr>
          <w:rFonts w:ascii="Arial Unicode MS" w:hAnsi="Arial Unicode MS" w:cs="Arial"/>
          <w:szCs w:val="21"/>
        </w:rPr>
        <w:t>基金或本基金：</w:t>
      </w:r>
      <w:r>
        <w:rPr>
          <w:rFonts w:ascii="Arial Unicode MS" w:hAnsi="Arial Unicode MS" w:cs="Arial" w:hint="eastAsia"/>
          <w:szCs w:val="21"/>
        </w:rPr>
        <w:t>指富荣富兴纯债债券型证券投资基金</w:t>
      </w:r>
    </w:p>
    <w:p w14:paraId="0DC8D91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2</w:t>
      </w:r>
      <w:r>
        <w:rPr>
          <w:rFonts w:ascii="Arial Unicode MS" w:hAnsi="Arial Unicode MS" w:cs="Arial" w:hint="eastAsia"/>
          <w:szCs w:val="21"/>
        </w:rPr>
        <w:t>、</w:t>
      </w:r>
      <w:r>
        <w:rPr>
          <w:rFonts w:ascii="Arial Unicode MS" w:hAnsi="Arial Unicode MS" w:cs="Arial"/>
          <w:szCs w:val="21"/>
        </w:rPr>
        <w:t>基金管理人：指</w:t>
      </w:r>
      <w:r>
        <w:rPr>
          <w:rFonts w:ascii="Arial Unicode MS" w:hAnsi="Arial Unicode MS" w:cs="Arial" w:hint="eastAsia"/>
          <w:szCs w:val="21"/>
        </w:rPr>
        <w:t>富荣基金管理有限公司</w:t>
      </w:r>
      <w:r>
        <w:rPr>
          <w:rFonts w:ascii="Arial Unicode MS" w:hAnsi="Arial Unicode MS" w:cs="Arial"/>
          <w:szCs w:val="21"/>
        </w:rPr>
        <w:t xml:space="preserve">      </w:t>
      </w:r>
    </w:p>
    <w:p w14:paraId="6D3DE97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3</w:t>
      </w:r>
      <w:r>
        <w:rPr>
          <w:rFonts w:ascii="Arial Unicode MS" w:hAnsi="Arial Unicode MS" w:cs="Arial" w:hint="eastAsia"/>
          <w:szCs w:val="21"/>
        </w:rPr>
        <w:t>、</w:t>
      </w:r>
      <w:r>
        <w:rPr>
          <w:rFonts w:ascii="Arial Unicode MS" w:hAnsi="Arial Unicode MS" w:cs="Arial"/>
          <w:szCs w:val="21"/>
        </w:rPr>
        <w:t>基金托管人：</w:t>
      </w:r>
      <w:r>
        <w:rPr>
          <w:rFonts w:ascii="Arial Unicode MS" w:hAnsi="Arial Unicode MS" w:cs="Arial" w:hint="eastAsia"/>
          <w:szCs w:val="21"/>
        </w:rPr>
        <w:t>指中国建设银行股份有限公司。以下简称基金托管人或托管人</w:t>
      </w:r>
      <w:r>
        <w:rPr>
          <w:rFonts w:ascii="Arial Unicode MS" w:hAnsi="Arial Unicode MS" w:cs="Arial"/>
          <w:szCs w:val="21"/>
        </w:rPr>
        <w:t xml:space="preserve">    </w:t>
      </w:r>
    </w:p>
    <w:p w14:paraId="7B32D325"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szCs w:val="21"/>
        </w:rPr>
        <w:t>基金合同：指《</w:t>
      </w:r>
      <w:r>
        <w:rPr>
          <w:rFonts w:ascii="Arial Unicode MS" w:hAnsi="Arial Unicode MS" w:cs="Arial" w:hint="eastAsia"/>
          <w:szCs w:val="21"/>
        </w:rPr>
        <w:t>富荣富兴纯债债券型证券投资基金</w:t>
      </w:r>
      <w:r>
        <w:rPr>
          <w:rFonts w:ascii="Arial Unicode MS" w:hAnsi="Arial Unicode MS" w:cs="Arial"/>
          <w:szCs w:val="21"/>
        </w:rPr>
        <w:t>基金合同》及对基金合同的任何有效修订和补充</w:t>
      </w:r>
    </w:p>
    <w:p w14:paraId="67DB2CF2"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5</w:t>
      </w:r>
      <w:r>
        <w:rPr>
          <w:rFonts w:ascii="Arial Unicode MS" w:hAnsi="Arial Unicode MS" w:cs="Arial" w:hint="eastAsia"/>
          <w:szCs w:val="21"/>
        </w:rPr>
        <w:t>、</w:t>
      </w:r>
      <w:r>
        <w:rPr>
          <w:rFonts w:ascii="Arial Unicode MS" w:hAnsi="Arial Unicode MS" w:cs="Arial"/>
          <w:szCs w:val="21"/>
        </w:rPr>
        <w:t>托管协议：指基金管理人与基金托管人就本基金签订之《</w:t>
      </w:r>
      <w:r>
        <w:rPr>
          <w:rFonts w:ascii="Arial Unicode MS" w:hAnsi="Arial Unicode MS" w:cs="Arial" w:hint="eastAsia"/>
          <w:szCs w:val="21"/>
        </w:rPr>
        <w:t>富荣富兴纯债债券型证券投资基金</w:t>
      </w:r>
      <w:r>
        <w:rPr>
          <w:rFonts w:ascii="Arial Unicode MS" w:hAnsi="Arial Unicode MS" w:cs="Arial"/>
          <w:szCs w:val="21"/>
        </w:rPr>
        <w:t>托管协议》及对该托管协议的任何有效修订和补充</w:t>
      </w:r>
    </w:p>
    <w:p w14:paraId="5E583F8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6</w:t>
      </w:r>
      <w:r>
        <w:rPr>
          <w:rFonts w:ascii="Arial Unicode MS" w:hAnsi="Arial Unicode MS" w:cs="Arial" w:hint="eastAsia"/>
          <w:szCs w:val="21"/>
        </w:rPr>
        <w:t>、</w:t>
      </w:r>
      <w:r>
        <w:rPr>
          <w:rFonts w:ascii="Arial Unicode MS" w:hAnsi="Arial Unicode MS" w:cs="Arial"/>
          <w:szCs w:val="21"/>
        </w:rPr>
        <w:t>招募说明书</w:t>
      </w:r>
      <w:r>
        <w:rPr>
          <w:rFonts w:ascii="Arial Unicode MS" w:hAnsi="Arial Unicode MS" w:cs="Arial" w:hint="eastAsia"/>
          <w:szCs w:val="21"/>
        </w:rPr>
        <w:t>或本招募说明书</w:t>
      </w:r>
      <w:r>
        <w:rPr>
          <w:rFonts w:ascii="Arial Unicode MS" w:hAnsi="Arial Unicode MS" w:cs="Arial"/>
          <w:szCs w:val="21"/>
        </w:rPr>
        <w:t>：指《</w:t>
      </w:r>
      <w:r>
        <w:rPr>
          <w:rFonts w:ascii="Arial Unicode MS" w:hAnsi="Arial Unicode MS" w:cs="Arial" w:hint="eastAsia"/>
          <w:szCs w:val="21"/>
        </w:rPr>
        <w:t>富荣富兴纯债债券型证券投资基金</w:t>
      </w:r>
      <w:r>
        <w:rPr>
          <w:rFonts w:ascii="Arial Unicode MS" w:hAnsi="Arial Unicode MS" w:cs="Arial"/>
          <w:szCs w:val="21"/>
        </w:rPr>
        <w:t>招募说明书》及其更新</w:t>
      </w:r>
    </w:p>
    <w:p w14:paraId="7A89919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、基金产品资料概要：指《富荣富兴纯债债券型证券投资基金基金产品资料概要》及其更新</w:t>
      </w:r>
    </w:p>
    <w:p w14:paraId="0AA3BB4F"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8</w:t>
      </w:r>
      <w:r>
        <w:rPr>
          <w:rFonts w:ascii="Arial Unicode MS" w:hAnsi="Arial Unicode MS" w:cs="Arial" w:hint="eastAsia"/>
          <w:szCs w:val="21"/>
        </w:rPr>
        <w:t>、</w:t>
      </w:r>
      <w:r>
        <w:rPr>
          <w:rFonts w:ascii="Arial Unicode MS" w:hAnsi="Arial Unicode MS" w:cs="Arial"/>
          <w:szCs w:val="21"/>
        </w:rPr>
        <w:t>基金份额发售公告：指《</w:t>
      </w:r>
      <w:r>
        <w:rPr>
          <w:rFonts w:ascii="Arial Unicode MS" w:hAnsi="Arial Unicode MS" w:cs="Arial" w:hint="eastAsia"/>
          <w:szCs w:val="21"/>
        </w:rPr>
        <w:t>富荣富兴纯债债券型证券投资基金</w:t>
      </w:r>
      <w:r>
        <w:rPr>
          <w:rFonts w:ascii="Arial Unicode MS" w:hAnsi="Arial Unicode MS" w:cs="Arial"/>
          <w:szCs w:val="21"/>
        </w:rPr>
        <w:t>基金份额发售公告》</w:t>
      </w:r>
    </w:p>
    <w:p w14:paraId="46556AA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9</w:t>
      </w:r>
      <w:r>
        <w:rPr>
          <w:rFonts w:ascii="Arial Unicode MS" w:hAnsi="Arial Unicode MS" w:cs="Arial" w:hint="eastAsia"/>
          <w:szCs w:val="21"/>
        </w:rPr>
        <w:t>、法律法规：指中国现行有效并公布实施的法律、行政法规、规范性文件、司法解释、行政规章以及其他对基金合同当事人有约束力的决定、决议、通知等</w:t>
      </w:r>
    </w:p>
    <w:p w14:paraId="55E8DE1C"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10</w:t>
      </w:r>
      <w:r>
        <w:rPr>
          <w:rFonts w:ascii="Arial Unicode MS" w:hAnsi="Arial Unicode MS" w:cs="Arial" w:hint="eastAsia"/>
          <w:szCs w:val="21"/>
        </w:rPr>
        <w:t>、《基金法》：指</w:t>
      </w:r>
      <w:r>
        <w:rPr>
          <w:rFonts w:ascii="Arial Unicode MS" w:hAnsi="Arial Unicode MS" w:cs="Arial" w:hint="eastAsia"/>
          <w:szCs w:val="21"/>
        </w:rPr>
        <w:t>2003</w:t>
      </w:r>
      <w:r>
        <w:rPr>
          <w:rFonts w:ascii="Arial Unicode MS" w:hAnsi="Arial Unicode MS" w:cs="Arial" w:hint="eastAsia"/>
          <w:szCs w:val="21"/>
        </w:rPr>
        <w:t>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日经第十届全国人民代表大会常务委员会第五次会议通过，经</w:t>
      </w:r>
      <w:r>
        <w:rPr>
          <w:rFonts w:ascii="Arial Unicode MS" w:hAnsi="Arial Unicode MS" w:cs="Arial" w:hint="eastAsia"/>
          <w:szCs w:val="21"/>
        </w:rPr>
        <w:t>2012</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日第十一届全国人民代表大会常务委员会第三十次会议修订，自</w:t>
      </w:r>
      <w:r>
        <w:rPr>
          <w:rFonts w:ascii="Arial Unicode MS" w:hAnsi="Arial Unicode MS" w:cs="Arial" w:hint="eastAsia"/>
          <w:szCs w:val="21"/>
        </w:rPr>
        <w:t>2013</w:t>
      </w:r>
      <w:r>
        <w:rPr>
          <w:rFonts w:ascii="Arial Unicode MS" w:hAnsi="Arial Unicode MS" w:cs="Arial" w:hint="eastAsia"/>
          <w:szCs w:val="21"/>
        </w:rPr>
        <w:t>年</w:t>
      </w:r>
      <w:r>
        <w:rPr>
          <w:rFonts w:ascii="Arial Unicode MS" w:hAnsi="Arial Unicode MS" w:cs="Arial" w:hint="eastAsia"/>
          <w:szCs w:val="21"/>
        </w:rPr>
        <w:t>6</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日起实施并经</w:t>
      </w:r>
      <w:r>
        <w:rPr>
          <w:rFonts w:ascii="Arial Unicode MS" w:hAnsi="Arial Unicode MS" w:cs="Arial" w:hint="eastAsia"/>
          <w:szCs w:val="21"/>
        </w:rPr>
        <w:t>2015</w:t>
      </w:r>
      <w:r>
        <w:rPr>
          <w:rFonts w:ascii="Arial Unicode MS" w:hAnsi="Arial Unicode MS" w:cs="Arial" w:hint="eastAsia"/>
          <w:szCs w:val="21"/>
        </w:rPr>
        <w:t>年</w:t>
      </w:r>
      <w:r>
        <w:rPr>
          <w:rFonts w:ascii="Arial Unicode MS" w:hAnsi="Arial Unicode MS" w:cs="Arial" w:hint="eastAsia"/>
          <w:szCs w:val="21"/>
        </w:rPr>
        <w:t>4</w:t>
      </w:r>
      <w:r>
        <w:rPr>
          <w:rFonts w:ascii="Arial Unicode MS" w:hAnsi="Arial Unicode MS" w:cs="Arial" w:hint="eastAsia"/>
          <w:szCs w:val="21"/>
        </w:rPr>
        <w:t>月</w:t>
      </w:r>
      <w:r>
        <w:rPr>
          <w:rFonts w:ascii="Arial Unicode MS" w:hAnsi="Arial Unicode MS" w:cs="Arial" w:hint="eastAsia"/>
          <w:szCs w:val="21"/>
        </w:rPr>
        <w:t>24</w:t>
      </w:r>
      <w:r>
        <w:rPr>
          <w:rFonts w:ascii="Arial Unicode MS" w:hAnsi="Arial Unicode MS" w:cs="Arial" w:hint="eastAsia"/>
          <w:szCs w:val="21"/>
        </w:rPr>
        <w:t>日第十二届全国人民代表大会常务委员会第十四次会议《全国人民代表大会常务委员会关于修改〈中华人民共和国港口法</w:t>
      </w:r>
      <w:r>
        <w:rPr>
          <w:rFonts w:ascii="Arial Unicode MS" w:hAnsi="Arial Unicode MS" w:cs="Arial" w:hint="eastAsia"/>
          <w:szCs w:val="21"/>
        </w:rPr>
        <w:t>&gt;</w:t>
      </w:r>
      <w:r>
        <w:rPr>
          <w:rFonts w:ascii="Arial Unicode MS" w:hAnsi="Arial Unicode MS" w:cs="Arial" w:hint="eastAsia"/>
          <w:szCs w:val="21"/>
        </w:rPr>
        <w:t>等七部法律的决定》修改的《中华人民共和国证券投资基金法》及颁布机关对其不时做出的修订</w:t>
      </w:r>
    </w:p>
    <w:p w14:paraId="619DAB6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1</w:t>
      </w:r>
      <w:r>
        <w:rPr>
          <w:rFonts w:ascii="Arial Unicode MS" w:hAnsi="Arial Unicode MS" w:cs="Arial" w:hint="eastAsia"/>
          <w:szCs w:val="21"/>
        </w:rPr>
        <w:t>、《销售办法》：指中国证监会</w:t>
      </w:r>
      <w:r>
        <w:rPr>
          <w:rFonts w:ascii="Arial Unicode MS" w:hAnsi="Arial Unicode MS" w:cs="Arial" w:hint="eastAsia"/>
          <w:szCs w:val="21"/>
        </w:rPr>
        <w:t>2020</w:t>
      </w:r>
      <w:r>
        <w:rPr>
          <w:rFonts w:ascii="Arial Unicode MS" w:hAnsi="Arial Unicode MS" w:cs="Arial" w:hint="eastAsia"/>
          <w:szCs w:val="21"/>
        </w:rPr>
        <w:t>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日颁布、同年</w:t>
      </w:r>
      <w:r>
        <w:rPr>
          <w:rFonts w:ascii="Arial Unicode MS" w:hAnsi="Arial Unicode MS" w:cs="Arial"/>
          <w:szCs w:val="21"/>
        </w:rPr>
        <w:t>10</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日实施的《公开募集证券投资基金销售机构监督管理办法》及颁布机关对其不时做出的修订</w:t>
      </w:r>
    </w:p>
    <w:p w14:paraId="78C5FA2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、《信息披露办法》：指中国证监会</w:t>
      </w:r>
      <w:r>
        <w:rPr>
          <w:rFonts w:ascii="Arial Unicode MS" w:hAnsi="Arial Unicode MS" w:cs="Arial"/>
          <w:szCs w:val="21"/>
        </w:rPr>
        <w:t>2019</w:t>
      </w:r>
      <w:r>
        <w:rPr>
          <w:rFonts w:ascii="Arial Unicode MS" w:hAnsi="Arial Unicode MS" w:cs="Arial" w:hint="eastAsia"/>
          <w:szCs w:val="21"/>
        </w:rPr>
        <w:t>年</w:t>
      </w:r>
      <w:r>
        <w:rPr>
          <w:rFonts w:ascii="Arial Unicode MS" w:hAnsi="Arial Unicode MS" w:cs="Arial"/>
          <w:szCs w:val="21"/>
        </w:rPr>
        <w:t>7</w:t>
      </w:r>
      <w:r>
        <w:rPr>
          <w:rFonts w:ascii="Arial Unicode MS" w:hAnsi="Arial Unicode MS" w:cs="Arial" w:hint="eastAsia"/>
          <w:szCs w:val="21"/>
        </w:rPr>
        <w:t>月</w:t>
      </w:r>
      <w:r>
        <w:rPr>
          <w:rFonts w:ascii="Arial Unicode MS" w:hAnsi="Arial Unicode MS" w:cs="Arial"/>
          <w:szCs w:val="21"/>
        </w:rPr>
        <w:t>26</w:t>
      </w:r>
      <w:r>
        <w:rPr>
          <w:rFonts w:ascii="Arial Unicode MS" w:hAnsi="Arial Unicode MS" w:cs="Arial" w:hint="eastAsia"/>
          <w:szCs w:val="21"/>
        </w:rPr>
        <w:t>日颁布、同年</w:t>
      </w:r>
      <w:r>
        <w:rPr>
          <w:rFonts w:ascii="Arial Unicode MS" w:hAnsi="Arial Unicode MS" w:cs="Arial"/>
          <w:szCs w:val="21"/>
        </w:rPr>
        <w:t>9</w:t>
      </w:r>
      <w:r>
        <w:rPr>
          <w:rFonts w:ascii="Arial Unicode MS" w:hAnsi="Arial Unicode MS" w:cs="Arial" w:hint="eastAsia"/>
          <w:szCs w:val="21"/>
        </w:rPr>
        <w:t>月</w:t>
      </w:r>
      <w:r>
        <w:rPr>
          <w:rFonts w:ascii="Arial Unicode MS" w:hAnsi="Arial Unicode MS" w:cs="Arial"/>
          <w:szCs w:val="21"/>
        </w:rPr>
        <w:t>1</w:t>
      </w:r>
      <w:r>
        <w:rPr>
          <w:rFonts w:ascii="Arial Unicode MS" w:hAnsi="Arial Unicode MS" w:cs="Arial" w:hint="eastAsia"/>
          <w:szCs w:val="21"/>
        </w:rPr>
        <w:t>日实施，并经</w:t>
      </w:r>
      <w:r>
        <w:rPr>
          <w:rFonts w:ascii="Arial Unicode MS" w:hAnsi="Arial Unicode MS" w:cs="Arial" w:hint="eastAsia"/>
          <w:szCs w:val="21"/>
        </w:rPr>
        <w:t>2020</w:t>
      </w:r>
      <w:r>
        <w:rPr>
          <w:rFonts w:ascii="Arial Unicode MS" w:hAnsi="Arial Unicode MS" w:cs="Arial" w:hint="eastAsia"/>
          <w:szCs w:val="21"/>
        </w:rPr>
        <w:t>年</w:t>
      </w:r>
      <w:r>
        <w:rPr>
          <w:rFonts w:ascii="Arial Unicode MS" w:hAnsi="Arial Unicode MS" w:cs="Arial" w:hint="eastAsia"/>
          <w:szCs w:val="21"/>
        </w:rPr>
        <w:t>3</w:t>
      </w:r>
      <w:r>
        <w:rPr>
          <w:rFonts w:ascii="Arial Unicode MS" w:hAnsi="Arial Unicode MS" w:cs="Arial" w:hint="eastAsia"/>
          <w:szCs w:val="21"/>
        </w:rPr>
        <w:t>月</w:t>
      </w:r>
      <w:r>
        <w:rPr>
          <w:rFonts w:ascii="Arial Unicode MS" w:hAnsi="Arial Unicode MS" w:cs="Arial" w:hint="eastAsia"/>
          <w:szCs w:val="21"/>
        </w:rPr>
        <w:t>20</w:t>
      </w:r>
      <w:r>
        <w:rPr>
          <w:rFonts w:ascii="Arial Unicode MS" w:hAnsi="Arial Unicode MS" w:cs="Arial" w:hint="eastAsia"/>
          <w:szCs w:val="21"/>
        </w:rPr>
        <w:t>日中国证监会《关于修改部分证券期货规章的决定》修正的《公开募集证券投资基金信息披露管理办法》及颁布机关对其不时做出的修订</w:t>
      </w:r>
    </w:p>
    <w:p w14:paraId="5E1A21D9"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、《运作办法》：指中国证监会</w:t>
      </w:r>
      <w:r>
        <w:rPr>
          <w:rFonts w:ascii="Arial Unicode MS" w:hAnsi="Arial Unicode MS" w:cs="Arial" w:hint="eastAsia"/>
          <w:szCs w:val="21"/>
        </w:rPr>
        <w:t>2014</w:t>
      </w:r>
      <w:r>
        <w:rPr>
          <w:rFonts w:ascii="Arial Unicode MS" w:hAnsi="Arial Unicode MS" w:cs="Arial" w:hint="eastAsia"/>
          <w:szCs w:val="21"/>
        </w:rPr>
        <w:t>年</w:t>
      </w:r>
      <w:r>
        <w:rPr>
          <w:rFonts w:ascii="Arial Unicode MS" w:hAnsi="Arial Unicode MS" w:cs="Arial" w:hint="eastAsia"/>
          <w:szCs w:val="21"/>
        </w:rPr>
        <w:t>7</w:t>
      </w:r>
      <w:r>
        <w:rPr>
          <w:rFonts w:ascii="Arial Unicode MS" w:hAnsi="Arial Unicode MS" w:cs="Arial" w:hint="eastAsia"/>
          <w:szCs w:val="21"/>
        </w:rPr>
        <w:t>月</w:t>
      </w:r>
      <w:r>
        <w:rPr>
          <w:rFonts w:ascii="Arial Unicode MS" w:hAnsi="Arial Unicode MS" w:cs="Arial" w:hint="eastAsia"/>
          <w:szCs w:val="21"/>
        </w:rPr>
        <w:t>7</w:t>
      </w:r>
      <w:r>
        <w:rPr>
          <w:rFonts w:ascii="Arial Unicode MS" w:hAnsi="Arial Unicode MS" w:cs="Arial" w:hint="eastAsia"/>
          <w:szCs w:val="21"/>
        </w:rPr>
        <w:t>日颁布、同年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8</w:t>
      </w:r>
      <w:r>
        <w:rPr>
          <w:rFonts w:ascii="Arial Unicode MS" w:hAnsi="Arial Unicode MS" w:cs="Arial" w:hint="eastAsia"/>
          <w:szCs w:val="21"/>
        </w:rPr>
        <w:t>日实施的《公开募</w:t>
      </w:r>
      <w:r>
        <w:rPr>
          <w:rFonts w:ascii="Arial Unicode MS" w:hAnsi="Arial Unicode MS" w:cs="Arial" w:hint="eastAsia"/>
          <w:szCs w:val="21"/>
        </w:rPr>
        <w:lastRenderedPageBreak/>
        <w:t>集证券投资基金运作管理办法》及颁布机关对其不时做出的修订</w:t>
      </w:r>
    </w:p>
    <w:p w14:paraId="2B917BE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4</w:t>
      </w:r>
      <w:r>
        <w:rPr>
          <w:rFonts w:ascii="Arial Unicode MS" w:hAnsi="Arial Unicode MS" w:cs="Arial" w:hint="eastAsia"/>
          <w:szCs w:val="21"/>
        </w:rPr>
        <w:t>、《流动性风险规定》：指中国证监会</w:t>
      </w:r>
      <w:r>
        <w:rPr>
          <w:rFonts w:ascii="Arial Unicode MS" w:hAnsi="Arial Unicode MS" w:cs="Arial" w:hint="eastAsia"/>
          <w:szCs w:val="21"/>
        </w:rPr>
        <w:t>2017</w:t>
      </w:r>
      <w:r>
        <w:rPr>
          <w:rFonts w:ascii="Arial Unicode MS" w:hAnsi="Arial Unicode MS" w:cs="Arial" w:hint="eastAsia"/>
          <w:szCs w:val="21"/>
        </w:rPr>
        <w:t>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日颁布、同年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日起实施的《公开募集开放式证券投资基金流动性风险管理规定》及颁布机关对其不时做出的修订</w:t>
      </w:r>
    </w:p>
    <w:p w14:paraId="074AAF8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5</w:t>
      </w:r>
      <w:r>
        <w:rPr>
          <w:rFonts w:ascii="Arial Unicode MS" w:hAnsi="Arial Unicode MS" w:cs="Arial" w:hint="eastAsia"/>
          <w:szCs w:val="21"/>
        </w:rPr>
        <w:t>、中国证监会：指中国证券监督管理委员会</w:t>
      </w:r>
    </w:p>
    <w:p w14:paraId="573D5FE8"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6</w:t>
      </w:r>
      <w:r>
        <w:rPr>
          <w:rFonts w:ascii="Arial Unicode MS" w:hAnsi="Arial Unicode MS" w:cs="Arial" w:hint="eastAsia"/>
          <w:szCs w:val="21"/>
        </w:rPr>
        <w:t>、银行业监督管理机构：指中国人民银行和</w:t>
      </w:r>
      <w:r>
        <w:rPr>
          <w:rFonts w:ascii="Arial Unicode MS" w:hAnsi="Arial Unicode MS" w:cs="Arial"/>
          <w:szCs w:val="21"/>
        </w:rPr>
        <w:t>/</w:t>
      </w:r>
      <w:r>
        <w:rPr>
          <w:rFonts w:ascii="Arial Unicode MS" w:hAnsi="Arial Unicode MS" w:cs="Arial" w:hint="eastAsia"/>
          <w:szCs w:val="21"/>
        </w:rPr>
        <w:t>或中国银行保险监督管理委员会</w:t>
      </w:r>
    </w:p>
    <w:p w14:paraId="68951D26"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7</w:t>
      </w:r>
      <w:r>
        <w:rPr>
          <w:rFonts w:ascii="Arial Unicode MS" w:hAnsi="Arial Unicode MS" w:cs="Arial" w:hint="eastAsia"/>
          <w:szCs w:val="21"/>
        </w:rPr>
        <w:t>、基金合同当事人：指受基金合同约束，根据基金合同享有权利并承担义务的法律主体，包括基金管理人、基金托管人和基金份额持有人</w:t>
      </w:r>
    </w:p>
    <w:p w14:paraId="3B8C1AC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8</w:t>
      </w:r>
      <w:r>
        <w:rPr>
          <w:rFonts w:ascii="Arial Unicode MS" w:hAnsi="Arial Unicode MS" w:cs="Arial" w:hint="eastAsia"/>
          <w:szCs w:val="21"/>
        </w:rPr>
        <w:t>、个人投资者：指依据有关法律法规规定可投资于证券投资基金的自然人</w:t>
      </w:r>
    </w:p>
    <w:p w14:paraId="08EC8503"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9</w:t>
      </w:r>
      <w:r>
        <w:rPr>
          <w:rFonts w:ascii="Arial Unicode MS" w:hAnsi="Arial Unicode MS" w:cs="Arial" w:hint="eastAsia"/>
          <w:szCs w:val="21"/>
        </w:rPr>
        <w:t>、机构投资者：指依法可以投资证券投资基金的、在中华人民共和国境内合法登记并存续或经有关政府部门批准设立并存续的企业法人、事业法人、社会团体或其他组织</w:t>
      </w:r>
    </w:p>
    <w:p w14:paraId="74B77E75"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20</w:t>
      </w:r>
      <w:r>
        <w:rPr>
          <w:rFonts w:ascii="Arial Unicode MS" w:hAnsi="Arial Unicode MS" w:cs="Arial" w:hint="eastAsia"/>
          <w:szCs w:val="21"/>
        </w:rPr>
        <w:t>、合格境外机构投资者：指符合《合格境外机构投资者和人民币合格境外机构投资者境内证券期货投资管理办法》及相关法律法规规定可以投资于在中国境内依法募集的证券投资基金的中国境外的机构投资者</w:t>
      </w:r>
    </w:p>
    <w:p w14:paraId="3E7B3B73"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1</w:t>
      </w:r>
      <w:r>
        <w:rPr>
          <w:rFonts w:ascii="Arial Unicode MS" w:hAnsi="Arial Unicode MS" w:cs="Arial" w:hint="eastAsia"/>
          <w:szCs w:val="21"/>
        </w:rPr>
        <w:t>、人民币合格境外机构投资者：指符合《合格境外机构投资者和人民币合格境外机构投资者境内证券期货投资管理办法》（包括其不时修订）及相关法律法规规定可以运用来自境外的人民币资金进行境内证券投资的境外机构投资者</w:t>
      </w:r>
    </w:p>
    <w:p w14:paraId="18A488D1"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2</w:t>
      </w:r>
      <w:r>
        <w:rPr>
          <w:rFonts w:ascii="Arial Unicode MS" w:hAnsi="Arial Unicode MS" w:cs="Arial" w:hint="eastAsia"/>
          <w:szCs w:val="21"/>
        </w:rPr>
        <w:t>、投资人：指个人投资者、机构投资者、合格境外机构投资者、人民币合格境外机构投资者以及法律法规或中国证监会允许购买证券投资基金的其他投资人的合称</w:t>
      </w:r>
    </w:p>
    <w:p w14:paraId="7B216BD3"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3</w:t>
      </w:r>
      <w:r>
        <w:rPr>
          <w:rFonts w:ascii="Arial Unicode MS" w:hAnsi="Arial Unicode MS" w:cs="Arial" w:hint="eastAsia"/>
          <w:szCs w:val="21"/>
        </w:rPr>
        <w:t>、基金份额持有人：指依基金合同和招募说明书合法取得基金份额的投资人</w:t>
      </w:r>
    </w:p>
    <w:p w14:paraId="4C327CCE"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4</w:t>
      </w:r>
      <w:r>
        <w:rPr>
          <w:rFonts w:ascii="Arial Unicode MS" w:hAnsi="Arial Unicode MS" w:cs="Arial" w:hint="eastAsia"/>
          <w:szCs w:val="21"/>
        </w:rPr>
        <w:t>、基金销售业务：指基金管理人或销售机构宣传推介基金，发售基金份额，办理基金份额的申购、赎回、转换、转托管及定期定额投资等业务</w:t>
      </w:r>
    </w:p>
    <w:p w14:paraId="47EACE1E"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5</w:t>
      </w:r>
      <w:r>
        <w:rPr>
          <w:rFonts w:ascii="Arial Unicode MS" w:hAnsi="Arial Unicode MS" w:cs="Arial" w:hint="eastAsia"/>
          <w:szCs w:val="21"/>
        </w:rPr>
        <w:t>、销售机构：指直销机构和代销机构</w:t>
      </w:r>
    </w:p>
    <w:p w14:paraId="15F2223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6</w:t>
      </w:r>
      <w:r>
        <w:rPr>
          <w:rFonts w:ascii="Arial Unicode MS" w:hAnsi="Arial Unicode MS" w:cs="Arial" w:hint="eastAsia"/>
          <w:szCs w:val="21"/>
        </w:rPr>
        <w:t>、直销机构：指富荣基金管理有限公司</w:t>
      </w:r>
    </w:p>
    <w:p w14:paraId="0517CFEF"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7</w:t>
      </w:r>
      <w:r>
        <w:rPr>
          <w:rFonts w:ascii="Arial Unicode MS" w:hAnsi="Arial Unicode MS" w:cs="Arial" w:hint="eastAsia"/>
          <w:szCs w:val="21"/>
        </w:rPr>
        <w:t>、代销机构：指符合《销售办法》和中国证监会规定的其他条件，取得基金销售业务资格并与基金管理人签订了基金销售服务协议，办理基金销售业务的机构</w:t>
      </w:r>
    </w:p>
    <w:p w14:paraId="7D90B486"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8</w:t>
      </w:r>
      <w:r>
        <w:rPr>
          <w:rFonts w:ascii="Arial Unicode MS" w:hAnsi="Arial Unicode MS" w:cs="Arial"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36A7B6E"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9</w:t>
      </w:r>
      <w:r>
        <w:rPr>
          <w:rFonts w:ascii="Arial Unicode MS" w:hAnsi="Arial Unicode MS" w:cs="Arial" w:hint="eastAsia"/>
          <w:szCs w:val="21"/>
        </w:rPr>
        <w:t>、登记机构：指办理登记业务的机构。基金的登记机构为富荣基金管理有限公司或接</w:t>
      </w:r>
      <w:r>
        <w:rPr>
          <w:rFonts w:ascii="Arial Unicode MS" w:hAnsi="Arial Unicode MS" w:cs="Arial" w:hint="eastAsia"/>
          <w:szCs w:val="21"/>
        </w:rPr>
        <w:lastRenderedPageBreak/>
        <w:t>受富荣基金管理有限公司委托代为办理登记业务的机构</w:t>
      </w:r>
    </w:p>
    <w:p w14:paraId="170E037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30</w:t>
      </w:r>
      <w:r>
        <w:rPr>
          <w:rFonts w:ascii="Arial Unicode MS" w:hAnsi="Arial Unicode MS" w:cs="Arial" w:hint="eastAsia"/>
          <w:szCs w:val="21"/>
        </w:rPr>
        <w:t>、基金账户：指登记机构为投资人开立的、记录其持有的、基金管理人所管理的基金份额余额及其变动情况的账户</w:t>
      </w:r>
    </w:p>
    <w:p w14:paraId="0FA7407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1</w:t>
      </w:r>
      <w:r>
        <w:rPr>
          <w:rFonts w:ascii="Arial Unicode MS" w:hAnsi="Arial Unicode MS" w:cs="Arial" w:hint="eastAsia"/>
          <w:szCs w:val="21"/>
        </w:rPr>
        <w:t>、基金交易账户：指销售机构为投资人开立的、记录投资人通过该销售机构办理认购、申购、赎回、转换、转托管及定期定额投资等业务而引起的基金份额变动及结余情况的账户</w:t>
      </w:r>
    </w:p>
    <w:p w14:paraId="1E6138C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2</w:t>
      </w:r>
      <w:r>
        <w:rPr>
          <w:rFonts w:ascii="Arial Unicode MS" w:hAnsi="Arial Unicode MS" w:cs="Arial" w:hint="eastAsia"/>
          <w:szCs w:val="21"/>
        </w:rPr>
        <w:t>、基金合同生效日：指基金募集达到法律法规规定及基金合同规定的条件，基金管理人向中国证监会办理基金备案手续完毕，并获得中国证监会书面确认的日期</w:t>
      </w:r>
    </w:p>
    <w:p w14:paraId="12CCD7F5"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3</w:t>
      </w:r>
      <w:r>
        <w:rPr>
          <w:rFonts w:ascii="Arial Unicode MS" w:hAnsi="Arial Unicode MS" w:cs="Arial" w:hint="eastAsia"/>
          <w:szCs w:val="21"/>
        </w:rPr>
        <w:t>、基金合同终止日：指基金合同规定的基金合同终止事由出现后，基金财产清算完毕，清算结果报中国证监会备案并予以公告的日期</w:t>
      </w:r>
    </w:p>
    <w:p w14:paraId="5785906B"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4</w:t>
      </w:r>
      <w:r>
        <w:rPr>
          <w:rFonts w:ascii="Arial Unicode MS" w:hAnsi="Arial Unicode MS" w:cs="Arial" w:hint="eastAsia"/>
          <w:szCs w:val="21"/>
        </w:rPr>
        <w:t>、基金募集期：指自基金份额发售之日起至发售结束之日止的期间，最长不得超过</w:t>
      </w:r>
      <w:r>
        <w:rPr>
          <w:rFonts w:ascii="Arial Unicode MS" w:hAnsi="Arial Unicode MS" w:cs="Arial" w:hint="eastAsia"/>
          <w:szCs w:val="21"/>
        </w:rPr>
        <w:t>3</w:t>
      </w:r>
      <w:r>
        <w:rPr>
          <w:rFonts w:ascii="Arial Unicode MS" w:hAnsi="Arial Unicode MS" w:cs="Arial" w:hint="eastAsia"/>
          <w:szCs w:val="21"/>
        </w:rPr>
        <w:t>个月</w:t>
      </w:r>
    </w:p>
    <w:p w14:paraId="3A023E79"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5</w:t>
      </w:r>
      <w:r>
        <w:rPr>
          <w:rFonts w:ascii="Arial Unicode MS" w:hAnsi="Arial Unicode MS" w:cs="Arial" w:hint="eastAsia"/>
          <w:szCs w:val="21"/>
        </w:rPr>
        <w:t>、存续期：指基金合同生效至终止之间的不定期期限</w:t>
      </w:r>
    </w:p>
    <w:p w14:paraId="03238D7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6</w:t>
      </w:r>
      <w:r>
        <w:rPr>
          <w:rFonts w:ascii="Arial Unicode MS" w:hAnsi="Arial Unicode MS" w:cs="Arial" w:hint="eastAsia"/>
          <w:szCs w:val="21"/>
        </w:rPr>
        <w:t>、工作日：指上海证券交易所、深圳证券交易所的正常交易日</w:t>
      </w:r>
    </w:p>
    <w:p w14:paraId="05F7AC9C"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7</w:t>
      </w:r>
      <w:r>
        <w:rPr>
          <w:rFonts w:ascii="Arial Unicode MS" w:hAnsi="Arial Unicode MS" w:cs="Arial" w:hint="eastAsia"/>
          <w:szCs w:val="21"/>
        </w:rPr>
        <w:t>、</w:t>
      </w:r>
      <w:r>
        <w:rPr>
          <w:rFonts w:ascii="Arial Unicode MS" w:hAnsi="Arial Unicode MS" w:cs="Arial" w:hint="eastAsia"/>
          <w:szCs w:val="21"/>
        </w:rPr>
        <w:t>T</w:t>
      </w:r>
      <w:r>
        <w:rPr>
          <w:rFonts w:ascii="Arial Unicode MS" w:hAnsi="Arial Unicode MS" w:cs="Arial" w:hint="eastAsia"/>
          <w:szCs w:val="21"/>
        </w:rPr>
        <w:t>日：指销售机构在规定时间受理投资人申购、赎回或其他业务申请的工作日</w:t>
      </w:r>
    </w:p>
    <w:p w14:paraId="09A598FF"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8</w:t>
      </w:r>
      <w:r>
        <w:rPr>
          <w:rFonts w:ascii="Arial Unicode MS" w:hAnsi="Arial Unicode MS" w:cs="Arial" w:hint="eastAsia"/>
          <w:szCs w:val="21"/>
        </w:rPr>
        <w:t>、</w:t>
      </w:r>
      <w:proofErr w:type="spellStart"/>
      <w:r>
        <w:rPr>
          <w:rFonts w:ascii="Arial Unicode MS" w:hAnsi="Arial Unicode MS" w:cs="Arial" w:hint="eastAsia"/>
          <w:szCs w:val="21"/>
        </w:rPr>
        <w:t>T+n</w:t>
      </w:r>
      <w:proofErr w:type="spellEnd"/>
      <w:r>
        <w:rPr>
          <w:rFonts w:ascii="Arial Unicode MS" w:hAnsi="Arial Unicode MS" w:cs="Arial" w:hint="eastAsia"/>
          <w:szCs w:val="21"/>
        </w:rPr>
        <w:t>日：指自</w:t>
      </w:r>
      <w:r>
        <w:rPr>
          <w:rFonts w:ascii="Arial Unicode MS" w:hAnsi="Arial Unicode MS" w:cs="Arial" w:hint="eastAsia"/>
          <w:szCs w:val="21"/>
        </w:rPr>
        <w:t>T</w:t>
      </w:r>
      <w:r>
        <w:rPr>
          <w:rFonts w:ascii="Arial Unicode MS" w:hAnsi="Arial Unicode MS" w:cs="Arial" w:hint="eastAsia"/>
          <w:szCs w:val="21"/>
        </w:rPr>
        <w:t>日起第</w:t>
      </w:r>
      <w:r>
        <w:rPr>
          <w:rFonts w:ascii="Arial Unicode MS" w:hAnsi="Arial Unicode MS" w:cs="Arial" w:hint="eastAsia"/>
          <w:szCs w:val="21"/>
        </w:rPr>
        <w:t>n</w:t>
      </w:r>
      <w:r>
        <w:rPr>
          <w:rFonts w:ascii="Arial Unicode MS" w:hAnsi="Arial Unicode MS" w:cs="Arial" w:hint="eastAsia"/>
          <w:szCs w:val="21"/>
        </w:rPr>
        <w:t>个工作日</w:t>
      </w:r>
      <w:r>
        <w:rPr>
          <w:rFonts w:ascii="Arial Unicode MS" w:hAnsi="Arial Unicode MS" w:cs="Arial" w:hint="eastAsia"/>
          <w:szCs w:val="21"/>
        </w:rPr>
        <w:t>(</w:t>
      </w:r>
      <w:r>
        <w:rPr>
          <w:rFonts w:ascii="Arial Unicode MS" w:hAnsi="Arial Unicode MS" w:cs="Arial" w:hint="eastAsia"/>
          <w:szCs w:val="21"/>
        </w:rPr>
        <w:t>不包含</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w:t>
      </w:r>
    </w:p>
    <w:p w14:paraId="30EB1B36"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9</w:t>
      </w:r>
      <w:r>
        <w:rPr>
          <w:rFonts w:ascii="Arial Unicode MS" w:hAnsi="Arial Unicode MS" w:cs="Arial" w:hint="eastAsia"/>
          <w:szCs w:val="21"/>
        </w:rPr>
        <w:t>、开放日：指为投资人办理基金份额申购、赎回或其他业务的工作日</w:t>
      </w:r>
    </w:p>
    <w:p w14:paraId="467FB41F"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40</w:t>
      </w:r>
      <w:r>
        <w:rPr>
          <w:rFonts w:ascii="Arial Unicode MS" w:hAnsi="Arial Unicode MS" w:cs="Arial" w:hint="eastAsia"/>
          <w:szCs w:val="21"/>
        </w:rPr>
        <w:t>、开放时间：指开放日基金接受申购、赎回或其他业务的时间段</w:t>
      </w:r>
    </w:p>
    <w:p w14:paraId="2C2DE37A"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1</w:t>
      </w:r>
      <w:r>
        <w:rPr>
          <w:rFonts w:ascii="Arial Unicode MS" w:hAnsi="Arial Unicode MS" w:cs="Arial" w:hint="eastAsia"/>
          <w:szCs w:val="21"/>
        </w:rPr>
        <w:t>、《业务规则》：指《富荣基金管理有限公司开放式基金业务规则》，是规范基金管理人所管理的开放式证券投资基金登记方面的业务规则，由基金管理人和投资人共同遵守</w:t>
      </w:r>
    </w:p>
    <w:p w14:paraId="777C8D78"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2</w:t>
      </w:r>
      <w:r>
        <w:rPr>
          <w:rFonts w:ascii="Arial Unicode MS" w:hAnsi="Arial Unicode MS" w:cs="Arial" w:hint="eastAsia"/>
          <w:szCs w:val="21"/>
        </w:rPr>
        <w:t>、认购：指在基金募集期内，投资人根据基金合同和招募说明书的规定申请购买基金份额的行为</w:t>
      </w:r>
    </w:p>
    <w:p w14:paraId="004C1FBF"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3</w:t>
      </w:r>
      <w:r>
        <w:rPr>
          <w:rFonts w:ascii="Arial Unicode MS" w:hAnsi="Arial Unicode MS" w:cs="Arial" w:hint="eastAsia"/>
          <w:szCs w:val="21"/>
        </w:rPr>
        <w:t>、申购：指基金合同生效后，投资人根据基金合同和招募说明书的规定申请购买基金份额的行为</w:t>
      </w:r>
    </w:p>
    <w:p w14:paraId="036A8C47"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4</w:t>
      </w:r>
      <w:r>
        <w:rPr>
          <w:rFonts w:ascii="Arial Unicode MS" w:hAnsi="Arial Unicode MS" w:cs="Arial" w:hint="eastAsia"/>
          <w:szCs w:val="21"/>
        </w:rPr>
        <w:t>、赎回：指基金合同生效后，基金份额持有人按基金合同和招募说明书规定的条件要求将基金份额兑换为现金的行为</w:t>
      </w:r>
    </w:p>
    <w:p w14:paraId="2994218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5</w:t>
      </w:r>
      <w:r>
        <w:rPr>
          <w:rFonts w:ascii="Arial Unicode MS" w:hAnsi="Arial Unicode MS" w:cs="Arial" w:hint="eastAsia"/>
          <w:szCs w:val="21"/>
        </w:rPr>
        <w:t>、基金转换：指基金份额持有人按照基金合同和基金管理人届时有效公告规定的条件，申请将其持有基金管理人管理的、某一基金的基金份额转换为基金管理人管理的其他基金基金份额的行为</w:t>
      </w:r>
    </w:p>
    <w:p w14:paraId="32D67CC3"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lastRenderedPageBreak/>
        <w:t>4</w:t>
      </w:r>
      <w:r>
        <w:rPr>
          <w:rFonts w:ascii="Arial Unicode MS" w:hAnsi="Arial Unicode MS" w:cs="Arial"/>
          <w:szCs w:val="21"/>
        </w:rPr>
        <w:t>6</w:t>
      </w:r>
      <w:r>
        <w:rPr>
          <w:rFonts w:ascii="Arial Unicode MS" w:hAnsi="Arial Unicode MS" w:cs="Arial" w:hint="eastAsia"/>
          <w:szCs w:val="21"/>
        </w:rPr>
        <w:t>、转托管：指基金份额持有人在本基金的不同销售机构之间实施的变更所持基金份额销售机构的操作</w:t>
      </w:r>
    </w:p>
    <w:p w14:paraId="697D1426"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7</w:t>
      </w:r>
      <w:r>
        <w:rPr>
          <w:rFonts w:ascii="Arial Unicode MS" w:hAnsi="Arial Unicode MS" w:cs="Arial" w:hint="eastAsia"/>
          <w:szCs w:val="21"/>
        </w:rPr>
        <w:t>、定期定额投资计划：指投资人通过有关销售机构提出申请，约定每期申购日、申购金额及扣款方式，由销售机构于每期约定申购日在投资人指定银行账户内自动完成扣款及受理基金申购申请的一种投资方式</w:t>
      </w:r>
    </w:p>
    <w:p w14:paraId="7E7AED0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8</w:t>
      </w:r>
      <w:r>
        <w:rPr>
          <w:rFonts w:ascii="Arial Unicode MS" w:hAnsi="Arial Unicode MS" w:cs="Arial" w:hint="eastAsia"/>
          <w:szCs w:val="21"/>
        </w:rPr>
        <w:t>、巨额赎回：指本基金单个开放日，基金净赎回申请</w:t>
      </w:r>
      <w:r>
        <w:rPr>
          <w:rFonts w:ascii="Arial Unicode MS" w:hAnsi="Arial Unicode MS" w:cs="Arial" w:hint="eastAsia"/>
          <w:szCs w:val="21"/>
        </w:rPr>
        <w:t>(</w:t>
      </w:r>
      <w:r>
        <w:rPr>
          <w:rFonts w:ascii="Arial Unicode MS" w:hAnsi="Arial Unicode MS" w:cs="Arial" w:hint="eastAsia"/>
          <w:szCs w:val="21"/>
        </w:rPr>
        <w:t>赎回申请份额总数加上基金转换中转出申请份额总数后扣除申购申请份额总数及基金转换中转入申请份额总数后的余额</w:t>
      </w:r>
      <w:r>
        <w:rPr>
          <w:rFonts w:ascii="Arial Unicode MS" w:hAnsi="Arial Unicode MS" w:cs="Arial" w:hint="eastAsia"/>
          <w:szCs w:val="21"/>
        </w:rPr>
        <w:t>)</w:t>
      </w:r>
      <w:r>
        <w:rPr>
          <w:rFonts w:ascii="Arial Unicode MS" w:hAnsi="Arial Unicode MS" w:cs="Arial" w:hint="eastAsia"/>
          <w:szCs w:val="21"/>
        </w:rPr>
        <w:t>超过上一开放日基金总份额的</w:t>
      </w:r>
      <w:r>
        <w:rPr>
          <w:rFonts w:ascii="Arial Unicode MS" w:hAnsi="Arial Unicode MS" w:cs="Arial" w:hint="eastAsia"/>
          <w:szCs w:val="21"/>
        </w:rPr>
        <w:t>10%</w:t>
      </w:r>
    </w:p>
    <w:p w14:paraId="4CE4FBD1"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9</w:t>
      </w:r>
      <w:r>
        <w:rPr>
          <w:rFonts w:ascii="Arial Unicode MS" w:hAnsi="Arial Unicode MS" w:cs="Arial" w:hint="eastAsia"/>
          <w:szCs w:val="21"/>
        </w:rPr>
        <w:t>、元：指人民币元</w:t>
      </w:r>
    </w:p>
    <w:p w14:paraId="079D509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50</w:t>
      </w:r>
      <w:r>
        <w:rPr>
          <w:rFonts w:ascii="Arial Unicode MS" w:hAnsi="Arial Unicode MS" w:cs="Arial" w:hint="eastAsia"/>
          <w:szCs w:val="21"/>
        </w:rPr>
        <w:t>、基金收益：指基金投资所得债券利息、买卖证券价差、银行存款利息、已实现的其他合法收入及因运用基金财产带来的成本和费用的节约</w:t>
      </w:r>
    </w:p>
    <w:p w14:paraId="3928F477"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1</w:t>
      </w:r>
      <w:r>
        <w:rPr>
          <w:rFonts w:ascii="Arial Unicode MS" w:hAnsi="Arial Unicode MS" w:cs="Arial" w:hint="eastAsia"/>
          <w:szCs w:val="21"/>
        </w:rPr>
        <w:t>、基金资产总值：指基金拥有的各类有价证券、银行存款本息、基金应收申购款及其他资产的价值总和</w:t>
      </w:r>
    </w:p>
    <w:p w14:paraId="733743A2"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2</w:t>
      </w:r>
      <w:r>
        <w:rPr>
          <w:rFonts w:ascii="Arial Unicode MS" w:hAnsi="Arial Unicode MS" w:cs="Arial" w:hint="eastAsia"/>
          <w:szCs w:val="21"/>
        </w:rPr>
        <w:t>、基金资产净值：指基金资产总值减去基金负债后的价值</w:t>
      </w:r>
    </w:p>
    <w:p w14:paraId="2A2A85DB"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3</w:t>
      </w:r>
      <w:r>
        <w:rPr>
          <w:rFonts w:ascii="Arial Unicode MS" w:hAnsi="Arial Unicode MS" w:cs="Arial" w:hint="eastAsia"/>
          <w:szCs w:val="21"/>
        </w:rPr>
        <w:t>、基金份额净值：指计算日各类基金份额的基金资产净值除以计算日该类基金份额总数</w:t>
      </w:r>
    </w:p>
    <w:p w14:paraId="3C5DDA88"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4</w:t>
      </w:r>
      <w:r>
        <w:rPr>
          <w:rFonts w:ascii="Arial Unicode MS" w:hAnsi="Arial Unicode MS" w:cs="Arial" w:hint="eastAsia"/>
          <w:szCs w:val="21"/>
        </w:rPr>
        <w:t>、基金资产估值：指计算评估基金资产和负债的价值，以确定基金资产净值和基金份额净值的过程</w:t>
      </w:r>
    </w:p>
    <w:p w14:paraId="7795612E"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5</w:t>
      </w:r>
      <w:r>
        <w:rPr>
          <w:rFonts w:ascii="Arial Unicode MS" w:hAnsi="Arial Unicode MS" w:cs="Arial" w:hint="eastAsia"/>
          <w:szCs w:val="21"/>
        </w:rPr>
        <w:t>、流动性受限资产：指由于法律法规、监管、合同或操作障碍等原因无法以合理价格予以变现的资产，包括但不限于到期日在</w:t>
      </w:r>
      <w:r>
        <w:rPr>
          <w:rFonts w:ascii="Arial Unicode MS" w:hAnsi="Arial Unicode MS" w:cs="Arial" w:hint="eastAsia"/>
          <w:szCs w:val="21"/>
        </w:rPr>
        <w:t>10</w:t>
      </w:r>
      <w:r>
        <w:rPr>
          <w:rFonts w:ascii="Arial Unicode MS" w:hAnsi="Arial Unicode MS" w:cs="Arial" w:hint="eastAsia"/>
          <w:szCs w:val="21"/>
        </w:rPr>
        <w:t>个交易日以上的逆回购与银行定期存款（含协议约定有条件提前支取的银行存款）、资产支持证券、因发行人债务违约无法进行转让或交易的债券等</w:t>
      </w:r>
    </w:p>
    <w:p w14:paraId="38BE1061"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6</w:t>
      </w:r>
      <w:r>
        <w:rPr>
          <w:rFonts w:ascii="Arial Unicode MS" w:hAnsi="Arial Unicode MS" w:cs="Arial" w:hint="eastAsia"/>
          <w:szCs w:val="21"/>
        </w:rPr>
        <w:t>、规定媒介：指符合中国证监会规定条件的用以进行信息披露的全国性报刊及《信息披露办法》规定的互联网网站（包括基金管理人网站、基金托管人网站、中国证监会基金电子信息披露网站）等媒介</w:t>
      </w:r>
    </w:p>
    <w:p w14:paraId="6E873E0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57</w:t>
      </w:r>
      <w:r>
        <w:rPr>
          <w:rFonts w:ascii="Arial Unicode MS" w:hAnsi="Arial Unicode MS" w:cs="Arial" w:hint="eastAsia"/>
          <w:szCs w:val="21"/>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5563050E"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58</w:t>
      </w:r>
      <w:r>
        <w:rPr>
          <w:rFonts w:ascii="Arial Unicode MS" w:hAnsi="Arial Unicode MS" w:cs="Arial" w:hint="eastAsia"/>
          <w:szCs w:val="21"/>
        </w:rPr>
        <w:t>、特定资产：包括：（一）无可参考的活跃市场价格且采用估值技术仍导致公允价值</w:t>
      </w:r>
      <w:r>
        <w:rPr>
          <w:rFonts w:ascii="Arial Unicode MS" w:hAnsi="Arial Unicode MS" w:cs="Arial" w:hint="eastAsia"/>
          <w:szCs w:val="21"/>
        </w:rPr>
        <w:lastRenderedPageBreak/>
        <w:t>存在重大不确定性的资产；（二）按摊余成本计量且计提资产减值准备仍导致资产价值存在重大不确定性的资产；（三）其他资产价值存在重大不确定性的资产</w:t>
      </w:r>
    </w:p>
    <w:p w14:paraId="52C5CF9D"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59</w:t>
      </w:r>
      <w:r>
        <w:rPr>
          <w:rFonts w:ascii="Arial Unicode MS" w:hAnsi="Arial Unicode MS" w:cs="Arial" w:hint="eastAsia"/>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7784849"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60</w:t>
      </w:r>
      <w:r>
        <w:rPr>
          <w:rFonts w:ascii="Arial Unicode MS" w:hAnsi="Arial Unicode MS" w:cs="Arial" w:hint="eastAsia"/>
          <w:szCs w:val="21"/>
        </w:rPr>
        <w:t>、不可抗力：指基金合同当事人不能预见、不能避免且不能克服的客观事件</w:t>
      </w:r>
    </w:p>
    <w:p w14:paraId="2A3893CB"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61</w:t>
      </w:r>
      <w:r>
        <w:rPr>
          <w:rFonts w:ascii="Arial Unicode MS" w:hAnsi="Arial Unicode MS" w:cs="Arial" w:hint="eastAsia"/>
          <w:szCs w:val="21"/>
        </w:rPr>
        <w:t>、销售服务费：指从基金财产中计提的，用于本基金市场推广、销售以及基金份额持有人服务的费用</w:t>
      </w:r>
    </w:p>
    <w:p w14:paraId="578AA697"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62</w:t>
      </w:r>
      <w:r>
        <w:rPr>
          <w:rFonts w:ascii="Arial Unicode MS" w:hAnsi="Arial Unicode MS" w:cs="Arial" w:hint="eastAsia"/>
          <w:szCs w:val="21"/>
        </w:rPr>
        <w:t>、基金份额类别：指本基金根据申购费用与销售服务费收取方式等不同，将基金份额分为不同的类别</w:t>
      </w:r>
    </w:p>
    <w:p w14:paraId="7D25D282"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63</w:t>
      </w:r>
      <w:r>
        <w:rPr>
          <w:rFonts w:ascii="Arial Unicode MS" w:hAnsi="Arial Unicode MS" w:cs="Arial" w:hint="eastAsia"/>
          <w:szCs w:val="21"/>
        </w:rPr>
        <w:t>、</w:t>
      </w:r>
      <w:r>
        <w:rPr>
          <w:rFonts w:ascii="Arial Unicode MS" w:hAnsi="Arial Unicode MS" w:cs="Arial" w:hint="eastAsia"/>
          <w:szCs w:val="21"/>
        </w:rPr>
        <w:t>A</w:t>
      </w:r>
      <w:r>
        <w:rPr>
          <w:rFonts w:ascii="Arial Unicode MS" w:hAnsi="Arial Unicode MS" w:cs="Arial" w:hint="eastAsia"/>
          <w:szCs w:val="21"/>
        </w:rPr>
        <w:t>类基金份额：指在投资者申购时收取前端申购费用，在赎回时根据持有期限收取赎回费用的基金份额，而不从本类别基金资产中计提销售服务费的基金份额类别</w:t>
      </w:r>
    </w:p>
    <w:p w14:paraId="7AE72B54"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64</w:t>
      </w:r>
      <w:r>
        <w:rPr>
          <w:rFonts w:ascii="Arial Unicode MS" w:hAnsi="Arial Unicode MS" w:cs="Arial" w:hint="eastAsia"/>
          <w:szCs w:val="21"/>
        </w:rPr>
        <w:t>、</w:t>
      </w:r>
      <w:r>
        <w:rPr>
          <w:rFonts w:ascii="Arial Unicode MS" w:hAnsi="Arial Unicode MS" w:cs="Arial" w:hint="eastAsia"/>
          <w:szCs w:val="21"/>
        </w:rPr>
        <w:t>C</w:t>
      </w:r>
      <w:r>
        <w:rPr>
          <w:rFonts w:ascii="Arial Unicode MS" w:hAnsi="Arial Unicode MS" w:cs="Arial" w:hint="eastAsia"/>
          <w:szCs w:val="21"/>
        </w:rPr>
        <w:t>类基金份额：指在投资者申购时不收取前端申购费用，在赎回时根据持有期限收取赎回费用，且从本类别基金资产中计提销售服务费的基金份额类别</w:t>
      </w:r>
    </w:p>
    <w:p w14:paraId="09BA9899" w14:textId="77777777" w:rsidR="00B804EC"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br w:type="page"/>
      </w:r>
    </w:p>
    <w:p w14:paraId="1F21C60E" w14:textId="77777777" w:rsidR="00B804EC" w:rsidRDefault="00B804EC">
      <w:pPr>
        <w:snapToGrid w:val="0"/>
        <w:spacing w:line="360" w:lineRule="auto"/>
        <w:ind w:firstLineChars="150" w:firstLine="315"/>
        <w:rPr>
          <w:rFonts w:ascii="Arial Unicode MS" w:hAnsi="Arial Unicode MS" w:cs="Arial" w:hint="eastAsia"/>
          <w:szCs w:val="21"/>
        </w:rPr>
      </w:pPr>
    </w:p>
    <w:p w14:paraId="567CE1E6" w14:textId="77777777" w:rsidR="00B804EC"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5" w:name="_Toc12357173"/>
      <w:bookmarkStart w:id="6" w:name="_Toc21073393"/>
      <w:bookmarkStart w:id="7" w:name="_Toc147463120"/>
      <w:bookmarkStart w:id="8" w:name="_Toc63676438"/>
      <w:bookmarkStart w:id="9" w:name="_Toc214873592"/>
      <w:r>
        <w:rPr>
          <w:rFonts w:ascii="Arial Unicode MS" w:eastAsia="宋体" w:hAnsi="Arial Unicode MS" w:cs="Arial"/>
          <w:b/>
          <w:bCs/>
          <w:sz w:val="28"/>
          <w:szCs w:val="28"/>
        </w:rPr>
        <w:t>第三部分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基金管理人</w:t>
      </w:r>
      <w:bookmarkEnd w:id="5"/>
      <w:bookmarkEnd w:id="6"/>
      <w:bookmarkEnd w:id="7"/>
      <w:bookmarkEnd w:id="8"/>
      <w:bookmarkEnd w:id="9"/>
    </w:p>
    <w:p w14:paraId="0FF316DD" w14:textId="77777777" w:rsidR="00B804EC" w:rsidRDefault="00B804EC"/>
    <w:p w14:paraId="7BC0DBBF" w14:textId="77777777" w:rsidR="00B804EC"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一、基金管理人概况</w:t>
      </w:r>
    </w:p>
    <w:p w14:paraId="30BB28D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名称：富荣基金管理有限公司</w:t>
      </w:r>
    </w:p>
    <w:p w14:paraId="1719D2A3"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54B2829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5F48D0B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077BF1F9"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成立时间：</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38FE89BE"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2</w:t>
      </w:r>
      <w:r>
        <w:rPr>
          <w:rFonts w:ascii="Arial Unicode MS" w:hAnsi="Arial Unicode MS" w:cs="Arial" w:hint="eastAsia"/>
          <w:kern w:val="0"/>
          <w:szCs w:val="21"/>
        </w:rPr>
        <w:t>亿元人民币</w:t>
      </w:r>
    </w:p>
    <w:p w14:paraId="17F6FEE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存续期间：永续经营</w:t>
      </w:r>
    </w:p>
    <w:p w14:paraId="799E1605" w14:textId="6F397411"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联系人：郭鑫</w:t>
      </w:r>
    </w:p>
    <w:p w14:paraId="40BFB4CE" w14:textId="06E7E668"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联系电话：</w:t>
      </w:r>
      <w:r>
        <w:rPr>
          <w:rFonts w:ascii="Arial Unicode MS" w:hAnsi="Arial Unicode MS" w:cs="Arial"/>
          <w:kern w:val="0"/>
          <w:szCs w:val="21"/>
        </w:rPr>
        <w:t>0755-8435</w:t>
      </w:r>
      <w:r>
        <w:rPr>
          <w:rFonts w:ascii="Arial Unicode MS" w:hAnsi="Arial Unicode MS" w:cs="Arial" w:hint="eastAsia"/>
          <w:kern w:val="0"/>
          <w:szCs w:val="21"/>
        </w:rPr>
        <w:t>6796</w:t>
      </w:r>
    </w:p>
    <w:p w14:paraId="15880766" w14:textId="77777777" w:rsidR="00B804EC"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股权结构：</w:t>
      </w:r>
      <w:r>
        <w:rPr>
          <w:rFonts w:ascii="Arial Unicode MS" w:hAnsi="Arial Unicode MS" w:cs="Arial" w:hint="eastAsia"/>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B804EC" w14:paraId="2E2AF965" w14:textId="77777777">
        <w:trPr>
          <w:jc w:val="center"/>
        </w:trPr>
        <w:tc>
          <w:tcPr>
            <w:tcW w:w="4250" w:type="dxa"/>
            <w:vAlign w:val="center"/>
          </w:tcPr>
          <w:p w14:paraId="1E908F40"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股东名称</w:t>
            </w:r>
          </w:p>
        </w:tc>
        <w:tc>
          <w:tcPr>
            <w:tcW w:w="1275" w:type="dxa"/>
            <w:vAlign w:val="center"/>
          </w:tcPr>
          <w:p w14:paraId="2AD450C2"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出资比例</w:t>
            </w:r>
          </w:p>
        </w:tc>
      </w:tr>
      <w:tr w:rsidR="00B804EC" w14:paraId="14463947" w14:textId="77777777">
        <w:trPr>
          <w:jc w:val="center"/>
        </w:trPr>
        <w:tc>
          <w:tcPr>
            <w:tcW w:w="4250" w:type="dxa"/>
            <w:vAlign w:val="center"/>
          </w:tcPr>
          <w:p w14:paraId="41AE6624"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广州科技金融创新投资控股有限公司</w:t>
            </w:r>
          </w:p>
        </w:tc>
        <w:tc>
          <w:tcPr>
            <w:tcW w:w="1275" w:type="dxa"/>
            <w:vAlign w:val="center"/>
          </w:tcPr>
          <w:p w14:paraId="5A9153BC"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50%</w:t>
            </w:r>
          </w:p>
        </w:tc>
      </w:tr>
      <w:tr w:rsidR="00B804EC" w14:paraId="7CF33621" w14:textId="77777777">
        <w:trPr>
          <w:jc w:val="center"/>
        </w:trPr>
        <w:tc>
          <w:tcPr>
            <w:tcW w:w="4250" w:type="dxa"/>
            <w:vAlign w:val="center"/>
          </w:tcPr>
          <w:p w14:paraId="6510146F"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深圳嘉年实业股份有限公司</w:t>
            </w:r>
          </w:p>
        </w:tc>
        <w:tc>
          <w:tcPr>
            <w:tcW w:w="1275" w:type="dxa"/>
            <w:vAlign w:val="center"/>
          </w:tcPr>
          <w:p w14:paraId="34ECD6A5"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45.1%</w:t>
            </w:r>
          </w:p>
        </w:tc>
      </w:tr>
      <w:tr w:rsidR="00B804EC" w14:paraId="65AD598E" w14:textId="77777777">
        <w:trPr>
          <w:jc w:val="center"/>
        </w:trPr>
        <w:tc>
          <w:tcPr>
            <w:tcW w:w="4250" w:type="dxa"/>
            <w:vAlign w:val="center"/>
          </w:tcPr>
          <w:p w14:paraId="1970870D"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湖南典勤投资开发有限公司</w:t>
            </w:r>
          </w:p>
        </w:tc>
        <w:tc>
          <w:tcPr>
            <w:tcW w:w="1275" w:type="dxa"/>
            <w:vAlign w:val="center"/>
          </w:tcPr>
          <w:p w14:paraId="0CF9C954" w14:textId="77777777" w:rsidR="00B804EC"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4.9%</w:t>
            </w:r>
          </w:p>
        </w:tc>
      </w:tr>
    </w:tbl>
    <w:p w14:paraId="465185B6" w14:textId="77777777" w:rsidR="00B804EC" w:rsidRDefault="00B804EC">
      <w:pPr>
        <w:adjustRightInd w:val="0"/>
        <w:snapToGrid w:val="0"/>
        <w:spacing w:line="360" w:lineRule="auto"/>
        <w:ind w:firstLineChars="200" w:firstLine="420"/>
        <w:rPr>
          <w:rFonts w:ascii="Arial Unicode MS" w:hAnsi="Arial Unicode MS" w:cs="Arial" w:hint="eastAsia"/>
          <w:kern w:val="0"/>
          <w:szCs w:val="21"/>
        </w:rPr>
      </w:pPr>
    </w:p>
    <w:p w14:paraId="40836AE3" w14:textId="77777777" w:rsidR="00B804EC"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hint="eastAsia"/>
          <w:b/>
          <w:kern w:val="0"/>
          <w:szCs w:val="21"/>
        </w:rPr>
        <w:t>二</w:t>
      </w:r>
      <w:r>
        <w:rPr>
          <w:rFonts w:ascii="Arial Unicode MS" w:hAnsi="Arial Unicode MS" w:cs="Arial"/>
          <w:b/>
          <w:kern w:val="0"/>
          <w:szCs w:val="21"/>
        </w:rPr>
        <w:t>、</w:t>
      </w:r>
      <w:r>
        <w:rPr>
          <w:rFonts w:ascii="Arial Unicode MS" w:hAnsi="Arial Unicode MS" w:cs="Arial" w:hint="eastAsia"/>
          <w:b/>
          <w:kern w:val="0"/>
          <w:szCs w:val="21"/>
        </w:rPr>
        <w:t>主要成员情况</w:t>
      </w:r>
    </w:p>
    <w:p w14:paraId="0CA8632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、董事会成员</w:t>
      </w:r>
    </w:p>
    <w:p w14:paraId="119ED25D"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王亦伟先生，董事长，中山大学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中国文化产业投资母基金管理有限公司董事，广州城恒城市更新投资有限公司董事长、法定代表人。现任广州产业投资基金管理有限公司党委书记、法定代表人、董事长，广州市城投投资有限公司董事，广州汽车集团股份有限公司董事，富荣基金管理有限公司董事长、法定代表人。</w:t>
      </w:r>
    </w:p>
    <w:p w14:paraId="32F09D1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杨小舟先生，董事，大连理工大学硕士研究生。历任交通银行沈阳分行国际部国际结算员、信贷科科长、中信银行沈阳皇姑支行副行长、广发银行南湖支行行长、广发银行沈阳直</w:t>
      </w:r>
      <w:r>
        <w:rPr>
          <w:rFonts w:ascii="Arial Unicode MS" w:hAnsi="Arial Unicode MS" w:cs="Arial" w:hint="eastAsia"/>
          <w:kern w:val="0"/>
          <w:szCs w:val="21"/>
        </w:rPr>
        <w:lastRenderedPageBreak/>
        <w:t>属支行行长助理、副行长、行长兼党委书记、广发银行沈阳分行行长兼党委书记、广发银行深圳分行行长兼党委书记、富荣基金管理有限公司董事长。现任富荣基金管理有限公司董事、总经理、首席信息官。</w:t>
      </w:r>
    </w:p>
    <w:p w14:paraId="2D30D999" w14:textId="61C17466"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郭涛先生，董事，上海交通大学高级管理人员工商管理专业硕士。现任深圳市亿尔德投资有限公司总经理、执行董事；微愿数智（深圳）健康科技有限公司总经理、执行董事；深圳市盈投荣达科技有限公司董事长、总经理；深圳市嘉年印务有限公司董事；深圳市盈实发展有限公司董事长；深圳市盈致未来文创管理有限公司董事长；深圳市益德置业有限公司总经理、董事；盈投科技控股集团有限公司总经理、董事；深圳市铭嘉达信息咨询有限公司董事；乐百氏（广东）饮用水有限公司董事；深圳安吉尔饮水产业集团有限公司董事；昊华化工科技集团股份有限公司董事；深圳嘉年实业股份有限公司董事；深圳市盈投发展有限公司董事；绍兴安吉尔环境科技有限公司董事；深圳市银珠塑料制品有限公司董事；深圳市润丰不动产运营服务有限公司董事；深圳乐百氏健康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久猪电子有限公司监事；乐百氏（广东）桶装水发展有限公司董事；富荣基金管理有限公司董事。</w:t>
      </w:r>
    </w:p>
    <w:p w14:paraId="46188053"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东银实业（深圳）有限公司董事、深圳金田股份有限公司独立董事、申科滑动轴承股份有限公司独立董事。现任富荣基金管理有限公司独立董事。</w:t>
      </w:r>
    </w:p>
    <w:p w14:paraId="34FFBD6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赵宏伟先生，董事，对外经济贸易大学硕士研究生。曾任北京大成律师事务所律师、当代北方（北京）投资有限公司总裁、黑龙江北美工业大麻科技有限公司总裁、广州产业投资基金管理有限公司风险管理部总经理、法务风控部总经理，广州基金国际股权投资基金管理有限公司党支部副书记、总经理，广州产业投资基金管理有限公司管理部总经理。现任穗甬控股有限公司常务副总经理，富荣基金管理有限公司董事。</w:t>
      </w:r>
    </w:p>
    <w:p w14:paraId="3F33592A" w14:textId="559B4ADD"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刘宝瑞先生，独立董事，上海交通大学工商管理硕士研究生。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冠领融科服务有限公司董事，华兴银行独立董事、深圳和石资本管理有限责任公司法定代表人、董事、经理，深圳泰和瑞银金融配套服务合伙企业（有限合伙）执行事务合伙人、北京雍和瑞泰管理顾问有限公司法定代表人、执行董事、经理、财务负责人，深圳雍和瑞银投资管理有限公司法定代</w:t>
      </w:r>
      <w:r>
        <w:rPr>
          <w:rFonts w:ascii="Arial Unicode MS" w:hAnsi="Arial Unicode MS" w:cs="Arial" w:hint="eastAsia"/>
          <w:kern w:val="0"/>
          <w:szCs w:val="21"/>
        </w:rPr>
        <w:lastRenderedPageBreak/>
        <w:t>表人、董事、经理，富荣基金管理有限公司独立董事。</w:t>
      </w:r>
    </w:p>
    <w:p w14:paraId="22CBD0E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张刚先生，独立董事，内蒙古大学民商法学硕士研究生。曾任内蒙古大学教师、北京王玉梅律师事务所律师、北京建元律师事务所合伙人、宁夏中银绒业股份有限公司独立董事。现任北京大成律师事务所高级合伙人、富荣基金管理有限公司独立董事。</w:t>
      </w:r>
    </w:p>
    <w:p w14:paraId="001941CD"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、监事</w:t>
      </w:r>
    </w:p>
    <w:p w14:paraId="63FE04D3" w14:textId="628533E1"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基金管理人不设监事会，设监事一名，由职工代表担任。</w:t>
      </w:r>
    </w:p>
    <w:p w14:paraId="2011485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魏丽红女士，职工监事，大专。现任富荣基金管理有限公司职工监事。</w:t>
      </w:r>
    </w:p>
    <w:p w14:paraId="52102DA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、高级管理人员</w:t>
      </w:r>
    </w:p>
    <w:p w14:paraId="51B464E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董事、首席信息官。</w:t>
      </w:r>
    </w:p>
    <w:p w14:paraId="748F2CCA" w14:textId="3461E58C" w:rsidR="00B804EC" w:rsidRDefault="00000000">
      <w:pPr>
        <w:adjustRightInd w:val="0"/>
        <w:snapToGrid w:val="0"/>
        <w:spacing w:line="360" w:lineRule="auto"/>
        <w:ind w:firstLineChars="200" w:firstLine="420"/>
      </w:pPr>
      <w:r>
        <w:rPr>
          <w:rFonts w:ascii="Arial Unicode MS" w:hAnsi="Arial Unicode MS" w:cs="Arial" w:hint="eastAsia"/>
          <w:kern w:val="0"/>
          <w:szCs w:val="21"/>
        </w:rPr>
        <w:t>史克新先生，副总经理，中欧国际工商学院高级管理人员工商管理硕士研究生</w:t>
      </w:r>
      <w:r>
        <w:rPr>
          <w:rFonts w:hint="eastAsia"/>
        </w:rPr>
        <w:t>。历任珠海会计师事务所注册会计师、君安证券有限公司审计师、北大方正投资有限公司副总经理、兴安证券东莞营业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0C045872" w14:textId="77777777" w:rsidR="00B804EC" w:rsidRDefault="00000000">
      <w:pPr>
        <w:adjustRightInd w:val="0"/>
        <w:snapToGrid w:val="0"/>
        <w:spacing w:line="360" w:lineRule="auto"/>
        <w:ind w:firstLineChars="200" w:firstLine="420"/>
      </w:pPr>
      <w:r>
        <w:rPr>
          <w:rFonts w:hint="eastAsia"/>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规部总经理。现任富荣基金管理有限公司督察长。</w:t>
      </w:r>
    </w:p>
    <w:p w14:paraId="6E8655FC" w14:textId="77777777" w:rsidR="00B804EC" w:rsidRDefault="00000000">
      <w:pPr>
        <w:adjustRightInd w:val="0"/>
        <w:snapToGrid w:val="0"/>
        <w:spacing w:line="360" w:lineRule="auto"/>
        <w:ind w:firstLineChars="200" w:firstLine="420"/>
      </w:pPr>
      <w:r>
        <w:rPr>
          <w:rFonts w:hint="eastAsia"/>
        </w:rPr>
        <w:t>郑宇光先生，总经理助理，上海交通大学工商管理硕士。历任平安资产管理有限责任公司交易部</w:t>
      </w:r>
      <w:r>
        <w:rPr>
          <w:rFonts w:hint="eastAsia"/>
        </w:rPr>
        <w:t>/</w:t>
      </w:r>
      <w:r>
        <w:rPr>
          <w:rFonts w:hint="eastAsia"/>
        </w:rPr>
        <w:t>投资管理部经理，太平资产管理有限责任公司固定收益部投资经理，上投摩根基金管理有限公司专户管理部投资经理，中信保诚基金管理有限公司固定收益部投资经理、总监助理，长江证券资产管理有限责任公司投资经理，上海勤远投资管理中心（有限合伙）量化研究总监基金经理，泰信基金管理有限公司专户投资部副总监，固收投资部基金经理、总监。现任富荣基金管理有限公司总经理助理。</w:t>
      </w:r>
    </w:p>
    <w:p w14:paraId="63CD1FD9"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hint="eastAsia"/>
        </w:rPr>
        <w:t>赵睿杨女士，总经理助理，对外经济贸易大学会计学硕士研究生。历任合生创展集团有限公司集团财务与投资中心上市核算管理师、投资分析副经理，慧富恒泰（北京）基金管理有限公司投融资一部总经理，北信瑞丰基金管理有限公司市场部高级经理、市场部总监助理、</w:t>
      </w:r>
      <w:r>
        <w:rPr>
          <w:rFonts w:hint="eastAsia"/>
        </w:rPr>
        <w:lastRenderedPageBreak/>
        <w:t>渠道部副总监、渠道部总监、专户机构部总监、市场总监、公司总经理助理。现任富荣基金管理有限公司总经理助理，兼任北京分公司总经理。</w:t>
      </w:r>
    </w:p>
    <w:p w14:paraId="2F5F508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、本基金基金经理</w:t>
      </w:r>
    </w:p>
    <w:p w14:paraId="58D3E3F1" w14:textId="3B1A1541" w:rsidR="00B804EC" w:rsidRDefault="00000000">
      <w:pPr>
        <w:adjustRightInd w:val="0"/>
        <w:snapToGrid w:val="0"/>
        <w:spacing w:line="360" w:lineRule="auto"/>
        <w:ind w:firstLineChars="200" w:firstLine="420"/>
        <w:rPr>
          <w:rFonts w:ascii="Helvetica" w:hAnsi="Helvetica"/>
          <w:shd w:val="clear" w:color="auto" w:fill="FFFFFF"/>
        </w:rPr>
      </w:pPr>
      <w:r>
        <w:rPr>
          <w:rFonts w:hint="eastAsia"/>
          <w:color w:val="000000"/>
          <w:shd w:val="clear" w:color="auto" w:fill="FFFFFF"/>
        </w:rPr>
        <w:t>过秀女士，深圳大学管理学硕士，</w:t>
      </w:r>
      <w:r>
        <w:rPr>
          <w:rFonts w:hint="eastAsia"/>
          <w:color w:val="000000"/>
          <w:shd w:val="clear" w:color="auto" w:fill="FFFFFF"/>
        </w:rPr>
        <w:t>17</w:t>
      </w:r>
      <w:r>
        <w:rPr>
          <w:rFonts w:hint="eastAsia"/>
          <w:color w:val="000000"/>
          <w:shd w:val="clear" w:color="auto" w:fill="FFFFFF"/>
        </w:rPr>
        <w:t>年以上金融行业从业经验。曾任招商基金管理有限公司基金会计，国海证券股份有限公司固定收益研究员，世纪证券有限责任公司债券交易员，摩根士丹利华鑫基金管理有限公司债券交易员。现任富荣基金管理有限公司富荣富开</w:t>
      </w:r>
      <w:r>
        <w:rPr>
          <w:rFonts w:hint="eastAsia"/>
          <w:color w:val="000000"/>
          <w:shd w:val="clear" w:color="auto" w:fill="FFFFFF"/>
        </w:rPr>
        <w:t>1-3</w:t>
      </w:r>
      <w:r>
        <w:rPr>
          <w:rFonts w:hint="eastAsia"/>
          <w:color w:val="000000"/>
          <w:shd w:val="clear" w:color="auto" w:fill="FFFFFF"/>
        </w:rPr>
        <w:t>年国开债纯债债券型证券投资基金基金经理（自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6</w:t>
      </w:r>
      <w:r>
        <w:rPr>
          <w:rFonts w:hint="eastAsia"/>
          <w:color w:val="000000"/>
          <w:shd w:val="clear" w:color="auto" w:fill="FFFFFF"/>
        </w:rPr>
        <w:t>月</w:t>
      </w:r>
      <w:r>
        <w:rPr>
          <w:rFonts w:hint="eastAsia"/>
          <w:color w:val="000000"/>
          <w:shd w:val="clear" w:color="auto" w:fill="FFFFFF"/>
        </w:rPr>
        <w:t>30</w:t>
      </w:r>
      <w:r>
        <w:rPr>
          <w:rFonts w:hint="eastAsia"/>
          <w:color w:val="000000"/>
          <w:shd w:val="clear" w:color="auto" w:fill="FFFFFF"/>
        </w:rPr>
        <w:t>日起任职）、富荣富兴纯债债券型证券投资基金基金经理（自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7</w:t>
      </w:r>
      <w:r>
        <w:rPr>
          <w:rFonts w:hint="eastAsia"/>
          <w:color w:val="000000"/>
          <w:shd w:val="clear" w:color="auto" w:fill="FFFFFF"/>
        </w:rPr>
        <w:t>月</w:t>
      </w:r>
      <w:r>
        <w:rPr>
          <w:rFonts w:hint="eastAsia"/>
          <w:color w:val="000000"/>
          <w:shd w:val="clear" w:color="auto" w:fill="FFFFFF"/>
        </w:rPr>
        <w:t>23</w:t>
      </w:r>
      <w:r>
        <w:rPr>
          <w:rFonts w:hint="eastAsia"/>
          <w:color w:val="000000"/>
          <w:shd w:val="clear" w:color="auto" w:fill="FFFFFF"/>
        </w:rPr>
        <w:t>日起任职）、富荣富乾债券型证券投资基金基金经理（自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10</w:t>
      </w:r>
      <w:r>
        <w:rPr>
          <w:rFonts w:hint="eastAsia"/>
          <w:color w:val="000000"/>
          <w:shd w:val="clear" w:color="auto" w:fill="FFFFFF"/>
        </w:rPr>
        <w:t>月</w:t>
      </w:r>
      <w:r>
        <w:rPr>
          <w:rFonts w:hint="eastAsia"/>
          <w:color w:val="000000"/>
          <w:shd w:val="clear" w:color="auto" w:fill="FFFFFF"/>
        </w:rPr>
        <w:t>28</w:t>
      </w:r>
      <w:r>
        <w:rPr>
          <w:rFonts w:hint="eastAsia"/>
          <w:color w:val="000000"/>
          <w:shd w:val="clear" w:color="auto" w:fill="FFFFFF"/>
        </w:rPr>
        <w:t>日起任职）。</w:t>
      </w:r>
    </w:p>
    <w:p w14:paraId="39A11C00" w14:textId="77777777" w:rsidR="00B804EC" w:rsidRDefault="00000000">
      <w:pPr>
        <w:adjustRightInd w:val="0"/>
        <w:snapToGrid w:val="0"/>
        <w:spacing w:line="360" w:lineRule="auto"/>
        <w:ind w:firstLineChars="200" w:firstLine="420"/>
        <w:rPr>
          <w:color w:val="000000"/>
          <w:shd w:val="clear" w:color="auto" w:fill="FFFFFF"/>
        </w:rPr>
      </w:pPr>
      <w:r>
        <w:rPr>
          <w:rFonts w:ascii="Helvetica" w:hAnsi="Helvetica" w:hint="eastAsia"/>
          <w:shd w:val="clear" w:color="auto" w:fill="FFFFFF"/>
        </w:rPr>
        <w:t>历任基金经理：贺翔（自</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9</w:t>
      </w:r>
      <w:r>
        <w:rPr>
          <w:rFonts w:ascii="Helvetica" w:hAnsi="Helvetica" w:hint="eastAsia"/>
          <w:shd w:val="clear" w:color="auto" w:fill="FFFFFF"/>
        </w:rPr>
        <w:t>日至</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7</w:t>
      </w:r>
      <w:r>
        <w:rPr>
          <w:rFonts w:ascii="Helvetica" w:hAnsi="Helvetica" w:hint="eastAsia"/>
          <w:shd w:val="clear" w:color="auto" w:fill="FFFFFF"/>
        </w:rPr>
        <w:t>月</w:t>
      </w:r>
      <w:r>
        <w:rPr>
          <w:rFonts w:ascii="Helvetica" w:hAnsi="Helvetica" w:hint="eastAsia"/>
          <w:shd w:val="clear" w:color="auto" w:fill="FFFFFF"/>
        </w:rPr>
        <w:t>7</w:t>
      </w:r>
      <w:r>
        <w:rPr>
          <w:rFonts w:ascii="Helvetica" w:hAnsi="Helvetica" w:hint="eastAsia"/>
          <w:shd w:val="clear" w:color="auto" w:fill="FFFFFF"/>
        </w:rPr>
        <w:t>日）、吕晓蓉（自</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7</w:t>
      </w:r>
      <w:r>
        <w:rPr>
          <w:rFonts w:ascii="Helvetica" w:hAnsi="Helvetica" w:hint="eastAsia"/>
          <w:shd w:val="clear" w:color="auto" w:fill="FFFFFF"/>
        </w:rPr>
        <w:t>月</w:t>
      </w:r>
      <w:r>
        <w:rPr>
          <w:rFonts w:ascii="Helvetica" w:hAnsi="Helvetica" w:hint="eastAsia"/>
          <w:shd w:val="clear" w:color="auto" w:fill="FFFFFF"/>
        </w:rPr>
        <w:t>7</w:t>
      </w:r>
      <w:r>
        <w:rPr>
          <w:rFonts w:ascii="Helvetica" w:hAnsi="Helvetica" w:hint="eastAsia"/>
          <w:shd w:val="clear" w:color="auto" w:fill="FFFFFF"/>
        </w:rPr>
        <w:t>日至</w:t>
      </w:r>
      <w:r>
        <w:rPr>
          <w:rFonts w:ascii="Helvetica" w:hAnsi="Helvetica" w:hint="eastAsia"/>
          <w:shd w:val="clear" w:color="auto" w:fill="FFFFFF"/>
        </w:rPr>
        <w:t>2022</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21</w:t>
      </w:r>
      <w:r>
        <w:rPr>
          <w:rFonts w:ascii="Helvetica" w:hAnsi="Helvetica" w:hint="eastAsia"/>
          <w:shd w:val="clear" w:color="auto" w:fill="FFFFFF"/>
        </w:rPr>
        <w:t>日）、唐奥（自</w:t>
      </w:r>
      <w:r>
        <w:rPr>
          <w:rFonts w:ascii="Helvetica" w:hAnsi="Helvetica" w:hint="eastAsia"/>
          <w:shd w:val="clear" w:color="auto" w:fill="FFFFFF"/>
        </w:rPr>
        <w:t>2022</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4</w:t>
      </w:r>
      <w:r>
        <w:rPr>
          <w:rFonts w:ascii="Helvetica" w:hAnsi="Helvetica" w:hint="eastAsia"/>
          <w:shd w:val="clear" w:color="auto" w:fill="FFFFFF"/>
        </w:rPr>
        <w:t>日至</w:t>
      </w:r>
      <w:r>
        <w:rPr>
          <w:rFonts w:ascii="Helvetica" w:hAnsi="Helvetica" w:hint="eastAsia"/>
          <w:shd w:val="clear" w:color="auto" w:fill="FFFFFF"/>
        </w:rPr>
        <w:t>2023</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22</w:t>
      </w:r>
      <w:r>
        <w:rPr>
          <w:rFonts w:ascii="Helvetica" w:hAnsi="Helvetica" w:hint="eastAsia"/>
          <w:shd w:val="clear" w:color="auto" w:fill="FFFFFF"/>
        </w:rPr>
        <w:t>日）、孟飞（自</w:t>
      </w:r>
      <w:r>
        <w:rPr>
          <w:rFonts w:ascii="Helvetica" w:hAnsi="Helvetica" w:hint="eastAsia"/>
          <w:shd w:val="clear" w:color="auto" w:fill="FFFFFF"/>
        </w:rPr>
        <w:t>2023</w:t>
      </w:r>
      <w:r>
        <w:rPr>
          <w:rFonts w:ascii="Helvetica" w:hAnsi="Helvetica" w:hint="eastAsia"/>
          <w:shd w:val="clear" w:color="auto" w:fill="FFFFFF"/>
        </w:rPr>
        <w:t>年</w:t>
      </w:r>
      <w:r>
        <w:rPr>
          <w:rFonts w:ascii="Helvetica" w:hAnsi="Helvetica" w:hint="eastAsia"/>
          <w:shd w:val="clear" w:color="auto" w:fill="FFFFFF"/>
        </w:rPr>
        <w:t>1</w:t>
      </w:r>
      <w:r>
        <w:rPr>
          <w:rFonts w:ascii="Helvetica" w:hAnsi="Helvetica" w:hint="eastAsia"/>
          <w:shd w:val="clear" w:color="auto" w:fill="FFFFFF"/>
        </w:rPr>
        <w:t>月</w:t>
      </w:r>
      <w:r>
        <w:rPr>
          <w:rFonts w:ascii="Helvetica" w:hAnsi="Helvetica" w:hint="eastAsia"/>
          <w:shd w:val="clear" w:color="auto" w:fill="FFFFFF"/>
        </w:rPr>
        <w:t>18</w:t>
      </w:r>
      <w:r>
        <w:rPr>
          <w:rFonts w:ascii="Helvetica" w:hAnsi="Helvetica" w:hint="eastAsia"/>
          <w:shd w:val="clear" w:color="auto" w:fill="FFFFFF"/>
        </w:rPr>
        <w:t>日至</w:t>
      </w:r>
      <w:r>
        <w:rPr>
          <w:rFonts w:ascii="Helvetica" w:hAnsi="Helvetica" w:hint="eastAsia"/>
          <w:shd w:val="clear" w:color="auto" w:fill="FFFFFF"/>
        </w:rPr>
        <w:t>2025</w:t>
      </w:r>
      <w:r>
        <w:rPr>
          <w:rFonts w:ascii="Helvetica" w:hAnsi="Helvetica" w:hint="eastAsia"/>
          <w:shd w:val="clear" w:color="auto" w:fill="FFFFFF"/>
        </w:rPr>
        <w:t>年</w:t>
      </w:r>
      <w:r>
        <w:rPr>
          <w:rFonts w:ascii="Helvetica" w:hAnsi="Helvetica" w:hint="eastAsia"/>
          <w:shd w:val="clear" w:color="auto" w:fill="FFFFFF"/>
        </w:rPr>
        <w:t>8</w:t>
      </w:r>
      <w:r>
        <w:rPr>
          <w:rFonts w:ascii="Helvetica" w:hAnsi="Helvetica" w:hint="eastAsia"/>
          <w:shd w:val="clear" w:color="auto" w:fill="FFFFFF"/>
        </w:rPr>
        <w:t>月</w:t>
      </w:r>
      <w:r>
        <w:rPr>
          <w:rFonts w:ascii="Helvetica" w:hAnsi="Helvetica" w:hint="eastAsia"/>
          <w:shd w:val="clear" w:color="auto" w:fill="FFFFFF"/>
        </w:rPr>
        <w:t>4</w:t>
      </w:r>
      <w:r>
        <w:rPr>
          <w:rFonts w:ascii="Helvetica" w:hAnsi="Helvetica" w:hint="eastAsia"/>
          <w:shd w:val="clear" w:color="auto" w:fill="FFFFFF"/>
        </w:rPr>
        <w:t>日）。</w:t>
      </w:r>
    </w:p>
    <w:p w14:paraId="3315FD30"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、投资决策委员会成员的姓名、职务</w:t>
      </w:r>
    </w:p>
    <w:p w14:paraId="2F5E8D83" w14:textId="77777777" w:rsidR="00B804EC"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杨小舟先生，投资决策委员会主任委员、公司总经理、兼任首席信息官。</w:t>
      </w:r>
    </w:p>
    <w:p w14:paraId="7F33079E" w14:textId="77777777" w:rsidR="00B804EC"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shd w:val="clear" w:color="auto" w:fill="FFFFFF"/>
        </w:rPr>
        <w:t>郑宇光先生，</w:t>
      </w:r>
      <w:r>
        <w:rPr>
          <w:rFonts w:ascii="Helvetica" w:hAnsi="Helvetica" w:hint="eastAsia"/>
          <w:shd w:val="clear" w:color="auto" w:fill="FFFFFF"/>
        </w:rPr>
        <w:t>投资决策委员会委员、公司总经理助理。</w:t>
      </w:r>
    </w:p>
    <w:p w14:paraId="77C4512F" w14:textId="77777777" w:rsidR="00B804EC"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郎骋成先生，投资决策委员会委员、研究部总经理、权益投资部总经理、专户投资经理、基金经理。</w:t>
      </w:r>
    </w:p>
    <w:p w14:paraId="729CE9F9" w14:textId="77777777" w:rsidR="00B804EC"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吴敏先生，投资决策委员会委员、固定收益部总经理。</w:t>
      </w:r>
    </w:p>
    <w:p w14:paraId="45C34E39" w14:textId="77777777" w:rsidR="00B804EC"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孟亚强先生，投资决策委员会委员、量化投资部总经理、基金经理。</w:t>
      </w:r>
    </w:p>
    <w:p w14:paraId="2268DAB3"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Helvetica" w:hAnsi="Helvetica" w:hint="eastAsia"/>
          <w:shd w:val="clear" w:color="auto" w:fill="FFFFFF"/>
        </w:rPr>
        <w:t>李延峥先生，投资决策委员会委员、投资决策委员会秘书、研究部总经理助理、基金经理。</w:t>
      </w:r>
    </w:p>
    <w:p w14:paraId="595A85D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kern w:val="0"/>
          <w:szCs w:val="21"/>
        </w:rPr>
        <w:t>6</w:t>
      </w:r>
      <w:r>
        <w:rPr>
          <w:rFonts w:ascii="Arial Unicode MS" w:hAnsi="Arial Unicode MS" w:cs="Arial" w:hint="eastAsia"/>
          <w:kern w:val="0"/>
          <w:szCs w:val="21"/>
        </w:rPr>
        <w:t>、上述人员之间不存在近亲属关系。</w:t>
      </w:r>
    </w:p>
    <w:p w14:paraId="00CE0791" w14:textId="77777777" w:rsidR="00B804EC"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bookmarkStart w:id="10" w:name="_Toc524923215"/>
      <w:r>
        <w:rPr>
          <w:rFonts w:ascii="Arial Unicode MS" w:hAnsi="Arial Unicode MS" w:cs="Arial" w:hint="eastAsia"/>
          <w:b/>
          <w:bCs/>
          <w:szCs w:val="21"/>
        </w:rPr>
        <w:t>三、</w:t>
      </w:r>
      <w:r>
        <w:rPr>
          <w:rFonts w:ascii="Arial Unicode MS" w:hAnsi="Arial Unicode MS" w:cs="Arial"/>
          <w:b/>
          <w:bCs/>
          <w:szCs w:val="21"/>
        </w:rPr>
        <w:t>基金管理人的职责</w:t>
      </w:r>
    </w:p>
    <w:p w14:paraId="7B04F37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、依法募集资金，办理或者委托经中国证监会认定的其他机构代为办理基金份额的申购、赎回和登记事宜；</w:t>
      </w:r>
    </w:p>
    <w:p w14:paraId="07FCA8AC"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、办理基金备案手续；</w:t>
      </w:r>
    </w:p>
    <w:p w14:paraId="02DF935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、自《基金合同》生效之日起，以诚实信用、谨慎勤勉的原则管理和运用基金财产；</w:t>
      </w:r>
    </w:p>
    <w:p w14:paraId="56246E0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、配备足够的具有专业资格的人员进行基金投资分析、决策，以专业化的经营方式管理和运作基金财产；</w:t>
      </w:r>
    </w:p>
    <w:p w14:paraId="4E9E2BA8"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、建立健全内部风险控制、监察与稽核、财务管理及人事管理等制度，保证所管理的基金财产和基金管理人的财产相互独立，对所管理的不同基金分别管理，分别记账，进行证</w:t>
      </w:r>
      <w:r>
        <w:rPr>
          <w:rFonts w:ascii="Arial Unicode MS" w:hAnsi="Arial Unicode MS" w:cs="Arial" w:hint="eastAsia"/>
          <w:bCs/>
          <w:szCs w:val="21"/>
        </w:rPr>
        <w:lastRenderedPageBreak/>
        <w:t>券投资；</w:t>
      </w:r>
    </w:p>
    <w:p w14:paraId="24FDBB7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、除依据《基金法》、《基金合同》及其他有关规定外，不得利用基金财产为自己及任何第三人谋取利益，不得委托第三人运作基金财产；</w:t>
      </w:r>
    </w:p>
    <w:p w14:paraId="350D0870"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、依法接受基金托管人的监督；</w:t>
      </w:r>
    </w:p>
    <w:p w14:paraId="50098C7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、采取适当合理的措施使计算基金份额认购、申购、赎回和注销价格的方法符合《基金合同》等法律文件的规定，按有关规定计算并公告基金净值信息，确定基金份额申购、赎回的价格；</w:t>
      </w:r>
    </w:p>
    <w:p w14:paraId="195EEB5B"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、进行基金会计核算并编制基金财务会计报告；</w:t>
      </w:r>
    </w:p>
    <w:p w14:paraId="6977BD06"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、编制季度报告、中期报告和年度报告；</w:t>
      </w:r>
    </w:p>
    <w:p w14:paraId="319B8D8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、严格按照《基金法》、《基金合同》及其他有关规定，履行信息披露及报告义务；</w:t>
      </w:r>
    </w:p>
    <w:p w14:paraId="3790978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、保守基金商业秘密，不泄露基金投资计划、投资意向等。除《基金法》、《基金合同》及其他有关规定另有规定外，在基金信息公开披露前应予保密，不向他人泄露；</w:t>
      </w:r>
    </w:p>
    <w:p w14:paraId="4111238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、按《基金合同》的约定确定基金收益分配方案，及时向基金份额持有人分配基金收益；</w:t>
      </w:r>
    </w:p>
    <w:p w14:paraId="498DC37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、按规定受理申购与赎回申请，及时、足额支付赎回款项；</w:t>
      </w:r>
    </w:p>
    <w:p w14:paraId="5E8FC37B"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、依据《基金法》、《基金合同》及其他有关规定召集基金份额持有人大会或配合基金托管人、基金份额持有人依法召集基金份额持有人大会；</w:t>
      </w:r>
    </w:p>
    <w:p w14:paraId="4C4B221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16</w:t>
      </w:r>
      <w:r>
        <w:rPr>
          <w:rFonts w:ascii="Arial Unicode MS" w:hAnsi="Arial Unicode MS" w:cs="Arial" w:hint="eastAsia"/>
          <w:bCs/>
          <w:szCs w:val="21"/>
        </w:rPr>
        <w:t>、按规定保存基金财产管理业务活动的会计账册、报表、记录和其他相关资料</w:t>
      </w:r>
      <w:r>
        <w:rPr>
          <w:rFonts w:ascii="Arial Unicode MS" w:hAnsi="Arial Unicode MS" w:cs="Arial" w:hint="eastAsia"/>
          <w:bCs/>
          <w:szCs w:val="21"/>
        </w:rPr>
        <w:t>15</w:t>
      </w:r>
      <w:r>
        <w:rPr>
          <w:rFonts w:ascii="Arial Unicode MS" w:hAnsi="Arial Unicode MS" w:cs="Arial" w:hint="eastAsia"/>
          <w:bCs/>
          <w:szCs w:val="21"/>
        </w:rPr>
        <w:t>年以上；</w:t>
      </w:r>
    </w:p>
    <w:p w14:paraId="7966E4F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B6A4B5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18</w:t>
      </w:r>
      <w:r>
        <w:rPr>
          <w:rFonts w:ascii="Arial Unicode MS" w:hAnsi="Arial Unicode MS" w:cs="Arial" w:hint="eastAsia"/>
          <w:bCs/>
          <w:szCs w:val="21"/>
        </w:rPr>
        <w:t>、组织并参加基金财产清算小组，参与基金财产的保管、清理、估价、变现和分配；</w:t>
      </w:r>
    </w:p>
    <w:p w14:paraId="37DA3030"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、面临解散、依法被撤销或者被依法宣告破产时，及时报告中国证监会并通知基金托管人；</w:t>
      </w:r>
    </w:p>
    <w:p w14:paraId="48776F96"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20</w:t>
      </w:r>
      <w:r>
        <w:rPr>
          <w:rFonts w:ascii="Arial Unicode MS" w:hAnsi="Arial Unicode MS" w:cs="Arial" w:hint="eastAsia"/>
          <w:bCs/>
          <w:szCs w:val="21"/>
        </w:rPr>
        <w:t>、因违反《基金合同》导致基金财产的损失或损害基金份额持有人合法权益时，应当承担赔偿责任，其赔偿责任不因其退任而免除；</w:t>
      </w:r>
    </w:p>
    <w:p w14:paraId="2900B8A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、监督基金托管人按法律法规和《基金合同》规定履行自己的义务，基金托管人违反《基金合同》造成基金财产损失时，基金管理人应为基金份额持有人利益向基金托管人追</w:t>
      </w:r>
      <w:r>
        <w:rPr>
          <w:rFonts w:ascii="Arial Unicode MS" w:hAnsi="Arial Unicode MS" w:cs="Arial" w:hint="eastAsia"/>
          <w:bCs/>
          <w:szCs w:val="21"/>
        </w:rPr>
        <w:lastRenderedPageBreak/>
        <w:t>偿；</w:t>
      </w:r>
    </w:p>
    <w:p w14:paraId="1BB83BA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、当基金管理人将其义务委托第三方处理时，应当对第三方处理有关基金事务的行为承担责任；</w:t>
      </w:r>
    </w:p>
    <w:p w14:paraId="05D63C5C"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23</w:t>
      </w:r>
      <w:r>
        <w:rPr>
          <w:rFonts w:ascii="Arial Unicode MS" w:hAnsi="Arial Unicode MS" w:cs="Arial" w:hint="eastAsia"/>
          <w:bCs/>
          <w:szCs w:val="21"/>
        </w:rPr>
        <w:t>、以基金管理人名义，代表基金份额持有人利益行使诉讼权利或实施其他法律行为；</w:t>
      </w:r>
    </w:p>
    <w:p w14:paraId="06D6471A"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24</w:t>
      </w:r>
      <w:r>
        <w:rPr>
          <w:rFonts w:ascii="Arial Unicode MS" w:hAnsi="Arial Unicode MS" w:cs="Arial" w:hint="eastAsia"/>
          <w:bCs/>
          <w:szCs w:val="21"/>
        </w:rPr>
        <w:t>、基金管理人在募集期间未能达到基金的备案条件，《基金合同》不能生效，基金管理人承担全部募集费用，将已募集资金加计银行同期活期存款利息在基金募集期结束后</w:t>
      </w:r>
      <w:r>
        <w:rPr>
          <w:rFonts w:ascii="Arial Unicode MS" w:hAnsi="Arial Unicode MS" w:cs="Arial" w:hint="eastAsia"/>
          <w:bCs/>
          <w:szCs w:val="21"/>
        </w:rPr>
        <w:t>30</w:t>
      </w:r>
      <w:r>
        <w:rPr>
          <w:rFonts w:ascii="Arial Unicode MS" w:hAnsi="Arial Unicode MS" w:cs="Arial" w:hint="eastAsia"/>
          <w:bCs/>
          <w:szCs w:val="21"/>
        </w:rPr>
        <w:t>日内退还基金认购人；</w:t>
      </w:r>
    </w:p>
    <w:p w14:paraId="6572745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25</w:t>
      </w:r>
      <w:r>
        <w:rPr>
          <w:rFonts w:ascii="Arial Unicode MS" w:hAnsi="Arial Unicode MS" w:cs="Arial" w:hint="eastAsia"/>
          <w:bCs/>
          <w:szCs w:val="21"/>
        </w:rPr>
        <w:t>、执行生效的基金份额持有人大会的决议；</w:t>
      </w:r>
    </w:p>
    <w:p w14:paraId="72E5AA15"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26</w:t>
      </w:r>
      <w:r>
        <w:rPr>
          <w:rFonts w:ascii="Arial Unicode MS" w:hAnsi="Arial Unicode MS" w:cs="Arial" w:hint="eastAsia"/>
          <w:bCs/>
          <w:szCs w:val="21"/>
        </w:rPr>
        <w:t>、建立并保存基金份额持有人名册；</w:t>
      </w:r>
    </w:p>
    <w:p w14:paraId="6FBAD33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27</w:t>
      </w:r>
      <w:r>
        <w:rPr>
          <w:rFonts w:ascii="Arial Unicode MS" w:hAnsi="Arial Unicode MS" w:cs="Arial" w:hint="eastAsia"/>
          <w:bCs/>
          <w:szCs w:val="21"/>
        </w:rPr>
        <w:t>、法律法规及中国证监会规定的和《基金合同》约定的其他义务。</w:t>
      </w:r>
    </w:p>
    <w:p w14:paraId="6D462B9D" w14:textId="77777777" w:rsidR="00B804EC"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四、</w:t>
      </w:r>
      <w:r>
        <w:rPr>
          <w:rFonts w:ascii="Arial Unicode MS" w:hAnsi="Arial Unicode MS" w:cs="Arial"/>
          <w:b/>
          <w:bCs/>
          <w:szCs w:val="21"/>
        </w:rPr>
        <w:t>基金管理人的承诺</w:t>
      </w:r>
    </w:p>
    <w:p w14:paraId="38041441"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、基金管理人承诺不从事违反《中华人民共和国证券法》的行为，并承诺建立健全内部控制制度，采取有效措施，防止违反《中华人民共和国证券法》行为的发生；</w:t>
      </w:r>
      <w:r>
        <w:rPr>
          <w:rFonts w:ascii="Arial Unicode MS" w:hAnsi="Arial Unicode MS" w:cs="Arial" w:hint="eastAsia"/>
          <w:szCs w:val="21"/>
        </w:rPr>
        <w:t xml:space="preserve"> </w:t>
      </w:r>
    </w:p>
    <w:p w14:paraId="0F89E2F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、基金管理人承诺不从事违反《基金法》的行为，并承诺建立健全内部风险控制制度，采取有效措施，防止下列行为的发生：</w:t>
      </w:r>
    </w:p>
    <w:p w14:paraId="37D435E1"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）将基金管理人固有财产或者他人财产混同于基金财产从事证券投资；</w:t>
      </w:r>
    </w:p>
    <w:p w14:paraId="6323DC0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）不公平地对待管理的不同基金财产；</w:t>
      </w:r>
    </w:p>
    <w:p w14:paraId="71BC792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）利用基金财产或者职务之便为基金份额持有人以外的第三人牟取利益；</w:t>
      </w:r>
    </w:p>
    <w:p w14:paraId="6680454C"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）向基金份额持有人违规承诺收益或者承担损失；</w:t>
      </w:r>
    </w:p>
    <w:p w14:paraId="61EF721D" w14:textId="77777777" w:rsidR="00B804EC" w:rsidRDefault="00000000">
      <w:pPr>
        <w:tabs>
          <w:tab w:val="left" w:pos="70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）侵占、挪用基金财产；</w:t>
      </w:r>
      <w:r>
        <w:rPr>
          <w:rFonts w:ascii="Arial Unicode MS" w:hAnsi="Arial Unicode MS" w:cs="Arial"/>
          <w:szCs w:val="21"/>
        </w:rPr>
        <w:tab/>
      </w:r>
    </w:p>
    <w:p w14:paraId="39F9A5E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）泄露因职务便利获取的未公开信息、利用该信息从事或者明示、暗示他人从事相关的交易活动；</w:t>
      </w:r>
    </w:p>
    <w:p w14:paraId="395DF020"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）玩忽职守，不按照规定履行职责；</w:t>
      </w:r>
    </w:p>
    <w:p w14:paraId="63D1BC5C"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8</w:t>
      </w:r>
      <w:r>
        <w:rPr>
          <w:rFonts w:ascii="Arial Unicode MS" w:hAnsi="Arial Unicode MS" w:cs="Arial" w:hint="eastAsia"/>
          <w:szCs w:val="21"/>
        </w:rPr>
        <w:t>）法律、行政法规和中国证监会规定禁止的其他行为。</w:t>
      </w:r>
      <w:r>
        <w:rPr>
          <w:rFonts w:ascii="Arial Unicode MS" w:hAnsi="Arial Unicode MS" w:cs="Arial" w:hint="eastAsia"/>
          <w:szCs w:val="21"/>
        </w:rPr>
        <w:t xml:space="preserve"> </w:t>
      </w:r>
    </w:p>
    <w:p w14:paraId="0034133B"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、基金管理人承诺严格遵守基金合同，并承诺建立健全内部控制制度，采取有效措施，防止违反基金合同行为的发生；</w:t>
      </w:r>
      <w:r>
        <w:rPr>
          <w:rFonts w:ascii="Arial Unicode MS" w:hAnsi="Arial Unicode MS" w:cs="Arial" w:hint="eastAsia"/>
          <w:szCs w:val="21"/>
        </w:rPr>
        <w:t xml:space="preserve"> </w:t>
      </w:r>
    </w:p>
    <w:p w14:paraId="68D270EF"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、基金管理人承诺加强人员管理，强化职业操守，督促和约束员工遵守国家有关法律</w:t>
      </w:r>
      <w:r>
        <w:rPr>
          <w:rFonts w:ascii="Arial Unicode MS" w:hAnsi="Arial Unicode MS" w:cs="Arial" w:hint="eastAsia"/>
          <w:szCs w:val="21"/>
        </w:rPr>
        <w:lastRenderedPageBreak/>
        <w:t>法规及行业规范，诚实信用、勤勉尽责；</w:t>
      </w:r>
    </w:p>
    <w:p w14:paraId="6C436AFF"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、基金管理人承诺不从事其他法规规定禁止从事的行为。</w:t>
      </w:r>
      <w:r>
        <w:rPr>
          <w:rFonts w:ascii="Arial Unicode MS" w:hAnsi="Arial Unicode MS" w:cs="Arial" w:hint="eastAsia"/>
          <w:szCs w:val="21"/>
        </w:rPr>
        <w:t xml:space="preserve"> </w:t>
      </w:r>
    </w:p>
    <w:p w14:paraId="716CAF9F" w14:textId="77777777" w:rsidR="00B804EC"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szCs w:val="21"/>
        </w:rPr>
      </w:pPr>
      <w:r>
        <w:rPr>
          <w:rFonts w:ascii="Arial Unicode MS" w:hAnsi="Arial Unicode MS" w:cs="Arial" w:hint="eastAsia"/>
          <w:b/>
          <w:szCs w:val="21"/>
        </w:rPr>
        <w:t>五、基金经理承诺</w:t>
      </w:r>
    </w:p>
    <w:p w14:paraId="719A51AF"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、依照有关法律法规和基金合同的规定，本着谨慎的原则为基金份额持有人谋取最大利益；</w:t>
      </w:r>
    </w:p>
    <w:p w14:paraId="483C8835"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、不利用职务之便为自己、受雇人或任何第三者牟取利益；</w:t>
      </w:r>
      <w:r>
        <w:rPr>
          <w:rFonts w:ascii="Arial Unicode MS" w:hAnsi="Arial Unicode MS" w:cs="Arial" w:hint="eastAsia"/>
          <w:szCs w:val="21"/>
        </w:rPr>
        <w:t xml:space="preserve"> </w:t>
      </w:r>
    </w:p>
    <w:p w14:paraId="554226C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、不泄露在任职期间知悉的有关证券、基金的商业秘密，尚未依法公开的基金投资内容、基金投资计划等信息，或利用该信息从事或者明示、暗示他人从事相关的交易活动；</w:t>
      </w:r>
    </w:p>
    <w:p w14:paraId="65D7869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、不以任何形式为其他组织或个人进行证券交易。</w:t>
      </w:r>
    </w:p>
    <w:p w14:paraId="18538CA7" w14:textId="77777777" w:rsidR="00B804EC"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六、</w:t>
      </w:r>
      <w:r>
        <w:rPr>
          <w:rFonts w:ascii="Arial Unicode MS" w:hAnsi="Arial Unicode MS" w:cs="Arial"/>
          <w:b/>
          <w:bCs/>
          <w:szCs w:val="21"/>
        </w:rPr>
        <w:t>基金管理人的内部控制制度</w:t>
      </w:r>
    </w:p>
    <w:p w14:paraId="584799D0"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、风险控制目标</w:t>
      </w:r>
    </w:p>
    <w:p w14:paraId="4DE4B4C7"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）在有效控制风险的前提下，实现基金份额持有人利益最大化；</w:t>
      </w:r>
    </w:p>
    <w:p w14:paraId="59F80591"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）确保国家有关法律法规、行业规章和公司各项规章制度的贯彻执行；</w:t>
      </w:r>
    </w:p>
    <w:p w14:paraId="1AFA6C4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）建立符合现代企业制度要求的法人治理结构，形成科学合理的决策机制、执行机制和监督机制；</w:t>
      </w:r>
    </w:p>
    <w:p w14:paraId="1417FEF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）将各种风险控制在合理的范围内，保障公司发展战略和经营目标的全面实施，维护基金份额持有人、公司及公司股东的合法权益；</w:t>
      </w:r>
    </w:p>
    <w:p w14:paraId="779DEFAC"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）建立行之有效的风险控制系统，保障业务稳健运行，减轻或规避各种风险对公司发展战略和经营目标的干扰。</w:t>
      </w:r>
    </w:p>
    <w:p w14:paraId="0100896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、建立风险控制制度应遵循的原则</w:t>
      </w:r>
    </w:p>
    <w:p w14:paraId="0CA502D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）全面性原则：风险控制制度应覆盖公司的各项业务、各个部门和各级人员，并渗透到决策、执行、监督、反馈等各个经营环节；</w:t>
      </w:r>
    </w:p>
    <w:p w14:paraId="316A2588"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）审慎性原则：内部风险控制的核心是有效防范各种风险，公司组织体系的构成、内部管理制度的建立都要以防范风险、审慎经营为出发点；</w:t>
      </w:r>
    </w:p>
    <w:p w14:paraId="502E9F5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）独立性原则：公司风险控制的检查、评价部门应当独立于风险控制的建立和执行部门；风险控制委员会、督察长和监察稽核部应保持高度的独立性和权威性，负责对公司各部门风险控制工作进行评价和检查；</w:t>
      </w:r>
    </w:p>
    <w:p w14:paraId="27A2E4D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）有效性原则：风险控制制度应当符合国家法律法规和监管部门的规章，具有高度的权威性，成为所有员工严格遵守的行动指南；执行风险控制制度不能存在任何例外，公</w:t>
      </w:r>
      <w:r>
        <w:rPr>
          <w:rFonts w:ascii="Arial Unicode MS" w:hAnsi="Arial Unicode MS" w:cs="Arial" w:hint="eastAsia"/>
          <w:szCs w:val="21"/>
        </w:rPr>
        <w:lastRenderedPageBreak/>
        <w:t>司任何员工不得拥有超越制度或违反规章的权力；</w:t>
      </w:r>
    </w:p>
    <w:p w14:paraId="2F32F32A"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）适时性原则：内部风险控制应随着公司经营战略、经营方针、经营理念等内部环境的变化和国家法律、法规、政策制度等外部环境的改变及时进行相应的修改和完善；</w:t>
      </w:r>
    </w:p>
    <w:p w14:paraId="50A755EB"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、风险控制体系</w:t>
      </w:r>
    </w:p>
    <w:p w14:paraId="3E97F30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）风险控制制度体系</w:t>
      </w:r>
    </w:p>
    <w:p w14:paraId="665371D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公司风险控制制度体系由三个不同层次的制度构成：第一个层次是公司章程、内部控制大纲；第二个层次是基本管理制度；第三个层次是部门管理制度及各项业务规则。</w:t>
      </w:r>
    </w:p>
    <w:p w14:paraId="2A44241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）风险控制组织体系</w:t>
      </w:r>
    </w:p>
    <w:p w14:paraId="132898E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风险控制组织体系包括两个层次：</w:t>
      </w:r>
    </w:p>
    <w:p w14:paraId="177E07D8"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第一层次：公司董事会层面对公司经营管理过程中的各类风险进行预防和控制的组织，主要是通过董事会下设的风险控制委员会和督察长来实现的。</w:t>
      </w:r>
    </w:p>
    <w:p w14:paraId="58FFB8F7"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6567D137"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5AD223F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第二层次：公司经营管理层包括风险管理委员会、监察稽核部及各职能部门对经营风险的预防和控制。</w:t>
      </w:r>
    </w:p>
    <w:p w14:paraId="4ABB882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17637246"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5D23B80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③公司各职能部门的主要职责是对自身工作中潜在风险的自我检查和控制，各业务部门</w:t>
      </w:r>
      <w:r>
        <w:rPr>
          <w:rFonts w:ascii="Arial Unicode MS" w:hAnsi="Arial Unicode MS" w:cs="Arial" w:hint="eastAsia"/>
          <w:szCs w:val="21"/>
        </w:rPr>
        <w:lastRenderedPageBreak/>
        <w:t>作为公司风险控制的具体实施单位，应在公司各项基本管理制度的基础上，根据具体情况制订本部门的业务管理规定、操作流程及内部控制规定并严格执行。</w:t>
      </w:r>
    </w:p>
    <w:p w14:paraId="3E58B5A5"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、关于授权、研究、投资、交易等方面的控制点</w:t>
      </w:r>
    </w:p>
    <w:p w14:paraId="6C3D5C7F"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）授权制度</w:t>
      </w:r>
    </w:p>
    <w:p w14:paraId="0912610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212060B8"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）研究业务</w:t>
      </w:r>
    </w:p>
    <w:p w14:paraId="722B4842"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01800EE1"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）基金投资业务</w:t>
      </w:r>
    </w:p>
    <w:p w14:paraId="28C78DC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0A97D6E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）交易业务</w:t>
      </w:r>
    </w:p>
    <w:p w14:paraId="7E1D2530"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3F2897E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）基金会计核算</w:t>
      </w:r>
    </w:p>
    <w:p w14:paraId="1357C1D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28B46844"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）信息披露</w:t>
      </w:r>
    </w:p>
    <w:p w14:paraId="2C10C8A7"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lastRenderedPageBreak/>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1AEE813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）监察稽核</w:t>
      </w:r>
    </w:p>
    <w:p w14:paraId="4AE0E171"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035958D"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12B7127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、风险管理和内部控制的措施</w:t>
      </w:r>
    </w:p>
    <w:p w14:paraId="144C740B"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）建立内控结构，完善内控制度：公司建立、健全了内控结构，高管人员具有明确的内控分工，确保各项业务活动有恰当的组织和授权，确保监察活动的独立进行，并得到高管人员的支持。</w:t>
      </w:r>
    </w:p>
    <w:p w14:paraId="540C736E"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）建立相互分离、相互制衡的内控机制：建立、健全了各项制度，做到基金经理、投资经理分开，研究、决策分开，基金交易集中，形成不同部门、不同岗位之间的制衡机制，从制度上减少和防范风险。</w:t>
      </w:r>
    </w:p>
    <w:p w14:paraId="7CB52DF5"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）建立、健全岗位责任制：建立、健全了岗位责任制，使每个员工都明确自己的任务、职责，并及时将各自工作领域中的风险隐患上报，以防范和减少风险。</w:t>
      </w:r>
    </w:p>
    <w:p w14:paraId="4DB0F887"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193B3BDF"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）建立有效的内部监控系统：建立了足够、有效的内部监控系统，如计算机预警系统、投资监控系统，能对可能出现的各种风险进行全面和实时的监控。</w:t>
      </w:r>
    </w:p>
    <w:p w14:paraId="107491E9"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）使用数量化的风险管理手段：采取数量化、技术化的风险控制手段，建立数量化的风险管理模型，用以提示市场风险，以便公司及时采取有效的措施，对风险进行分散、控</w:t>
      </w:r>
      <w:r>
        <w:rPr>
          <w:rFonts w:ascii="Arial Unicode MS" w:hAnsi="Arial Unicode MS" w:cs="Arial" w:hint="eastAsia"/>
          <w:szCs w:val="21"/>
        </w:rPr>
        <w:lastRenderedPageBreak/>
        <w:t>制和规避，尽可能地减少损失。</w:t>
      </w:r>
    </w:p>
    <w:p w14:paraId="630E5E73"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）提供足够的培训：制定了完整的培训计划，为所有员工提供足够和适当的培训，使员工明确其职责所在，控制风险。</w:t>
      </w:r>
    </w:p>
    <w:p w14:paraId="219ABF86" w14:textId="77777777" w:rsidR="00B804EC"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、基金管理人承诺上述关于内部控制的披露真实、准确，并承诺将根据市场环境的变化及公司的发展不断完善合规控制。</w:t>
      </w:r>
      <w:bookmarkStart w:id="11" w:name="_Toc238027832"/>
      <w:bookmarkStart w:id="12" w:name="_Toc238013745"/>
      <w:bookmarkStart w:id="13" w:name="_Toc214873593"/>
      <w:bookmarkEnd w:id="11"/>
      <w:bookmarkEnd w:id="12"/>
      <w:r>
        <w:rPr>
          <w:rFonts w:ascii="Arial Unicode MS" w:hAnsi="Arial Unicode MS" w:cs="Arial" w:hint="eastAsia"/>
          <w:szCs w:val="21"/>
        </w:rPr>
        <w:br w:type="page"/>
      </w:r>
    </w:p>
    <w:p w14:paraId="48B2295B"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14" w:name="_Toc63676439"/>
      <w:r>
        <w:rPr>
          <w:rFonts w:ascii="Arial Unicode MS" w:eastAsia="宋体" w:hAnsi="Arial Unicode MS" w:cs="Arial"/>
          <w:b/>
          <w:bCs/>
          <w:sz w:val="28"/>
          <w:szCs w:val="28"/>
        </w:rPr>
        <w:lastRenderedPageBreak/>
        <w:t>第四部分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基金托管人</w:t>
      </w:r>
      <w:bookmarkEnd w:id="10"/>
      <w:bookmarkEnd w:id="13"/>
      <w:bookmarkEnd w:id="14"/>
    </w:p>
    <w:p w14:paraId="75E9724E" w14:textId="77777777" w:rsidR="00B804EC" w:rsidRDefault="00B804EC"/>
    <w:p w14:paraId="17D309E8" w14:textId="77777777" w:rsidR="00B804EC" w:rsidRDefault="00000000">
      <w:pPr>
        <w:spacing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hint="eastAsia"/>
          <w:b/>
          <w:bCs/>
          <w:szCs w:val="21"/>
        </w:rPr>
        <w:t>一、基金托管人情况</w:t>
      </w:r>
    </w:p>
    <w:p w14:paraId="3CB3DD4D"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（一）基本情况</w:t>
      </w:r>
    </w:p>
    <w:p w14:paraId="086E3D70"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名称：中国建设银行股份有限公司(简称：中国建设银行)</w:t>
      </w:r>
    </w:p>
    <w:p w14:paraId="08379415"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住所：北京市西城区金融大街25号</w:t>
      </w:r>
    </w:p>
    <w:p w14:paraId="5738AB6A"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办公地址：北京市西城区闹市口大街1号院1号楼</w:t>
      </w:r>
    </w:p>
    <w:p w14:paraId="3414EDC8"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法定代表人：张金良</w:t>
      </w:r>
    </w:p>
    <w:p w14:paraId="21F2D731"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成立时间：2004年09月17日</w:t>
      </w:r>
    </w:p>
    <w:p w14:paraId="7C363BDA"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组织形式：股份有限公司</w:t>
      </w:r>
    </w:p>
    <w:p w14:paraId="47A31E38"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注册资本：贰仟伍佰亿壹仟零玖拾柒万柒仟肆佰捌拾陆元整</w:t>
      </w:r>
    </w:p>
    <w:p w14:paraId="57CB2648"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存续期间：持续经营</w:t>
      </w:r>
    </w:p>
    <w:p w14:paraId="27886D20"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基金托管资格批文及文号：中国证监会证监基字[1998]12号</w:t>
      </w:r>
    </w:p>
    <w:p w14:paraId="37CF3DB7"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联系人：王小飞</w:t>
      </w:r>
    </w:p>
    <w:p w14:paraId="11F1C3EF" w14:textId="1A5C26ED"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联系电话：(021)6063 7103</w:t>
      </w:r>
    </w:p>
    <w:p w14:paraId="02F654B6"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（二）主要人员情况</w:t>
      </w:r>
    </w:p>
    <w:p w14:paraId="3F1C7607" w14:textId="5E9A3186"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14:paraId="41E8AEF4"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（三）基金托管业务经营情况</w:t>
      </w:r>
    </w:p>
    <w:p w14:paraId="29E23435" w14:textId="7F7A8E9D"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2024年末，中国建设银行已托管1405只证券投资基金。中国建设银行专业高效的托管服务能力和业务水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w:t>
      </w:r>
      <w:r>
        <w:rPr>
          <w:rFonts w:asciiTheme="minorEastAsia" w:eastAsiaTheme="minorEastAsia" w:hAnsiTheme="minorEastAsia" w:hint="eastAsia"/>
          <w:szCs w:val="21"/>
        </w:rPr>
        <w:lastRenderedPageBreak/>
        <w:t>2022年度“中国年度托管银行（大型银行）”奖项。2022年度，荣获《环球金融》 “中国最佳次托管银行”，并作为唯一中资银行获得《财资》“中国最佳QFI托管银行”奖项。2023年度，荣获中国基金报“公募基金25年最佳基金托管银行”奖项。2024年度，荣获《中国基金报》“优秀ETF托管人”、《中国证券报》“ETF金牛生态圈卓越托管机构（银行）”、《环球金融》“中国最佳次托管人”等奖项。</w:t>
      </w:r>
    </w:p>
    <w:p w14:paraId="65F994B7" w14:textId="77777777" w:rsidR="00B804EC" w:rsidRDefault="00000000">
      <w:pPr>
        <w:spacing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hint="eastAsia"/>
          <w:b/>
          <w:bCs/>
          <w:szCs w:val="21"/>
        </w:rPr>
        <w:t>二、基金托管人的内部控制制度</w:t>
      </w:r>
    </w:p>
    <w:p w14:paraId="4BDF83ED"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（一）内部控制目标</w:t>
      </w:r>
    </w:p>
    <w:p w14:paraId="58D4FA55"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7D94638B"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（二）内部控制组织结构</w:t>
      </w:r>
    </w:p>
    <w:p w14:paraId="40BBD570"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00F812F7"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（三）内部控制制度及措施</w:t>
      </w:r>
    </w:p>
    <w:p w14:paraId="2D5F272A" w14:textId="2692B3EF"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366E545E" w14:textId="77777777" w:rsidR="00B804EC" w:rsidRDefault="00000000">
      <w:pPr>
        <w:spacing w:line="360" w:lineRule="auto"/>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三、基金托管人对基金管理人运作基金进行监督的方法和程序</w:t>
      </w:r>
    </w:p>
    <w:p w14:paraId="1657225B"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（一）监督方法</w:t>
      </w:r>
    </w:p>
    <w:p w14:paraId="27CDC49E"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1BFCA6C9"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（二）监督流程</w:t>
      </w:r>
    </w:p>
    <w:p w14:paraId="46972823"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2FEBAC9E" w14:textId="77777777" w:rsidR="00B804EC"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2.收到基金管理人的划款指令后，对指令要素等内容进行核查。</w:t>
      </w:r>
    </w:p>
    <w:p w14:paraId="4BAA8EAF" w14:textId="73015410" w:rsidR="00B804EC" w:rsidRDefault="00000000">
      <w:pPr>
        <w:spacing w:line="360" w:lineRule="auto"/>
        <w:ind w:firstLineChars="200" w:firstLine="420"/>
        <w:rPr>
          <w:rFonts w:ascii="楷体" w:eastAsia="楷体" w:hAnsi="楷体" w:hint="eastAsia"/>
          <w:sz w:val="24"/>
        </w:rPr>
      </w:pPr>
      <w:r>
        <w:rPr>
          <w:rFonts w:asciiTheme="minorEastAsia" w:eastAsiaTheme="minorEastAsia" w:hAnsiTheme="minorEastAsia" w:hint="eastAsia"/>
          <w:szCs w:val="21"/>
        </w:rPr>
        <w:lastRenderedPageBreak/>
        <w:t>3.通过技术或非技术手段发现基金涉嫌违规交易，电话或书面要求基金管理人进行解释或举证，如有必要将及时报告中国证监会。</w:t>
      </w:r>
      <w:r>
        <w:rPr>
          <w:rFonts w:ascii="楷体" w:eastAsia="楷体" w:hAnsi="楷体"/>
          <w:sz w:val="24"/>
        </w:rPr>
        <w:br w:type="page"/>
      </w:r>
    </w:p>
    <w:p w14:paraId="6930A896" w14:textId="77777777" w:rsidR="00B804EC" w:rsidRDefault="00B804EC">
      <w:pPr>
        <w:spacing w:line="360" w:lineRule="auto"/>
        <w:ind w:firstLineChars="200" w:firstLine="420"/>
        <w:rPr>
          <w:rFonts w:ascii="Arial Unicode MS" w:hAnsi="Arial Unicode MS" w:hint="eastAsia"/>
          <w:bCs/>
        </w:rPr>
      </w:pPr>
    </w:p>
    <w:p w14:paraId="0AC07A9B" w14:textId="77777777" w:rsidR="00B804EC" w:rsidRDefault="00000000">
      <w:pPr>
        <w:pStyle w:val="11"/>
        <w:snapToGrid w:val="0"/>
        <w:spacing w:before="0" w:after="0" w:line="360" w:lineRule="auto"/>
        <w:ind w:firstLine="422"/>
      </w:pPr>
      <w:bookmarkStart w:id="15" w:name="_Toc214873594"/>
      <w:bookmarkStart w:id="16" w:name="_Toc335232693"/>
      <w:bookmarkStart w:id="17" w:name="_Toc317088142"/>
      <w:bookmarkStart w:id="18" w:name="_Toc317088539"/>
      <w:bookmarkStart w:id="19" w:name="_Toc63676440"/>
      <w:bookmarkStart w:id="20" w:name="_Toc320887644"/>
      <w:r>
        <w:rPr>
          <w:rFonts w:ascii="Arial Unicode MS" w:eastAsia="宋体" w:hAnsi="Arial Unicode MS" w:cs="Arial"/>
          <w:b/>
          <w:bCs/>
          <w:sz w:val="28"/>
          <w:szCs w:val="28"/>
        </w:rPr>
        <w:t>第五部分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相关服务机构</w:t>
      </w:r>
      <w:bookmarkEnd w:id="15"/>
      <w:bookmarkEnd w:id="16"/>
      <w:bookmarkEnd w:id="17"/>
      <w:bookmarkEnd w:id="18"/>
      <w:bookmarkEnd w:id="19"/>
      <w:bookmarkEnd w:id="20"/>
    </w:p>
    <w:p w14:paraId="152C464E"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一、基金份额</w:t>
      </w:r>
      <w:r>
        <w:rPr>
          <w:rFonts w:ascii="Arial Unicode MS" w:hAnsi="Arial Unicode MS" w:cs="Arial" w:hint="eastAsia"/>
          <w:b/>
          <w:szCs w:val="21"/>
        </w:rPr>
        <w:t>发售</w:t>
      </w:r>
      <w:r>
        <w:rPr>
          <w:rFonts w:ascii="Arial Unicode MS" w:hAnsi="Arial Unicode MS" w:cs="Arial"/>
          <w:b/>
          <w:szCs w:val="21"/>
        </w:rPr>
        <w:t>机构</w:t>
      </w:r>
    </w:p>
    <w:p w14:paraId="5E91E870"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color w:val="000000"/>
        </w:rPr>
        <w:t>1</w:t>
      </w:r>
      <w:r>
        <w:rPr>
          <w:rFonts w:ascii="Arial Unicode MS" w:hAnsi="Arial Unicode MS" w:cs="Arial" w:hint="eastAsia"/>
          <w:color w:val="000000"/>
        </w:rPr>
        <w:t>、</w:t>
      </w:r>
      <w:r>
        <w:rPr>
          <w:rFonts w:ascii="Arial Unicode MS" w:hAnsi="Arial Unicode MS" w:cs="Arial"/>
          <w:color w:val="000000"/>
        </w:rPr>
        <w:t>直销机构</w:t>
      </w:r>
      <w:r>
        <w:rPr>
          <w:rFonts w:ascii="Arial Unicode MS" w:hAnsi="Arial Unicode MS" w:cs="Arial" w:hint="eastAsia"/>
          <w:color w:val="000000"/>
        </w:rPr>
        <w:t>：富荣基金管理有限公司直销中心</w:t>
      </w:r>
    </w:p>
    <w:p w14:paraId="1E8F032E"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注册地址：广州市南沙区横沥镇汇通二街</w:t>
      </w:r>
      <w:r>
        <w:rPr>
          <w:rFonts w:ascii="Arial Unicode MS" w:hAnsi="Arial Unicode MS" w:cs="Arial" w:hint="eastAsia"/>
          <w:color w:val="000000"/>
        </w:rPr>
        <w:t>2</w:t>
      </w:r>
      <w:r>
        <w:rPr>
          <w:rFonts w:ascii="Arial Unicode MS" w:hAnsi="Arial Unicode MS" w:cs="Arial" w:hint="eastAsia"/>
          <w:color w:val="000000"/>
        </w:rPr>
        <w:t>号</w:t>
      </w:r>
      <w:r>
        <w:rPr>
          <w:rFonts w:ascii="Arial Unicode MS" w:hAnsi="Arial Unicode MS" w:cs="Arial" w:hint="eastAsia"/>
          <w:color w:val="000000"/>
        </w:rPr>
        <w:t>3110</w:t>
      </w:r>
      <w:r>
        <w:rPr>
          <w:rFonts w:ascii="Arial Unicode MS" w:hAnsi="Arial Unicode MS" w:cs="Arial" w:hint="eastAsia"/>
          <w:color w:val="000000"/>
        </w:rPr>
        <w:t>房</w:t>
      </w:r>
      <w:r>
        <w:rPr>
          <w:rFonts w:ascii="Arial Unicode MS" w:hAnsi="Arial Unicode MS" w:cs="Arial" w:hint="eastAsia"/>
          <w:color w:val="000000"/>
        </w:rPr>
        <w:t xml:space="preserve"> </w:t>
      </w:r>
    </w:p>
    <w:p w14:paraId="6F79C42A"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办公地址：</w:t>
      </w:r>
      <w:r>
        <w:rPr>
          <w:rFonts w:ascii="Arial Unicode MS" w:hAnsi="Arial Unicode MS" w:cs="Arial" w:hint="eastAsia"/>
          <w:kern w:val="0"/>
          <w:szCs w:val="21"/>
        </w:rPr>
        <w:t>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2D6771E6"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法定代表人：王亦伟</w:t>
      </w:r>
    </w:p>
    <w:p w14:paraId="74895B18"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电话：</w:t>
      </w:r>
      <w:r>
        <w:rPr>
          <w:rFonts w:ascii="Arial Unicode MS" w:hAnsi="Arial Unicode MS" w:cs="Arial" w:hint="eastAsia"/>
          <w:color w:val="000000"/>
        </w:rPr>
        <w:t>0755-843566</w:t>
      </w:r>
      <w:r>
        <w:rPr>
          <w:rFonts w:ascii="Arial Unicode MS" w:hAnsi="Arial Unicode MS" w:cs="Arial"/>
          <w:color w:val="000000"/>
        </w:rPr>
        <w:t>29</w:t>
      </w:r>
    </w:p>
    <w:p w14:paraId="5478A00D"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传真：</w:t>
      </w:r>
      <w:r>
        <w:rPr>
          <w:rFonts w:ascii="Arial Unicode MS" w:hAnsi="Arial Unicode MS" w:cs="Arial" w:hint="eastAsia"/>
          <w:color w:val="000000"/>
        </w:rPr>
        <w:t>0755-83230902</w:t>
      </w:r>
    </w:p>
    <w:p w14:paraId="32A10823"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客服电话：</w:t>
      </w:r>
      <w:r>
        <w:rPr>
          <w:rFonts w:ascii="Arial Unicode MS" w:hAnsi="Arial Unicode MS" w:cs="Arial" w:hint="eastAsia"/>
          <w:color w:val="000000"/>
        </w:rPr>
        <w:t>4006855600</w:t>
      </w:r>
    </w:p>
    <w:p w14:paraId="66C1F264" w14:textId="77777777" w:rsidR="00B804EC"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网址</w:t>
      </w:r>
      <w:r>
        <w:rPr>
          <w:rFonts w:ascii="Arial Unicode MS" w:hAnsi="Arial Unicode MS" w:cs="Arial"/>
          <w:color w:val="000000"/>
        </w:rPr>
        <w:t>：</w:t>
      </w:r>
      <w:r>
        <w:rPr>
          <w:rFonts w:ascii="Arial Unicode MS" w:hAnsi="Arial Unicode MS" w:cs="Arial"/>
          <w:color w:val="000000"/>
        </w:rPr>
        <w:t>www.furamc.com.cn</w:t>
      </w:r>
    </w:p>
    <w:p w14:paraId="397CD1B3" w14:textId="1502CD2C" w:rsidR="00B804EC"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2</w:t>
      </w:r>
      <w:r>
        <w:rPr>
          <w:rFonts w:ascii="Arial Unicode MS" w:hAnsi="Arial Unicode MS" w:cs="Arial" w:hint="eastAsia"/>
          <w:color w:val="000000"/>
          <w:kern w:val="0"/>
          <w:szCs w:val="21"/>
        </w:rPr>
        <w:t>、其他销售机构：</w:t>
      </w:r>
    </w:p>
    <w:p w14:paraId="12A32C3E" w14:textId="77777777" w:rsidR="00B804EC"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具体名单详见基金管理人官方网站。</w:t>
      </w:r>
    </w:p>
    <w:p w14:paraId="30251266" w14:textId="77777777" w:rsidR="00B804EC" w:rsidRDefault="00000000">
      <w:pPr>
        <w:adjustRightInd w:val="0"/>
        <w:snapToGrid w:val="0"/>
        <w:spacing w:line="360" w:lineRule="auto"/>
        <w:ind w:firstLineChars="200" w:firstLine="422"/>
        <w:rPr>
          <w:rFonts w:ascii="Arial Unicode MS" w:hAnsi="Arial Unicode MS" w:cs="Arial" w:hint="eastAsia"/>
          <w:b/>
          <w:color w:val="000000"/>
          <w:szCs w:val="21"/>
        </w:rPr>
      </w:pPr>
      <w:r>
        <w:rPr>
          <w:rFonts w:ascii="Arial Unicode MS" w:hAnsi="Arial Unicode MS" w:cs="Arial"/>
          <w:b/>
          <w:color w:val="000000"/>
          <w:szCs w:val="21"/>
        </w:rPr>
        <w:t>二、登记机构</w:t>
      </w:r>
    </w:p>
    <w:p w14:paraId="193FA208"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名称：富荣基金管理有限公司</w:t>
      </w:r>
      <w:r>
        <w:rPr>
          <w:rFonts w:ascii="Arial Unicode MS" w:hAnsi="Arial Unicode MS" w:cs="Arial" w:hint="eastAsia"/>
          <w:color w:val="000000"/>
          <w:kern w:val="0"/>
          <w:szCs w:val="21"/>
        </w:rPr>
        <w:t xml:space="preserve"> </w:t>
      </w:r>
    </w:p>
    <w:p w14:paraId="3937D19E"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住所：</w:t>
      </w:r>
      <w:r>
        <w:rPr>
          <w:rFonts w:ascii="Arial Unicode MS" w:hAnsi="Arial Unicode MS" w:cs="Arial" w:hint="eastAsia"/>
          <w:kern w:val="0"/>
          <w:szCs w:val="21"/>
        </w:rPr>
        <w:t>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2D716388"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办公地址：</w:t>
      </w:r>
      <w:r>
        <w:rPr>
          <w:rFonts w:ascii="Arial Unicode MS" w:hAnsi="Arial Unicode MS" w:cs="Arial" w:hint="eastAsia"/>
          <w:kern w:val="0"/>
          <w:szCs w:val="21"/>
        </w:rPr>
        <w:t>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r>
        <w:rPr>
          <w:rFonts w:ascii="Arial Unicode MS" w:hAnsi="Arial Unicode MS" w:cs="Arial" w:hint="eastAsia"/>
          <w:color w:val="000000"/>
          <w:kern w:val="0"/>
          <w:szCs w:val="21"/>
        </w:rPr>
        <w:t xml:space="preserve"> </w:t>
      </w:r>
    </w:p>
    <w:p w14:paraId="720416AB"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法定代表人：</w:t>
      </w:r>
      <w:r>
        <w:rPr>
          <w:rFonts w:ascii="Arial Unicode MS" w:hAnsi="Arial Unicode MS" w:cs="Arial" w:hint="eastAsia"/>
          <w:color w:val="000000"/>
        </w:rPr>
        <w:t>王亦伟</w:t>
      </w:r>
    </w:p>
    <w:p w14:paraId="21E69C27"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联系人：黄文飞</w:t>
      </w:r>
    </w:p>
    <w:p w14:paraId="27014BBA" w14:textId="77777777" w:rsidR="00B804EC"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电话：</w:t>
      </w:r>
      <w:r>
        <w:rPr>
          <w:rFonts w:ascii="Arial Unicode MS" w:hAnsi="Arial Unicode MS" w:cs="Arial" w:hint="eastAsia"/>
          <w:color w:val="000000"/>
          <w:kern w:val="0"/>
          <w:szCs w:val="21"/>
        </w:rPr>
        <w:t xml:space="preserve"> 0755-84356604</w:t>
      </w:r>
    </w:p>
    <w:p w14:paraId="77C2E3F3" w14:textId="77777777" w:rsidR="00B804EC"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传真：</w:t>
      </w:r>
      <w:r>
        <w:rPr>
          <w:rFonts w:ascii="Arial Unicode MS" w:hAnsi="Arial Unicode MS" w:cs="Arial" w:hint="eastAsia"/>
          <w:color w:val="000000"/>
          <w:kern w:val="0"/>
          <w:szCs w:val="21"/>
        </w:rPr>
        <w:t xml:space="preserve"> 0755-83230787</w:t>
      </w:r>
    </w:p>
    <w:p w14:paraId="0AAFE920"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w:t>
      </w:r>
      <w:r>
        <w:rPr>
          <w:rFonts w:ascii="Arial Unicode MS" w:hAnsi="Arial Unicode MS" w:hint="eastAsia"/>
          <w:b/>
          <w:bCs/>
        </w:rPr>
        <w:t>出具法律意见书的律师事务所</w:t>
      </w:r>
    </w:p>
    <w:p w14:paraId="198F303E"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名称：上海市通力律师事务所</w:t>
      </w:r>
    </w:p>
    <w:p w14:paraId="253A762B"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住所：上海市银城中路</w:t>
      </w:r>
      <w:r>
        <w:rPr>
          <w:rFonts w:ascii="Arial Unicode MS" w:hAnsi="Arial Unicode MS" w:cs="Arial" w:hint="eastAsia"/>
          <w:kern w:val="0"/>
          <w:szCs w:val="21"/>
        </w:rPr>
        <w:t>68</w:t>
      </w:r>
      <w:r>
        <w:rPr>
          <w:rFonts w:ascii="Arial Unicode MS" w:hAnsi="Arial Unicode MS" w:cs="Arial" w:hint="eastAsia"/>
          <w:kern w:val="0"/>
          <w:szCs w:val="21"/>
        </w:rPr>
        <w:t>号时代金融中心</w:t>
      </w:r>
      <w:r>
        <w:rPr>
          <w:rFonts w:ascii="Arial Unicode MS" w:hAnsi="Arial Unicode MS" w:cs="Arial" w:hint="eastAsia"/>
          <w:kern w:val="0"/>
          <w:szCs w:val="21"/>
        </w:rPr>
        <w:t>19</w:t>
      </w:r>
      <w:r>
        <w:rPr>
          <w:rFonts w:ascii="Arial Unicode MS" w:hAnsi="Arial Unicode MS" w:cs="Arial" w:hint="eastAsia"/>
          <w:kern w:val="0"/>
          <w:szCs w:val="21"/>
        </w:rPr>
        <w:t>楼</w:t>
      </w:r>
    </w:p>
    <w:p w14:paraId="4ED41993"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办公地址：上海市银城中路</w:t>
      </w:r>
      <w:r>
        <w:rPr>
          <w:rFonts w:ascii="Arial Unicode MS" w:hAnsi="Arial Unicode MS" w:cs="Arial" w:hint="eastAsia"/>
          <w:kern w:val="0"/>
          <w:szCs w:val="21"/>
        </w:rPr>
        <w:t>68</w:t>
      </w:r>
      <w:r>
        <w:rPr>
          <w:rFonts w:ascii="Arial Unicode MS" w:hAnsi="Arial Unicode MS" w:cs="Arial" w:hint="eastAsia"/>
          <w:kern w:val="0"/>
          <w:szCs w:val="21"/>
        </w:rPr>
        <w:t>号时代金融中心</w:t>
      </w:r>
      <w:r>
        <w:rPr>
          <w:rFonts w:ascii="Arial Unicode MS" w:hAnsi="Arial Unicode MS" w:cs="Arial" w:hint="eastAsia"/>
          <w:kern w:val="0"/>
          <w:szCs w:val="21"/>
        </w:rPr>
        <w:t>19</w:t>
      </w:r>
      <w:r>
        <w:rPr>
          <w:rFonts w:ascii="Arial Unicode MS" w:hAnsi="Arial Unicode MS" w:cs="Arial" w:hint="eastAsia"/>
          <w:kern w:val="0"/>
          <w:szCs w:val="21"/>
        </w:rPr>
        <w:t>楼</w:t>
      </w:r>
    </w:p>
    <w:p w14:paraId="39E600F5"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负责人：韩炯</w:t>
      </w:r>
    </w:p>
    <w:p w14:paraId="47BF87B4"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电话：</w:t>
      </w:r>
      <w:r>
        <w:rPr>
          <w:rFonts w:ascii="Arial Unicode MS" w:hAnsi="Arial Unicode MS" w:cs="Arial" w:hint="eastAsia"/>
          <w:kern w:val="0"/>
          <w:szCs w:val="21"/>
        </w:rPr>
        <w:t>021-31358666</w:t>
      </w:r>
    </w:p>
    <w:p w14:paraId="19C5CFEC"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传真：</w:t>
      </w:r>
      <w:r>
        <w:rPr>
          <w:rFonts w:ascii="Arial Unicode MS" w:hAnsi="Arial Unicode MS" w:cs="Arial" w:hint="eastAsia"/>
          <w:kern w:val="0"/>
          <w:szCs w:val="21"/>
        </w:rPr>
        <w:t>021-31358600</w:t>
      </w:r>
    </w:p>
    <w:p w14:paraId="54C647CE"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经办律师：安冬</w:t>
      </w:r>
      <w:r>
        <w:rPr>
          <w:rFonts w:ascii="Arial Unicode MS" w:hAnsi="Arial Unicode MS" w:cs="Arial" w:hint="eastAsia"/>
          <w:kern w:val="0"/>
          <w:szCs w:val="21"/>
        </w:rPr>
        <w:t xml:space="preserve"> </w:t>
      </w:r>
      <w:r>
        <w:rPr>
          <w:rFonts w:ascii="Arial Unicode MS" w:hAnsi="Arial Unicode MS" w:cs="Arial" w:hint="eastAsia"/>
          <w:kern w:val="0"/>
          <w:szCs w:val="21"/>
        </w:rPr>
        <w:t>陆奇</w:t>
      </w:r>
    </w:p>
    <w:p w14:paraId="55BD9715"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w:t>
      </w:r>
      <w:r>
        <w:rPr>
          <w:rFonts w:ascii="Arial Unicode MS" w:hAnsi="Arial Unicode MS" w:cs="Arial" w:hint="eastAsia"/>
          <w:kern w:val="0"/>
          <w:szCs w:val="21"/>
        </w:rPr>
        <w:t xml:space="preserve"> </w:t>
      </w:r>
      <w:r>
        <w:rPr>
          <w:rFonts w:ascii="Arial Unicode MS" w:hAnsi="Arial Unicode MS" w:cs="Arial" w:hint="eastAsia"/>
          <w:kern w:val="0"/>
          <w:szCs w:val="21"/>
        </w:rPr>
        <w:t>安冬</w:t>
      </w:r>
    </w:p>
    <w:p w14:paraId="6559D406"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四、</w:t>
      </w:r>
      <w:r>
        <w:rPr>
          <w:rFonts w:ascii="Arial Unicode MS" w:hAnsi="Arial Unicode MS" w:hint="eastAsia"/>
          <w:b/>
          <w:bCs/>
        </w:rPr>
        <w:t>审计基金财产的会计师事务所</w:t>
      </w:r>
    </w:p>
    <w:p w14:paraId="4227CA63"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名称：安永华明会计师事务所（特殊普通合伙）</w:t>
      </w:r>
    </w:p>
    <w:p w14:paraId="0B8C1A80"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住所：中国北京市东城区东长安街</w:t>
      </w:r>
      <w:r>
        <w:rPr>
          <w:rFonts w:ascii="Arial Unicode MS" w:hAnsi="Arial Unicode MS" w:cs="Arial" w:hint="eastAsia"/>
          <w:kern w:val="0"/>
          <w:szCs w:val="21"/>
        </w:rPr>
        <w:t>1</w:t>
      </w:r>
      <w:r>
        <w:rPr>
          <w:rFonts w:ascii="Arial Unicode MS" w:hAnsi="Arial Unicode MS" w:cs="Arial" w:hint="eastAsia"/>
          <w:kern w:val="0"/>
          <w:szCs w:val="21"/>
        </w:rPr>
        <w:t>号东方广场安永大楼</w:t>
      </w:r>
      <w:r>
        <w:rPr>
          <w:rFonts w:ascii="Arial Unicode MS" w:hAnsi="Arial Unicode MS" w:cs="Arial" w:hint="eastAsia"/>
          <w:kern w:val="0"/>
          <w:szCs w:val="21"/>
        </w:rPr>
        <w:t>17</w:t>
      </w:r>
      <w:r>
        <w:rPr>
          <w:rFonts w:ascii="Arial Unicode MS" w:hAnsi="Arial Unicode MS" w:cs="Arial" w:hint="eastAsia"/>
          <w:kern w:val="0"/>
          <w:szCs w:val="21"/>
        </w:rPr>
        <w:t>层</w:t>
      </w:r>
    </w:p>
    <w:p w14:paraId="18E14E82"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办公地址：中国北京市东城区东长安街</w:t>
      </w:r>
      <w:r>
        <w:rPr>
          <w:rFonts w:ascii="Arial Unicode MS" w:hAnsi="Arial Unicode MS" w:cs="Arial" w:hint="eastAsia"/>
          <w:kern w:val="0"/>
          <w:szCs w:val="21"/>
        </w:rPr>
        <w:t>1</w:t>
      </w:r>
      <w:r>
        <w:rPr>
          <w:rFonts w:ascii="Arial Unicode MS" w:hAnsi="Arial Unicode MS" w:cs="Arial" w:hint="eastAsia"/>
          <w:kern w:val="0"/>
          <w:szCs w:val="21"/>
        </w:rPr>
        <w:t>号东方广场安永大楼</w:t>
      </w:r>
      <w:r>
        <w:rPr>
          <w:rFonts w:ascii="Arial Unicode MS" w:hAnsi="Arial Unicode MS" w:cs="Arial" w:hint="eastAsia"/>
          <w:kern w:val="0"/>
          <w:szCs w:val="21"/>
        </w:rPr>
        <w:t>17</w:t>
      </w:r>
      <w:r>
        <w:rPr>
          <w:rFonts w:ascii="Arial Unicode MS" w:hAnsi="Arial Unicode MS" w:cs="Arial" w:hint="eastAsia"/>
          <w:kern w:val="0"/>
          <w:szCs w:val="21"/>
        </w:rPr>
        <w:t>层</w:t>
      </w:r>
    </w:p>
    <w:p w14:paraId="168D98F0"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法定代表人：毛鞍宁</w:t>
      </w:r>
    </w:p>
    <w:p w14:paraId="5130DC25"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电话：</w:t>
      </w:r>
      <w:r>
        <w:rPr>
          <w:rFonts w:ascii="Arial Unicode MS" w:hAnsi="Arial Unicode MS" w:cs="Arial" w:hint="eastAsia"/>
          <w:kern w:val="0"/>
          <w:szCs w:val="21"/>
        </w:rPr>
        <w:t>+86 10 58153000</w:t>
      </w:r>
    </w:p>
    <w:p w14:paraId="5A7A50AE"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传真：</w:t>
      </w:r>
      <w:r>
        <w:rPr>
          <w:rFonts w:ascii="Arial Unicode MS" w:hAnsi="Arial Unicode MS" w:cs="Arial" w:hint="eastAsia"/>
          <w:kern w:val="0"/>
          <w:szCs w:val="21"/>
        </w:rPr>
        <w:t>+86 10 85188298</w:t>
      </w:r>
    </w:p>
    <w:p w14:paraId="217609DD"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签字注册会计师：吴翠蓉、高鹤</w:t>
      </w:r>
    </w:p>
    <w:p w14:paraId="48653748" w14:textId="77777777" w:rsidR="00B804EC"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联系人：吴翠蓉</w:t>
      </w:r>
    </w:p>
    <w:p w14:paraId="6E069062" w14:textId="77777777" w:rsidR="00B804EC" w:rsidRDefault="00B804EC">
      <w:pPr>
        <w:adjustRightInd w:val="0"/>
        <w:snapToGrid w:val="0"/>
        <w:spacing w:line="360" w:lineRule="auto"/>
        <w:ind w:firstLineChars="200" w:firstLine="420"/>
        <w:rPr>
          <w:rFonts w:ascii="Arial Unicode MS" w:hAnsi="Arial Unicode MS" w:cs="Arial" w:hint="eastAsia"/>
          <w:kern w:val="0"/>
          <w:szCs w:val="21"/>
        </w:rPr>
        <w:sectPr w:rsidR="00B804EC">
          <w:footerReference w:type="first" r:id="rId32"/>
          <w:pgSz w:w="11906" w:h="16838"/>
          <w:pgMar w:top="1440" w:right="1800" w:bottom="1440" w:left="1800" w:header="851" w:footer="992" w:gutter="0"/>
          <w:cols w:space="720"/>
          <w:titlePg/>
          <w:docGrid w:linePitch="312"/>
        </w:sectPr>
      </w:pPr>
    </w:p>
    <w:p w14:paraId="0CDDE788"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21" w:name="_Toc147463116"/>
      <w:bookmarkStart w:id="22" w:name="_Toc21073389"/>
      <w:bookmarkStart w:id="23" w:name="_Toc12357169"/>
      <w:bookmarkStart w:id="24" w:name="_Toc335232694"/>
      <w:bookmarkStart w:id="25" w:name="_Toc317088540"/>
      <w:bookmarkStart w:id="26" w:name="_Toc320887645"/>
      <w:bookmarkStart w:id="27" w:name="_Toc317088143"/>
      <w:bookmarkStart w:id="28" w:name="_Toc63676441"/>
      <w:bookmarkStart w:id="29" w:name="_Toc214873595"/>
      <w:r>
        <w:rPr>
          <w:rFonts w:ascii="Arial Unicode MS" w:eastAsia="宋体" w:hAnsi="Arial Unicode MS" w:cs="Arial"/>
          <w:b/>
          <w:bCs/>
          <w:sz w:val="28"/>
          <w:szCs w:val="28"/>
        </w:rPr>
        <w:lastRenderedPageBreak/>
        <w:t>第六部分</w:t>
      </w:r>
      <w:r>
        <w:rPr>
          <w:rFonts w:ascii="Arial Unicode MS" w:eastAsia="宋体" w:hAnsi="Arial Unicode MS" w:cs="Arial"/>
          <w:b/>
          <w:bCs/>
          <w:sz w:val="28"/>
          <w:szCs w:val="28"/>
        </w:rPr>
        <w:t xml:space="preserve">  </w:t>
      </w:r>
      <w:bookmarkEnd w:id="21"/>
      <w:bookmarkEnd w:id="22"/>
      <w:bookmarkEnd w:id="23"/>
      <w:r>
        <w:rPr>
          <w:rFonts w:ascii="Arial Unicode MS" w:eastAsia="宋体" w:hAnsi="Arial Unicode MS" w:cs="Arial"/>
          <w:b/>
          <w:bCs/>
          <w:sz w:val="28"/>
          <w:szCs w:val="28"/>
        </w:rPr>
        <w:t>基金的</w:t>
      </w:r>
      <w:r>
        <w:rPr>
          <w:rFonts w:ascii="Arial Unicode MS" w:eastAsia="宋体" w:hAnsi="Arial Unicode MS" w:cs="Arial" w:hint="eastAsia"/>
          <w:b/>
          <w:bCs/>
          <w:sz w:val="28"/>
          <w:szCs w:val="28"/>
        </w:rPr>
        <w:t>历史沿革</w:t>
      </w:r>
      <w:bookmarkEnd w:id="24"/>
      <w:bookmarkEnd w:id="25"/>
      <w:bookmarkEnd w:id="26"/>
      <w:bookmarkEnd w:id="27"/>
      <w:bookmarkEnd w:id="28"/>
      <w:bookmarkEnd w:id="29"/>
    </w:p>
    <w:p w14:paraId="3807FD7C" w14:textId="77777777" w:rsidR="00B804EC" w:rsidRDefault="00B804EC"/>
    <w:p w14:paraId="259456EA"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bookmarkStart w:id="30" w:name="_Toc21073390"/>
      <w:bookmarkStart w:id="31" w:name="_Toc147463117"/>
      <w:bookmarkStart w:id="32" w:name="_Toc12357170"/>
      <w:r>
        <w:rPr>
          <w:rFonts w:ascii="Arial Unicode MS" w:hAnsi="Arial Unicode MS" w:cs="Arial" w:hint="eastAsia"/>
          <w:bCs/>
          <w:szCs w:val="21"/>
        </w:rPr>
        <w:t>富荣富兴纯债债券型</w:t>
      </w:r>
      <w:r>
        <w:rPr>
          <w:rFonts w:ascii="Arial Unicode MS" w:hAnsi="Arial Unicode MS" w:cs="Arial"/>
          <w:bCs/>
          <w:szCs w:val="21"/>
        </w:rPr>
        <w:t>证券投资基金</w:t>
      </w:r>
      <w:r>
        <w:rPr>
          <w:rFonts w:ascii="Arial Unicode MS" w:hAnsi="Arial Unicode MS" w:cs="Arial" w:hint="eastAsia"/>
          <w:bCs/>
          <w:szCs w:val="21"/>
        </w:rPr>
        <w:t>经中国证监会《关于准予富荣富兴纯债债券型证券投资基金注册的批复》（证监许可〔</w:t>
      </w:r>
      <w:r>
        <w:rPr>
          <w:rFonts w:ascii="Arial Unicode MS" w:hAnsi="Arial Unicode MS" w:cs="Arial" w:hint="eastAsia"/>
          <w:bCs/>
          <w:szCs w:val="21"/>
        </w:rPr>
        <w:t>2016</w:t>
      </w:r>
      <w:r>
        <w:rPr>
          <w:rFonts w:ascii="Arial Unicode MS" w:hAnsi="Arial Unicode MS" w:cs="Arial" w:hint="eastAsia"/>
          <w:bCs/>
          <w:szCs w:val="21"/>
        </w:rPr>
        <w:t>〕</w:t>
      </w:r>
      <w:r>
        <w:rPr>
          <w:rFonts w:ascii="Arial Unicode MS" w:hAnsi="Arial Unicode MS" w:cs="Arial" w:hint="eastAsia"/>
          <w:bCs/>
          <w:szCs w:val="21"/>
        </w:rPr>
        <w:t>2526</w:t>
      </w:r>
      <w:r>
        <w:rPr>
          <w:rFonts w:ascii="Arial Unicode MS" w:hAnsi="Arial Unicode MS" w:cs="Arial" w:hint="eastAsia"/>
          <w:bCs/>
          <w:szCs w:val="21"/>
        </w:rPr>
        <w:t>号）准予注册。基金管理人为富荣基金管理有限公司，基金托管人为包商银行股份有限公司。</w:t>
      </w:r>
      <w:r>
        <w:rPr>
          <w:rFonts w:ascii="Arial Unicode MS" w:hAnsi="Arial Unicode MS" w:cs="Arial" w:hint="eastAsia"/>
          <w:bCs/>
          <w:szCs w:val="21"/>
        </w:rPr>
        <w:t xml:space="preserve"> </w:t>
      </w:r>
    </w:p>
    <w:p w14:paraId="46D712D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富荣富兴纯债债券型</w:t>
      </w:r>
      <w:r>
        <w:rPr>
          <w:rFonts w:ascii="Arial Unicode MS" w:hAnsi="Arial Unicode MS" w:cs="Arial"/>
          <w:bCs/>
          <w:szCs w:val="21"/>
        </w:rPr>
        <w:t>证券投资基金</w:t>
      </w:r>
      <w:r>
        <w:rPr>
          <w:rFonts w:ascii="Arial Unicode MS" w:hAnsi="Arial Unicode MS" w:cs="Arial" w:hint="eastAsia"/>
          <w:bCs/>
          <w:szCs w:val="21"/>
        </w:rPr>
        <w:t>于</w:t>
      </w:r>
      <w:r>
        <w:rPr>
          <w:rFonts w:ascii="Arial Unicode MS" w:hAnsi="Arial Unicode MS" w:cs="Arial" w:hint="eastAsia"/>
          <w:bCs/>
          <w:szCs w:val="21"/>
        </w:rPr>
        <w:t>2017</w:t>
      </w:r>
      <w:r>
        <w:rPr>
          <w:rFonts w:ascii="Arial Unicode MS" w:hAnsi="Arial Unicode MS" w:cs="Arial" w:hint="eastAsia"/>
          <w:bCs/>
          <w:szCs w:val="21"/>
        </w:rPr>
        <w:t>年</w:t>
      </w:r>
      <w:r>
        <w:rPr>
          <w:rFonts w:ascii="Arial Unicode MS" w:hAnsi="Arial Unicode MS" w:cs="Arial" w:hint="eastAsia"/>
          <w:bCs/>
          <w:szCs w:val="21"/>
        </w:rPr>
        <w:t>3</w:t>
      </w:r>
      <w:r>
        <w:rPr>
          <w:rFonts w:ascii="Arial Unicode MS" w:hAnsi="Arial Unicode MS" w:cs="Arial" w:hint="eastAsia"/>
          <w:bCs/>
          <w:szCs w:val="21"/>
        </w:rPr>
        <w:t>月</w:t>
      </w:r>
      <w:r>
        <w:rPr>
          <w:rFonts w:ascii="Arial Unicode MS" w:hAnsi="Arial Unicode MS" w:cs="Arial" w:hint="eastAsia"/>
          <w:bCs/>
          <w:szCs w:val="21"/>
        </w:rPr>
        <w:t>7</w:t>
      </w:r>
      <w:r>
        <w:rPr>
          <w:rFonts w:ascii="Arial Unicode MS" w:hAnsi="Arial Unicode MS" w:cs="Arial" w:hint="eastAsia"/>
          <w:bCs/>
          <w:szCs w:val="21"/>
        </w:rPr>
        <w:t>日至</w:t>
      </w:r>
      <w:r>
        <w:rPr>
          <w:rFonts w:ascii="Arial Unicode MS" w:hAnsi="Arial Unicode MS" w:cs="Arial" w:hint="eastAsia"/>
          <w:bCs/>
          <w:szCs w:val="21"/>
        </w:rPr>
        <w:t>2017</w:t>
      </w:r>
      <w:r>
        <w:rPr>
          <w:rFonts w:ascii="Arial Unicode MS" w:hAnsi="Arial Unicode MS" w:cs="Arial" w:hint="eastAsia"/>
          <w:bCs/>
          <w:szCs w:val="21"/>
        </w:rPr>
        <w:t>年</w:t>
      </w:r>
      <w:r>
        <w:rPr>
          <w:rFonts w:ascii="Arial Unicode MS" w:hAnsi="Arial Unicode MS" w:cs="Arial"/>
          <w:bCs/>
          <w:szCs w:val="21"/>
        </w:rPr>
        <w:t>3</w:t>
      </w:r>
      <w:r>
        <w:rPr>
          <w:rFonts w:ascii="Arial Unicode MS" w:hAnsi="Arial Unicode MS" w:cs="Arial" w:hint="eastAsia"/>
          <w:bCs/>
          <w:szCs w:val="21"/>
        </w:rPr>
        <w:t>月</w:t>
      </w:r>
      <w:r>
        <w:rPr>
          <w:rFonts w:ascii="Arial Unicode MS" w:hAnsi="Arial Unicode MS" w:cs="Arial"/>
          <w:bCs/>
          <w:szCs w:val="21"/>
        </w:rPr>
        <w:t>7</w:t>
      </w:r>
      <w:r>
        <w:rPr>
          <w:rFonts w:ascii="Arial Unicode MS" w:hAnsi="Arial Unicode MS" w:cs="Arial" w:hint="eastAsia"/>
          <w:bCs/>
          <w:szCs w:val="21"/>
        </w:rPr>
        <w:t>日公开募集，募集结束后基金管理人向中国证监会办理备案手续。经中国证监会书面确认，《富荣富兴纯债债券型</w:t>
      </w:r>
      <w:r>
        <w:rPr>
          <w:rFonts w:ascii="Arial Unicode MS" w:hAnsi="Arial Unicode MS" w:cs="Arial"/>
          <w:bCs/>
          <w:szCs w:val="21"/>
        </w:rPr>
        <w:t>证券投资基金</w:t>
      </w:r>
      <w:r>
        <w:rPr>
          <w:rFonts w:ascii="Arial Unicode MS" w:hAnsi="Arial Unicode MS" w:cs="Arial" w:hint="eastAsia"/>
          <w:bCs/>
          <w:szCs w:val="21"/>
        </w:rPr>
        <w:t>基金合同》于</w:t>
      </w:r>
      <w:r>
        <w:rPr>
          <w:rFonts w:ascii="Arial Unicode MS" w:hAnsi="Arial Unicode MS" w:cs="Arial" w:hint="eastAsia"/>
          <w:bCs/>
          <w:szCs w:val="21"/>
        </w:rPr>
        <w:t>201</w:t>
      </w:r>
      <w:r>
        <w:rPr>
          <w:rFonts w:ascii="Arial Unicode MS" w:hAnsi="Arial Unicode MS" w:cs="Arial"/>
          <w:bCs/>
          <w:szCs w:val="21"/>
        </w:rPr>
        <w:t>7</w:t>
      </w:r>
      <w:r>
        <w:rPr>
          <w:rFonts w:ascii="Arial Unicode MS" w:hAnsi="Arial Unicode MS" w:cs="Arial" w:hint="eastAsia"/>
          <w:bCs/>
          <w:szCs w:val="21"/>
        </w:rPr>
        <w:t>年</w:t>
      </w:r>
      <w:r>
        <w:rPr>
          <w:rFonts w:ascii="Arial Unicode MS" w:hAnsi="Arial Unicode MS" w:cs="Arial"/>
          <w:bCs/>
          <w:szCs w:val="21"/>
        </w:rPr>
        <w:t>3</w:t>
      </w:r>
      <w:r>
        <w:rPr>
          <w:rFonts w:ascii="Arial Unicode MS" w:hAnsi="Arial Unicode MS" w:cs="Arial" w:hint="eastAsia"/>
          <w:bCs/>
          <w:szCs w:val="21"/>
        </w:rPr>
        <w:t>月</w:t>
      </w:r>
      <w:r>
        <w:rPr>
          <w:rFonts w:ascii="Arial Unicode MS" w:hAnsi="Arial Unicode MS" w:cs="Arial"/>
          <w:bCs/>
          <w:szCs w:val="21"/>
        </w:rPr>
        <w:t>9</w:t>
      </w:r>
      <w:r>
        <w:rPr>
          <w:rFonts w:ascii="Arial Unicode MS" w:hAnsi="Arial Unicode MS" w:cs="Arial" w:hint="eastAsia"/>
          <w:bCs/>
          <w:szCs w:val="21"/>
        </w:rPr>
        <w:t>日生效。</w:t>
      </w:r>
    </w:p>
    <w:p w14:paraId="43F9C487"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bCs/>
          <w:szCs w:val="21"/>
        </w:rPr>
        <w:t>2021</w:t>
      </w:r>
      <w:r>
        <w:rPr>
          <w:rFonts w:ascii="Arial Unicode MS" w:hAnsi="Arial Unicode MS" w:cs="Arial" w:hint="eastAsia"/>
          <w:bCs/>
          <w:szCs w:val="21"/>
        </w:rPr>
        <w:t>年</w:t>
      </w:r>
      <w:r>
        <w:rPr>
          <w:rFonts w:ascii="Arial Unicode MS" w:hAnsi="Arial Unicode MS" w:cs="Arial"/>
          <w:bCs/>
          <w:szCs w:val="21"/>
        </w:rPr>
        <w:t>2</w:t>
      </w:r>
      <w:r>
        <w:rPr>
          <w:rFonts w:ascii="Arial Unicode MS" w:hAnsi="Arial Unicode MS" w:cs="Arial" w:hint="eastAsia"/>
          <w:bCs/>
          <w:szCs w:val="21"/>
        </w:rPr>
        <w:t>月</w:t>
      </w:r>
      <w:r>
        <w:rPr>
          <w:rFonts w:ascii="Arial Unicode MS" w:hAnsi="Arial Unicode MS" w:cs="Arial"/>
          <w:bCs/>
          <w:szCs w:val="21"/>
        </w:rPr>
        <w:t>7</w:t>
      </w:r>
      <w:r>
        <w:rPr>
          <w:rFonts w:ascii="Arial Unicode MS" w:hAnsi="Arial Unicode MS" w:cs="Arial" w:hint="eastAsia"/>
          <w:bCs/>
          <w:szCs w:val="21"/>
        </w:rPr>
        <w:t>日由中国证监会指定中国建设银行股份有限公司为本基金的临时基金托管人。</w:t>
      </w:r>
    </w:p>
    <w:p w14:paraId="5FF5386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sectPr w:rsidR="00B804EC">
          <w:footerReference w:type="default" r:id="rId33"/>
          <w:footerReference w:type="first" r:id="rId34"/>
          <w:pgSz w:w="11906" w:h="16838"/>
          <w:pgMar w:top="1440" w:right="1800" w:bottom="1440" w:left="1800" w:header="851" w:footer="992" w:gutter="0"/>
          <w:cols w:space="720"/>
          <w:titlePg/>
          <w:docGrid w:linePitch="312"/>
        </w:sectPr>
      </w:pPr>
      <w:r>
        <w:rPr>
          <w:rFonts w:ascii="Arial Unicode MS" w:hAnsi="Arial Unicode MS" w:cs="Arial" w:hint="eastAsia"/>
          <w:bCs/>
          <w:szCs w:val="21"/>
        </w:rPr>
        <w:t>2021</w:t>
      </w:r>
      <w:r>
        <w:rPr>
          <w:rFonts w:ascii="Arial Unicode MS" w:hAnsi="Arial Unicode MS" w:cs="Arial" w:hint="eastAsia"/>
          <w:bCs/>
          <w:szCs w:val="21"/>
        </w:rPr>
        <w:t>年</w:t>
      </w:r>
      <w:r>
        <w:rPr>
          <w:rFonts w:ascii="Arial Unicode MS" w:hAnsi="Arial Unicode MS" w:cs="Arial" w:hint="eastAsia"/>
          <w:bCs/>
          <w:szCs w:val="21"/>
        </w:rPr>
        <w:t>5</w:t>
      </w:r>
      <w:r>
        <w:rPr>
          <w:rFonts w:ascii="Arial Unicode MS" w:hAnsi="Arial Unicode MS" w:cs="Arial" w:hint="eastAsia"/>
          <w:bCs/>
          <w:szCs w:val="21"/>
        </w:rPr>
        <w:t>月</w:t>
      </w:r>
      <w:r>
        <w:rPr>
          <w:rFonts w:ascii="Arial Unicode MS" w:hAnsi="Arial Unicode MS" w:cs="Arial" w:hint="eastAsia"/>
          <w:bCs/>
          <w:szCs w:val="21"/>
        </w:rPr>
        <w:t>1</w:t>
      </w:r>
      <w:r>
        <w:rPr>
          <w:rFonts w:ascii="Arial Unicode MS" w:hAnsi="Arial Unicode MS" w:cs="Arial"/>
          <w:bCs/>
          <w:szCs w:val="21"/>
        </w:rPr>
        <w:t>5</w:t>
      </w:r>
      <w:r>
        <w:rPr>
          <w:rFonts w:ascii="Arial Unicode MS" w:hAnsi="Arial Unicode MS" w:cs="Arial" w:hint="eastAsia"/>
          <w:bCs/>
          <w:szCs w:val="21"/>
        </w:rPr>
        <w:t>日至</w:t>
      </w:r>
      <w:r>
        <w:rPr>
          <w:rFonts w:ascii="Arial Unicode MS" w:hAnsi="Arial Unicode MS" w:cs="Arial" w:hint="eastAsia"/>
          <w:bCs/>
          <w:szCs w:val="21"/>
        </w:rPr>
        <w:t>2021</w:t>
      </w:r>
      <w:r>
        <w:rPr>
          <w:rFonts w:ascii="Arial Unicode MS" w:hAnsi="Arial Unicode MS" w:cs="Arial" w:hint="eastAsia"/>
          <w:bCs/>
          <w:szCs w:val="21"/>
        </w:rPr>
        <w:t>年</w:t>
      </w:r>
      <w:r>
        <w:rPr>
          <w:rFonts w:ascii="Arial Unicode MS" w:hAnsi="Arial Unicode MS" w:cs="Arial" w:hint="eastAsia"/>
          <w:bCs/>
          <w:szCs w:val="21"/>
        </w:rPr>
        <w:t>6</w:t>
      </w:r>
      <w:r>
        <w:rPr>
          <w:rFonts w:ascii="Arial Unicode MS" w:hAnsi="Arial Unicode MS" w:cs="Arial" w:hint="eastAsia"/>
          <w:bCs/>
          <w:szCs w:val="21"/>
        </w:rPr>
        <w:t>月</w:t>
      </w:r>
      <w:r>
        <w:rPr>
          <w:rFonts w:ascii="Arial Unicode MS" w:hAnsi="Arial Unicode MS" w:cs="Arial" w:hint="eastAsia"/>
          <w:bCs/>
          <w:szCs w:val="21"/>
        </w:rPr>
        <w:t>1</w:t>
      </w:r>
      <w:r>
        <w:rPr>
          <w:rFonts w:ascii="Arial Unicode MS" w:hAnsi="Arial Unicode MS" w:cs="Arial"/>
          <w:bCs/>
          <w:szCs w:val="21"/>
        </w:rPr>
        <w:t>4</w:t>
      </w:r>
      <w:r>
        <w:rPr>
          <w:rFonts w:ascii="Arial Unicode MS" w:hAnsi="Arial Unicode MS" w:cs="Arial" w:hint="eastAsia"/>
          <w:bCs/>
          <w:szCs w:val="21"/>
        </w:rPr>
        <w:t>日，富荣富兴纯债债券型</w:t>
      </w:r>
      <w:r>
        <w:rPr>
          <w:rFonts w:ascii="Arial Unicode MS" w:hAnsi="Arial Unicode MS" w:cs="Arial"/>
          <w:bCs/>
          <w:szCs w:val="21"/>
        </w:rPr>
        <w:t>证券投资基金</w:t>
      </w:r>
      <w:r>
        <w:rPr>
          <w:rFonts w:ascii="Arial Unicode MS" w:hAnsi="Arial Unicode MS" w:cs="Arial" w:hint="eastAsia"/>
          <w:bCs/>
          <w:szCs w:val="21"/>
        </w:rPr>
        <w:t>召开基金份额持有人大会，会议审议通过了《关于富荣富兴纯债债券型</w:t>
      </w:r>
      <w:r>
        <w:rPr>
          <w:rFonts w:ascii="Arial Unicode MS" w:hAnsi="Arial Unicode MS" w:cs="Arial"/>
          <w:bCs/>
          <w:szCs w:val="21"/>
        </w:rPr>
        <w:t>证券投资基金</w:t>
      </w:r>
      <w:r>
        <w:rPr>
          <w:rFonts w:ascii="Arial Unicode MS" w:hAnsi="Arial Unicode MS" w:cs="Arial" w:hint="eastAsia"/>
          <w:bCs/>
          <w:szCs w:val="21"/>
        </w:rPr>
        <w:t>更换基金</w:t>
      </w:r>
      <w:r>
        <w:rPr>
          <w:rFonts w:ascii="Arial Unicode MS" w:hAnsi="Arial Unicode MS" w:cs="Arial"/>
          <w:bCs/>
          <w:szCs w:val="21"/>
        </w:rPr>
        <w:t>托管人</w:t>
      </w:r>
      <w:r>
        <w:rPr>
          <w:rFonts w:ascii="Arial Unicode MS" w:hAnsi="Arial Unicode MS" w:cs="Arial" w:hint="eastAsia"/>
          <w:bCs/>
          <w:szCs w:val="21"/>
        </w:rPr>
        <w:t>等并修改法律文件等有关事项的议案》，内容为富荣富兴纯债债券型</w:t>
      </w:r>
      <w:r>
        <w:rPr>
          <w:rFonts w:ascii="Arial Unicode MS" w:hAnsi="Arial Unicode MS" w:cs="Arial"/>
          <w:bCs/>
          <w:szCs w:val="21"/>
        </w:rPr>
        <w:t>证券投资基金</w:t>
      </w:r>
      <w:r>
        <w:rPr>
          <w:rFonts w:ascii="Arial Unicode MS" w:hAnsi="Arial Unicode MS" w:cs="Arial" w:hint="eastAsia"/>
          <w:bCs/>
          <w:szCs w:val="21"/>
        </w:rPr>
        <w:t>更换</w:t>
      </w:r>
      <w:r>
        <w:rPr>
          <w:rFonts w:ascii="Arial Unicode MS" w:hAnsi="Arial Unicode MS" w:cs="Arial"/>
          <w:bCs/>
          <w:szCs w:val="21"/>
        </w:rPr>
        <w:t>基金托管人为</w:t>
      </w:r>
      <w:r>
        <w:rPr>
          <w:rFonts w:ascii="Arial Unicode MS" w:hAnsi="Arial Unicode MS" w:cs="Arial" w:hint="eastAsia"/>
          <w:bCs/>
          <w:szCs w:val="21"/>
        </w:rPr>
        <w:t>中国建设银行股份有限公司等并相应修订法律文件等，上述基金份额持有人大会决议自表决通过之日起生效。</w:t>
      </w:r>
    </w:p>
    <w:p w14:paraId="5D817439"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33" w:name="_Toc214873596"/>
      <w:bookmarkStart w:id="34" w:name="_Toc317088541"/>
      <w:bookmarkStart w:id="35" w:name="_Toc317088144"/>
      <w:bookmarkStart w:id="36" w:name="_Toc63676442"/>
      <w:bookmarkStart w:id="37" w:name="_Toc320887646"/>
      <w:bookmarkStart w:id="38" w:name="_Toc335232695"/>
      <w:r>
        <w:rPr>
          <w:rFonts w:ascii="Arial Unicode MS" w:eastAsia="宋体" w:hAnsi="Arial Unicode MS" w:cs="Arial"/>
          <w:b/>
          <w:bCs/>
          <w:sz w:val="28"/>
          <w:szCs w:val="28"/>
        </w:rPr>
        <w:lastRenderedPageBreak/>
        <w:t>第七部分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w:t>
      </w:r>
      <w:bookmarkEnd w:id="30"/>
      <w:bookmarkEnd w:id="31"/>
      <w:bookmarkEnd w:id="32"/>
      <w:bookmarkEnd w:id="33"/>
      <w:bookmarkEnd w:id="34"/>
      <w:bookmarkEnd w:id="35"/>
      <w:r>
        <w:rPr>
          <w:rFonts w:ascii="Arial Unicode MS" w:eastAsia="宋体" w:hAnsi="Arial Unicode MS" w:cs="Arial" w:hint="eastAsia"/>
          <w:b/>
          <w:bCs/>
          <w:sz w:val="28"/>
          <w:szCs w:val="28"/>
        </w:rPr>
        <w:t>的存续</w:t>
      </w:r>
      <w:bookmarkEnd w:id="36"/>
      <w:bookmarkEnd w:id="37"/>
      <w:bookmarkEnd w:id="38"/>
    </w:p>
    <w:p w14:paraId="4A54A05F" w14:textId="77777777" w:rsidR="00B804EC" w:rsidRDefault="00000000">
      <w:pPr>
        <w:spacing w:line="360" w:lineRule="auto"/>
        <w:ind w:firstLineChars="200" w:firstLine="420"/>
        <w:rPr>
          <w:bCs/>
        </w:rPr>
      </w:pPr>
      <w:r>
        <w:rPr>
          <w:rFonts w:hint="eastAsia"/>
          <w:bCs/>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持续运作、转换运作方式、与其他基金合并或者终止基金合同等，并在</w:t>
      </w:r>
      <w:r>
        <w:rPr>
          <w:rFonts w:hint="eastAsia"/>
          <w:bCs/>
        </w:rPr>
        <w:t>6</w:t>
      </w:r>
      <w:r>
        <w:rPr>
          <w:rFonts w:hint="eastAsia"/>
          <w:bCs/>
        </w:rPr>
        <w:t>个月内召开基金份额持有人大会进行表决。</w:t>
      </w:r>
    </w:p>
    <w:p w14:paraId="2B994B68" w14:textId="77777777" w:rsidR="00B804EC" w:rsidRDefault="00000000">
      <w:pPr>
        <w:spacing w:line="360" w:lineRule="auto"/>
        <w:ind w:firstLineChars="200" w:firstLine="420"/>
        <w:rPr>
          <w:rFonts w:ascii="宋体" w:hAnsi="宋体" w:hint="eastAsia"/>
          <w:color w:val="000000"/>
          <w:kern w:val="0"/>
          <w:szCs w:val="21"/>
        </w:rPr>
      </w:pPr>
      <w:r>
        <w:rPr>
          <w:bCs/>
        </w:rPr>
        <w:t>法律法规另有规定时，从其规定</w:t>
      </w:r>
      <w:r>
        <w:rPr>
          <w:rFonts w:hint="eastAsia"/>
          <w:bCs/>
        </w:rPr>
        <w:t>。</w:t>
      </w:r>
    </w:p>
    <w:p w14:paraId="32EEA807" w14:textId="77777777" w:rsidR="00B804EC" w:rsidRDefault="00B804EC">
      <w:pPr>
        <w:pStyle w:val="11"/>
        <w:snapToGrid w:val="0"/>
        <w:spacing w:before="0" w:after="0" w:line="360" w:lineRule="auto"/>
        <w:ind w:firstLineChars="150" w:firstLine="422"/>
        <w:rPr>
          <w:rFonts w:ascii="Arial Unicode MS" w:eastAsia="宋体" w:hAnsi="Arial Unicode MS" w:cs="Arial" w:hint="eastAsia"/>
          <w:b/>
          <w:bCs/>
          <w:sz w:val="28"/>
          <w:szCs w:val="28"/>
        </w:rPr>
        <w:sectPr w:rsidR="00B804EC">
          <w:pgSz w:w="11906" w:h="16838"/>
          <w:pgMar w:top="1440" w:right="1800" w:bottom="1440" w:left="1800" w:header="851" w:footer="992" w:gutter="0"/>
          <w:cols w:space="720"/>
          <w:titlePg/>
          <w:docGrid w:linePitch="312"/>
        </w:sectPr>
      </w:pPr>
      <w:bookmarkStart w:id="39" w:name="_Toc12357171"/>
      <w:bookmarkStart w:id="40" w:name="_Toc147463118"/>
      <w:bookmarkStart w:id="41" w:name="_Toc320887647"/>
      <w:bookmarkStart w:id="42" w:name="_Toc335232696"/>
      <w:bookmarkStart w:id="43" w:name="_Toc317088542"/>
      <w:bookmarkStart w:id="44" w:name="_Toc214873597"/>
      <w:bookmarkStart w:id="45" w:name="_Toc21073391"/>
      <w:bookmarkStart w:id="46" w:name="_Toc317088145"/>
    </w:p>
    <w:p w14:paraId="08B0E6D1"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47" w:name="_Toc63676443"/>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八</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基金份额的申购</w:t>
      </w:r>
      <w:r>
        <w:rPr>
          <w:rFonts w:ascii="Arial Unicode MS" w:eastAsia="宋体" w:hAnsi="Arial Unicode MS" w:cs="Arial" w:hint="eastAsia"/>
          <w:b/>
          <w:bCs/>
          <w:sz w:val="28"/>
          <w:szCs w:val="28"/>
        </w:rPr>
        <w:t>与</w:t>
      </w:r>
      <w:r>
        <w:rPr>
          <w:rFonts w:ascii="Arial Unicode MS" w:eastAsia="宋体" w:hAnsi="Arial Unicode MS" w:cs="Arial"/>
          <w:b/>
          <w:bCs/>
          <w:sz w:val="28"/>
          <w:szCs w:val="28"/>
        </w:rPr>
        <w:t>赎回</w:t>
      </w:r>
      <w:bookmarkEnd w:id="39"/>
      <w:bookmarkEnd w:id="40"/>
      <w:bookmarkEnd w:id="41"/>
      <w:bookmarkEnd w:id="42"/>
      <w:bookmarkEnd w:id="43"/>
      <w:bookmarkEnd w:id="44"/>
      <w:bookmarkEnd w:id="45"/>
      <w:bookmarkEnd w:id="46"/>
      <w:bookmarkEnd w:id="47"/>
    </w:p>
    <w:p w14:paraId="0593A457" w14:textId="77777777" w:rsidR="00B804EC" w:rsidRDefault="00B804EC">
      <w:pPr>
        <w:ind w:firstLine="315"/>
      </w:pPr>
    </w:p>
    <w:p w14:paraId="0C144ADE" w14:textId="77777777" w:rsidR="00B804EC" w:rsidRDefault="00000000">
      <w:pPr>
        <w:adjustRightInd w:val="0"/>
        <w:snapToGrid w:val="0"/>
        <w:spacing w:line="360" w:lineRule="auto"/>
        <w:ind w:firstLineChars="200" w:firstLine="422"/>
        <w:rPr>
          <w:rFonts w:ascii="Arial Unicode MS" w:hAnsi="Arial Unicode MS" w:cs="Arial" w:hint="eastAsia"/>
          <w:b/>
          <w:bCs/>
          <w:kern w:val="0"/>
          <w:szCs w:val="21"/>
        </w:rPr>
      </w:pPr>
      <w:r>
        <w:rPr>
          <w:rFonts w:ascii="Arial Unicode MS" w:hAnsi="Arial Unicode MS" w:cs="Arial" w:hint="eastAsia"/>
          <w:b/>
          <w:bCs/>
          <w:kern w:val="0"/>
          <w:szCs w:val="21"/>
        </w:rPr>
        <w:t>一、</w:t>
      </w:r>
      <w:r>
        <w:rPr>
          <w:rFonts w:ascii="Arial Unicode MS" w:hAnsi="Arial Unicode MS" w:cs="Arial"/>
          <w:b/>
          <w:bCs/>
          <w:kern w:val="0"/>
          <w:szCs w:val="21"/>
        </w:rPr>
        <w:t>申购与赎回的场所</w:t>
      </w:r>
    </w:p>
    <w:p w14:paraId="0188CF0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申购与赎回将通过销售机构进行。具体的销售网点将由基金管理人在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787B626F" w14:textId="77777777" w:rsidR="00B804EC"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w:t>
      </w:r>
      <w:r>
        <w:rPr>
          <w:rFonts w:ascii="Arial Unicode MS" w:hAnsi="Arial Unicode MS" w:cs="Arial"/>
          <w:b/>
          <w:bCs/>
          <w:szCs w:val="21"/>
        </w:rPr>
        <w:t>、</w:t>
      </w:r>
      <w:r>
        <w:rPr>
          <w:rFonts w:ascii="Arial Unicode MS" w:hAnsi="Arial Unicode MS" w:cs="Arial"/>
          <w:b/>
          <w:kern w:val="0"/>
          <w:szCs w:val="21"/>
        </w:rPr>
        <w:t>申购与赎回办理的开放日及时间</w:t>
      </w:r>
    </w:p>
    <w:p w14:paraId="307C382F"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bookmarkStart w:id="48" w:name="_Toc510842719"/>
      <w:r>
        <w:rPr>
          <w:rFonts w:ascii="Arial Unicode MS" w:hAnsi="Arial Unicode MS" w:cs="Arial" w:hint="eastAsia"/>
          <w:szCs w:val="21"/>
        </w:rPr>
        <w:t>1</w:t>
      </w:r>
      <w:r>
        <w:rPr>
          <w:rFonts w:ascii="Arial Unicode MS" w:hAnsi="Arial Unicode MS" w:cs="Arial" w:hint="eastAsia"/>
          <w:szCs w:val="21"/>
        </w:rPr>
        <w:t>、开放日及开放时间</w:t>
      </w:r>
    </w:p>
    <w:p w14:paraId="28842BD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1924C2A"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14:paraId="1480D388"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、申购、赎回开始日及业务办理时间</w:t>
      </w:r>
    </w:p>
    <w:p w14:paraId="2D3FCE04" w14:textId="77777777" w:rsidR="00B804EC"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本基金A类基金份额已于2017年3月10日开始办理申购、赎回业务。</w:t>
      </w:r>
    </w:p>
    <w:p w14:paraId="7E38B0EE" w14:textId="77777777" w:rsidR="00B804EC"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本基金C类基金份额于2024年7月25日新增，并自该日开始办理申购、赎回业务。</w:t>
      </w:r>
    </w:p>
    <w:p w14:paraId="03CF3F7B" w14:textId="77777777" w:rsidR="00B804EC"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基金管理人不得在基金合同约定之外的日期或者时间办理基金份额的申购、赎回或者转换。投资人在基金合同约定之外的日期和时间提出申购、赎回、转换申请且登记机构确认接受的，其基金份额申购、赎回价格为下一开放日该类基金份额申购、赎回的价格。</w:t>
      </w:r>
    </w:p>
    <w:bookmarkEnd w:id="48"/>
    <w:p w14:paraId="40C304DC"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、申购与赎回的原则</w:t>
      </w:r>
    </w:p>
    <w:p w14:paraId="149E481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、“未知价”原则，即申购、赎回价格以申请当日收市后计算的该类基金份额净值为基准进行计算；</w:t>
      </w:r>
    </w:p>
    <w:p w14:paraId="1740378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、“金额申购、份额赎回”原则，即申购以金额申请，赎回以份额申请；</w:t>
      </w:r>
    </w:p>
    <w:p w14:paraId="159E1C98"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、当日的申购与赎回申请可以在基金管理人规定的时间以内撤销；</w:t>
      </w:r>
    </w:p>
    <w:p w14:paraId="6DBBA6B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、赎回遵循“先进先出”原则，即按照投资人认购、申购的先后次序进行顺序赎回。</w:t>
      </w:r>
    </w:p>
    <w:p w14:paraId="52F6CC5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、办理申购、赎回业务时，应当遵循基金份额持有人利益优先原则，确保投资者的合法权益不受损害并得到公平对待。</w:t>
      </w:r>
    </w:p>
    <w:p w14:paraId="6109D8C8"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基金管理人可在法律法规允许的情况下，对上述原则进行调整。基金管理人必须在新规则开始实施前依照《信息披露办法》的有关规定进行公告。</w:t>
      </w:r>
    </w:p>
    <w:p w14:paraId="51CE4CD1"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四、申购与赎回的数额限制</w:t>
      </w:r>
    </w:p>
    <w:p w14:paraId="7265D7CC"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1</w:t>
      </w:r>
      <w:r>
        <w:rPr>
          <w:rFonts w:ascii="Arial Unicode MS" w:hAnsi="Arial Unicode MS" w:cs="Arial" w:hint="eastAsia"/>
          <w:bCs/>
          <w:szCs w:val="21"/>
        </w:rPr>
        <w:t>、首次购买基金份额的最低金额为</w:t>
      </w:r>
      <w:r>
        <w:rPr>
          <w:rFonts w:ascii="Arial Unicode MS" w:hAnsi="Arial Unicode MS" w:cs="Arial" w:hint="eastAsia"/>
          <w:bCs/>
          <w:szCs w:val="21"/>
        </w:rPr>
        <w:t>1</w:t>
      </w:r>
      <w:r>
        <w:rPr>
          <w:rFonts w:ascii="Arial Unicode MS" w:hAnsi="Arial Unicode MS" w:cs="Arial"/>
          <w:bCs/>
          <w:szCs w:val="21"/>
        </w:rPr>
        <w:t>.00</w:t>
      </w:r>
      <w:r>
        <w:rPr>
          <w:rFonts w:ascii="Arial Unicode MS" w:hAnsi="Arial Unicode MS" w:cs="Arial" w:hint="eastAsia"/>
          <w:bCs/>
          <w:szCs w:val="21"/>
        </w:rPr>
        <w:t>元，追加购买最低金额为</w:t>
      </w:r>
      <w:r>
        <w:rPr>
          <w:rFonts w:ascii="Arial Unicode MS" w:hAnsi="Arial Unicode MS" w:cs="Arial" w:hint="eastAsia"/>
          <w:bCs/>
          <w:szCs w:val="21"/>
        </w:rPr>
        <w:t>1</w:t>
      </w:r>
      <w:r>
        <w:rPr>
          <w:rFonts w:ascii="Arial Unicode MS" w:hAnsi="Arial Unicode MS" w:cs="Arial"/>
          <w:bCs/>
          <w:szCs w:val="21"/>
        </w:rPr>
        <w:t>.00</w:t>
      </w:r>
      <w:r>
        <w:rPr>
          <w:rFonts w:ascii="Arial Unicode MS" w:hAnsi="Arial Unicode MS" w:cs="Arial" w:hint="eastAsia"/>
          <w:bCs/>
          <w:szCs w:val="21"/>
        </w:rPr>
        <w:t>元；</w:t>
      </w:r>
      <w:r>
        <w:rPr>
          <w:rFonts w:ascii="Arial Unicode MS" w:hAnsi="Arial Unicode MS" w:cs="Arial"/>
          <w:bCs/>
          <w:szCs w:val="21"/>
        </w:rPr>
        <w:t>详情请见当地销售机构公告</w:t>
      </w:r>
      <w:r>
        <w:rPr>
          <w:rFonts w:ascii="Arial Unicode MS" w:hAnsi="Arial Unicode MS" w:cs="Arial" w:hint="eastAsia"/>
          <w:bCs/>
          <w:szCs w:val="21"/>
        </w:rPr>
        <w:t>；</w:t>
      </w:r>
    </w:p>
    <w:p w14:paraId="4814A03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、每个交易账户最低持有基金份额余额为</w:t>
      </w:r>
      <w:r>
        <w:rPr>
          <w:rFonts w:ascii="Arial Unicode MS" w:hAnsi="Arial Unicode MS" w:cs="Arial" w:hint="eastAsia"/>
          <w:bCs/>
          <w:szCs w:val="21"/>
        </w:rPr>
        <w:t>1</w:t>
      </w:r>
      <w:r>
        <w:rPr>
          <w:rFonts w:ascii="Arial Unicode MS" w:hAnsi="Arial Unicode MS" w:cs="Arial" w:hint="eastAsia"/>
          <w:bCs/>
          <w:szCs w:val="21"/>
        </w:rPr>
        <w:t>份，若某笔赎回导致单个交易账户的基金份额余额少于</w:t>
      </w:r>
      <w:r>
        <w:rPr>
          <w:rFonts w:ascii="Arial Unicode MS" w:hAnsi="Arial Unicode MS" w:cs="Arial" w:hint="eastAsia"/>
          <w:bCs/>
          <w:szCs w:val="21"/>
        </w:rPr>
        <w:t>1</w:t>
      </w:r>
      <w:r>
        <w:rPr>
          <w:rFonts w:ascii="Arial Unicode MS" w:hAnsi="Arial Unicode MS" w:cs="Arial" w:hint="eastAsia"/>
          <w:bCs/>
          <w:szCs w:val="21"/>
        </w:rPr>
        <w:t>份时，余额部分基金份额必须一同赎回；</w:t>
      </w:r>
      <w:r>
        <w:rPr>
          <w:rFonts w:ascii="Arial Unicode MS" w:hAnsi="Arial Unicode MS" w:cs="Arial" w:hint="eastAsia"/>
          <w:bCs/>
          <w:szCs w:val="21"/>
        </w:rPr>
        <w:t xml:space="preserve"> </w:t>
      </w:r>
    </w:p>
    <w:p w14:paraId="5A529E5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、本基金目前对单个投资人累计持有份额不设上限限制，基金管理人可以规定单个投资者累计持有的基金份额数量限制，具体规定见定期更新的招募说明书或相关公告；</w:t>
      </w:r>
    </w:p>
    <w:p w14:paraId="2E924DD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参见基金管理人相关公告；</w:t>
      </w:r>
    </w:p>
    <w:p w14:paraId="3DC04AA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、基金管理人可在法律法规允许的情况下，调整上述规定申购金额和赎回份额的数量限制。基金管理人必须在调整实施前依照《信息披露办法》的有关规定进行公告。</w:t>
      </w:r>
    </w:p>
    <w:p w14:paraId="14FDC370"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w:t>
      </w:r>
      <w:r>
        <w:rPr>
          <w:rFonts w:ascii="Arial Unicode MS" w:hAnsi="Arial Unicode MS" w:cs="Arial"/>
          <w:b/>
          <w:szCs w:val="21"/>
        </w:rPr>
        <w:t>、申购与赎回的程序</w:t>
      </w:r>
    </w:p>
    <w:p w14:paraId="663F6B7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hint="eastAsia"/>
          <w:bCs/>
          <w:szCs w:val="21"/>
        </w:rPr>
        <w:t>、</w:t>
      </w:r>
      <w:r>
        <w:rPr>
          <w:rFonts w:ascii="Arial Unicode MS" w:hAnsi="Arial Unicode MS"/>
          <w:bCs/>
          <w:szCs w:val="21"/>
        </w:rPr>
        <w:t>申购和赎回的申请方式</w:t>
      </w:r>
    </w:p>
    <w:p w14:paraId="2A099A0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投资人必须根据销售机构规定的程序，在开放日的具体业务办理时间内提出申购或赎回的申请。</w:t>
      </w:r>
    </w:p>
    <w:p w14:paraId="4D66DF6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hint="eastAsia"/>
          <w:bCs/>
          <w:szCs w:val="21"/>
        </w:rPr>
        <w:t>、</w:t>
      </w:r>
      <w:r>
        <w:rPr>
          <w:rFonts w:ascii="Arial Unicode MS" w:hAnsi="Arial Unicode MS"/>
          <w:bCs/>
          <w:szCs w:val="21"/>
        </w:rPr>
        <w:t>申购和赎回的款项支付</w:t>
      </w:r>
    </w:p>
    <w:p w14:paraId="7E962D1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lang w:val="zh-CN"/>
        </w:rPr>
        <w:t>投资人申购基金份额时，必须全额交付申购款项，投资人</w:t>
      </w:r>
      <w:r>
        <w:rPr>
          <w:rFonts w:ascii="Arial Unicode MS" w:hAnsi="Arial Unicode MS" w:hint="eastAsia"/>
          <w:bCs/>
          <w:szCs w:val="21"/>
          <w:lang w:val="zh-CN"/>
        </w:rPr>
        <w:t>全额</w:t>
      </w:r>
      <w:r>
        <w:rPr>
          <w:rFonts w:ascii="Arial Unicode MS" w:hAnsi="Arial Unicode MS"/>
          <w:bCs/>
          <w:szCs w:val="21"/>
          <w:lang w:val="zh-CN"/>
        </w:rPr>
        <w:t>交付</w:t>
      </w:r>
      <w:r>
        <w:rPr>
          <w:rFonts w:ascii="Arial Unicode MS" w:hAnsi="Arial Unicode MS" w:hint="eastAsia"/>
          <w:bCs/>
          <w:szCs w:val="21"/>
          <w:lang w:val="zh-CN"/>
        </w:rPr>
        <w:t>申购</w:t>
      </w:r>
      <w:r>
        <w:rPr>
          <w:rFonts w:ascii="Arial Unicode MS" w:hAnsi="Arial Unicode MS"/>
          <w:bCs/>
          <w:szCs w:val="21"/>
          <w:lang w:val="zh-CN"/>
        </w:rPr>
        <w:t>款项，申购申请</w:t>
      </w:r>
      <w:r>
        <w:rPr>
          <w:rFonts w:ascii="Arial Unicode MS" w:hAnsi="Arial Unicode MS" w:hint="eastAsia"/>
          <w:bCs/>
          <w:szCs w:val="21"/>
          <w:lang w:val="zh-CN"/>
        </w:rPr>
        <w:t>成立；登记机构确认基金份额时，</w:t>
      </w:r>
      <w:r>
        <w:rPr>
          <w:rFonts w:ascii="Arial Unicode MS" w:hAnsi="Arial Unicode MS"/>
          <w:bCs/>
          <w:szCs w:val="21"/>
          <w:lang w:val="zh-CN"/>
        </w:rPr>
        <w:t>申购</w:t>
      </w:r>
      <w:r>
        <w:rPr>
          <w:rFonts w:ascii="Arial Unicode MS" w:hAnsi="Arial Unicode MS" w:hint="eastAsia"/>
          <w:bCs/>
          <w:szCs w:val="21"/>
          <w:lang w:val="zh-CN"/>
        </w:rPr>
        <w:t>生</w:t>
      </w:r>
      <w:r>
        <w:rPr>
          <w:rFonts w:ascii="Arial Unicode MS" w:hAnsi="Arial Unicode MS"/>
          <w:bCs/>
          <w:szCs w:val="21"/>
          <w:lang w:val="zh-CN"/>
        </w:rPr>
        <w:t>效。</w:t>
      </w:r>
    </w:p>
    <w:p w14:paraId="624DAD8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基金份额持有人递交赎回申请，赎回成立；登记机构确认赎回时，赎回生效。</w:t>
      </w:r>
      <w:r>
        <w:rPr>
          <w:rFonts w:ascii="Arial Unicode MS" w:hAnsi="Arial Unicode MS"/>
          <w:bCs/>
          <w:szCs w:val="21"/>
        </w:rPr>
        <w:t>投资人赎回申请成功后，基金管理人将在</w:t>
      </w:r>
      <w:r>
        <w:rPr>
          <w:rFonts w:ascii="Arial Unicode MS" w:hAnsi="Arial Unicode MS"/>
          <w:bCs/>
          <w:szCs w:val="21"/>
        </w:rPr>
        <w:t>T</w:t>
      </w:r>
      <w:r>
        <w:rPr>
          <w:rFonts w:ascii="Arial Unicode MS" w:hAnsi="Arial Unicode MS"/>
          <w:bCs/>
          <w:szCs w:val="21"/>
        </w:rPr>
        <w:t>＋</w:t>
      </w:r>
      <w:r>
        <w:rPr>
          <w:rFonts w:ascii="Arial Unicode MS" w:hAnsi="Arial Unicode MS" w:hint="eastAsia"/>
          <w:bCs/>
          <w:szCs w:val="21"/>
        </w:rPr>
        <w:t>7</w:t>
      </w:r>
      <w:r>
        <w:rPr>
          <w:rFonts w:ascii="Arial Unicode MS" w:hAnsi="Arial Unicode MS"/>
          <w:bCs/>
          <w:szCs w:val="21"/>
        </w:rPr>
        <w:t>日</w:t>
      </w:r>
      <w:r>
        <w:rPr>
          <w:rFonts w:ascii="Arial Unicode MS" w:hAnsi="Arial Unicode MS"/>
          <w:bCs/>
          <w:szCs w:val="21"/>
        </w:rPr>
        <w:t>(</w:t>
      </w:r>
      <w:r>
        <w:rPr>
          <w:rFonts w:ascii="Arial Unicode MS" w:hAnsi="Arial Unicode MS"/>
          <w:bCs/>
          <w:szCs w:val="21"/>
        </w:rPr>
        <w:t>包括该日</w:t>
      </w:r>
      <w:r>
        <w:rPr>
          <w:rFonts w:ascii="Arial Unicode MS" w:hAnsi="Arial Unicode MS"/>
          <w:bCs/>
          <w:szCs w:val="21"/>
        </w:rPr>
        <w:t>)</w:t>
      </w:r>
      <w:r>
        <w:rPr>
          <w:rFonts w:ascii="Arial Unicode MS" w:hAnsi="Arial Unicode MS"/>
          <w:bCs/>
          <w:szCs w:val="21"/>
        </w:rPr>
        <w:t>内支付赎回款项。在发生巨额赎回时，款项的支付办法参照基金合同有关条款处理。</w:t>
      </w:r>
    </w:p>
    <w:p w14:paraId="590778A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hint="eastAsia"/>
          <w:bCs/>
          <w:szCs w:val="21"/>
        </w:rPr>
        <w:t>、</w:t>
      </w:r>
      <w:r>
        <w:rPr>
          <w:rFonts w:ascii="Arial Unicode MS" w:hAnsi="Arial Unicode MS"/>
          <w:bCs/>
          <w:szCs w:val="21"/>
        </w:rPr>
        <w:t>申购和赎回申请的确认</w:t>
      </w:r>
    </w:p>
    <w:p w14:paraId="0EAC594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基金管理人应以交易时间结束前受理</w:t>
      </w:r>
      <w:r>
        <w:rPr>
          <w:rFonts w:ascii="Arial Unicode MS" w:hAnsi="Arial Unicode MS" w:hint="eastAsia"/>
          <w:bCs/>
          <w:szCs w:val="21"/>
        </w:rPr>
        <w:t>有效</w:t>
      </w:r>
      <w:r>
        <w:rPr>
          <w:rFonts w:ascii="Arial Unicode MS" w:hAnsi="Arial Unicode MS"/>
          <w:bCs/>
          <w:szCs w:val="21"/>
        </w:rPr>
        <w:t>申购和赎回申请的当天作为申购或赎回申请日</w:t>
      </w:r>
      <w:r>
        <w:rPr>
          <w:rFonts w:ascii="Arial Unicode MS" w:hAnsi="Arial Unicode MS"/>
          <w:bCs/>
          <w:szCs w:val="21"/>
        </w:rPr>
        <w:t>(T</w:t>
      </w:r>
      <w:r>
        <w:rPr>
          <w:rFonts w:ascii="Arial Unicode MS" w:hAnsi="Arial Unicode MS"/>
          <w:bCs/>
          <w:szCs w:val="21"/>
        </w:rPr>
        <w:t>日</w:t>
      </w:r>
      <w:r>
        <w:rPr>
          <w:rFonts w:ascii="Arial Unicode MS" w:hAnsi="Arial Unicode MS"/>
          <w:bCs/>
          <w:szCs w:val="21"/>
        </w:rPr>
        <w:t>)</w:t>
      </w:r>
      <w:r>
        <w:rPr>
          <w:rFonts w:ascii="Arial Unicode MS" w:hAnsi="Arial Unicode MS"/>
          <w:bCs/>
          <w:szCs w:val="21"/>
        </w:rPr>
        <w:t>，在正常情况下，本基金登记机构在</w:t>
      </w:r>
      <w:r>
        <w:rPr>
          <w:rFonts w:ascii="Arial Unicode MS" w:hAnsi="Arial Unicode MS"/>
          <w:bCs/>
          <w:szCs w:val="21"/>
        </w:rPr>
        <w:t>T+</w:t>
      </w:r>
      <w:r>
        <w:rPr>
          <w:rFonts w:ascii="Arial Unicode MS" w:hAnsi="Arial Unicode MS" w:hint="eastAsia"/>
          <w:bCs/>
          <w:szCs w:val="21"/>
        </w:rPr>
        <w:t>1</w:t>
      </w:r>
      <w:r>
        <w:rPr>
          <w:rFonts w:ascii="Arial Unicode MS" w:hAnsi="Arial Unicode MS"/>
          <w:bCs/>
          <w:szCs w:val="21"/>
        </w:rPr>
        <w:t>日内对该交易的有效性进行确认。</w:t>
      </w:r>
      <w:r>
        <w:rPr>
          <w:rFonts w:ascii="Arial Unicode MS" w:hAnsi="Arial Unicode MS"/>
          <w:bCs/>
          <w:szCs w:val="21"/>
        </w:rPr>
        <w:t>T</w:t>
      </w:r>
      <w:r>
        <w:rPr>
          <w:rFonts w:ascii="Arial Unicode MS" w:hAnsi="Arial Unicode MS"/>
          <w:bCs/>
          <w:szCs w:val="21"/>
        </w:rPr>
        <w:t>日提交的有效申请，投资人</w:t>
      </w:r>
      <w:r>
        <w:rPr>
          <w:rFonts w:ascii="Arial Unicode MS" w:hAnsi="Arial Unicode MS" w:hint="eastAsia"/>
          <w:bCs/>
          <w:szCs w:val="21"/>
        </w:rPr>
        <w:t>应</w:t>
      </w:r>
      <w:r>
        <w:rPr>
          <w:rFonts w:ascii="Arial Unicode MS" w:hAnsi="Arial Unicode MS"/>
          <w:bCs/>
          <w:szCs w:val="21"/>
        </w:rPr>
        <w:t>在</w:t>
      </w:r>
      <w:r>
        <w:rPr>
          <w:rFonts w:ascii="Arial Unicode MS" w:hAnsi="Arial Unicode MS"/>
          <w:bCs/>
          <w:szCs w:val="21"/>
        </w:rPr>
        <w:t>T+</w:t>
      </w:r>
      <w:r>
        <w:rPr>
          <w:rFonts w:ascii="Arial Unicode MS" w:hAnsi="Arial Unicode MS" w:hint="eastAsia"/>
          <w:bCs/>
          <w:szCs w:val="21"/>
        </w:rPr>
        <w:t>2</w:t>
      </w:r>
      <w:r>
        <w:rPr>
          <w:rFonts w:ascii="Arial Unicode MS" w:hAnsi="Arial Unicode MS"/>
          <w:bCs/>
          <w:szCs w:val="21"/>
        </w:rPr>
        <w:t>日后</w:t>
      </w:r>
      <w:r>
        <w:rPr>
          <w:rFonts w:ascii="Arial Unicode MS" w:hAnsi="Arial Unicode MS"/>
          <w:bCs/>
          <w:szCs w:val="21"/>
        </w:rPr>
        <w:t>(</w:t>
      </w:r>
      <w:r>
        <w:rPr>
          <w:rFonts w:ascii="Arial Unicode MS" w:hAnsi="Arial Unicode MS"/>
          <w:bCs/>
          <w:szCs w:val="21"/>
        </w:rPr>
        <w:t>包括该日</w:t>
      </w:r>
      <w:r>
        <w:rPr>
          <w:rFonts w:ascii="Arial Unicode MS" w:hAnsi="Arial Unicode MS"/>
          <w:bCs/>
          <w:szCs w:val="21"/>
        </w:rPr>
        <w:t>)</w:t>
      </w:r>
      <w:r>
        <w:rPr>
          <w:rFonts w:ascii="Arial Unicode MS" w:hAnsi="Arial Unicode MS" w:hint="eastAsia"/>
          <w:bCs/>
          <w:szCs w:val="21"/>
        </w:rPr>
        <w:t>及时</w:t>
      </w:r>
      <w:r>
        <w:rPr>
          <w:rFonts w:ascii="Arial Unicode MS" w:hAnsi="Arial Unicode MS"/>
          <w:bCs/>
          <w:szCs w:val="21"/>
        </w:rPr>
        <w:t>到销售网点柜台或以销售机构规定的其他方式查询申请的确认情况。若申购不成功，则申购款项退还给投资人。</w:t>
      </w:r>
    </w:p>
    <w:p w14:paraId="04E93AD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基金销售机构对申购、赎回申请的受理并不代表申请一定成功，而仅代表销售机构确实接收到申请。申购、赎回申请的确认以登记机构的确认结果为准。</w:t>
      </w:r>
    </w:p>
    <w:p w14:paraId="0282A88B"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kern w:val="0"/>
          <w:szCs w:val="21"/>
        </w:rPr>
        <w:t>六</w:t>
      </w:r>
      <w:r>
        <w:rPr>
          <w:rFonts w:ascii="Arial Unicode MS" w:hAnsi="Arial Unicode MS" w:cs="Arial"/>
          <w:b/>
          <w:bCs/>
          <w:szCs w:val="21"/>
        </w:rPr>
        <w:t>、申购费率、赎回费率</w:t>
      </w:r>
    </w:p>
    <w:p w14:paraId="69888195"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szCs w:val="21"/>
        </w:rPr>
        <w:t>1</w:t>
      </w:r>
      <w:r>
        <w:rPr>
          <w:rFonts w:ascii="Arial Unicode MS" w:hAnsi="Arial Unicode MS" w:cs="Arial"/>
          <w:szCs w:val="21"/>
        </w:rPr>
        <w:t>、投资</w:t>
      </w:r>
      <w:r>
        <w:rPr>
          <w:rFonts w:ascii="Arial Unicode MS" w:hAnsi="Arial Unicode MS" w:cs="Arial" w:hint="eastAsia"/>
          <w:szCs w:val="21"/>
        </w:rPr>
        <w:t>者</w:t>
      </w:r>
      <w:r>
        <w:rPr>
          <w:rFonts w:ascii="Arial Unicode MS" w:hAnsi="Arial Unicode MS" w:cs="Arial"/>
          <w:szCs w:val="21"/>
        </w:rPr>
        <w:t>可以多次申购本基金，申购费率按每笔申购申请单独计算。</w:t>
      </w:r>
    </w:p>
    <w:p w14:paraId="34E02DF6" w14:textId="77777777" w:rsidR="00B804EC"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szCs w:val="21"/>
        </w:rPr>
        <w:lastRenderedPageBreak/>
        <w:t>本基金</w:t>
      </w:r>
      <w:r>
        <w:rPr>
          <w:rFonts w:ascii="Arial Unicode MS" w:hAnsi="Arial Unicode MS" w:cs="Arial" w:hint="eastAsia"/>
          <w:szCs w:val="21"/>
        </w:rPr>
        <w:t>A</w:t>
      </w:r>
      <w:r>
        <w:rPr>
          <w:rFonts w:ascii="Arial Unicode MS" w:hAnsi="Arial Unicode MS" w:cs="Arial" w:hint="eastAsia"/>
          <w:szCs w:val="21"/>
        </w:rPr>
        <w:t>类</w:t>
      </w:r>
      <w:r>
        <w:rPr>
          <w:rFonts w:ascii="Arial Unicode MS" w:hAnsi="Arial Unicode MS" w:cs="Arial"/>
          <w:szCs w:val="21"/>
        </w:rPr>
        <w:t>基金份额采用</w:t>
      </w:r>
      <w:r>
        <w:rPr>
          <w:rFonts w:ascii="Arial Unicode MS" w:hAnsi="Arial Unicode MS" w:cs="Arial" w:hint="eastAsia"/>
          <w:szCs w:val="21"/>
        </w:rPr>
        <w:t>前</w:t>
      </w:r>
      <w:r>
        <w:rPr>
          <w:rFonts w:ascii="Arial Unicode MS" w:hAnsi="Arial Unicode MS" w:cs="Arial"/>
          <w:szCs w:val="21"/>
        </w:rPr>
        <w:t>端收费模式收取基金申购费用。</w:t>
      </w:r>
      <w:r>
        <w:rPr>
          <w:rFonts w:ascii="Arial Unicode MS" w:hAnsi="Arial Unicode MS" w:cs="Arial" w:hint="eastAsia"/>
        </w:rPr>
        <w:t>投资者的</w:t>
      </w:r>
      <w:r>
        <w:rPr>
          <w:rFonts w:ascii="Arial Unicode MS" w:hAnsi="Arial Unicode MS" w:cs="Arial"/>
        </w:rPr>
        <w:t>申购费用</w:t>
      </w:r>
      <w:r>
        <w:rPr>
          <w:rFonts w:ascii="Arial Unicode MS" w:hAnsi="Arial Unicode MS" w:cs="Arial" w:hint="eastAsia"/>
        </w:rPr>
        <w:t>如下：</w:t>
      </w:r>
    </w:p>
    <w:p w14:paraId="17501860" w14:textId="77777777" w:rsidR="00B804EC" w:rsidRDefault="00000000">
      <w:pPr>
        <w:snapToGrid w:val="0"/>
        <w:spacing w:line="360" w:lineRule="auto"/>
        <w:jc w:val="center"/>
        <w:rPr>
          <w:rFonts w:ascii="Arial Unicode MS" w:hAnsi="Arial Unicode MS" w:cs="Arial" w:hint="eastAsia"/>
        </w:rPr>
      </w:pPr>
      <w:r>
        <w:rPr>
          <w:rFonts w:ascii="Arial Unicode MS" w:hAnsi="Arial Unicode MS" w:cs="Arial" w:hint="eastAsia"/>
        </w:rPr>
        <w:t>表</w:t>
      </w:r>
      <w:r>
        <w:rPr>
          <w:rFonts w:ascii="Arial Unicode MS" w:hAnsi="Arial Unicode MS" w:cs="Arial" w:hint="eastAsia"/>
        </w:rPr>
        <w:t>2</w:t>
      </w:r>
      <w:r>
        <w:rPr>
          <w:rFonts w:ascii="Arial Unicode MS" w:hAnsi="Arial Unicode MS" w:cs="Arial" w:hint="eastAsia"/>
        </w:rPr>
        <w:t>：本基金各类基金份额的申购费率</w:t>
      </w:r>
    </w:p>
    <w:tbl>
      <w:tblPr>
        <w:tblW w:w="3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916"/>
      </w:tblGrid>
      <w:tr w:rsidR="00B804EC" w14:paraId="6C02F21C" w14:textId="77777777">
        <w:trPr>
          <w:trHeight w:val="190"/>
          <w:jc w:val="center"/>
        </w:trPr>
        <w:tc>
          <w:tcPr>
            <w:tcW w:w="5000" w:type="pct"/>
            <w:gridSpan w:val="2"/>
          </w:tcPr>
          <w:p w14:paraId="2E96D8AB"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A</w:t>
            </w:r>
            <w:r>
              <w:rPr>
                <w:rFonts w:ascii="Arial Unicode MS" w:hAnsi="Arial Unicode MS" w:hint="eastAsia"/>
                <w:bCs/>
                <w:kern w:val="0"/>
                <w:szCs w:val="21"/>
              </w:rPr>
              <w:t>类基金份额</w:t>
            </w:r>
          </w:p>
        </w:tc>
      </w:tr>
      <w:tr w:rsidR="00B804EC" w14:paraId="16941AE4" w14:textId="77777777">
        <w:trPr>
          <w:trHeight w:val="190"/>
          <w:jc w:val="center"/>
        </w:trPr>
        <w:tc>
          <w:tcPr>
            <w:tcW w:w="2400" w:type="pct"/>
          </w:tcPr>
          <w:p w14:paraId="76C3E4D4"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申购</w:t>
            </w:r>
            <w:r>
              <w:rPr>
                <w:rFonts w:ascii="Arial Unicode MS" w:hAnsi="Arial Unicode MS"/>
                <w:bCs/>
                <w:kern w:val="0"/>
                <w:szCs w:val="21"/>
              </w:rPr>
              <w:t>金额（</w:t>
            </w:r>
            <w:r>
              <w:rPr>
                <w:rFonts w:ascii="Arial Unicode MS" w:hAnsi="Arial Unicode MS"/>
                <w:bCs/>
                <w:kern w:val="0"/>
                <w:szCs w:val="21"/>
              </w:rPr>
              <w:t>M</w:t>
            </w:r>
            <w:r>
              <w:rPr>
                <w:rFonts w:ascii="Arial Unicode MS" w:hAnsi="Arial Unicode MS" w:hint="eastAsia"/>
                <w:bCs/>
                <w:kern w:val="0"/>
                <w:szCs w:val="21"/>
              </w:rPr>
              <w:t>，元</w:t>
            </w:r>
            <w:r>
              <w:rPr>
                <w:rFonts w:ascii="Arial Unicode MS" w:hAnsi="Arial Unicode MS"/>
                <w:bCs/>
                <w:kern w:val="0"/>
                <w:szCs w:val="21"/>
              </w:rPr>
              <w:t>）</w:t>
            </w:r>
          </w:p>
        </w:tc>
        <w:tc>
          <w:tcPr>
            <w:tcW w:w="2600" w:type="pct"/>
          </w:tcPr>
          <w:p w14:paraId="542E7D92"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申购费率</w:t>
            </w:r>
          </w:p>
        </w:tc>
      </w:tr>
      <w:tr w:rsidR="00B804EC" w14:paraId="15C71EAA" w14:textId="77777777">
        <w:trPr>
          <w:trHeight w:val="190"/>
          <w:jc w:val="center"/>
        </w:trPr>
        <w:tc>
          <w:tcPr>
            <w:tcW w:w="2400" w:type="pct"/>
          </w:tcPr>
          <w:p w14:paraId="4AD84FEE"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100</w:t>
            </w:r>
            <w:r>
              <w:rPr>
                <w:rFonts w:ascii="Arial Unicode MS" w:hAnsi="Arial Unicode MS"/>
                <w:bCs/>
                <w:kern w:val="0"/>
                <w:szCs w:val="21"/>
              </w:rPr>
              <w:t>万</w:t>
            </w:r>
          </w:p>
        </w:tc>
        <w:tc>
          <w:tcPr>
            <w:tcW w:w="2600" w:type="pct"/>
          </w:tcPr>
          <w:p w14:paraId="677F32A7"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0.80%</w:t>
            </w:r>
          </w:p>
        </w:tc>
      </w:tr>
      <w:tr w:rsidR="00B804EC" w14:paraId="7B9C46AE" w14:textId="77777777">
        <w:trPr>
          <w:trHeight w:val="190"/>
          <w:jc w:val="center"/>
        </w:trPr>
        <w:tc>
          <w:tcPr>
            <w:tcW w:w="2400" w:type="pct"/>
          </w:tcPr>
          <w:p w14:paraId="12F02C1D"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100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300</w:t>
            </w:r>
            <w:r>
              <w:rPr>
                <w:rFonts w:ascii="Arial Unicode MS" w:hAnsi="Arial Unicode MS"/>
                <w:bCs/>
                <w:kern w:val="0"/>
                <w:szCs w:val="21"/>
              </w:rPr>
              <w:t>万</w:t>
            </w:r>
          </w:p>
        </w:tc>
        <w:tc>
          <w:tcPr>
            <w:tcW w:w="2600" w:type="pct"/>
          </w:tcPr>
          <w:p w14:paraId="22D90B89"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0.50%</w:t>
            </w:r>
          </w:p>
        </w:tc>
      </w:tr>
      <w:tr w:rsidR="00B804EC" w14:paraId="6724987D" w14:textId="77777777">
        <w:trPr>
          <w:trHeight w:val="190"/>
          <w:jc w:val="center"/>
        </w:trPr>
        <w:tc>
          <w:tcPr>
            <w:tcW w:w="2400" w:type="pct"/>
          </w:tcPr>
          <w:p w14:paraId="35507F17"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300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500</w:t>
            </w:r>
            <w:r>
              <w:rPr>
                <w:rFonts w:ascii="Arial Unicode MS" w:hAnsi="Arial Unicode MS"/>
                <w:bCs/>
                <w:kern w:val="0"/>
                <w:szCs w:val="21"/>
              </w:rPr>
              <w:t>万</w:t>
            </w:r>
          </w:p>
        </w:tc>
        <w:tc>
          <w:tcPr>
            <w:tcW w:w="2600" w:type="pct"/>
          </w:tcPr>
          <w:p w14:paraId="6C287530"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0.30%</w:t>
            </w:r>
          </w:p>
        </w:tc>
      </w:tr>
      <w:tr w:rsidR="00B804EC" w14:paraId="502455D2" w14:textId="77777777">
        <w:trPr>
          <w:trHeight w:val="190"/>
          <w:jc w:val="center"/>
        </w:trPr>
        <w:tc>
          <w:tcPr>
            <w:tcW w:w="2400" w:type="pct"/>
          </w:tcPr>
          <w:p w14:paraId="01FADC8A"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M≥500</w:t>
            </w:r>
            <w:r>
              <w:rPr>
                <w:rFonts w:ascii="Arial Unicode MS" w:hAnsi="Arial Unicode MS"/>
                <w:bCs/>
                <w:kern w:val="0"/>
                <w:szCs w:val="21"/>
              </w:rPr>
              <w:t>万</w:t>
            </w:r>
          </w:p>
        </w:tc>
        <w:tc>
          <w:tcPr>
            <w:tcW w:w="2600" w:type="pct"/>
          </w:tcPr>
          <w:p w14:paraId="0FEB478B"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每笔</w:t>
            </w:r>
            <w:r>
              <w:rPr>
                <w:rFonts w:ascii="Arial Unicode MS" w:hAnsi="Arial Unicode MS"/>
                <w:bCs/>
                <w:kern w:val="0"/>
                <w:szCs w:val="21"/>
              </w:rPr>
              <w:t>1000</w:t>
            </w:r>
            <w:r>
              <w:rPr>
                <w:rFonts w:ascii="Arial Unicode MS" w:hAnsi="Arial Unicode MS"/>
                <w:bCs/>
                <w:kern w:val="0"/>
                <w:szCs w:val="21"/>
              </w:rPr>
              <w:t>元</w:t>
            </w:r>
          </w:p>
        </w:tc>
      </w:tr>
      <w:tr w:rsidR="00B804EC" w14:paraId="19247D7B" w14:textId="77777777">
        <w:trPr>
          <w:trHeight w:val="190"/>
          <w:jc w:val="center"/>
        </w:trPr>
        <w:tc>
          <w:tcPr>
            <w:tcW w:w="5000" w:type="pct"/>
            <w:gridSpan w:val="2"/>
          </w:tcPr>
          <w:p w14:paraId="15EF51DE"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C</w:t>
            </w:r>
            <w:r>
              <w:rPr>
                <w:rFonts w:ascii="Arial Unicode MS" w:hAnsi="Arial Unicode MS" w:hint="eastAsia"/>
                <w:bCs/>
                <w:kern w:val="0"/>
                <w:szCs w:val="21"/>
              </w:rPr>
              <w:t>类基金份额</w:t>
            </w:r>
          </w:p>
        </w:tc>
      </w:tr>
      <w:tr w:rsidR="00B804EC" w14:paraId="50190975" w14:textId="77777777">
        <w:trPr>
          <w:trHeight w:val="190"/>
          <w:jc w:val="center"/>
        </w:trPr>
        <w:tc>
          <w:tcPr>
            <w:tcW w:w="5000" w:type="pct"/>
            <w:gridSpan w:val="2"/>
          </w:tcPr>
          <w:p w14:paraId="07C29D4B" w14:textId="77777777" w:rsidR="00B804EC"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申购费率为零</w:t>
            </w:r>
          </w:p>
        </w:tc>
      </w:tr>
    </w:tbl>
    <w:p w14:paraId="1CFD3E38" w14:textId="77777777" w:rsidR="00B804EC" w:rsidRDefault="00B804EC">
      <w:pPr>
        <w:adjustRightInd w:val="0"/>
        <w:snapToGrid w:val="0"/>
        <w:spacing w:line="360" w:lineRule="auto"/>
        <w:ind w:firstLineChars="200" w:firstLine="420"/>
        <w:rPr>
          <w:rFonts w:ascii="Arial Unicode MS" w:hAnsi="Arial Unicode MS" w:cs="Arial" w:hint="eastAsia"/>
          <w:bCs/>
          <w:kern w:val="0"/>
          <w:szCs w:val="21"/>
        </w:rPr>
      </w:pPr>
    </w:p>
    <w:p w14:paraId="3A48B785"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本基金</w:t>
      </w:r>
      <w:r>
        <w:rPr>
          <w:rFonts w:ascii="Arial Unicode MS" w:hAnsi="Arial Unicode MS" w:cs="Arial" w:hint="eastAsia"/>
          <w:szCs w:val="21"/>
        </w:rPr>
        <w:t>A</w:t>
      </w:r>
      <w:r>
        <w:rPr>
          <w:rFonts w:ascii="Arial Unicode MS" w:hAnsi="Arial Unicode MS" w:cs="Arial" w:hint="eastAsia"/>
          <w:szCs w:val="21"/>
        </w:rPr>
        <w:t>类基金份额</w:t>
      </w:r>
      <w:r>
        <w:rPr>
          <w:rFonts w:ascii="Arial Unicode MS" w:hAnsi="Arial Unicode MS" w:cs="Arial"/>
          <w:szCs w:val="21"/>
        </w:rPr>
        <w:t>的申购费用由</w:t>
      </w:r>
      <w:r>
        <w:rPr>
          <w:rFonts w:ascii="Arial Unicode MS" w:hAnsi="Arial Unicode MS" w:cs="Arial" w:hint="eastAsia"/>
          <w:szCs w:val="21"/>
        </w:rPr>
        <w:t>投资人</w:t>
      </w:r>
      <w:r>
        <w:rPr>
          <w:rFonts w:ascii="Arial Unicode MS" w:hAnsi="Arial Unicode MS" w:cs="Arial"/>
          <w:szCs w:val="21"/>
        </w:rPr>
        <w:t>承担，主要用于本基金的市场推广、销售、登记等各项费用，不列入基金财产。</w:t>
      </w:r>
      <w:r>
        <w:rPr>
          <w:rFonts w:ascii="Arial Unicode MS" w:hAnsi="Arial Unicode MS" w:cs="Arial" w:hint="eastAsia"/>
          <w:szCs w:val="21"/>
        </w:rPr>
        <w:t>C</w:t>
      </w:r>
      <w:r>
        <w:rPr>
          <w:rFonts w:ascii="Arial Unicode MS" w:hAnsi="Arial Unicode MS" w:cs="Arial" w:hint="eastAsia"/>
          <w:szCs w:val="21"/>
        </w:rPr>
        <w:t>类基金份额不收取申购费用。</w:t>
      </w:r>
    </w:p>
    <w:p w14:paraId="12B5469B"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2</w:t>
      </w:r>
      <w:r>
        <w:rPr>
          <w:rFonts w:ascii="Arial Unicode MS" w:hAnsi="Arial Unicode MS" w:cs="Arial"/>
          <w:szCs w:val="21"/>
        </w:rPr>
        <w:t>、赎回费率见下表：</w:t>
      </w:r>
    </w:p>
    <w:p w14:paraId="4F626141" w14:textId="77777777" w:rsidR="00B804EC" w:rsidRDefault="00000000">
      <w:pPr>
        <w:pStyle w:val="a5"/>
        <w:ind w:firstLine="420"/>
        <w:jc w:val="center"/>
        <w:rPr>
          <w:rFonts w:ascii="Arial Unicode MS" w:eastAsia="宋体" w:hAnsi="Arial Unicode MS" w:cs="Tahoma" w:hint="eastAsia"/>
          <w:sz w:val="21"/>
        </w:rPr>
      </w:pPr>
      <w:r>
        <w:rPr>
          <w:rFonts w:ascii="Arial Unicode MS" w:eastAsia="宋体" w:hAnsi="Arial Unicode MS" w:cs="Tahoma" w:hint="eastAsia"/>
          <w:sz w:val="21"/>
        </w:rPr>
        <w:t>表</w:t>
      </w:r>
      <w:r>
        <w:rPr>
          <w:rFonts w:ascii="Arial Unicode MS" w:eastAsia="宋体" w:hAnsi="Arial Unicode MS" w:cs="Tahoma" w:hint="eastAsia"/>
          <w:sz w:val="21"/>
        </w:rPr>
        <w:t>3</w:t>
      </w:r>
      <w:r>
        <w:rPr>
          <w:rFonts w:ascii="Arial Unicode MS" w:eastAsia="宋体" w:hAnsi="Arial Unicode MS" w:cs="Tahoma" w:hint="eastAsia"/>
          <w:sz w:val="21"/>
        </w:rPr>
        <w:t>：本基金各类基金份额的赎回费率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5"/>
        <w:gridCol w:w="1587"/>
        <w:gridCol w:w="1587"/>
      </w:tblGrid>
      <w:tr w:rsidR="00B804EC" w14:paraId="3E3BED54" w14:textId="77777777">
        <w:trPr>
          <w:cantSplit/>
          <w:trHeight w:val="272"/>
          <w:jc w:val="center"/>
        </w:trPr>
        <w:tc>
          <w:tcPr>
            <w:tcW w:w="3035" w:type="dxa"/>
            <w:tcMar>
              <w:top w:w="0" w:type="dxa"/>
              <w:left w:w="108" w:type="dxa"/>
              <w:bottom w:w="0" w:type="dxa"/>
              <w:right w:w="108" w:type="dxa"/>
            </w:tcMar>
            <w:vAlign w:val="center"/>
          </w:tcPr>
          <w:p w14:paraId="0C39D641" w14:textId="77777777" w:rsidR="00B804EC" w:rsidRDefault="00000000">
            <w:pPr>
              <w:spacing w:line="360" w:lineRule="auto"/>
              <w:jc w:val="center"/>
              <w:rPr>
                <w:rFonts w:ascii="Arial Unicode MS" w:hAnsi="Arial Unicode MS" w:cs="宋体" w:hint="eastAsia"/>
                <w:szCs w:val="21"/>
              </w:rPr>
            </w:pPr>
            <w:r>
              <w:rPr>
                <w:rFonts w:ascii="Arial Unicode MS" w:hAnsi="Arial Unicode MS" w:hint="eastAsia"/>
              </w:rPr>
              <w:t>持有期间（</w:t>
            </w:r>
            <w:r>
              <w:rPr>
                <w:rFonts w:ascii="Arial Unicode MS" w:hAnsi="Arial Unicode MS" w:hint="eastAsia"/>
              </w:rPr>
              <w:t>Y</w:t>
            </w:r>
            <w:r>
              <w:rPr>
                <w:rFonts w:ascii="Arial Unicode MS" w:hAnsi="Arial Unicode MS" w:hint="eastAsia"/>
              </w:rPr>
              <w:t>）</w:t>
            </w:r>
          </w:p>
        </w:tc>
        <w:tc>
          <w:tcPr>
            <w:tcW w:w="1587" w:type="dxa"/>
            <w:tcMar>
              <w:top w:w="0" w:type="dxa"/>
              <w:left w:w="108" w:type="dxa"/>
              <w:bottom w:w="0" w:type="dxa"/>
              <w:right w:w="108" w:type="dxa"/>
            </w:tcMar>
            <w:vAlign w:val="center"/>
          </w:tcPr>
          <w:p w14:paraId="21DD34B6" w14:textId="77777777" w:rsidR="00B804EC" w:rsidRDefault="00000000">
            <w:pPr>
              <w:spacing w:line="360" w:lineRule="auto"/>
              <w:jc w:val="center"/>
              <w:rPr>
                <w:rFonts w:ascii="Arial Unicode MS" w:hAnsi="Arial Unicode MS" w:cs="宋体" w:hint="eastAsia"/>
                <w:szCs w:val="21"/>
              </w:rPr>
            </w:pPr>
            <w:r>
              <w:rPr>
                <w:rFonts w:ascii="Arial Unicode MS" w:hAnsi="Arial Unicode MS" w:hint="eastAsia"/>
              </w:rPr>
              <w:t>A</w:t>
            </w:r>
            <w:r>
              <w:rPr>
                <w:rFonts w:ascii="Arial Unicode MS" w:hAnsi="Arial Unicode MS" w:hint="eastAsia"/>
              </w:rPr>
              <w:t>类基金份额赎回费率</w:t>
            </w:r>
          </w:p>
        </w:tc>
        <w:tc>
          <w:tcPr>
            <w:tcW w:w="1587" w:type="dxa"/>
          </w:tcPr>
          <w:p w14:paraId="08ADA53D" w14:textId="77777777" w:rsidR="00B804EC" w:rsidRDefault="00000000">
            <w:pPr>
              <w:spacing w:line="360" w:lineRule="auto"/>
              <w:jc w:val="center"/>
              <w:rPr>
                <w:rFonts w:ascii="Arial Unicode MS" w:hAnsi="Arial Unicode MS" w:hint="eastAsia"/>
              </w:rPr>
            </w:pPr>
            <w:r>
              <w:rPr>
                <w:rFonts w:ascii="Arial Unicode MS" w:hAnsi="Arial Unicode MS" w:hint="eastAsia"/>
              </w:rPr>
              <w:t>C</w:t>
            </w:r>
            <w:r>
              <w:rPr>
                <w:rFonts w:ascii="Arial Unicode MS" w:hAnsi="Arial Unicode MS" w:hint="eastAsia"/>
              </w:rPr>
              <w:t>类基金份额</w:t>
            </w:r>
          </w:p>
          <w:p w14:paraId="192501D3" w14:textId="77777777" w:rsidR="00B804EC" w:rsidRDefault="00000000">
            <w:pPr>
              <w:spacing w:line="360" w:lineRule="auto"/>
              <w:jc w:val="center"/>
              <w:rPr>
                <w:rFonts w:ascii="Arial Unicode MS" w:hAnsi="Arial Unicode MS" w:hint="eastAsia"/>
              </w:rPr>
            </w:pPr>
            <w:r>
              <w:rPr>
                <w:rFonts w:ascii="Arial Unicode MS" w:hAnsi="Arial Unicode MS" w:hint="eastAsia"/>
              </w:rPr>
              <w:t>赎回费率</w:t>
            </w:r>
          </w:p>
        </w:tc>
      </w:tr>
      <w:tr w:rsidR="00B804EC" w14:paraId="4B591A26" w14:textId="77777777">
        <w:trPr>
          <w:cantSplit/>
          <w:trHeight w:val="272"/>
          <w:jc w:val="center"/>
        </w:trPr>
        <w:tc>
          <w:tcPr>
            <w:tcW w:w="3035" w:type="dxa"/>
            <w:tcMar>
              <w:top w:w="0" w:type="dxa"/>
              <w:left w:w="108" w:type="dxa"/>
              <w:bottom w:w="0" w:type="dxa"/>
              <w:right w:w="108" w:type="dxa"/>
            </w:tcMar>
          </w:tcPr>
          <w:p w14:paraId="1C0C86BC" w14:textId="77777777" w:rsidR="00B804EC" w:rsidRDefault="00000000">
            <w:pPr>
              <w:spacing w:line="360" w:lineRule="auto"/>
              <w:jc w:val="center"/>
              <w:rPr>
                <w:rFonts w:ascii="Arial Unicode MS" w:hAnsi="Arial Unicode MS" w:hint="eastAsia"/>
              </w:rPr>
            </w:pPr>
            <w:r>
              <w:rPr>
                <w:rFonts w:ascii="Arial Unicode MS" w:hAnsi="Arial Unicode MS" w:hint="eastAsia"/>
              </w:rPr>
              <w:t>Y</w:t>
            </w:r>
            <w:r>
              <w:rPr>
                <w:rFonts w:ascii="Arial Unicode MS" w:hAnsi="Arial Unicode MS" w:hint="eastAsia"/>
              </w:rPr>
              <w:t>＜</w:t>
            </w:r>
            <w:r>
              <w:rPr>
                <w:rFonts w:ascii="Arial Unicode MS" w:hAnsi="Arial Unicode MS" w:hint="eastAsia"/>
              </w:rPr>
              <w:t>7</w:t>
            </w:r>
            <w:r>
              <w:rPr>
                <w:rFonts w:ascii="Arial Unicode MS" w:hAnsi="Arial Unicode MS" w:hint="eastAsia"/>
              </w:rPr>
              <w:t>日</w:t>
            </w:r>
          </w:p>
        </w:tc>
        <w:tc>
          <w:tcPr>
            <w:tcW w:w="1587" w:type="dxa"/>
            <w:tcMar>
              <w:top w:w="0" w:type="dxa"/>
              <w:left w:w="108" w:type="dxa"/>
              <w:bottom w:w="0" w:type="dxa"/>
              <w:right w:w="108" w:type="dxa"/>
            </w:tcMar>
          </w:tcPr>
          <w:p w14:paraId="27999E42" w14:textId="77777777" w:rsidR="00B804EC" w:rsidRDefault="00000000">
            <w:pPr>
              <w:spacing w:line="360" w:lineRule="auto"/>
              <w:ind w:firstLine="420"/>
              <w:jc w:val="center"/>
              <w:rPr>
                <w:rFonts w:ascii="Arial Unicode MS" w:hAnsi="Arial Unicode MS" w:hint="eastAsia"/>
              </w:rPr>
            </w:pPr>
            <w:r>
              <w:rPr>
                <w:rFonts w:ascii="Arial Unicode MS" w:hAnsi="Arial Unicode MS" w:hint="eastAsia"/>
              </w:rPr>
              <w:t>1.5%</w:t>
            </w:r>
          </w:p>
        </w:tc>
        <w:tc>
          <w:tcPr>
            <w:tcW w:w="1587" w:type="dxa"/>
          </w:tcPr>
          <w:p w14:paraId="5FF995F0" w14:textId="77777777" w:rsidR="00B804EC" w:rsidRDefault="00000000">
            <w:pPr>
              <w:spacing w:line="360" w:lineRule="auto"/>
              <w:ind w:firstLine="420"/>
              <w:jc w:val="center"/>
              <w:rPr>
                <w:rFonts w:ascii="Arial Unicode MS" w:hAnsi="Arial Unicode MS" w:hint="eastAsia"/>
              </w:rPr>
            </w:pPr>
            <w:r>
              <w:rPr>
                <w:rFonts w:ascii="Arial Unicode MS" w:hAnsi="Arial Unicode MS" w:hint="eastAsia"/>
              </w:rPr>
              <w:t>1.5%</w:t>
            </w:r>
          </w:p>
        </w:tc>
      </w:tr>
      <w:tr w:rsidR="00B804EC" w14:paraId="1AB4CC87" w14:textId="77777777">
        <w:trPr>
          <w:cantSplit/>
          <w:trHeight w:val="272"/>
          <w:jc w:val="center"/>
        </w:trPr>
        <w:tc>
          <w:tcPr>
            <w:tcW w:w="3035" w:type="dxa"/>
            <w:tcMar>
              <w:top w:w="0" w:type="dxa"/>
              <w:left w:w="108" w:type="dxa"/>
              <w:bottom w:w="0" w:type="dxa"/>
              <w:right w:w="108" w:type="dxa"/>
            </w:tcMar>
          </w:tcPr>
          <w:p w14:paraId="344D0B48" w14:textId="77777777" w:rsidR="00B804EC" w:rsidRDefault="00000000">
            <w:pPr>
              <w:spacing w:line="360" w:lineRule="auto"/>
              <w:jc w:val="center"/>
              <w:rPr>
                <w:rFonts w:ascii="Arial Unicode MS" w:hAnsi="Arial Unicode MS" w:cs="宋体" w:hint="eastAsia"/>
                <w:szCs w:val="21"/>
              </w:rPr>
            </w:pPr>
            <w:r>
              <w:rPr>
                <w:rFonts w:ascii="Arial Unicode MS" w:hAnsi="Arial Unicode MS" w:hint="eastAsia"/>
              </w:rPr>
              <w:t>7</w:t>
            </w:r>
            <w:r>
              <w:rPr>
                <w:rFonts w:ascii="Arial Unicode MS" w:hAnsi="Arial Unicode MS" w:hint="eastAsia"/>
              </w:rPr>
              <w:t>日≤</w:t>
            </w:r>
            <w:r>
              <w:rPr>
                <w:rFonts w:ascii="Arial Unicode MS" w:hAnsi="Arial Unicode MS" w:hint="eastAsia"/>
              </w:rPr>
              <w:t>Y</w:t>
            </w:r>
            <w:r>
              <w:rPr>
                <w:rFonts w:ascii="Arial Unicode MS" w:hAnsi="Arial Unicode MS" w:hint="eastAsia"/>
              </w:rPr>
              <w:t>＜</w:t>
            </w:r>
            <w:r>
              <w:rPr>
                <w:rFonts w:ascii="Arial Unicode MS" w:hAnsi="Arial Unicode MS" w:hint="eastAsia"/>
              </w:rPr>
              <w:t>3</w:t>
            </w:r>
            <w:r>
              <w:rPr>
                <w:rFonts w:ascii="Arial Unicode MS" w:hAnsi="Arial Unicode MS" w:hint="eastAsia"/>
              </w:rPr>
              <w:t>个月</w:t>
            </w:r>
          </w:p>
        </w:tc>
        <w:tc>
          <w:tcPr>
            <w:tcW w:w="1587" w:type="dxa"/>
            <w:tcMar>
              <w:top w:w="0" w:type="dxa"/>
              <w:left w:w="108" w:type="dxa"/>
              <w:bottom w:w="0" w:type="dxa"/>
              <w:right w:w="108" w:type="dxa"/>
            </w:tcMar>
          </w:tcPr>
          <w:p w14:paraId="0AB69D14" w14:textId="77777777" w:rsidR="00B804EC" w:rsidRDefault="00000000">
            <w:pPr>
              <w:spacing w:line="360" w:lineRule="auto"/>
              <w:ind w:firstLine="420"/>
              <w:jc w:val="center"/>
              <w:rPr>
                <w:rFonts w:ascii="Arial Unicode MS" w:hAnsi="Arial Unicode MS" w:cs="宋体" w:hint="eastAsia"/>
                <w:szCs w:val="21"/>
              </w:rPr>
            </w:pPr>
            <w:r>
              <w:rPr>
                <w:rFonts w:ascii="Arial Unicode MS" w:hAnsi="Arial Unicode MS"/>
              </w:rPr>
              <w:t>0.</w:t>
            </w:r>
            <w:r>
              <w:rPr>
                <w:rFonts w:ascii="Arial Unicode MS" w:hAnsi="Arial Unicode MS" w:hint="eastAsia"/>
              </w:rPr>
              <w:t>05%</w:t>
            </w:r>
          </w:p>
        </w:tc>
        <w:tc>
          <w:tcPr>
            <w:tcW w:w="1587" w:type="dxa"/>
          </w:tcPr>
          <w:p w14:paraId="086FB28C" w14:textId="77777777" w:rsidR="00B804EC" w:rsidRDefault="00000000">
            <w:pPr>
              <w:spacing w:line="360" w:lineRule="auto"/>
              <w:ind w:firstLine="420"/>
              <w:jc w:val="center"/>
              <w:rPr>
                <w:rFonts w:ascii="Arial Unicode MS" w:hAnsi="Arial Unicode MS" w:hint="eastAsia"/>
              </w:rPr>
            </w:pPr>
            <w:r>
              <w:rPr>
                <w:rFonts w:ascii="Arial Unicode MS" w:hAnsi="Arial Unicode MS" w:hint="eastAsia"/>
              </w:rPr>
              <w:t>0%</w:t>
            </w:r>
          </w:p>
        </w:tc>
      </w:tr>
      <w:tr w:rsidR="00B804EC" w14:paraId="16C183BC" w14:textId="77777777">
        <w:trPr>
          <w:cantSplit/>
          <w:trHeight w:val="272"/>
          <w:jc w:val="center"/>
        </w:trPr>
        <w:tc>
          <w:tcPr>
            <w:tcW w:w="3035" w:type="dxa"/>
            <w:tcMar>
              <w:top w:w="0" w:type="dxa"/>
              <w:left w:w="108" w:type="dxa"/>
              <w:bottom w:w="0" w:type="dxa"/>
              <w:right w:w="108" w:type="dxa"/>
            </w:tcMar>
          </w:tcPr>
          <w:p w14:paraId="25171CBA" w14:textId="77777777" w:rsidR="00B804EC" w:rsidRDefault="00000000">
            <w:pPr>
              <w:spacing w:line="360" w:lineRule="auto"/>
              <w:jc w:val="center"/>
              <w:rPr>
                <w:rFonts w:ascii="Arial Unicode MS" w:hAnsi="Arial Unicode MS" w:cs="宋体" w:hint="eastAsia"/>
                <w:szCs w:val="21"/>
              </w:rPr>
            </w:pPr>
            <w:r>
              <w:rPr>
                <w:rFonts w:ascii="Arial Unicode MS" w:hAnsi="Arial Unicode MS" w:hint="eastAsia"/>
              </w:rPr>
              <w:t>Y</w:t>
            </w:r>
            <w:r>
              <w:rPr>
                <w:rFonts w:ascii="Arial Unicode MS" w:hAnsi="Arial Unicode MS" w:hint="eastAsia"/>
              </w:rPr>
              <w:t>≥</w:t>
            </w:r>
            <w:r>
              <w:rPr>
                <w:rFonts w:ascii="Arial Unicode MS" w:hAnsi="Arial Unicode MS" w:hint="eastAsia"/>
              </w:rPr>
              <w:t>3</w:t>
            </w:r>
            <w:r>
              <w:rPr>
                <w:rFonts w:ascii="Arial Unicode MS" w:hAnsi="Arial Unicode MS" w:hint="eastAsia"/>
              </w:rPr>
              <w:t>个月</w:t>
            </w:r>
          </w:p>
        </w:tc>
        <w:tc>
          <w:tcPr>
            <w:tcW w:w="1587" w:type="dxa"/>
            <w:tcMar>
              <w:top w:w="0" w:type="dxa"/>
              <w:left w:w="108" w:type="dxa"/>
              <w:bottom w:w="0" w:type="dxa"/>
              <w:right w:w="108" w:type="dxa"/>
            </w:tcMar>
          </w:tcPr>
          <w:p w14:paraId="02B5E291" w14:textId="77777777" w:rsidR="00B804EC" w:rsidRDefault="00000000">
            <w:pPr>
              <w:spacing w:line="360" w:lineRule="auto"/>
              <w:ind w:firstLine="420"/>
              <w:jc w:val="center"/>
              <w:rPr>
                <w:rFonts w:ascii="Arial Unicode MS" w:hAnsi="Arial Unicode MS" w:cs="宋体" w:hint="eastAsia"/>
                <w:szCs w:val="21"/>
              </w:rPr>
            </w:pPr>
            <w:r>
              <w:rPr>
                <w:rFonts w:ascii="Arial Unicode MS" w:hAnsi="Arial Unicode MS" w:hint="eastAsia"/>
              </w:rPr>
              <w:t>0%</w:t>
            </w:r>
          </w:p>
        </w:tc>
        <w:tc>
          <w:tcPr>
            <w:tcW w:w="1587" w:type="dxa"/>
          </w:tcPr>
          <w:p w14:paraId="5C9F71E2" w14:textId="77777777" w:rsidR="00B804EC" w:rsidRDefault="00000000">
            <w:pPr>
              <w:spacing w:line="360" w:lineRule="auto"/>
              <w:ind w:firstLine="420"/>
              <w:jc w:val="center"/>
              <w:rPr>
                <w:rFonts w:ascii="Arial Unicode MS" w:hAnsi="Arial Unicode MS" w:hint="eastAsia"/>
              </w:rPr>
            </w:pPr>
            <w:r>
              <w:rPr>
                <w:rFonts w:ascii="Arial Unicode MS" w:hAnsi="Arial Unicode MS" w:hint="eastAsia"/>
              </w:rPr>
              <w:t>0%</w:t>
            </w:r>
          </w:p>
        </w:tc>
      </w:tr>
    </w:tbl>
    <w:p w14:paraId="18E7797A" w14:textId="77777777" w:rsidR="00B804EC"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注</w:t>
      </w:r>
      <w:r>
        <w:rPr>
          <w:rFonts w:ascii="Arial Unicode MS" w:hAnsi="Arial Unicode MS" w:cs="Tahoma"/>
          <w:szCs w:val="21"/>
        </w:rPr>
        <w:t>：</w:t>
      </w:r>
      <w:r>
        <w:rPr>
          <w:rFonts w:ascii="Arial Unicode MS" w:hAnsi="Arial Unicode MS" w:cs="Tahoma" w:hint="eastAsia"/>
          <w:szCs w:val="21"/>
        </w:rPr>
        <w:t>1</w:t>
      </w:r>
      <w:r>
        <w:rPr>
          <w:rFonts w:ascii="Arial Unicode MS" w:hAnsi="Arial Unicode MS" w:cs="Tahoma" w:hint="eastAsia"/>
          <w:szCs w:val="21"/>
        </w:rPr>
        <w:t>个月</w:t>
      </w:r>
      <w:r>
        <w:rPr>
          <w:rFonts w:ascii="Arial Unicode MS" w:hAnsi="Arial Unicode MS" w:cs="Tahoma"/>
          <w:szCs w:val="21"/>
        </w:rPr>
        <w:t>为</w:t>
      </w:r>
      <w:r>
        <w:rPr>
          <w:rFonts w:ascii="Arial Unicode MS" w:hAnsi="Arial Unicode MS" w:cs="Tahoma" w:hint="eastAsia"/>
          <w:szCs w:val="21"/>
        </w:rPr>
        <w:t>30</w:t>
      </w:r>
      <w:r>
        <w:rPr>
          <w:rFonts w:ascii="Arial Unicode MS" w:hAnsi="Arial Unicode MS" w:cs="Tahoma" w:hint="eastAsia"/>
          <w:szCs w:val="21"/>
        </w:rPr>
        <w:t>天</w:t>
      </w:r>
    </w:p>
    <w:p w14:paraId="032BEDF4" w14:textId="77777777" w:rsidR="00B804EC"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本基金的赎回费用由基金份额持有人承担，对持续持有期少于</w:t>
      </w:r>
      <w:r>
        <w:rPr>
          <w:rFonts w:ascii="Arial Unicode MS" w:hAnsi="Arial Unicode MS" w:cs="Tahoma" w:hint="eastAsia"/>
          <w:szCs w:val="21"/>
        </w:rPr>
        <w:t>7</w:t>
      </w:r>
      <w:r>
        <w:rPr>
          <w:rFonts w:ascii="Arial Unicode MS" w:hAnsi="Arial Unicode MS" w:cs="Tahoma" w:hint="eastAsia"/>
          <w:szCs w:val="21"/>
        </w:rPr>
        <w:t>日的投资人收取的赎回费全额计入基金财产，大于等于</w:t>
      </w:r>
      <w:r>
        <w:rPr>
          <w:rFonts w:ascii="Arial Unicode MS" w:hAnsi="Arial Unicode MS" w:cs="Tahoma" w:hint="eastAsia"/>
          <w:szCs w:val="21"/>
        </w:rPr>
        <w:t>7</w:t>
      </w:r>
      <w:r>
        <w:rPr>
          <w:rFonts w:ascii="Arial Unicode MS" w:hAnsi="Arial Unicode MS" w:cs="Tahoma" w:hint="eastAsia"/>
          <w:szCs w:val="21"/>
        </w:rPr>
        <w:t>日的将不低于</w:t>
      </w:r>
      <w:r>
        <w:rPr>
          <w:rFonts w:ascii="Arial Unicode MS" w:hAnsi="Arial Unicode MS" w:cs="Arial"/>
          <w:kern w:val="0"/>
          <w:szCs w:val="21"/>
        </w:rPr>
        <w:t>赎回费</w:t>
      </w:r>
      <w:r>
        <w:rPr>
          <w:rFonts w:ascii="Arial Unicode MS" w:hAnsi="Arial Unicode MS" w:cs="Tahoma" w:hint="eastAsia"/>
          <w:szCs w:val="21"/>
        </w:rPr>
        <w:t>总额的</w:t>
      </w:r>
      <w:r>
        <w:rPr>
          <w:rFonts w:ascii="Arial Unicode MS" w:hAnsi="Arial Unicode MS" w:cs="Arial"/>
          <w:kern w:val="0"/>
          <w:szCs w:val="21"/>
        </w:rPr>
        <w:t>25%</w:t>
      </w:r>
      <w:r>
        <w:rPr>
          <w:rFonts w:ascii="Arial Unicode MS" w:hAnsi="Arial Unicode MS" w:cs="Arial"/>
          <w:kern w:val="0"/>
          <w:szCs w:val="21"/>
        </w:rPr>
        <w:t>计入基金财产</w:t>
      </w:r>
      <w:r>
        <w:rPr>
          <w:rFonts w:ascii="Arial Unicode MS" w:hAnsi="Arial Unicode MS" w:cs="Tahoma"/>
          <w:szCs w:val="21"/>
        </w:rPr>
        <w:t>。</w:t>
      </w:r>
    </w:p>
    <w:p w14:paraId="475458B2" w14:textId="77777777" w:rsidR="00B804EC"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3</w:t>
      </w:r>
      <w:r>
        <w:rPr>
          <w:rFonts w:ascii="Arial Unicode MS" w:hAnsi="Arial Unicode MS" w:cs="Tahoma" w:hint="eastAsia"/>
          <w:szCs w:val="21"/>
        </w:rPr>
        <w:t>、基金管理人可以在基金合同约定的范围内调整费率或收费方式，并依照《信息披露办法》的有关规定进行公告。</w:t>
      </w:r>
    </w:p>
    <w:p w14:paraId="09DB8135" w14:textId="77777777" w:rsidR="00B804EC"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w:t>
      </w:r>
      <w:r>
        <w:rPr>
          <w:rFonts w:ascii="Arial Unicode MS" w:hAnsi="Arial Unicode MS" w:cs="Arial"/>
          <w:b/>
          <w:bCs/>
          <w:szCs w:val="21"/>
        </w:rPr>
        <w:t>、</w:t>
      </w:r>
      <w:r>
        <w:rPr>
          <w:rFonts w:ascii="Arial Unicode MS" w:hAnsi="Arial Unicode MS" w:cs="Arial" w:hint="eastAsia"/>
          <w:b/>
          <w:bCs/>
          <w:szCs w:val="21"/>
        </w:rPr>
        <w:t>A</w:t>
      </w:r>
      <w:r>
        <w:rPr>
          <w:rFonts w:ascii="Arial Unicode MS" w:hAnsi="Arial Unicode MS" w:cs="Arial" w:hint="eastAsia"/>
          <w:b/>
          <w:bCs/>
          <w:szCs w:val="21"/>
        </w:rPr>
        <w:t>类基金份额和</w:t>
      </w:r>
      <w:r>
        <w:rPr>
          <w:rFonts w:ascii="Arial Unicode MS" w:hAnsi="Arial Unicode MS" w:cs="Arial" w:hint="eastAsia"/>
          <w:b/>
          <w:bCs/>
          <w:szCs w:val="21"/>
        </w:rPr>
        <w:t>C</w:t>
      </w:r>
      <w:r>
        <w:rPr>
          <w:rFonts w:ascii="Arial Unicode MS" w:hAnsi="Arial Unicode MS" w:cs="Arial" w:hint="eastAsia"/>
          <w:b/>
          <w:bCs/>
          <w:szCs w:val="21"/>
        </w:rPr>
        <w:t>类基金份额的</w:t>
      </w:r>
      <w:r>
        <w:rPr>
          <w:rFonts w:ascii="Arial Unicode MS" w:hAnsi="Arial Unicode MS" w:cs="Arial"/>
          <w:b/>
          <w:bCs/>
          <w:szCs w:val="21"/>
        </w:rPr>
        <w:t>申购</w:t>
      </w:r>
      <w:r>
        <w:rPr>
          <w:rFonts w:ascii="Arial Unicode MS" w:hAnsi="Arial Unicode MS" w:cs="Arial" w:hint="eastAsia"/>
          <w:b/>
          <w:bCs/>
          <w:szCs w:val="21"/>
        </w:rPr>
        <w:t>份额</w:t>
      </w:r>
      <w:r>
        <w:rPr>
          <w:rFonts w:ascii="Arial Unicode MS" w:hAnsi="Arial Unicode MS" w:cs="Arial"/>
          <w:b/>
          <w:bCs/>
          <w:szCs w:val="21"/>
        </w:rPr>
        <w:t>与赎回金额的计算方式</w:t>
      </w:r>
    </w:p>
    <w:p w14:paraId="44F87EE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1.A</w:t>
      </w:r>
      <w:r>
        <w:rPr>
          <w:rFonts w:ascii="Arial Unicode MS" w:hAnsi="Arial Unicode MS" w:cs="Arial" w:hint="eastAsia"/>
          <w:szCs w:val="21"/>
        </w:rPr>
        <w:t>类基金份额申购份额的计算方式：</w:t>
      </w:r>
    </w:p>
    <w:p w14:paraId="0C28798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）申购费用适用比例费率的情形下：</w:t>
      </w:r>
    </w:p>
    <w:p w14:paraId="07CABFD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申购费率）</w:t>
      </w:r>
    </w:p>
    <w:p w14:paraId="082EF48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净申购金额</w:t>
      </w:r>
    </w:p>
    <w:p w14:paraId="0C687D5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w:t>
      </w:r>
      <w:r>
        <w:rPr>
          <w:rFonts w:ascii="Arial Unicode MS" w:hAnsi="Arial Unicode MS" w:cs="Arial" w:hint="eastAsia"/>
          <w:szCs w:val="21"/>
        </w:rPr>
        <w:t>净申购金额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w:t>
      </w:r>
    </w:p>
    <w:p w14:paraId="1F9D74AF"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）申购费用适用固定金额的情形下：</w:t>
      </w:r>
    </w:p>
    <w:p w14:paraId="76921DA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w:t>
      </w:r>
      <w:r>
        <w:rPr>
          <w:rFonts w:ascii="Arial Unicode MS" w:hAnsi="Arial Unicode MS" w:cs="Arial" w:hint="eastAsia"/>
          <w:szCs w:val="21"/>
        </w:rPr>
        <w:t>固定金额</w:t>
      </w:r>
    </w:p>
    <w:p w14:paraId="5E87DBA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固定金额</w:t>
      </w:r>
    </w:p>
    <w:p w14:paraId="1D0306D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w:t>
      </w:r>
      <w:r>
        <w:rPr>
          <w:rFonts w:ascii="Arial Unicode MS" w:hAnsi="Arial Unicode MS" w:cs="Arial" w:hint="eastAsia"/>
          <w:szCs w:val="21"/>
        </w:rPr>
        <w:t>净申购金额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w:t>
      </w:r>
    </w:p>
    <w:p w14:paraId="182B1AAA"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上述计算结果均按四舍五入方法，保留到小数点后</w:t>
      </w:r>
      <w:r>
        <w:rPr>
          <w:rFonts w:ascii="Arial Unicode MS" w:hAnsi="Arial Unicode MS" w:cs="Arial" w:hint="eastAsia"/>
          <w:szCs w:val="21"/>
        </w:rPr>
        <w:t>2</w:t>
      </w:r>
      <w:r>
        <w:rPr>
          <w:rFonts w:ascii="Arial Unicode MS" w:hAnsi="Arial Unicode MS" w:cs="Arial" w:hint="eastAsia"/>
          <w:szCs w:val="21"/>
        </w:rPr>
        <w:t>位，由此产生的收益或损失由基金财产承担。</w:t>
      </w:r>
    </w:p>
    <w:p w14:paraId="48AA9F1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例</w:t>
      </w:r>
      <w:r>
        <w:rPr>
          <w:rFonts w:ascii="Arial Unicode MS" w:hAnsi="Arial Unicode MS" w:cs="Arial" w:hint="eastAsia"/>
          <w:szCs w:val="21"/>
        </w:rPr>
        <w:t>3</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元，某投资人本次申购本基金</w:t>
      </w:r>
      <w:r>
        <w:rPr>
          <w:rFonts w:ascii="Arial Unicode MS" w:hAnsi="Arial Unicode MS" w:cs="Arial" w:hint="eastAsia"/>
          <w:szCs w:val="21"/>
        </w:rPr>
        <w:t>40</w:t>
      </w:r>
      <w:r>
        <w:rPr>
          <w:rFonts w:ascii="Arial Unicode MS" w:hAnsi="Arial Unicode MS" w:cs="Arial" w:hint="eastAsia"/>
          <w:szCs w:val="21"/>
        </w:rPr>
        <w:t>万元，对应的本次申购费率为</w:t>
      </w:r>
      <w:r>
        <w:rPr>
          <w:rFonts w:ascii="Arial Unicode MS" w:hAnsi="Arial Unicode MS" w:cs="Arial" w:hint="eastAsia"/>
          <w:szCs w:val="21"/>
        </w:rPr>
        <w:t>0.80%</w:t>
      </w:r>
      <w:r>
        <w:rPr>
          <w:rFonts w:ascii="Arial Unicode MS" w:hAnsi="Arial Unicode MS" w:cs="Arial" w:hint="eastAsia"/>
          <w:szCs w:val="21"/>
        </w:rPr>
        <w:t>，该投资人可得到的</w:t>
      </w:r>
      <w:r>
        <w:rPr>
          <w:rFonts w:ascii="Arial Unicode MS" w:hAnsi="Arial Unicode MS" w:cs="Arial" w:hint="eastAsia"/>
          <w:szCs w:val="21"/>
        </w:rPr>
        <w:t>A</w:t>
      </w:r>
      <w:r>
        <w:rPr>
          <w:rFonts w:ascii="Arial Unicode MS" w:hAnsi="Arial Unicode MS" w:cs="Arial" w:hint="eastAsia"/>
          <w:szCs w:val="21"/>
        </w:rPr>
        <w:t>类基金份额为：</w:t>
      </w:r>
    </w:p>
    <w:p w14:paraId="54A5D2BA"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=400,000/</w:t>
      </w:r>
      <w:r>
        <w:rPr>
          <w:rFonts w:ascii="Arial Unicode MS" w:hAnsi="Arial Unicode MS" w:cs="Arial" w:hint="eastAsia"/>
          <w:szCs w:val="21"/>
        </w:rPr>
        <w:t>（</w:t>
      </w:r>
      <w:r>
        <w:rPr>
          <w:rFonts w:ascii="Arial Unicode MS" w:hAnsi="Arial Unicode MS" w:cs="Arial" w:hint="eastAsia"/>
          <w:szCs w:val="21"/>
        </w:rPr>
        <w:t>1+0.80%</w:t>
      </w:r>
      <w:r>
        <w:rPr>
          <w:rFonts w:ascii="Arial Unicode MS" w:hAnsi="Arial Unicode MS" w:cs="Arial" w:hint="eastAsia"/>
          <w:szCs w:val="21"/>
        </w:rPr>
        <w:t>）＝</w:t>
      </w:r>
      <w:r>
        <w:rPr>
          <w:rFonts w:ascii="Arial Unicode MS" w:hAnsi="Arial Unicode MS" w:cs="Arial" w:hint="eastAsia"/>
          <w:szCs w:val="21"/>
        </w:rPr>
        <w:t>396,825.40</w:t>
      </w:r>
      <w:r>
        <w:rPr>
          <w:rFonts w:ascii="Arial Unicode MS" w:hAnsi="Arial Unicode MS" w:cs="Arial" w:hint="eastAsia"/>
          <w:szCs w:val="21"/>
        </w:rPr>
        <w:t>元</w:t>
      </w:r>
    </w:p>
    <w:p w14:paraId="78920B3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=400,000-396,825.40</w:t>
      </w:r>
      <w:r>
        <w:rPr>
          <w:rFonts w:ascii="Arial Unicode MS" w:hAnsi="Arial Unicode MS" w:cs="Arial" w:hint="eastAsia"/>
          <w:szCs w:val="21"/>
        </w:rPr>
        <w:t>＝</w:t>
      </w:r>
      <w:r>
        <w:rPr>
          <w:rFonts w:ascii="Arial Unicode MS" w:hAnsi="Arial Unicode MS" w:cs="Arial" w:hint="eastAsia"/>
          <w:szCs w:val="21"/>
        </w:rPr>
        <w:t>3,174.60</w:t>
      </w:r>
      <w:r>
        <w:rPr>
          <w:rFonts w:ascii="Arial Unicode MS" w:hAnsi="Arial Unicode MS" w:cs="Arial" w:hint="eastAsia"/>
          <w:szCs w:val="21"/>
        </w:rPr>
        <w:t>元</w:t>
      </w:r>
    </w:p>
    <w:p w14:paraId="15C4975F"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=396,825.40/1.0560</w:t>
      </w:r>
      <w:r>
        <w:rPr>
          <w:rFonts w:ascii="Arial Unicode MS" w:hAnsi="Arial Unicode MS" w:cs="Arial" w:hint="eastAsia"/>
          <w:szCs w:val="21"/>
        </w:rPr>
        <w:t>＝</w:t>
      </w:r>
      <w:r>
        <w:rPr>
          <w:rFonts w:ascii="Arial Unicode MS" w:hAnsi="Arial Unicode MS" w:cs="Arial" w:hint="eastAsia"/>
          <w:szCs w:val="21"/>
        </w:rPr>
        <w:t>375,781.63</w:t>
      </w:r>
      <w:r>
        <w:rPr>
          <w:rFonts w:ascii="Arial Unicode MS" w:hAnsi="Arial Unicode MS" w:cs="Arial" w:hint="eastAsia"/>
          <w:szCs w:val="21"/>
        </w:rPr>
        <w:t>份</w:t>
      </w:r>
    </w:p>
    <w:p w14:paraId="31EFC418"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40</w:t>
      </w:r>
      <w:r>
        <w:rPr>
          <w:rFonts w:ascii="Arial Unicode MS" w:hAnsi="Arial Unicode MS" w:cs="Arial" w:hint="eastAsia"/>
          <w:szCs w:val="21"/>
        </w:rPr>
        <w:t>万元申购本基金的</w:t>
      </w:r>
      <w:r>
        <w:rPr>
          <w:rFonts w:ascii="Arial Unicode MS" w:hAnsi="Arial Unicode MS" w:cs="Arial" w:hint="eastAsia"/>
          <w:szCs w:val="21"/>
        </w:rPr>
        <w:t>A</w:t>
      </w:r>
      <w:r>
        <w:rPr>
          <w:rFonts w:ascii="Arial Unicode MS" w:hAnsi="Arial Unicode MS" w:cs="Arial" w:hint="eastAsia"/>
          <w:szCs w:val="21"/>
        </w:rPr>
        <w:t>类基金份额，对应的申购费率为</w:t>
      </w:r>
      <w:r>
        <w:rPr>
          <w:rFonts w:ascii="Arial Unicode MS" w:hAnsi="Arial Unicode MS" w:cs="Arial" w:hint="eastAsia"/>
          <w:szCs w:val="21"/>
        </w:rPr>
        <w:t>0.80%</w:t>
      </w:r>
      <w:r>
        <w:rPr>
          <w:rFonts w:ascii="Arial Unicode MS" w:hAnsi="Arial Unicode MS" w:cs="Arial" w:hint="eastAsia"/>
          <w:szCs w:val="21"/>
        </w:rPr>
        <w:t>，假定申购当日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375,781.63</w:t>
      </w:r>
      <w:r>
        <w:rPr>
          <w:rFonts w:ascii="Arial Unicode MS" w:hAnsi="Arial Unicode MS" w:cs="Arial" w:hint="eastAsia"/>
          <w:szCs w:val="21"/>
        </w:rPr>
        <w:t>份</w:t>
      </w:r>
      <w:r>
        <w:rPr>
          <w:rFonts w:ascii="Arial Unicode MS" w:hAnsi="Arial Unicode MS" w:cs="Arial" w:hint="eastAsia"/>
          <w:szCs w:val="21"/>
        </w:rPr>
        <w:t>A</w:t>
      </w:r>
      <w:r>
        <w:rPr>
          <w:rFonts w:ascii="Arial Unicode MS" w:hAnsi="Arial Unicode MS" w:cs="Arial" w:hint="eastAsia"/>
          <w:szCs w:val="21"/>
        </w:rPr>
        <w:t>类基金份额。</w:t>
      </w:r>
    </w:p>
    <w:p w14:paraId="5642A97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4</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元，某投资人投资</w:t>
      </w:r>
      <w:r>
        <w:rPr>
          <w:rFonts w:ascii="Arial Unicode MS" w:hAnsi="Arial Unicode MS" w:cs="Arial" w:hint="eastAsia"/>
          <w:szCs w:val="21"/>
        </w:rPr>
        <w:t>600</w:t>
      </w:r>
      <w:r>
        <w:rPr>
          <w:rFonts w:ascii="Arial Unicode MS" w:hAnsi="Arial Unicode MS" w:cs="Arial" w:hint="eastAsia"/>
          <w:szCs w:val="21"/>
        </w:rPr>
        <w:t>万元申购本基金，对应的申购费用为</w:t>
      </w:r>
      <w:r>
        <w:rPr>
          <w:rFonts w:ascii="Arial Unicode MS" w:hAnsi="Arial Unicode MS" w:cs="Arial" w:hint="eastAsia"/>
          <w:szCs w:val="21"/>
        </w:rPr>
        <w:t>1000</w:t>
      </w:r>
      <w:r>
        <w:rPr>
          <w:rFonts w:ascii="Arial Unicode MS" w:hAnsi="Arial Unicode MS" w:cs="Arial" w:hint="eastAsia"/>
          <w:szCs w:val="21"/>
        </w:rPr>
        <w:t>元，则其可得到的申购份额为：</w:t>
      </w:r>
    </w:p>
    <w:p w14:paraId="566CA89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1000</w:t>
      </w:r>
      <w:r>
        <w:rPr>
          <w:rFonts w:ascii="Arial Unicode MS" w:hAnsi="Arial Unicode MS" w:cs="Arial" w:hint="eastAsia"/>
          <w:szCs w:val="21"/>
        </w:rPr>
        <w:t>元</w:t>
      </w:r>
    </w:p>
    <w:p w14:paraId="218C07E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6,000,000</w:t>
      </w:r>
      <w:r>
        <w:rPr>
          <w:rFonts w:ascii="Arial Unicode MS" w:hAnsi="Arial Unicode MS" w:cs="Arial" w:hint="eastAsia"/>
          <w:szCs w:val="21"/>
        </w:rPr>
        <w:t>－</w:t>
      </w:r>
      <w:r>
        <w:rPr>
          <w:rFonts w:ascii="Arial Unicode MS" w:hAnsi="Arial Unicode MS" w:cs="Arial" w:hint="eastAsia"/>
          <w:szCs w:val="21"/>
        </w:rPr>
        <w:t>1000</w:t>
      </w:r>
      <w:r>
        <w:rPr>
          <w:rFonts w:ascii="Arial Unicode MS" w:hAnsi="Arial Unicode MS" w:cs="Arial" w:hint="eastAsia"/>
          <w:szCs w:val="21"/>
        </w:rPr>
        <w:t>＝</w:t>
      </w:r>
      <w:r>
        <w:rPr>
          <w:rFonts w:ascii="Arial Unicode MS" w:hAnsi="Arial Unicode MS" w:cs="Arial" w:hint="eastAsia"/>
          <w:szCs w:val="21"/>
        </w:rPr>
        <w:t>5,999,000.00</w:t>
      </w:r>
      <w:r>
        <w:rPr>
          <w:rFonts w:ascii="Arial Unicode MS" w:hAnsi="Arial Unicode MS" w:cs="Arial" w:hint="eastAsia"/>
          <w:szCs w:val="21"/>
        </w:rPr>
        <w:t>元</w:t>
      </w:r>
    </w:p>
    <w:p w14:paraId="14176C4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5,999,000.00/1.0560</w:t>
      </w:r>
      <w:r>
        <w:rPr>
          <w:rFonts w:ascii="Arial Unicode MS" w:hAnsi="Arial Unicode MS" w:cs="Arial" w:hint="eastAsia"/>
          <w:szCs w:val="21"/>
        </w:rPr>
        <w:t>＝</w:t>
      </w:r>
      <w:r>
        <w:rPr>
          <w:rFonts w:ascii="Arial Unicode MS" w:hAnsi="Arial Unicode MS" w:cs="Arial" w:hint="eastAsia"/>
          <w:szCs w:val="21"/>
        </w:rPr>
        <w:t>5,680,871.21</w:t>
      </w:r>
      <w:r>
        <w:rPr>
          <w:rFonts w:ascii="Arial Unicode MS" w:hAnsi="Arial Unicode MS" w:cs="Arial" w:hint="eastAsia"/>
          <w:szCs w:val="21"/>
        </w:rPr>
        <w:t>份</w:t>
      </w:r>
    </w:p>
    <w:p w14:paraId="61A2A1D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600</w:t>
      </w:r>
      <w:r>
        <w:rPr>
          <w:rFonts w:ascii="Arial Unicode MS" w:hAnsi="Arial Unicode MS" w:cs="Arial" w:hint="eastAsia"/>
          <w:szCs w:val="21"/>
        </w:rPr>
        <w:t>万元申购本基金的</w:t>
      </w:r>
      <w:r>
        <w:rPr>
          <w:rFonts w:ascii="Arial Unicode MS" w:hAnsi="Arial Unicode MS" w:cs="Arial" w:hint="eastAsia"/>
          <w:szCs w:val="21"/>
        </w:rPr>
        <w:t>A</w:t>
      </w:r>
      <w:r>
        <w:rPr>
          <w:rFonts w:ascii="Arial Unicode MS" w:hAnsi="Arial Unicode MS" w:cs="Arial" w:hint="eastAsia"/>
          <w:szCs w:val="21"/>
        </w:rPr>
        <w:t>类基金份额，对应的申购费用为</w:t>
      </w:r>
      <w:r>
        <w:rPr>
          <w:rFonts w:ascii="Arial Unicode MS" w:hAnsi="Arial Unicode MS" w:cs="Arial" w:hint="eastAsia"/>
          <w:szCs w:val="21"/>
        </w:rPr>
        <w:t>1000</w:t>
      </w:r>
      <w:r>
        <w:rPr>
          <w:rFonts w:ascii="Arial Unicode MS" w:hAnsi="Arial Unicode MS" w:cs="Arial" w:hint="eastAsia"/>
          <w:szCs w:val="21"/>
        </w:rPr>
        <w:t>元，假定申购当日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5,680,871.21</w:t>
      </w:r>
      <w:r>
        <w:rPr>
          <w:rFonts w:ascii="Arial Unicode MS" w:hAnsi="Arial Unicode MS" w:cs="Arial" w:hint="eastAsia"/>
          <w:szCs w:val="21"/>
        </w:rPr>
        <w:t>份</w:t>
      </w:r>
      <w:r>
        <w:rPr>
          <w:rFonts w:ascii="Arial Unicode MS" w:hAnsi="Arial Unicode MS" w:cs="Arial" w:hint="eastAsia"/>
          <w:szCs w:val="21"/>
        </w:rPr>
        <w:t>A</w:t>
      </w:r>
      <w:r>
        <w:rPr>
          <w:rFonts w:ascii="Arial Unicode MS" w:hAnsi="Arial Unicode MS" w:cs="Arial" w:hint="eastAsia"/>
          <w:szCs w:val="21"/>
        </w:rPr>
        <w:t>类基金份额。</w:t>
      </w:r>
    </w:p>
    <w:p w14:paraId="311F391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hint="eastAsia"/>
          <w:szCs w:val="21"/>
        </w:rPr>
        <w:t>C</w:t>
      </w:r>
      <w:r>
        <w:rPr>
          <w:rFonts w:ascii="Arial Unicode MS" w:hAnsi="Arial Unicode MS" w:cs="Arial" w:hint="eastAsia"/>
          <w:szCs w:val="21"/>
        </w:rPr>
        <w:t>类基金份额申购份额的计算方式：</w:t>
      </w:r>
    </w:p>
    <w:p w14:paraId="15DDE16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申购份额＝申购金额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C</w:t>
      </w:r>
      <w:r>
        <w:rPr>
          <w:rFonts w:ascii="Arial Unicode MS" w:hAnsi="Arial Unicode MS" w:cs="Arial" w:hint="eastAsia"/>
          <w:szCs w:val="21"/>
        </w:rPr>
        <w:t>类基金份额净值</w:t>
      </w:r>
    </w:p>
    <w:p w14:paraId="7C1DE3A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上述计算结果按照四舍五入方法，保留小数点后两位，由此产生的收益或损失由基金财产承担。</w:t>
      </w:r>
    </w:p>
    <w:p w14:paraId="21B4057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5</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C</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元，某投资人本次申购本基金</w:t>
      </w:r>
      <w:r>
        <w:rPr>
          <w:rFonts w:ascii="Arial Unicode MS" w:hAnsi="Arial Unicode MS" w:cs="Arial" w:hint="eastAsia"/>
          <w:szCs w:val="21"/>
        </w:rPr>
        <w:t>40</w:t>
      </w:r>
      <w:r>
        <w:rPr>
          <w:rFonts w:ascii="Arial Unicode MS" w:hAnsi="Arial Unicode MS" w:cs="Arial" w:hint="eastAsia"/>
          <w:szCs w:val="21"/>
        </w:rPr>
        <w:t>万元，该投资人可得到的</w:t>
      </w:r>
      <w:r>
        <w:rPr>
          <w:rFonts w:ascii="Arial Unicode MS" w:hAnsi="Arial Unicode MS" w:cs="Arial" w:hint="eastAsia"/>
          <w:szCs w:val="21"/>
        </w:rPr>
        <w:t>C</w:t>
      </w:r>
      <w:r>
        <w:rPr>
          <w:rFonts w:ascii="Arial Unicode MS" w:hAnsi="Arial Unicode MS" w:cs="Arial" w:hint="eastAsia"/>
          <w:szCs w:val="21"/>
        </w:rPr>
        <w:t>类基金份额为：</w:t>
      </w:r>
    </w:p>
    <w:p w14:paraId="12437BAF"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=400,000,00/1.0560</w:t>
      </w:r>
      <w:r>
        <w:rPr>
          <w:rFonts w:ascii="Arial Unicode MS" w:hAnsi="Arial Unicode MS" w:cs="Arial" w:hint="eastAsia"/>
          <w:szCs w:val="21"/>
        </w:rPr>
        <w:t>＝</w:t>
      </w:r>
      <w:r>
        <w:rPr>
          <w:rFonts w:ascii="Arial Unicode MS" w:hAnsi="Arial Unicode MS" w:cs="Arial" w:hint="eastAsia"/>
          <w:szCs w:val="21"/>
        </w:rPr>
        <w:t>378,787.88</w:t>
      </w:r>
      <w:r>
        <w:rPr>
          <w:rFonts w:ascii="Arial Unicode MS" w:hAnsi="Arial Unicode MS" w:cs="Arial" w:hint="eastAsia"/>
          <w:szCs w:val="21"/>
        </w:rPr>
        <w:t>份</w:t>
      </w:r>
    </w:p>
    <w:p w14:paraId="5296B37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40</w:t>
      </w:r>
      <w:r>
        <w:rPr>
          <w:rFonts w:ascii="Arial Unicode MS" w:hAnsi="Arial Unicode MS" w:cs="Arial" w:hint="eastAsia"/>
          <w:szCs w:val="21"/>
        </w:rPr>
        <w:t>万元申购本基金</w:t>
      </w:r>
      <w:r>
        <w:rPr>
          <w:rFonts w:ascii="Arial Unicode MS" w:hAnsi="Arial Unicode MS" w:cs="Arial" w:hint="eastAsia"/>
          <w:szCs w:val="21"/>
        </w:rPr>
        <w:t>C</w:t>
      </w:r>
      <w:r>
        <w:rPr>
          <w:rFonts w:ascii="Arial Unicode MS" w:hAnsi="Arial Unicode MS" w:cs="Arial" w:hint="eastAsia"/>
          <w:szCs w:val="21"/>
        </w:rPr>
        <w:t>类基金份额，假定申购当日</w:t>
      </w:r>
      <w:r>
        <w:rPr>
          <w:rFonts w:ascii="Arial Unicode MS" w:hAnsi="Arial Unicode MS" w:cs="Arial" w:hint="eastAsia"/>
          <w:szCs w:val="21"/>
        </w:rPr>
        <w:t>C</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378,787.88</w:t>
      </w:r>
      <w:r>
        <w:rPr>
          <w:rFonts w:ascii="Arial Unicode MS" w:hAnsi="Arial Unicode MS" w:cs="Arial" w:hint="eastAsia"/>
          <w:szCs w:val="21"/>
        </w:rPr>
        <w:t>份</w:t>
      </w:r>
      <w:r>
        <w:rPr>
          <w:rFonts w:ascii="Arial Unicode MS" w:hAnsi="Arial Unicode MS" w:cs="Arial" w:hint="eastAsia"/>
          <w:szCs w:val="21"/>
        </w:rPr>
        <w:t>C</w:t>
      </w:r>
      <w:r>
        <w:rPr>
          <w:rFonts w:ascii="Arial Unicode MS" w:hAnsi="Arial Unicode MS" w:cs="Arial" w:hint="eastAsia"/>
          <w:szCs w:val="21"/>
        </w:rPr>
        <w:t>类基金份额。</w:t>
      </w:r>
    </w:p>
    <w:p w14:paraId="37275CB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、赎回金额的计算方式：</w:t>
      </w:r>
    </w:p>
    <w:p w14:paraId="7C1DC23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w:t>
      </w:r>
      <w:r>
        <w:rPr>
          <w:rFonts w:ascii="Arial Unicode MS" w:hAnsi="Arial Unicode MS" w:cs="Arial" w:hint="eastAsia"/>
          <w:szCs w:val="21"/>
        </w:rPr>
        <w:t>赎回份额×</w:t>
      </w:r>
      <w:r>
        <w:rPr>
          <w:rFonts w:ascii="Arial Unicode MS" w:hAnsi="Arial Unicode MS" w:cs="Arial" w:hint="eastAsia"/>
          <w:szCs w:val="21"/>
        </w:rPr>
        <w:t>T</w:t>
      </w:r>
      <w:r>
        <w:rPr>
          <w:rFonts w:ascii="Arial Unicode MS" w:hAnsi="Arial Unicode MS" w:cs="Arial" w:hint="eastAsia"/>
          <w:szCs w:val="21"/>
        </w:rPr>
        <w:t>日该类基金份额净值</w:t>
      </w:r>
    </w:p>
    <w:p w14:paraId="1CB1502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w:t>
      </w:r>
      <w:r>
        <w:rPr>
          <w:rFonts w:ascii="Arial Unicode MS" w:hAnsi="Arial Unicode MS" w:cs="Arial" w:hint="eastAsia"/>
          <w:szCs w:val="21"/>
        </w:rPr>
        <w:t>赎回总金额×赎回费率</w:t>
      </w:r>
    </w:p>
    <w:p w14:paraId="595C2E8C"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赎回金额</w:t>
      </w:r>
      <w:r>
        <w:rPr>
          <w:rFonts w:ascii="Arial Unicode MS" w:hAnsi="Arial Unicode MS" w:cs="Arial" w:hint="eastAsia"/>
          <w:szCs w:val="21"/>
        </w:rPr>
        <w:t>=</w:t>
      </w:r>
      <w:r>
        <w:rPr>
          <w:rFonts w:ascii="Arial Unicode MS" w:hAnsi="Arial Unicode MS" w:cs="Arial" w:hint="eastAsia"/>
          <w:szCs w:val="21"/>
        </w:rPr>
        <w:t>赎回总金额—赎回费用</w:t>
      </w:r>
    </w:p>
    <w:p w14:paraId="407296E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上述计算结果均按四舍五入方法，保留到小数点后</w:t>
      </w:r>
      <w:r>
        <w:rPr>
          <w:rFonts w:ascii="Arial Unicode MS" w:hAnsi="Arial Unicode MS" w:cs="Arial" w:hint="eastAsia"/>
          <w:szCs w:val="21"/>
        </w:rPr>
        <w:t>2</w:t>
      </w:r>
      <w:r>
        <w:rPr>
          <w:rFonts w:ascii="Arial Unicode MS" w:hAnsi="Arial Unicode MS" w:cs="Arial" w:hint="eastAsia"/>
          <w:szCs w:val="21"/>
        </w:rPr>
        <w:t>位，由此产生的收益或损失由基金财产承担。</w:t>
      </w:r>
    </w:p>
    <w:p w14:paraId="0714519F"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6</w:t>
      </w:r>
      <w:r>
        <w:rPr>
          <w:rFonts w:ascii="Arial Unicode MS" w:hAnsi="Arial Unicode MS" w:cs="Arial" w:hint="eastAsia"/>
          <w:szCs w:val="21"/>
        </w:rPr>
        <w:t>：某投资者赎回本基金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A</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A</w:t>
      </w:r>
      <w:r>
        <w:rPr>
          <w:rFonts w:ascii="Arial Unicode MS" w:hAnsi="Arial Unicode MS" w:cs="Arial" w:hint="eastAsia"/>
          <w:szCs w:val="21"/>
        </w:rPr>
        <w:t>类基金份额净值是</w:t>
      </w:r>
      <w:r>
        <w:rPr>
          <w:rFonts w:ascii="Arial Unicode MS" w:hAnsi="Arial Unicode MS" w:cs="Arial" w:hint="eastAsia"/>
          <w:szCs w:val="21"/>
        </w:rPr>
        <w:t xml:space="preserve">1.2500 </w:t>
      </w:r>
      <w:r>
        <w:rPr>
          <w:rFonts w:ascii="Arial Unicode MS" w:hAnsi="Arial Unicode MS" w:cs="Arial" w:hint="eastAsia"/>
          <w:szCs w:val="21"/>
        </w:rPr>
        <w:t>元，则其可得到的赎回金额为：</w:t>
      </w:r>
    </w:p>
    <w:p w14:paraId="318C069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=10,000</w:t>
      </w:r>
      <w:r>
        <w:rPr>
          <w:rFonts w:ascii="Arial Unicode MS" w:hAnsi="Arial Unicode MS" w:cs="Arial" w:hint="eastAsia"/>
          <w:szCs w:val="21"/>
        </w:rPr>
        <w:t>×</w:t>
      </w:r>
      <w:r>
        <w:rPr>
          <w:rFonts w:ascii="Arial Unicode MS" w:hAnsi="Arial Unicode MS" w:cs="Arial" w:hint="eastAsia"/>
          <w:szCs w:val="21"/>
        </w:rPr>
        <w:t xml:space="preserve">1.2500=12,500.00 </w:t>
      </w:r>
      <w:r>
        <w:rPr>
          <w:rFonts w:ascii="Arial Unicode MS" w:hAnsi="Arial Unicode MS" w:cs="Arial" w:hint="eastAsia"/>
          <w:szCs w:val="21"/>
        </w:rPr>
        <w:t>元</w:t>
      </w:r>
    </w:p>
    <w:p w14:paraId="63E5DA2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=12,500</w:t>
      </w:r>
      <w:r>
        <w:rPr>
          <w:rFonts w:ascii="Arial Unicode MS" w:hAnsi="Arial Unicode MS" w:cs="Arial" w:hint="eastAsia"/>
          <w:szCs w:val="21"/>
        </w:rPr>
        <w:t>×</w:t>
      </w:r>
      <w:r>
        <w:rPr>
          <w:rFonts w:ascii="Arial Unicode MS" w:hAnsi="Arial Unicode MS" w:cs="Arial" w:hint="eastAsia"/>
          <w:szCs w:val="21"/>
        </w:rPr>
        <w:t xml:space="preserve">0%=0.00 </w:t>
      </w:r>
      <w:r>
        <w:rPr>
          <w:rFonts w:ascii="Arial Unicode MS" w:hAnsi="Arial Unicode MS" w:cs="Arial" w:hint="eastAsia"/>
          <w:szCs w:val="21"/>
        </w:rPr>
        <w:t>元</w:t>
      </w:r>
    </w:p>
    <w:p w14:paraId="03EEB0FC"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赎回金额</w:t>
      </w:r>
      <w:r>
        <w:rPr>
          <w:rFonts w:ascii="Arial Unicode MS" w:hAnsi="Arial Unicode MS" w:cs="Arial" w:hint="eastAsia"/>
          <w:szCs w:val="21"/>
        </w:rPr>
        <w:t xml:space="preserve">=12,500.00-0.00=12,500.00 </w:t>
      </w:r>
      <w:r>
        <w:rPr>
          <w:rFonts w:ascii="Arial Unicode MS" w:hAnsi="Arial Unicode MS" w:cs="Arial" w:hint="eastAsia"/>
          <w:szCs w:val="21"/>
        </w:rPr>
        <w:t>元</w:t>
      </w:r>
    </w:p>
    <w:p w14:paraId="77086A77"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A</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A</w:t>
      </w:r>
      <w:r>
        <w:rPr>
          <w:rFonts w:ascii="Arial Unicode MS" w:hAnsi="Arial Unicode MS" w:cs="Arial" w:hint="eastAsia"/>
          <w:szCs w:val="21"/>
        </w:rPr>
        <w:t>类基金份额净值是</w:t>
      </w:r>
      <w:r>
        <w:rPr>
          <w:rFonts w:ascii="Arial Unicode MS" w:hAnsi="Arial Unicode MS" w:cs="Arial" w:hint="eastAsia"/>
          <w:szCs w:val="21"/>
        </w:rPr>
        <w:t>1.2500</w:t>
      </w:r>
      <w:r>
        <w:rPr>
          <w:rFonts w:ascii="Arial Unicode MS" w:hAnsi="Arial Unicode MS" w:cs="Arial" w:hint="eastAsia"/>
          <w:szCs w:val="21"/>
        </w:rPr>
        <w:t>元，则其可得到的赎回金额为</w:t>
      </w:r>
      <w:r>
        <w:rPr>
          <w:rFonts w:ascii="Arial Unicode MS" w:hAnsi="Arial Unicode MS" w:cs="Arial" w:hint="eastAsia"/>
          <w:szCs w:val="21"/>
        </w:rPr>
        <w:t>12,500.00</w:t>
      </w:r>
      <w:r>
        <w:rPr>
          <w:rFonts w:ascii="Arial Unicode MS" w:hAnsi="Arial Unicode MS" w:cs="Arial" w:hint="eastAsia"/>
          <w:szCs w:val="21"/>
        </w:rPr>
        <w:t>元。</w:t>
      </w:r>
    </w:p>
    <w:p w14:paraId="4D0FF6E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7</w:t>
      </w:r>
      <w:r>
        <w:rPr>
          <w:rFonts w:ascii="Arial Unicode MS" w:hAnsi="Arial Unicode MS" w:cs="Arial" w:hint="eastAsia"/>
          <w:szCs w:val="21"/>
        </w:rPr>
        <w:t>：某投资者赎回本基金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C</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C</w:t>
      </w:r>
      <w:r>
        <w:rPr>
          <w:rFonts w:ascii="Arial Unicode MS" w:hAnsi="Arial Unicode MS" w:cs="Arial" w:hint="eastAsia"/>
          <w:szCs w:val="21"/>
        </w:rPr>
        <w:t>类基金份额净值是</w:t>
      </w:r>
      <w:r>
        <w:rPr>
          <w:rFonts w:ascii="Arial Unicode MS" w:hAnsi="Arial Unicode MS" w:cs="Arial" w:hint="eastAsia"/>
          <w:szCs w:val="21"/>
        </w:rPr>
        <w:t xml:space="preserve">1.2500 </w:t>
      </w:r>
      <w:r>
        <w:rPr>
          <w:rFonts w:ascii="Arial Unicode MS" w:hAnsi="Arial Unicode MS" w:cs="Arial" w:hint="eastAsia"/>
          <w:szCs w:val="21"/>
        </w:rPr>
        <w:t>元，则其可得到的赎回金额为：</w:t>
      </w:r>
    </w:p>
    <w:p w14:paraId="7880D78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=10,000</w:t>
      </w:r>
      <w:r>
        <w:rPr>
          <w:rFonts w:ascii="Arial Unicode MS" w:hAnsi="Arial Unicode MS" w:cs="Arial" w:hint="eastAsia"/>
          <w:szCs w:val="21"/>
        </w:rPr>
        <w:t>×</w:t>
      </w:r>
      <w:r>
        <w:rPr>
          <w:rFonts w:ascii="Arial Unicode MS" w:hAnsi="Arial Unicode MS" w:cs="Arial" w:hint="eastAsia"/>
          <w:szCs w:val="21"/>
        </w:rPr>
        <w:t xml:space="preserve">1.2500=12,500.00 </w:t>
      </w:r>
      <w:r>
        <w:rPr>
          <w:rFonts w:ascii="Arial Unicode MS" w:hAnsi="Arial Unicode MS" w:cs="Arial" w:hint="eastAsia"/>
          <w:szCs w:val="21"/>
        </w:rPr>
        <w:t>元</w:t>
      </w:r>
    </w:p>
    <w:p w14:paraId="01D8884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=12,500</w:t>
      </w:r>
      <w:r>
        <w:rPr>
          <w:rFonts w:ascii="Arial Unicode MS" w:hAnsi="Arial Unicode MS" w:cs="Arial" w:hint="eastAsia"/>
          <w:szCs w:val="21"/>
        </w:rPr>
        <w:t>×</w:t>
      </w:r>
      <w:r>
        <w:rPr>
          <w:rFonts w:ascii="Arial Unicode MS" w:hAnsi="Arial Unicode MS" w:cs="Arial" w:hint="eastAsia"/>
          <w:szCs w:val="21"/>
        </w:rPr>
        <w:t xml:space="preserve">0%=0.00 </w:t>
      </w:r>
      <w:r>
        <w:rPr>
          <w:rFonts w:ascii="Arial Unicode MS" w:hAnsi="Arial Unicode MS" w:cs="Arial" w:hint="eastAsia"/>
          <w:szCs w:val="21"/>
        </w:rPr>
        <w:t>元</w:t>
      </w:r>
    </w:p>
    <w:p w14:paraId="6AF0843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净赎回金额</w:t>
      </w:r>
      <w:r>
        <w:rPr>
          <w:rFonts w:ascii="Arial Unicode MS" w:hAnsi="Arial Unicode MS" w:cs="Arial" w:hint="eastAsia"/>
          <w:szCs w:val="21"/>
        </w:rPr>
        <w:t xml:space="preserve">=12,500.00-0.00=12,500.00 </w:t>
      </w:r>
      <w:r>
        <w:rPr>
          <w:rFonts w:ascii="Arial Unicode MS" w:hAnsi="Arial Unicode MS" w:cs="Arial" w:hint="eastAsia"/>
          <w:szCs w:val="21"/>
        </w:rPr>
        <w:t>元</w:t>
      </w:r>
    </w:p>
    <w:p w14:paraId="3745C790"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即：投资者赎回本基金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C</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C</w:t>
      </w:r>
      <w:r>
        <w:rPr>
          <w:rFonts w:ascii="Arial Unicode MS" w:hAnsi="Arial Unicode MS" w:cs="Arial" w:hint="eastAsia"/>
          <w:szCs w:val="21"/>
        </w:rPr>
        <w:t>类基金份额净值是</w:t>
      </w:r>
      <w:r>
        <w:rPr>
          <w:rFonts w:ascii="Arial Unicode MS" w:hAnsi="Arial Unicode MS" w:cs="Arial" w:hint="eastAsia"/>
          <w:szCs w:val="21"/>
        </w:rPr>
        <w:t>1.2500</w:t>
      </w:r>
      <w:r>
        <w:rPr>
          <w:rFonts w:ascii="Arial Unicode MS" w:hAnsi="Arial Unicode MS" w:cs="Arial" w:hint="eastAsia"/>
          <w:szCs w:val="21"/>
        </w:rPr>
        <w:t>元，则其可得到的赎回金额为</w:t>
      </w:r>
      <w:r>
        <w:rPr>
          <w:rFonts w:ascii="Arial Unicode MS" w:hAnsi="Arial Unicode MS" w:cs="Arial" w:hint="eastAsia"/>
          <w:szCs w:val="21"/>
        </w:rPr>
        <w:t>12,500.00</w:t>
      </w:r>
      <w:r>
        <w:rPr>
          <w:rFonts w:ascii="Arial Unicode MS" w:hAnsi="Arial Unicode MS" w:cs="Arial" w:hint="eastAsia"/>
          <w:szCs w:val="21"/>
        </w:rPr>
        <w:t>元。</w:t>
      </w:r>
    </w:p>
    <w:p w14:paraId="18E95CE8"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、本基金各类基金份额净值的计算，均保留到小数点后</w:t>
      </w:r>
      <w:r>
        <w:rPr>
          <w:rFonts w:ascii="Arial Unicode MS" w:hAnsi="Arial Unicode MS" w:cs="Arial"/>
          <w:szCs w:val="21"/>
        </w:rPr>
        <w:t>4</w:t>
      </w:r>
      <w:r>
        <w:rPr>
          <w:rFonts w:ascii="Arial Unicode MS" w:hAnsi="Arial Unicode MS" w:cs="Arial" w:hint="eastAsia"/>
          <w:szCs w:val="21"/>
        </w:rPr>
        <w:t>位，小数点后第</w:t>
      </w:r>
      <w:r>
        <w:rPr>
          <w:rFonts w:ascii="Arial Unicode MS" w:hAnsi="Arial Unicode MS" w:cs="Arial"/>
          <w:szCs w:val="21"/>
        </w:rPr>
        <w:t>5</w:t>
      </w:r>
      <w:r>
        <w:rPr>
          <w:rFonts w:ascii="Arial Unicode MS" w:hAnsi="Arial Unicode MS" w:cs="Arial" w:hint="eastAsia"/>
          <w:szCs w:val="21"/>
        </w:rPr>
        <w:t>位四舍五入，由此产生的收益或损失由基金财产承担。</w:t>
      </w:r>
      <w:r>
        <w:rPr>
          <w:rFonts w:ascii="Arial Unicode MS" w:hAnsi="Arial Unicode MS" w:cs="Arial" w:hint="eastAsia"/>
          <w:szCs w:val="21"/>
        </w:rPr>
        <w:t>T</w:t>
      </w:r>
      <w:r>
        <w:rPr>
          <w:rFonts w:ascii="Arial Unicode MS" w:hAnsi="Arial Unicode MS" w:cs="Arial" w:hint="eastAsia"/>
          <w:szCs w:val="21"/>
        </w:rPr>
        <w:t>日的各类基金份额净值在当天收市后计算，并在</w:t>
      </w:r>
      <w:r>
        <w:rPr>
          <w:rFonts w:ascii="Arial Unicode MS" w:hAnsi="Arial Unicode MS" w:cs="Arial" w:hint="eastAsia"/>
          <w:szCs w:val="21"/>
        </w:rPr>
        <w:t>T+1</w:t>
      </w:r>
      <w:r>
        <w:rPr>
          <w:rFonts w:ascii="Arial Unicode MS" w:hAnsi="Arial Unicode MS" w:cs="Arial" w:hint="eastAsia"/>
          <w:szCs w:val="21"/>
        </w:rPr>
        <w:t>日内公告。遇特殊情况，经履行适当程序，可以适当延迟计算或公告。</w:t>
      </w:r>
    </w:p>
    <w:p w14:paraId="4B9DE58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基金赎回费率和销售服务费率，并进行公告。</w:t>
      </w:r>
    </w:p>
    <w:p w14:paraId="037C580C"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八、申购与赎回的登记</w:t>
      </w:r>
    </w:p>
    <w:p w14:paraId="544A879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、经基金销售机构同意，基金投资者提出的申购和赎回申请，在基金管理人规定的时间之前可以撤销。</w:t>
      </w:r>
    </w:p>
    <w:p w14:paraId="4A3FC34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、投资者申购基金成功后，登记机构在</w:t>
      </w:r>
      <w:r>
        <w:rPr>
          <w:rFonts w:ascii="Arial Unicode MS" w:hAnsi="Arial Unicode MS" w:cs="Arial" w:hint="eastAsia"/>
          <w:szCs w:val="21"/>
        </w:rPr>
        <w:t>T+1</w:t>
      </w:r>
      <w:r>
        <w:rPr>
          <w:rFonts w:ascii="Arial Unicode MS" w:hAnsi="Arial Unicode MS" w:cs="Arial" w:hint="eastAsia"/>
          <w:szCs w:val="21"/>
        </w:rPr>
        <w:t>日为投资者登记权益并办理登记手续，投资人自</w:t>
      </w:r>
      <w:r>
        <w:rPr>
          <w:rFonts w:ascii="Arial Unicode MS" w:hAnsi="Arial Unicode MS" w:cs="Arial" w:hint="eastAsia"/>
          <w:szCs w:val="21"/>
        </w:rPr>
        <w:t>T+2</w:t>
      </w:r>
      <w:r>
        <w:rPr>
          <w:rFonts w:ascii="Arial Unicode MS" w:hAnsi="Arial Unicode MS" w:cs="Arial" w:hint="eastAsia"/>
          <w:szCs w:val="21"/>
        </w:rPr>
        <w:t>日（含该日）后有权赎回该部分基金份额。</w:t>
      </w:r>
    </w:p>
    <w:p w14:paraId="0B327EF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、投资人赎回基金成功后，登记机构在</w:t>
      </w:r>
      <w:r>
        <w:rPr>
          <w:rFonts w:ascii="Arial Unicode MS" w:hAnsi="Arial Unicode MS" w:cs="Arial" w:hint="eastAsia"/>
          <w:szCs w:val="21"/>
        </w:rPr>
        <w:t>T+1</w:t>
      </w:r>
      <w:r>
        <w:rPr>
          <w:rFonts w:ascii="Arial Unicode MS" w:hAnsi="Arial Unicode MS" w:cs="Arial" w:hint="eastAsia"/>
          <w:szCs w:val="21"/>
        </w:rPr>
        <w:t>日为投资者办理扣除权益的登记手续。</w:t>
      </w:r>
    </w:p>
    <w:p w14:paraId="2B3C8D5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、基金管理人可以在法律法规允许的范围内，对上述登记办理时间进行调整，但不得实质影响投资者的合法权益，并最迟于开始实施前依照《信息披露办法》的有关规定进行公告。</w:t>
      </w:r>
    </w:p>
    <w:p w14:paraId="4D07E9E6" w14:textId="77777777" w:rsidR="00B804EC" w:rsidRDefault="00000000">
      <w:pPr>
        <w:adjustRightInd w:val="0"/>
        <w:snapToGrid w:val="0"/>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九</w:t>
      </w:r>
      <w:r>
        <w:rPr>
          <w:rFonts w:ascii="Arial Unicode MS" w:hAnsi="Arial Unicode MS"/>
          <w:b/>
          <w:bCs/>
          <w:szCs w:val="21"/>
        </w:rPr>
        <w:t>、拒绝或暂停申购的情形及处理</w:t>
      </w:r>
    </w:p>
    <w:p w14:paraId="43A4F079"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发生下列情况时，基金管理人可拒绝或暂停接受投资人的申购申请：</w:t>
      </w:r>
    </w:p>
    <w:p w14:paraId="29AA3C95"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、因不可抗力导致基金无法正常运作。</w:t>
      </w:r>
    </w:p>
    <w:p w14:paraId="02E2E5D1"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、发生基金合同规定的暂停基金资产估值情况时，基金管理人可暂停接受投资人的申购申请。</w:t>
      </w:r>
    </w:p>
    <w:p w14:paraId="5597338E"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、证券交易所交易时间非正常停市，导致基金管理人无法计算当日基金资产净值。</w:t>
      </w:r>
    </w:p>
    <w:p w14:paraId="24A1A402"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、基金管理人接受某笔或某些申购申请可能会影响或损害现有基金份额持有人利益时。</w:t>
      </w:r>
    </w:p>
    <w:p w14:paraId="681DADE7"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、基金资产规模过大，使基金管理人无法找到合适的投资品种，或其他可能对基金业绩产生负面影响，或发生其他损害现有基金份额持有人利益的情形。</w:t>
      </w:r>
    </w:p>
    <w:p w14:paraId="55A5543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、基金管理人、基金托管人、基金销售机构或登记机构的异常情况导致基金销售系统、</w:t>
      </w:r>
      <w:r>
        <w:rPr>
          <w:rFonts w:ascii="Arial Unicode MS" w:hAnsi="Arial Unicode MS" w:cs="Arial" w:hint="eastAsia"/>
          <w:bCs/>
          <w:szCs w:val="21"/>
        </w:rPr>
        <w:lastRenderedPageBreak/>
        <w:t>基金登记系统或基金会计系统无法正常运行。</w:t>
      </w:r>
    </w:p>
    <w:p w14:paraId="429C2E33"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、基金管理人接受某笔或者某些申购申请有可能导致单一投资者持有基金份额的比例达到或者超过</w:t>
      </w:r>
      <w:r>
        <w:rPr>
          <w:rFonts w:ascii="Arial Unicode MS" w:hAnsi="Arial Unicode MS" w:cs="Arial" w:hint="eastAsia"/>
          <w:bCs/>
          <w:szCs w:val="21"/>
        </w:rPr>
        <w:t>50%</w:t>
      </w:r>
      <w:r>
        <w:rPr>
          <w:rFonts w:ascii="Arial Unicode MS" w:hAnsi="Arial Unicode MS" w:cs="Arial" w:hint="eastAsia"/>
          <w:bCs/>
          <w:szCs w:val="21"/>
        </w:rPr>
        <w:t>，或者变相规避</w:t>
      </w:r>
      <w:r>
        <w:rPr>
          <w:rFonts w:ascii="Arial Unicode MS" w:hAnsi="Arial Unicode MS" w:cs="Arial" w:hint="eastAsia"/>
          <w:bCs/>
          <w:szCs w:val="21"/>
        </w:rPr>
        <w:t>50%</w:t>
      </w:r>
      <w:r>
        <w:rPr>
          <w:rFonts w:ascii="Arial Unicode MS" w:hAnsi="Arial Unicode MS" w:cs="Arial" w:hint="eastAsia"/>
          <w:bCs/>
          <w:szCs w:val="21"/>
        </w:rPr>
        <w:t>集中度的情形时。</w:t>
      </w:r>
    </w:p>
    <w:p w14:paraId="7CA53629"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、当前一估值日基金资产净值</w:t>
      </w:r>
      <w:r>
        <w:rPr>
          <w:rFonts w:ascii="Arial Unicode MS" w:hAnsi="Arial Unicode MS" w:cs="Arial" w:hint="eastAsia"/>
          <w:bCs/>
          <w:szCs w:val="21"/>
        </w:rPr>
        <w:t>50%</w:t>
      </w:r>
      <w:r>
        <w:rPr>
          <w:rFonts w:ascii="Arial Unicode MS" w:hAnsi="Arial Unicode MS" w:cs="Arial" w:hint="eastAsia"/>
          <w:bCs/>
          <w:szCs w:val="21"/>
        </w:rPr>
        <w:t>以上的资产出现无可参考的活跃市场价格且采用估值技术仍导致公允价值存在重大不确定性时，经与基金托管人协商确认后，基金管理人应当暂停基金估值并采取暂停接受基金申购申请的措施。</w:t>
      </w:r>
    </w:p>
    <w:p w14:paraId="691BC8B7"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、法律法规规定或中国证监会认定的其他情形。</w:t>
      </w:r>
    </w:p>
    <w:p w14:paraId="69EFFE3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发生上述第</w:t>
      </w:r>
      <w:r>
        <w:rPr>
          <w:rFonts w:ascii="Arial Unicode MS" w:hAnsi="Arial Unicode MS" w:cs="Arial" w:hint="eastAsia"/>
          <w:bCs/>
          <w:szCs w:val="21"/>
        </w:rPr>
        <w:t>1</w:t>
      </w: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w:t>
      </w:r>
      <w:r>
        <w:rPr>
          <w:rFonts w:ascii="Arial Unicode MS" w:hAnsi="Arial Unicode MS" w:cs="Arial" w:hint="eastAsia"/>
          <w:bCs/>
          <w:szCs w:val="21"/>
        </w:rPr>
        <w:t>6</w:t>
      </w:r>
      <w:r>
        <w:rPr>
          <w:rFonts w:ascii="Arial Unicode MS" w:hAnsi="Arial Unicode MS" w:cs="Arial" w:hint="eastAsia"/>
          <w:bCs/>
          <w:szCs w:val="21"/>
        </w:rPr>
        <w:t>、</w:t>
      </w:r>
      <w:r>
        <w:rPr>
          <w:rFonts w:ascii="Arial Unicode MS" w:hAnsi="Arial Unicode MS" w:cs="Arial" w:hint="eastAsia"/>
          <w:bCs/>
          <w:szCs w:val="21"/>
        </w:rPr>
        <w:t>8</w:t>
      </w:r>
      <w:r>
        <w:rPr>
          <w:rFonts w:ascii="Arial Unicode MS" w:hAnsi="Arial Unicode MS" w:cs="Arial" w:hint="eastAsia"/>
          <w:bCs/>
          <w:szCs w:val="21"/>
        </w:rPr>
        <w:t>、</w:t>
      </w:r>
      <w:r>
        <w:rPr>
          <w:rFonts w:ascii="Arial Unicode MS" w:hAnsi="Arial Unicode MS" w:cs="Arial" w:hint="eastAsia"/>
          <w:bCs/>
          <w:szCs w:val="21"/>
        </w:rPr>
        <w:t>9</w:t>
      </w:r>
      <w:r>
        <w:rPr>
          <w:rFonts w:ascii="Arial Unicode MS" w:hAnsi="Arial Unicode MS" w:cs="Arial" w:hint="eastAsia"/>
          <w:bCs/>
          <w:szCs w:val="21"/>
        </w:rPr>
        <w:t>项暂停申购情形之一且基金管理人决定暂停申购申请时，基金管理人应当根据有关规定进行公告。如果投资人的申购申请被拒绝，被拒绝的申购款项将退还给投资人。在暂停申购的情况消除时，基金管理人应及时恢复申购业务的办理。</w:t>
      </w:r>
    </w:p>
    <w:p w14:paraId="36F7F60B" w14:textId="77777777" w:rsidR="00B804EC" w:rsidRDefault="00000000">
      <w:pPr>
        <w:adjustRightInd w:val="0"/>
        <w:snapToGrid w:val="0"/>
        <w:spacing w:line="360" w:lineRule="auto"/>
        <w:ind w:firstLineChars="200" w:firstLine="422"/>
        <w:rPr>
          <w:rFonts w:ascii="Arial Unicode MS" w:hAnsi="Arial Unicode MS" w:hint="eastAsia"/>
          <w:b/>
        </w:rPr>
      </w:pPr>
      <w:bookmarkStart w:id="49" w:name="_Hlt70481650"/>
      <w:bookmarkEnd w:id="49"/>
      <w:r>
        <w:rPr>
          <w:rFonts w:ascii="Arial Unicode MS" w:hAnsi="Arial Unicode MS" w:hint="eastAsia"/>
          <w:b/>
          <w:bCs/>
          <w:szCs w:val="21"/>
        </w:rPr>
        <w:t>十</w:t>
      </w:r>
      <w:r>
        <w:rPr>
          <w:rFonts w:ascii="Arial Unicode MS" w:hAnsi="Arial Unicode MS"/>
          <w:b/>
          <w:bCs/>
          <w:szCs w:val="21"/>
        </w:rPr>
        <w:t>、</w:t>
      </w:r>
      <w:r>
        <w:rPr>
          <w:rFonts w:ascii="Arial Unicode MS" w:hAnsi="Arial Unicode MS" w:hint="eastAsia"/>
          <w:b/>
          <w:bCs/>
          <w:szCs w:val="21"/>
        </w:rPr>
        <w:t>暂停赎回或延缓支付赎回款项的情形</w:t>
      </w:r>
      <w:r>
        <w:rPr>
          <w:rFonts w:ascii="Arial Unicode MS" w:hAnsi="Arial Unicode MS" w:hint="eastAsia"/>
          <w:b/>
          <w:bCs/>
          <w:szCs w:val="21"/>
        </w:rPr>
        <w:t xml:space="preserve"> </w:t>
      </w:r>
      <w:r>
        <w:rPr>
          <w:rFonts w:ascii="Arial Unicode MS" w:hAnsi="Arial Unicode MS" w:cs="Arial" w:hint="eastAsia"/>
          <w:b/>
          <w:bCs/>
          <w:szCs w:val="21"/>
        </w:rPr>
        <w:t xml:space="preserve"> </w:t>
      </w:r>
    </w:p>
    <w:p w14:paraId="61A6E613"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发生下列情形时，基金管理人可暂停接受投资人的赎回申请或延缓支付赎回款项：</w:t>
      </w:r>
    </w:p>
    <w:p w14:paraId="5AD55E3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、因不可抗力导致基金管理人不能支付赎回款项。</w:t>
      </w:r>
    </w:p>
    <w:p w14:paraId="468B37DF"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、发生基金合同规定的暂停基金资产估值情况时，基金管理人可暂停接受投资人的赎回申请或延缓支付赎回款项。</w:t>
      </w:r>
    </w:p>
    <w:p w14:paraId="65EB3715"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、证券交易所交易时间非正常停市，导致基金管理人无法计算当日基金资产净值。</w:t>
      </w:r>
    </w:p>
    <w:p w14:paraId="0BAD0F0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、连续两个或两个以上开放日发生巨额赎回。</w:t>
      </w:r>
    </w:p>
    <w:p w14:paraId="09253BD5"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、发生继续接受赎回申请将损害现有基金份额持有人利益的情形时，基金管理人可暂停接受投资人的赎回申请。</w:t>
      </w:r>
    </w:p>
    <w:p w14:paraId="74752322"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、当前一估值日基金资产净值</w:t>
      </w:r>
      <w:r>
        <w:rPr>
          <w:rFonts w:ascii="Arial Unicode MS" w:hAnsi="Arial Unicode MS" w:hint="eastAsia"/>
          <w:bCs/>
          <w:szCs w:val="21"/>
        </w:rPr>
        <w:t>50%</w:t>
      </w:r>
      <w:r>
        <w:rPr>
          <w:rFonts w:ascii="Arial Unicode MS" w:hAnsi="Arial Unicode MS" w:hint="eastAsia"/>
          <w:bCs/>
          <w:szCs w:val="21"/>
        </w:rPr>
        <w:t>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14:paraId="4CD1B78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、法律法规规定或中国证监会认定的其他情形。</w:t>
      </w:r>
    </w:p>
    <w:p w14:paraId="247995EC"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发生上述情形之一且基金管理人决定拒绝接受或暂停接受基金份额持有人的赎回申请时，基金管理人应在当日报中国证监会备案，已确认的赎回申请，基金管理人应足额支付；如暂时不能足额支付，未支付部分可延期支付。若出现上述第</w:t>
      </w:r>
      <w:r>
        <w:rPr>
          <w:rFonts w:ascii="Arial Unicode MS" w:hAnsi="Arial Unicode MS" w:hint="eastAsia"/>
          <w:bCs/>
          <w:szCs w:val="21"/>
        </w:rPr>
        <w:t>4</w:t>
      </w:r>
      <w:r>
        <w:rPr>
          <w:rFonts w:ascii="Arial Unicode MS" w:hAnsi="Arial Unicode M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67795234"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十一、</w:t>
      </w:r>
      <w:r>
        <w:rPr>
          <w:rFonts w:ascii="Arial Unicode MS" w:hAnsi="Arial Unicode MS"/>
          <w:b/>
          <w:bCs/>
          <w:szCs w:val="21"/>
        </w:rPr>
        <w:t>巨额赎回的情形及处理方式</w:t>
      </w:r>
    </w:p>
    <w:p w14:paraId="34537C11"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、巨额赎回的认定</w:t>
      </w:r>
    </w:p>
    <w:p w14:paraId="01CB7697"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若本基金单个开放日内的基金份额净赎回申请</w:t>
      </w:r>
      <w:r>
        <w:rPr>
          <w:rFonts w:ascii="Arial Unicode MS" w:hAnsi="Arial Unicode MS" w:hint="eastAsia"/>
          <w:bCs/>
          <w:szCs w:val="21"/>
        </w:rPr>
        <w:t>(</w:t>
      </w:r>
      <w:r>
        <w:rPr>
          <w:rFonts w:ascii="Arial Unicode MS" w:hAnsi="Arial Unicode MS" w:hint="eastAsia"/>
          <w:bCs/>
          <w:szCs w:val="21"/>
        </w:rPr>
        <w:t>赎回申请份额总数加上基金转换中转出申请份额总数后扣除申购申请份额总数及基金转换中转入申请份额总数后的余额</w:t>
      </w:r>
      <w:r>
        <w:rPr>
          <w:rFonts w:ascii="Arial Unicode MS" w:hAnsi="Arial Unicode MS" w:hint="eastAsia"/>
          <w:bCs/>
          <w:szCs w:val="21"/>
        </w:rPr>
        <w:t>)</w:t>
      </w:r>
      <w:r>
        <w:rPr>
          <w:rFonts w:ascii="Arial Unicode MS" w:hAnsi="Arial Unicode MS" w:hint="eastAsia"/>
          <w:bCs/>
          <w:szCs w:val="21"/>
        </w:rPr>
        <w:t>超过前一开放日的基金总份额的</w:t>
      </w:r>
      <w:r>
        <w:rPr>
          <w:rFonts w:ascii="Arial Unicode MS" w:hAnsi="Arial Unicode MS" w:hint="eastAsia"/>
          <w:bCs/>
          <w:szCs w:val="21"/>
        </w:rPr>
        <w:t>10%</w:t>
      </w:r>
      <w:r>
        <w:rPr>
          <w:rFonts w:ascii="Arial Unicode MS" w:hAnsi="Arial Unicode MS" w:hint="eastAsia"/>
          <w:bCs/>
          <w:szCs w:val="21"/>
        </w:rPr>
        <w:t>，即认为是发生了巨额赎回。</w:t>
      </w:r>
    </w:p>
    <w:p w14:paraId="75912D3C"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、巨额赎回的处理方式</w:t>
      </w:r>
    </w:p>
    <w:p w14:paraId="5D814159"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当基金出现巨额赎回时，基金管理人可以根据基金当时的资产组合状况决定全额赎回或部分延期赎回。</w:t>
      </w:r>
    </w:p>
    <w:p w14:paraId="42B4C92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）全额赎回：当基金管理人认为有能力支付投资人的全部赎回申请时，按正常赎回程序执行。</w:t>
      </w:r>
    </w:p>
    <w:p w14:paraId="2C94A9A4"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Arial Unicode MS" w:hAnsi="Arial Unicode MS" w:hint="eastAsia"/>
          <w:bCs/>
          <w:szCs w:val="21"/>
        </w:rPr>
        <w:t>10%</w:t>
      </w:r>
      <w:r>
        <w:rPr>
          <w:rFonts w:ascii="Arial Unicode MS" w:hAnsi="Arial Unicode MS" w:hint="eastAsia"/>
          <w:bCs/>
          <w:szCs w:val="21"/>
        </w:rPr>
        <w:t>的前提下，可对其余赎回申请延期办理。</w:t>
      </w:r>
    </w:p>
    <w:p w14:paraId="5E3CCA53"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当发生巨额赎回时，对于单个基金份额持有人当日赎回申请超过上一开放日基金总份额</w:t>
      </w:r>
      <w:r>
        <w:rPr>
          <w:rFonts w:ascii="Arial Unicode MS" w:hAnsi="Arial Unicode MS" w:hint="eastAsia"/>
          <w:bCs/>
          <w:szCs w:val="21"/>
        </w:rPr>
        <w:t xml:space="preserve"> 50%</w:t>
      </w:r>
      <w:r>
        <w:rPr>
          <w:rFonts w:ascii="Arial Unicode MS" w:hAnsi="Arial Unicode MS" w:hint="eastAsia"/>
          <w:bCs/>
          <w:szCs w:val="21"/>
        </w:rPr>
        <w:t>以上的部分，基金管理人应当进行延期办理。对于其余当日非自动延期办理的赎回申请，应当按单个账户非自动延期办理的赎回申请量占非自动延期办理的赎回申请总量的比例，</w:t>
      </w:r>
      <w:r>
        <w:rPr>
          <w:rFonts w:ascii="Arial Unicode MS" w:hAnsi="Arial Unicode MS" w:hint="eastAsia"/>
          <w:bCs/>
          <w:szCs w:val="21"/>
        </w:rPr>
        <w:t xml:space="preserve"> </w:t>
      </w:r>
      <w:r>
        <w:rPr>
          <w:rFonts w:ascii="Arial Unicode MS" w:hAnsi="Arial Unicode MS" w:hint="eastAsia"/>
          <w:bCs/>
          <w:szCs w:val="21"/>
        </w:rPr>
        <w:t>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5D2AB282"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）暂停赎回：连续</w:t>
      </w:r>
      <w:r>
        <w:rPr>
          <w:rFonts w:ascii="Arial Unicode MS" w:hAnsi="Arial Unicode MS" w:hint="eastAsia"/>
          <w:bCs/>
          <w:szCs w:val="21"/>
        </w:rPr>
        <w:t>2</w:t>
      </w:r>
      <w:r>
        <w:rPr>
          <w:rFonts w:ascii="Arial Unicode MS" w:hAnsi="Arial Unicode MS" w:hint="eastAsia"/>
          <w:bCs/>
          <w:szCs w:val="21"/>
        </w:rPr>
        <w:t>个开放日以上</w:t>
      </w:r>
      <w:r>
        <w:rPr>
          <w:rFonts w:ascii="Arial Unicode MS" w:hAnsi="Arial Unicode MS" w:hint="eastAsia"/>
          <w:bCs/>
          <w:szCs w:val="21"/>
        </w:rPr>
        <w:t>(</w:t>
      </w:r>
      <w:r>
        <w:rPr>
          <w:rFonts w:ascii="Arial Unicode MS" w:hAnsi="Arial Unicode MS" w:hint="eastAsia"/>
          <w:bCs/>
          <w:szCs w:val="21"/>
        </w:rPr>
        <w:t>含</w:t>
      </w:r>
      <w:r>
        <w:rPr>
          <w:rFonts w:ascii="Arial Unicode MS" w:hAnsi="Arial Unicode MS" w:hint="eastAsia"/>
          <w:bCs/>
          <w:szCs w:val="21"/>
        </w:rPr>
        <w:t>)</w:t>
      </w:r>
      <w:r>
        <w:rPr>
          <w:rFonts w:ascii="Arial Unicode MS" w:hAnsi="Arial Unicode MS" w:hint="eastAsia"/>
          <w:bCs/>
          <w:szCs w:val="21"/>
        </w:rPr>
        <w:t>发生巨额赎回，如基金管理人认为有必要，可暂停接受基金的赎回申请；已经接受的赎回申请可以延缓支付赎回款项，但不得超过</w:t>
      </w:r>
      <w:r>
        <w:rPr>
          <w:rFonts w:ascii="Arial Unicode MS" w:hAnsi="Arial Unicode MS" w:hint="eastAsia"/>
          <w:bCs/>
          <w:szCs w:val="21"/>
        </w:rPr>
        <w:t>20</w:t>
      </w:r>
      <w:r>
        <w:rPr>
          <w:rFonts w:ascii="Arial Unicode MS" w:hAnsi="Arial Unicode MS" w:hint="eastAsia"/>
          <w:bCs/>
          <w:szCs w:val="21"/>
        </w:rPr>
        <w:t>个工作日，并应当依据相关规定进行公告。</w:t>
      </w:r>
    </w:p>
    <w:p w14:paraId="4A0F15B2"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、巨额赎回的公告</w:t>
      </w:r>
    </w:p>
    <w:p w14:paraId="3FC019CB"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当发生上述巨额赎回并延期办理时，基金管理人应当通过邮寄、传真或者招募说明书规定的其他方式在</w:t>
      </w:r>
      <w:r>
        <w:rPr>
          <w:rFonts w:ascii="Arial Unicode MS" w:hAnsi="Arial Unicode MS" w:hint="eastAsia"/>
          <w:bCs/>
          <w:szCs w:val="21"/>
        </w:rPr>
        <w:t>3</w:t>
      </w:r>
      <w:r>
        <w:rPr>
          <w:rFonts w:ascii="Arial Unicode MS" w:hAnsi="Arial Unicode MS" w:hint="eastAsia"/>
          <w:bCs/>
          <w:szCs w:val="21"/>
        </w:rPr>
        <w:t>个交易日内通知基金份额持有人，说明有关处理方法，并在</w:t>
      </w:r>
      <w:r>
        <w:rPr>
          <w:rFonts w:ascii="Arial Unicode MS" w:hAnsi="Arial Unicode MS" w:hint="eastAsia"/>
          <w:bCs/>
          <w:szCs w:val="21"/>
        </w:rPr>
        <w:t>2</w:t>
      </w:r>
      <w:r>
        <w:rPr>
          <w:rFonts w:ascii="Arial Unicode MS" w:hAnsi="Arial Unicode MS" w:hint="eastAsia"/>
          <w:bCs/>
          <w:szCs w:val="21"/>
        </w:rPr>
        <w:t>日内在规定媒介上刊登公告。</w:t>
      </w:r>
    </w:p>
    <w:p w14:paraId="47AA4934"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十二、</w:t>
      </w:r>
      <w:r>
        <w:rPr>
          <w:rFonts w:ascii="Arial Unicode MS" w:hAnsi="Arial Unicode MS"/>
          <w:b/>
          <w:bCs/>
          <w:szCs w:val="21"/>
        </w:rPr>
        <w:t>暂停申购或赎回的公告和重新开放申购或赎回的公告</w:t>
      </w:r>
    </w:p>
    <w:p w14:paraId="6AC71C2A"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、发生上述暂停申购或赎回情况的，基金管理人应在规定期限内在规定媒介上刊登暂停公告。</w:t>
      </w:r>
    </w:p>
    <w:p w14:paraId="73907403"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、如发生暂停的时间为</w:t>
      </w:r>
      <w:r>
        <w:rPr>
          <w:rFonts w:ascii="Arial Unicode MS" w:hAnsi="Arial Unicode MS" w:hint="eastAsia"/>
          <w:bCs/>
          <w:szCs w:val="21"/>
        </w:rPr>
        <w:t>1</w:t>
      </w:r>
      <w:r>
        <w:rPr>
          <w:rFonts w:ascii="Arial Unicode MS" w:hAnsi="Arial Unicode MS" w:hint="eastAsia"/>
          <w:bCs/>
          <w:szCs w:val="21"/>
        </w:rPr>
        <w:t>日，基金管理人应于重新开放日，在规定媒介上刊登基金重新开放申购或赎回公告，并公布最近</w:t>
      </w:r>
      <w:r>
        <w:rPr>
          <w:rFonts w:ascii="Arial Unicode MS" w:hAnsi="Arial Unicode MS" w:hint="eastAsia"/>
          <w:bCs/>
          <w:szCs w:val="21"/>
        </w:rPr>
        <w:t>1</w:t>
      </w:r>
      <w:r>
        <w:rPr>
          <w:rFonts w:ascii="Arial Unicode MS" w:hAnsi="Arial Unicode MS" w:hint="eastAsia"/>
          <w:bCs/>
          <w:szCs w:val="21"/>
        </w:rPr>
        <w:t>个开放日的各类基金份额净值。</w:t>
      </w:r>
    </w:p>
    <w:p w14:paraId="07BF8191"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、如发生暂停的时间超过</w:t>
      </w:r>
      <w:r>
        <w:rPr>
          <w:rFonts w:ascii="Arial Unicode MS" w:hAnsi="Arial Unicode MS" w:hint="eastAsia"/>
          <w:bCs/>
          <w:szCs w:val="21"/>
        </w:rPr>
        <w:t>1</w:t>
      </w:r>
      <w:r>
        <w:rPr>
          <w:rFonts w:ascii="Arial Unicode MS" w:hAnsi="Arial Unicode MS" w:hint="eastAsia"/>
          <w:bCs/>
          <w:szCs w:val="21"/>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8DA4F7F"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十三、基金转换</w:t>
      </w:r>
    </w:p>
    <w:p w14:paraId="4A28A157"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13C25728"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十四、基金份额的转让</w:t>
      </w:r>
    </w:p>
    <w:p w14:paraId="2196572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F9925F1"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十五、基金的非交易过户</w:t>
      </w:r>
    </w:p>
    <w:p w14:paraId="515154AF"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82A9803"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168E25"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十六、基金的转托管</w:t>
      </w:r>
    </w:p>
    <w:p w14:paraId="5D580039"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基金份额持有人可办理已持有基金份额在不同销售机构之间的转托管，基金销售机构可以按照规定的标准收取转托管费。</w:t>
      </w:r>
    </w:p>
    <w:p w14:paraId="140D824C"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十七、定期定额投资计划</w:t>
      </w:r>
    </w:p>
    <w:p w14:paraId="654C4D30"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14:paraId="3B3A1164"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lastRenderedPageBreak/>
        <w:t>十八、基金份额的冻结和解冻</w:t>
      </w:r>
    </w:p>
    <w:p w14:paraId="3DB9F2D5"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基金登记机构只受理国家有权机关依法要求的基金份额的冻结与解冻，以及登记机构认可、符合法律法规的其他情况下的冻结与解冻。</w:t>
      </w:r>
    </w:p>
    <w:p w14:paraId="21A5B67D" w14:textId="77777777" w:rsidR="00B804EC"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十九、实施侧袋机制期间本基金的申购与赎回</w:t>
      </w:r>
    </w:p>
    <w:p w14:paraId="6D569C78" w14:textId="77777777" w:rsidR="00B804EC"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本基金实施侧袋机制的，本基金的申购和赎回安排详见招募说明书“侧袋机制”部分的规定或相关公告。</w:t>
      </w:r>
    </w:p>
    <w:p w14:paraId="2EBD973D"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4BC8798E"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64EC141A"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4FCC0947"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618CCED8"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71E81D71"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70BE643F"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5318A9D0"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7437842D"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10D6969B"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135C6D49"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5BD94D1A"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3A6FD881"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6FD1A294"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5857002D" w14:textId="77777777" w:rsidR="00B804EC" w:rsidRDefault="00B804EC">
      <w:pPr>
        <w:autoSpaceDE w:val="0"/>
        <w:autoSpaceDN w:val="0"/>
        <w:adjustRightInd w:val="0"/>
        <w:spacing w:line="360" w:lineRule="auto"/>
        <w:ind w:firstLine="420"/>
        <w:jc w:val="left"/>
        <w:rPr>
          <w:rFonts w:ascii="Arial Unicode MS" w:hAnsi="Arial Unicode MS" w:hint="eastAsia"/>
          <w:bCs/>
          <w:szCs w:val="21"/>
        </w:rPr>
      </w:pPr>
    </w:p>
    <w:p w14:paraId="1CAE944B" w14:textId="77777777" w:rsidR="00B804EC" w:rsidRDefault="00000000">
      <w:pPr>
        <w:widowControl/>
        <w:jc w:val="left"/>
        <w:rPr>
          <w:rFonts w:ascii="Arial Unicode MS" w:hAnsi="Arial Unicode MS" w:hint="eastAsia"/>
          <w:bCs/>
          <w:szCs w:val="21"/>
        </w:rPr>
      </w:pPr>
      <w:r>
        <w:rPr>
          <w:rFonts w:ascii="Arial Unicode MS" w:hAnsi="Arial Unicode MS"/>
          <w:bCs/>
          <w:szCs w:val="21"/>
        </w:rPr>
        <w:br w:type="page"/>
      </w:r>
    </w:p>
    <w:p w14:paraId="707BC1D5" w14:textId="77777777" w:rsidR="00B804EC"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50" w:name="_Toc335232697"/>
      <w:bookmarkStart w:id="51" w:name="_Toc214873598"/>
      <w:bookmarkStart w:id="52" w:name="_Toc320887648"/>
      <w:bookmarkStart w:id="53" w:name="_Toc317088146"/>
      <w:bookmarkStart w:id="54" w:name="_Toc317088543"/>
      <w:bookmarkStart w:id="55" w:name="_Toc63676444"/>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基金的投资</w:t>
      </w:r>
      <w:bookmarkEnd w:id="50"/>
      <w:bookmarkEnd w:id="51"/>
      <w:bookmarkEnd w:id="52"/>
      <w:bookmarkEnd w:id="53"/>
      <w:bookmarkEnd w:id="54"/>
      <w:bookmarkEnd w:id="55"/>
    </w:p>
    <w:p w14:paraId="56C7F83F" w14:textId="77777777" w:rsidR="00B804EC" w:rsidRDefault="00B804EC"/>
    <w:p w14:paraId="508B6A11" w14:textId="77777777" w:rsidR="00B804EC"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一、投资目标</w:t>
      </w:r>
    </w:p>
    <w:p w14:paraId="0F70FE9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在一定程度上控制组合净值波动率的前提下，力争长期内实现超越业绩比较基准的投资回报。</w:t>
      </w:r>
    </w:p>
    <w:p w14:paraId="7CE2EC32" w14:textId="77777777" w:rsidR="00B804EC"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二、投资范围</w:t>
      </w:r>
    </w:p>
    <w:p w14:paraId="288C2D1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24AB30D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本基金不投资于股票和权证，也不投资于可转换债券（可分离交易可转债的纯债部分除外）、可交换债券。</w:t>
      </w:r>
    </w:p>
    <w:p w14:paraId="567E4FC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基金的投资组合比例为：本基金对债券的投资比例不低于基金资产的</w:t>
      </w:r>
      <w:r>
        <w:rPr>
          <w:rFonts w:ascii="Arial Unicode MS" w:hAnsi="Arial Unicode MS" w:cs="Arial" w:hint="eastAsia"/>
          <w:bCs/>
          <w:szCs w:val="21"/>
        </w:rPr>
        <w:t>80</w:t>
      </w:r>
      <w:r>
        <w:rPr>
          <w:rFonts w:ascii="Arial Unicode MS" w:hAnsi="Arial Unicode MS" w:cs="Arial" w:hint="eastAsia"/>
          <w:bCs/>
          <w:szCs w:val="21"/>
        </w:rPr>
        <w:t>％；本基金持有现金或者到期日在一年以内的政府债券投资比例不低于基金资产净值的</w:t>
      </w:r>
      <w:r>
        <w:rPr>
          <w:rFonts w:ascii="Arial Unicode MS" w:hAnsi="Arial Unicode MS" w:cs="Arial" w:hint="eastAsia"/>
          <w:bCs/>
          <w:szCs w:val="21"/>
        </w:rPr>
        <w:t>5%</w:t>
      </w:r>
      <w:r>
        <w:rPr>
          <w:rFonts w:ascii="Arial Unicode MS" w:hAnsi="Arial Unicode MS" w:cs="Arial" w:hint="eastAsia"/>
          <w:bCs/>
          <w:szCs w:val="21"/>
        </w:rPr>
        <w:t>，其中，现金不包括结算备付金、存出保证金、应收申购款。</w:t>
      </w:r>
    </w:p>
    <w:p w14:paraId="46C72F5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如法律法规或监管机构以后允许基金投资的其他品种，基金管理人在履行适当程序后，可以将其纳入投资范围。</w:t>
      </w:r>
    </w:p>
    <w:p w14:paraId="626F7F88" w14:textId="77777777" w:rsidR="00B804EC"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w:t>
      </w:r>
      <w:r>
        <w:rPr>
          <w:rFonts w:ascii="Arial Unicode MS" w:hAnsi="Arial Unicode MS" w:cs="Arial"/>
          <w:b/>
          <w:bCs/>
          <w:szCs w:val="21"/>
        </w:rPr>
        <w:t>、投资策略</w:t>
      </w:r>
    </w:p>
    <w:p w14:paraId="6A7C725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bookmarkStart w:id="56" w:name="_Toc148867251"/>
      <w:bookmarkStart w:id="57" w:name="_Toc212891567"/>
      <w:bookmarkStart w:id="58" w:name="_Toc149105517"/>
      <w:r>
        <w:rPr>
          <w:rFonts w:ascii="Arial Unicode MS" w:hAnsi="Arial Unicode MS" w:cs="Arial" w:hint="eastAsia"/>
          <w:bCs/>
          <w:szCs w:val="21"/>
        </w:rPr>
        <w:t>本基金通过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尽量获取最大化的信用溢价。本基金采用的投资策略包括：期限结构策略、行业配置策略、息差策略、个券挖掘策略等。</w:t>
      </w:r>
    </w:p>
    <w:p w14:paraId="433AC5E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首先，本组合宏观周期研究的基础上，决定整体组合的久期、杠杆率策略。</w:t>
      </w:r>
    </w:p>
    <w:p w14:paraId="40C6EA0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一方面，本基金将分析众多的宏观经济变量（包括</w:t>
      </w:r>
      <w:r>
        <w:rPr>
          <w:rFonts w:ascii="Arial Unicode MS" w:hAnsi="Arial Unicode MS" w:cs="Arial" w:hint="eastAsia"/>
          <w:bCs/>
          <w:szCs w:val="21"/>
        </w:rPr>
        <w:t>GDP</w:t>
      </w:r>
      <w:r>
        <w:rPr>
          <w:rFonts w:ascii="Arial Unicode MS" w:hAnsi="Arial Unicode MS" w:cs="Arial" w:hint="eastAsia"/>
          <w:bCs/>
          <w:szCs w:val="21"/>
        </w:rPr>
        <w:t>增长率、</w:t>
      </w:r>
      <w:r>
        <w:rPr>
          <w:rFonts w:ascii="Arial Unicode MS" w:hAnsi="Arial Unicode MS" w:cs="Arial" w:hint="eastAsia"/>
          <w:bCs/>
          <w:szCs w:val="21"/>
        </w:rPr>
        <w:t>CPI</w:t>
      </w:r>
      <w:r>
        <w:rPr>
          <w:rFonts w:ascii="Arial Unicode MS" w:hAnsi="Arial Unicode MS" w:cs="Arial" w:hint="eastAsia"/>
          <w:bCs/>
          <w:szCs w:val="21"/>
        </w:rPr>
        <w:t>走势、</w:t>
      </w:r>
      <w:r>
        <w:rPr>
          <w:rFonts w:ascii="Arial Unicode MS" w:hAnsi="Arial Unicode MS" w:cs="Arial" w:hint="eastAsia"/>
          <w:bCs/>
          <w:szCs w:val="21"/>
        </w:rPr>
        <w:t>M2</w:t>
      </w:r>
      <w:r>
        <w:rPr>
          <w:rFonts w:ascii="Arial Unicode MS" w:hAnsi="Arial Unicode MS" w:cs="Arial" w:hint="eastAsia"/>
          <w:bCs/>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整体组合的久期范围以及杠杆率水平。</w:t>
      </w:r>
    </w:p>
    <w:p w14:paraId="2A0D412C"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其次，本组合将在期限结构策略、行业轮动策略的基础上获得债券市场整体回报率，通过息差策略、个券挖掘策略获得超额收益。</w:t>
      </w:r>
    </w:p>
    <w:p w14:paraId="598A1005"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、期限结构策略。通过预测收益率曲线的形状和变化趋势，对各类型债券进行久期配</w:t>
      </w:r>
      <w:r>
        <w:rPr>
          <w:rFonts w:ascii="Arial Unicode MS" w:hAnsi="Arial Unicode MS" w:cs="Arial" w:hint="eastAsia"/>
          <w:bCs/>
          <w:szCs w:val="21"/>
        </w:rPr>
        <w:lastRenderedPageBreak/>
        <w:t>置；当收益率曲线走势难以判断时，参考基准指数的样本券久期构建组合久期，确保组合收益超过基准收益。具体来看，又分为跟踪收益率曲线的骑乘策略和基于收益率曲线变化的子弹策略、杠铃策略及梯式策略。</w:t>
      </w:r>
    </w:p>
    <w:p w14:paraId="2095844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）骑乘策略是当收益率曲线比较陡峭时，也即相邻期限利差较大时，买入期限位于收益率曲线陡峭处的债券，通过债券的收益率的下滑，进而获得资本利得收益。</w:t>
      </w:r>
    </w:p>
    <w:p w14:paraId="22FF95CB"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别于收益率曲线，适用于收益率曲线水平移动。</w:t>
      </w:r>
    </w:p>
    <w:p w14:paraId="422260F7"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、行业配置策略。债券市场所涉及行业众多，同样宏观周期背景下不同行业的景气度的发生，本基金分别采用以下的分析策略：</w:t>
      </w:r>
    </w:p>
    <w:p w14:paraId="3BEEC3DD"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）分散化投资：发行人涉及众多行业，本组合将保持在各行业配置比例上的分散化结构，避免过度集中配置在产业链高度相关的上中下游行业。</w:t>
      </w:r>
    </w:p>
    <w:p w14:paraId="51DCD0D9"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）行业投资：本组合将依据对下一阶段各行业景气度特征的研判，确定在下一阶段在各行业的配置比例，卖出景气度降低行业的债券，提前布局景气度提升行业的债券。</w:t>
      </w:r>
    </w:p>
    <w:p w14:paraId="1F44ED5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、息差策略。通过正回购，融资买入收益率高于回购成本的债券，从而获得杠杆放大收益。</w:t>
      </w:r>
    </w:p>
    <w:p w14:paraId="3251507C"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本组合将采取低杠杆、高流动性策略，适当运用杠杆息差方式来获取主动管理回报，选取具有较好流动性的债券作为杠杆买入品种，灵活控制杠杆组合仓位，降低组合波动率。</w:t>
      </w:r>
    </w:p>
    <w:p w14:paraId="74897BE3"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个券挖掘策略。本部分策略强调公司价值挖掘的重要性，在行业周期特征、公司基本面风险特征基础上制定绝对收益率目标策略，甄别具有估值优势、基本面改善的公司，采取高度分散策略，重点布局优势债券，争取提高组合超额收益空间。</w:t>
      </w:r>
    </w:p>
    <w:p w14:paraId="5962A14F"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四、投资决策流程</w:t>
      </w:r>
    </w:p>
    <w:p w14:paraId="37D338A1"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具体的投资流程为：</w:t>
      </w:r>
    </w:p>
    <w:p w14:paraId="3D3045AA"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固定收益部和研究部按照研究员岗位分工进行宏观经济研究、债券市场研究支持。宏观经济研究主要从宏观经济分析、货币政策分析和财政政策分析三方面入手，对未来利率变化趋势进行预测；债券市场研究主要从债券市场交易情况分析、债券市场收益率曲线分析寻找投资机会，选择最佳的交易策略。</w:t>
      </w:r>
    </w:p>
    <w:p w14:paraId="7FED680A"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）固定收益部定期召开例会讨论固定收益产品投资方案和未来的行情判断，结合宏观经济、债券市场两方面研究结果确定下期的固定收益产品投资策略</w:t>
      </w:r>
      <w:r>
        <w:rPr>
          <w:rFonts w:ascii="Arial Unicode MS" w:hAnsi="Arial Unicode MS" w:cs="Arial" w:hint="eastAsia"/>
          <w:szCs w:val="21"/>
        </w:rPr>
        <w:t>,</w:t>
      </w:r>
      <w:r>
        <w:rPr>
          <w:rFonts w:ascii="Arial Unicode MS" w:hAnsi="Arial Unicode MS" w:cs="Arial" w:hint="eastAsia"/>
          <w:szCs w:val="21"/>
        </w:rPr>
        <w:t>并报投资决策委员会备案。</w:t>
      </w:r>
    </w:p>
    <w:p w14:paraId="51BD4D4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3</w:t>
      </w:r>
      <w:r>
        <w:rPr>
          <w:rFonts w:ascii="Arial Unicode MS" w:hAnsi="Arial Unicode MS" w:cs="Arial" w:hint="eastAsia"/>
          <w:szCs w:val="21"/>
        </w:rPr>
        <w:t>）基金经理负责执行投资方案。</w:t>
      </w:r>
    </w:p>
    <w:p w14:paraId="664B84F9"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）公司所管理的基金投资交易均采用集中交易制度。投资执行与投资决策严格分离，基金的所有证券买卖活动须通过交易部统一分配，集中交易完成。</w:t>
      </w:r>
    </w:p>
    <w:p w14:paraId="7A3923EA"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）基金经理根据市场变化在权限范围及时进行投资策略调整，超过投资权限的报投资决策委员会审议。</w:t>
      </w:r>
    </w:p>
    <w:p w14:paraId="7D23B194"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投资合规性控制从以下方面展开：</w:t>
      </w:r>
    </w:p>
    <w:p w14:paraId="5D60786B"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）风险管理委员会：通过对基金投资的研究、决策、执行等，从制度上、操作程序上进行控制，保证公司管理基金投资的各项制度、措施、工作流程符合相关法律、法规和基金合同的要求。</w:t>
      </w:r>
    </w:p>
    <w:p w14:paraId="58F8923D"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）督察长：可列席公司投资决策委员会议，全程监控交易指令的执行情况，保证合规性控制的实施。</w:t>
      </w:r>
    </w:p>
    <w:p w14:paraId="530F012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）监察稽核部：可对基金投资管理过程的各环节进行例行和专项稽核，根据授权察看基金的交易情况，确保投资决策和交易指令得到全面、准确的执行。</w:t>
      </w:r>
    </w:p>
    <w:p w14:paraId="01AD257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）交易部负责对投资指令进行审核，对日常交易行为实时监控。</w:t>
      </w:r>
    </w:p>
    <w:p w14:paraId="6A8230D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事务部通过与托管行和交易部有关数据的核对，对当日交易操作进行复核，如发现有违反法律法规、监管要求、基金合同、资产管理合同或公司相关规定，须立刻通报交易部、监察稽核部和固定收益部，并按照公司相关风险报告程序上报。</w:t>
      </w:r>
    </w:p>
    <w:bookmarkEnd w:id="56"/>
    <w:bookmarkEnd w:id="57"/>
    <w:bookmarkEnd w:id="58"/>
    <w:p w14:paraId="1F97E127" w14:textId="77777777" w:rsidR="00B804EC"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w:t>
      </w:r>
      <w:r>
        <w:rPr>
          <w:rFonts w:ascii="Arial Unicode MS" w:hAnsi="Arial Unicode MS" w:cs="Arial"/>
          <w:b/>
          <w:bCs/>
          <w:szCs w:val="21"/>
        </w:rPr>
        <w:t>、投资限制</w:t>
      </w:r>
    </w:p>
    <w:p w14:paraId="20A55F20"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、组合限制</w:t>
      </w:r>
    </w:p>
    <w:p w14:paraId="033F0CD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基金的投资组合应遵循以下限制：</w:t>
      </w:r>
    </w:p>
    <w:p w14:paraId="24DB7EA0"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）本基金对债券的投资比例不低于基金资产的</w:t>
      </w:r>
      <w:r>
        <w:rPr>
          <w:rFonts w:ascii="Arial Unicode MS" w:hAnsi="Arial Unicode MS" w:cs="Arial" w:hint="eastAsia"/>
          <w:szCs w:val="21"/>
        </w:rPr>
        <w:t>80%</w:t>
      </w:r>
      <w:r>
        <w:rPr>
          <w:rFonts w:ascii="Arial Unicode MS" w:hAnsi="Arial Unicode MS" w:cs="Arial" w:hint="eastAsia"/>
          <w:szCs w:val="21"/>
        </w:rPr>
        <w:t>；</w:t>
      </w:r>
    </w:p>
    <w:p w14:paraId="13958BA8"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szCs w:val="21"/>
        </w:rPr>
        <w:t>本基金</w:t>
      </w:r>
      <w:r>
        <w:rPr>
          <w:rFonts w:ascii="Arial Unicode MS" w:hAnsi="Arial Unicode MS" w:cs="Arial" w:hint="eastAsia"/>
          <w:szCs w:val="21"/>
        </w:rPr>
        <w:t>持有现金或者到期日在一年以内的政府债券投资比例合计不低于基金资产净值的</w:t>
      </w:r>
      <w:r>
        <w:rPr>
          <w:rFonts w:ascii="Arial Unicode MS" w:hAnsi="Arial Unicode MS" w:cs="Arial"/>
          <w:szCs w:val="21"/>
        </w:rPr>
        <w:t>5%</w:t>
      </w:r>
      <w:r>
        <w:rPr>
          <w:rFonts w:ascii="Arial Unicode MS" w:hAnsi="Arial Unicode MS" w:cs="Arial" w:hint="eastAsia"/>
          <w:szCs w:val="21"/>
        </w:rPr>
        <w:t>，</w:t>
      </w:r>
      <w:r>
        <w:rPr>
          <w:rFonts w:ascii="Arial Unicode MS" w:hAnsi="Arial Unicode MS" w:cs="Arial" w:hint="eastAsia"/>
          <w:bCs/>
          <w:szCs w:val="21"/>
        </w:rPr>
        <w:t>其中，现金不包括结算备付金、存出保证金、应收申购款</w:t>
      </w:r>
      <w:r>
        <w:rPr>
          <w:rFonts w:ascii="Arial Unicode MS" w:hAnsi="Arial Unicode MS" w:cs="Arial" w:hint="eastAsia"/>
          <w:szCs w:val="21"/>
        </w:rPr>
        <w:t>；</w:t>
      </w:r>
    </w:p>
    <w:p w14:paraId="6B1B7A1B"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3</w:t>
      </w:r>
      <w:r>
        <w:rPr>
          <w:rFonts w:ascii="Arial Unicode MS" w:hAnsi="Arial Unicode MS" w:cs="Arial"/>
          <w:szCs w:val="21"/>
        </w:rPr>
        <w:t>）本基金持有一家公司</w:t>
      </w:r>
      <w:r>
        <w:rPr>
          <w:rFonts w:ascii="Arial Unicode MS" w:hAnsi="Arial Unicode MS" w:cs="Arial" w:hint="eastAsia"/>
          <w:szCs w:val="21"/>
        </w:rPr>
        <w:t>发行</w:t>
      </w:r>
      <w:r>
        <w:rPr>
          <w:rFonts w:ascii="Arial Unicode MS" w:hAnsi="Arial Unicode MS" w:cs="Arial"/>
          <w:szCs w:val="21"/>
        </w:rPr>
        <w:t>的</w:t>
      </w:r>
      <w:r>
        <w:rPr>
          <w:rFonts w:ascii="Arial Unicode MS" w:hAnsi="Arial Unicode MS" w:cs="Arial" w:hint="eastAsia"/>
          <w:szCs w:val="21"/>
        </w:rPr>
        <w:t>证券</w:t>
      </w:r>
      <w:r>
        <w:rPr>
          <w:rFonts w:ascii="Arial Unicode MS" w:hAnsi="Arial Unicode MS" w:cs="Arial"/>
          <w:szCs w:val="21"/>
        </w:rPr>
        <w:t>，其市值不超过基金资产净值的</w:t>
      </w:r>
      <w:r>
        <w:rPr>
          <w:rFonts w:ascii="Arial Unicode MS" w:hAnsi="Arial Unicode MS" w:cs="Arial"/>
          <w:szCs w:val="21"/>
        </w:rPr>
        <w:t>10</w:t>
      </w:r>
      <w:r>
        <w:rPr>
          <w:rFonts w:ascii="Arial Unicode MS" w:hAnsi="Arial Unicode MS" w:cs="Arial"/>
          <w:szCs w:val="21"/>
        </w:rPr>
        <w:t>％；</w:t>
      </w:r>
    </w:p>
    <w:p w14:paraId="182841F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4</w:t>
      </w:r>
      <w:r>
        <w:rPr>
          <w:rFonts w:ascii="Arial Unicode MS" w:hAnsi="Arial Unicode MS" w:cs="Arial"/>
          <w:szCs w:val="21"/>
        </w:rPr>
        <w:t>）本基金管理人管理的全部基金持有一家公司发行的证券，不超过该证券的</w:t>
      </w:r>
      <w:r>
        <w:rPr>
          <w:rFonts w:ascii="Arial Unicode MS" w:hAnsi="Arial Unicode MS" w:cs="Arial"/>
          <w:szCs w:val="21"/>
        </w:rPr>
        <w:t>10</w:t>
      </w:r>
      <w:r>
        <w:rPr>
          <w:rFonts w:ascii="Arial Unicode MS" w:hAnsi="Arial Unicode MS" w:cs="Arial"/>
          <w:szCs w:val="21"/>
        </w:rPr>
        <w:t>％；</w:t>
      </w:r>
    </w:p>
    <w:p w14:paraId="5B785B34"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）本基金进入全国银行间同业市场进行债券回购的资金余额不得超过基金资产净值的</w:t>
      </w:r>
      <w:r>
        <w:rPr>
          <w:rFonts w:ascii="Arial Unicode MS" w:hAnsi="Arial Unicode MS" w:cs="Arial" w:hint="eastAsia"/>
          <w:szCs w:val="21"/>
        </w:rPr>
        <w:t>40%</w:t>
      </w:r>
      <w:r>
        <w:rPr>
          <w:rFonts w:ascii="Arial Unicode MS" w:hAnsi="Arial Unicode MS" w:cs="Arial" w:hint="eastAsia"/>
          <w:szCs w:val="21"/>
        </w:rPr>
        <w:t>；在全国银行间同业市场中的债券回购最长期限为</w:t>
      </w:r>
      <w:r>
        <w:rPr>
          <w:rFonts w:ascii="Arial Unicode MS" w:hAnsi="Arial Unicode MS" w:cs="Arial" w:hint="eastAsia"/>
          <w:szCs w:val="21"/>
        </w:rPr>
        <w:t>1</w:t>
      </w:r>
      <w:r>
        <w:rPr>
          <w:rFonts w:ascii="Arial Unicode MS" w:hAnsi="Arial Unicode MS" w:cs="Arial" w:hint="eastAsia"/>
          <w:szCs w:val="21"/>
        </w:rPr>
        <w:t>年，债券回购到期后不展期；</w:t>
      </w:r>
    </w:p>
    <w:p w14:paraId="334FC0F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）本基金投资于同一原始权益人的各类资产支持证券的比例，不得超过基金资产净</w:t>
      </w:r>
      <w:r>
        <w:rPr>
          <w:rFonts w:ascii="Arial Unicode MS" w:hAnsi="Arial Unicode MS" w:cs="Arial" w:hint="eastAsia"/>
          <w:szCs w:val="21"/>
        </w:rPr>
        <w:lastRenderedPageBreak/>
        <w:t>值的</w:t>
      </w:r>
      <w:r>
        <w:rPr>
          <w:rFonts w:ascii="Arial Unicode MS" w:hAnsi="Arial Unicode MS" w:cs="Arial" w:hint="eastAsia"/>
          <w:szCs w:val="21"/>
        </w:rPr>
        <w:t>10</w:t>
      </w:r>
      <w:r>
        <w:rPr>
          <w:rFonts w:ascii="Arial Unicode MS" w:hAnsi="Arial Unicode MS" w:cs="Arial" w:hint="eastAsia"/>
          <w:szCs w:val="21"/>
        </w:rPr>
        <w:t>％；</w:t>
      </w:r>
    </w:p>
    <w:p w14:paraId="15ABA7B8"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）本基金持有的全部资产支持证券，其市值不得超过基金资产净值的</w:t>
      </w:r>
      <w:r>
        <w:rPr>
          <w:rFonts w:ascii="Arial Unicode MS" w:hAnsi="Arial Unicode MS" w:cs="Arial" w:hint="eastAsia"/>
          <w:szCs w:val="21"/>
        </w:rPr>
        <w:t>20</w:t>
      </w:r>
      <w:r>
        <w:rPr>
          <w:rFonts w:ascii="Arial Unicode MS" w:hAnsi="Arial Unicode MS" w:cs="Arial" w:hint="eastAsia"/>
          <w:szCs w:val="21"/>
        </w:rPr>
        <w:t>％；</w:t>
      </w:r>
    </w:p>
    <w:p w14:paraId="754DF058"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8</w:t>
      </w:r>
      <w:r>
        <w:rPr>
          <w:rFonts w:ascii="Arial Unicode MS" w:hAnsi="Arial Unicode MS" w:cs="Arial" w:hint="eastAsia"/>
          <w:szCs w:val="21"/>
        </w:rPr>
        <w:t>）本基金持有的同一</w:t>
      </w:r>
      <w:r>
        <w:rPr>
          <w:rFonts w:ascii="Arial Unicode MS" w:hAnsi="Arial Unicode MS" w:cs="Arial"/>
          <w:szCs w:val="21"/>
        </w:rPr>
        <w:t>(</w:t>
      </w:r>
      <w:r>
        <w:rPr>
          <w:rFonts w:ascii="Arial Unicode MS" w:hAnsi="Arial Unicode MS" w:cs="Arial" w:hint="eastAsia"/>
          <w:szCs w:val="21"/>
        </w:rPr>
        <w:t>指同一信用级别</w:t>
      </w:r>
      <w:r>
        <w:rPr>
          <w:rFonts w:ascii="Arial Unicode MS" w:hAnsi="Arial Unicode MS" w:cs="Arial"/>
          <w:szCs w:val="21"/>
        </w:rPr>
        <w:t>)</w:t>
      </w:r>
      <w:r>
        <w:rPr>
          <w:rFonts w:ascii="Arial Unicode MS" w:hAnsi="Arial Unicode MS" w:cs="Arial" w:hint="eastAsia"/>
          <w:szCs w:val="21"/>
        </w:rPr>
        <w:t>资产支持证券的比例，不得超过该资产支持证券规模的</w:t>
      </w:r>
      <w:r>
        <w:rPr>
          <w:rFonts w:ascii="Arial Unicode MS" w:hAnsi="Arial Unicode MS" w:cs="Arial"/>
          <w:szCs w:val="21"/>
        </w:rPr>
        <w:t>10</w:t>
      </w:r>
      <w:r>
        <w:rPr>
          <w:rFonts w:ascii="Arial Unicode MS" w:hAnsi="Arial Unicode MS" w:cs="Arial" w:hint="eastAsia"/>
          <w:szCs w:val="21"/>
        </w:rPr>
        <w:t>％；</w:t>
      </w:r>
    </w:p>
    <w:p w14:paraId="4A0A4A24"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9</w:t>
      </w:r>
      <w:r>
        <w:rPr>
          <w:rFonts w:ascii="Arial Unicode MS" w:hAnsi="Arial Unicode MS" w:cs="Arial" w:hint="eastAsia"/>
          <w:szCs w:val="21"/>
        </w:rPr>
        <w:t>）本基金管理人管理的全部基金投资于同一原始权益人的各类资产支持证券，不得超过其各类资产支持证券合计规模的</w:t>
      </w:r>
      <w:r>
        <w:rPr>
          <w:rFonts w:ascii="Arial Unicode MS" w:hAnsi="Arial Unicode MS" w:cs="Arial" w:hint="eastAsia"/>
          <w:szCs w:val="21"/>
        </w:rPr>
        <w:t>10</w:t>
      </w:r>
      <w:r>
        <w:rPr>
          <w:rFonts w:ascii="Arial Unicode MS" w:hAnsi="Arial Unicode MS" w:cs="Arial" w:hint="eastAsia"/>
          <w:szCs w:val="21"/>
        </w:rPr>
        <w:t>％；</w:t>
      </w:r>
    </w:p>
    <w:p w14:paraId="07CB2FC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10</w:t>
      </w:r>
      <w:r>
        <w:rPr>
          <w:rFonts w:ascii="Arial Unicode MS" w:hAnsi="Arial Unicode MS" w:cs="Arial" w:hint="eastAsia"/>
          <w:szCs w:val="21"/>
        </w:rPr>
        <w:t>）本基金应投资于信用级别评级为</w:t>
      </w:r>
      <w:r>
        <w:rPr>
          <w:rFonts w:ascii="Arial Unicode MS" w:hAnsi="Arial Unicode MS" w:cs="Arial" w:hint="eastAsia"/>
          <w:szCs w:val="21"/>
        </w:rPr>
        <w:t>BBB</w:t>
      </w:r>
      <w:r>
        <w:rPr>
          <w:rFonts w:ascii="Arial Unicode MS" w:hAnsi="Arial Unicode MS" w:cs="Arial" w:hint="eastAsia"/>
          <w:szCs w:val="21"/>
        </w:rPr>
        <w:t>以上</w:t>
      </w:r>
      <w:r>
        <w:rPr>
          <w:rFonts w:ascii="Arial Unicode MS" w:hAnsi="Arial Unicode MS" w:cs="Arial" w:hint="eastAsia"/>
          <w:szCs w:val="21"/>
        </w:rPr>
        <w:t>(</w:t>
      </w:r>
      <w:r>
        <w:rPr>
          <w:rFonts w:ascii="Arial Unicode MS" w:hAnsi="Arial Unicode MS" w:cs="Arial" w:hint="eastAsia"/>
          <w:szCs w:val="21"/>
        </w:rPr>
        <w:t>含</w:t>
      </w:r>
      <w:r>
        <w:rPr>
          <w:rFonts w:ascii="Arial Unicode MS" w:hAnsi="Arial Unicode MS" w:cs="Arial" w:hint="eastAsia"/>
          <w:szCs w:val="21"/>
        </w:rPr>
        <w:t>BBB)</w:t>
      </w:r>
      <w:r>
        <w:rPr>
          <w:rFonts w:ascii="Arial Unicode MS" w:hAnsi="Arial Unicode MS" w:cs="Arial" w:hint="eastAsia"/>
          <w:szCs w:val="21"/>
        </w:rPr>
        <w:t>的资产支持证券。基金持有资产支持证券期间，如果其信用等级下降、不再符合投资标准，应在评级报告发布之日起</w:t>
      </w:r>
      <w:r>
        <w:rPr>
          <w:rFonts w:ascii="Arial Unicode MS" w:hAnsi="Arial Unicode MS" w:cs="Arial" w:hint="eastAsia"/>
          <w:szCs w:val="21"/>
        </w:rPr>
        <w:t>3</w:t>
      </w:r>
      <w:r>
        <w:rPr>
          <w:rFonts w:ascii="Arial Unicode MS" w:hAnsi="Arial Unicode MS" w:cs="Arial" w:hint="eastAsia"/>
          <w:szCs w:val="21"/>
        </w:rPr>
        <w:t>个月内予以全部卖出；</w:t>
      </w:r>
    </w:p>
    <w:p w14:paraId="18F3CF70"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11</w:t>
      </w:r>
      <w:r>
        <w:rPr>
          <w:rFonts w:ascii="Arial Unicode MS" w:hAnsi="Arial Unicode MS" w:cs="Arial" w:hint="eastAsia"/>
          <w:szCs w:val="21"/>
        </w:rPr>
        <w:t>）基金资产总值不得超过基金资产净值的</w:t>
      </w:r>
      <w:r>
        <w:rPr>
          <w:rFonts w:ascii="Arial Unicode MS" w:hAnsi="Arial Unicode MS" w:cs="Arial" w:hint="eastAsia"/>
          <w:szCs w:val="21"/>
        </w:rPr>
        <w:t>140%</w:t>
      </w:r>
      <w:r>
        <w:rPr>
          <w:rFonts w:ascii="Arial Unicode MS" w:hAnsi="Arial Unicode MS" w:cs="Arial" w:hint="eastAsia"/>
          <w:szCs w:val="21"/>
        </w:rPr>
        <w:t>；</w:t>
      </w:r>
    </w:p>
    <w:p w14:paraId="5C69CABC"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szCs w:val="21"/>
        </w:rPr>
        <w:t>）</w:t>
      </w:r>
      <w:r>
        <w:rPr>
          <w:rFonts w:ascii="Arial Unicode MS" w:hAnsi="Arial Unicode MS" w:cs="Arial" w:hint="eastAsia"/>
          <w:szCs w:val="21"/>
        </w:rPr>
        <w:t>本基金主动投资于流动性受限资产的市值合计不得超过基金资产净值的</w:t>
      </w:r>
      <w:r>
        <w:rPr>
          <w:rFonts w:ascii="Arial Unicode MS" w:hAnsi="Arial Unicode MS" w:cs="Arial" w:hint="eastAsia"/>
          <w:szCs w:val="21"/>
        </w:rPr>
        <w:t>15%</w:t>
      </w:r>
      <w:r>
        <w:rPr>
          <w:rFonts w:ascii="Arial Unicode MS" w:hAnsi="Arial Unicode MS" w:cs="Arial" w:hint="eastAsia"/>
          <w:szCs w:val="21"/>
        </w:rPr>
        <w:t>；</w:t>
      </w:r>
    </w:p>
    <w:p w14:paraId="61938056"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因证券市场波动、基金规模变动等基金管理人之外的因素致使基金不符合前款所规定比例限制的，基金管理人不得主动新增流动性受限资产的投资；</w:t>
      </w:r>
    </w:p>
    <w:p w14:paraId="72AF4E9D"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）本基金与私募类证券资管产品及中国证监会认定的其他主体为交易对手开展逆回购交易的，可接受质押品的资质要求应当与基金合同约定的投资范围保持一致；</w:t>
      </w:r>
    </w:p>
    <w:p w14:paraId="4A67C20A"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4</w:t>
      </w:r>
      <w:r>
        <w:rPr>
          <w:rFonts w:ascii="Arial Unicode MS" w:hAnsi="Arial Unicode MS" w:cs="Arial"/>
          <w:szCs w:val="21"/>
        </w:rPr>
        <w:t>）</w:t>
      </w:r>
      <w:r>
        <w:rPr>
          <w:rFonts w:ascii="Arial Unicode MS" w:hAnsi="Arial Unicode MS" w:cs="Arial" w:hint="eastAsia"/>
          <w:szCs w:val="21"/>
        </w:rPr>
        <w:t>法律法规及中国证监会规定的和《基金合同》约定的其他投资限制。</w:t>
      </w:r>
    </w:p>
    <w:p w14:paraId="098BCDC8" w14:textId="77777777" w:rsidR="00B804EC"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除上述第（</w:t>
      </w: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hint="eastAsia"/>
          <w:szCs w:val="21"/>
        </w:rPr>
        <w:t>10</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）条外，因证券市场波动、证券发行人合并、基金规模变动等基金管理人之外的因素致使基金投资比例不符合上述规定投资比例的，基金管理人应当在</w:t>
      </w:r>
      <w:r>
        <w:rPr>
          <w:rFonts w:ascii="Arial Unicode MS" w:hAnsi="Arial Unicode MS" w:cs="Arial" w:hint="eastAsia"/>
          <w:szCs w:val="21"/>
        </w:rPr>
        <w:t>10</w:t>
      </w:r>
      <w:r>
        <w:rPr>
          <w:rFonts w:ascii="Arial Unicode MS" w:hAnsi="Arial Unicode MS" w:cs="Arial" w:hint="eastAsia"/>
          <w:szCs w:val="21"/>
        </w:rPr>
        <w:t>个交易日内进行调整，但中国证监会规定的特殊情形除外。法律法规或监管机构另有规定的，从其规定。</w:t>
      </w:r>
    </w:p>
    <w:p w14:paraId="53622475"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基金管理人应当自基金合同生效之日起</w:t>
      </w:r>
      <w:r>
        <w:rPr>
          <w:rFonts w:ascii="Arial Unicode MS" w:hAnsi="Arial Unicode MS" w:cs="Arial" w:hint="eastAsia"/>
          <w:szCs w:val="21"/>
        </w:rPr>
        <w:t>6</w:t>
      </w:r>
      <w:r>
        <w:rPr>
          <w:rFonts w:ascii="Arial Unicode MS" w:hAnsi="Arial Unicode MS" w:cs="Arial"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771D7C2F"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法律法规或监管部门取消或调整上述限制，如适用于本基金，基金管理人在履行适当程序后，则本基金投资不再受相关限制或按调整后的规定执行。</w:t>
      </w:r>
    </w:p>
    <w:p w14:paraId="4132158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、禁止行为</w:t>
      </w:r>
    </w:p>
    <w:p w14:paraId="3971B371"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为维护基金份额持有人的合法权益，基金财产不得用于下列投资或者活动：</w:t>
      </w:r>
    </w:p>
    <w:p w14:paraId="59FDBB2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）承销证券；</w:t>
      </w:r>
    </w:p>
    <w:p w14:paraId="7600F352"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2</w:t>
      </w:r>
      <w:r>
        <w:rPr>
          <w:rFonts w:ascii="Arial Unicode MS" w:hAnsi="Arial Unicode MS" w:cs="Arial" w:hint="eastAsia"/>
          <w:szCs w:val="21"/>
        </w:rPr>
        <w:t>）违反规定向他人贷款或者提供担保；</w:t>
      </w:r>
    </w:p>
    <w:p w14:paraId="1D83872E"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）从事承担无限责任的投资；</w:t>
      </w:r>
    </w:p>
    <w:p w14:paraId="59E5A2E3"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）买卖其他基金份额，但是中国证监会另有规定的除外；</w:t>
      </w:r>
    </w:p>
    <w:p w14:paraId="59A6BAA0"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）向其基金管理人、基金托管人出资；</w:t>
      </w:r>
    </w:p>
    <w:p w14:paraId="6C5275FF"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）从事内幕交易、操纵证券交易价格及其他不正当的证券交易活动；</w:t>
      </w:r>
    </w:p>
    <w:p w14:paraId="3285AABA"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）法律、行政法规和中国证监会规定禁止的其他活动。</w:t>
      </w:r>
    </w:p>
    <w:p w14:paraId="4CF37B69"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3D23CD1"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法律、行政法规或监管部门取消或变更上述禁止性规定，如适用于本基金，基金管理人在履行适当程序后，则本基金投资不再受相关限制或按变更后的规定执行。</w:t>
      </w:r>
    </w:p>
    <w:p w14:paraId="2373F751"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w:t>
      </w:r>
      <w:r>
        <w:rPr>
          <w:rFonts w:ascii="Arial Unicode MS" w:hAnsi="Arial Unicode MS" w:cs="Arial"/>
          <w:b/>
          <w:szCs w:val="21"/>
        </w:rPr>
        <w:t>、业绩比较基准</w:t>
      </w:r>
    </w:p>
    <w:p w14:paraId="32E3ACA7"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本基金的业绩比较基准为：中债综合全价</w:t>
      </w:r>
      <w:r>
        <w:rPr>
          <w:rFonts w:ascii="Arial Unicode MS" w:hAnsi="Arial Unicode MS" w:cs="Arial" w:hint="eastAsia"/>
          <w:bCs/>
          <w:szCs w:val="21"/>
        </w:rPr>
        <w:t>(</w:t>
      </w:r>
      <w:r>
        <w:rPr>
          <w:rFonts w:ascii="Arial Unicode MS" w:hAnsi="Arial Unicode MS" w:cs="Arial" w:hint="eastAsia"/>
          <w:bCs/>
          <w:szCs w:val="21"/>
        </w:rPr>
        <w:t>总值</w:t>
      </w:r>
      <w:r>
        <w:rPr>
          <w:rFonts w:ascii="Arial Unicode MS" w:hAnsi="Arial Unicode MS" w:cs="Arial" w:hint="eastAsia"/>
          <w:bCs/>
          <w:szCs w:val="21"/>
        </w:rPr>
        <w:t>)</w:t>
      </w:r>
      <w:r>
        <w:rPr>
          <w:rFonts w:ascii="Arial Unicode MS" w:hAnsi="Arial Unicode MS" w:cs="Arial" w:hint="eastAsia"/>
          <w:bCs/>
          <w:szCs w:val="21"/>
        </w:rPr>
        <w:t>指数收益率×</w:t>
      </w:r>
      <w:r>
        <w:rPr>
          <w:rFonts w:ascii="Arial Unicode MS" w:hAnsi="Arial Unicode MS" w:cs="Arial" w:hint="eastAsia"/>
          <w:bCs/>
          <w:szCs w:val="21"/>
        </w:rPr>
        <w:t>90%+1</w:t>
      </w:r>
      <w:r>
        <w:rPr>
          <w:rFonts w:ascii="Arial Unicode MS" w:hAnsi="Arial Unicode MS" w:cs="Arial" w:hint="eastAsia"/>
          <w:bCs/>
          <w:szCs w:val="21"/>
        </w:rPr>
        <w:t>年期定期存款利率（税后）×</w:t>
      </w:r>
      <w:r>
        <w:rPr>
          <w:rFonts w:ascii="Arial Unicode MS" w:hAnsi="Arial Unicode MS" w:cs="Arial" w:hint="eastAsia"/>
          <w:bCs/>
          <w:szCs w:val="21"/>
        </w:rPr>
        <w:t>10%</w:t>
      </w:r>
      <w:r>
        <w:rPr>
          <w:rFonts w:ascii="Arial Unicode MS" w:hAnsi="Arial Unicode MS" w:cs="Arial" w:hint="eastAsia"/>
          <w:bCs/>
          <w:szCs w:val="21"/>
        </w:rPr>
        <w:t>。</w:t>
      </w:r>
    </w:p>
    <w:p w14:paraId="63634E6B" w14:textId="77777777" w:rsidR="00B804EC" w:rsidRDefault="00000000">
      <w:pPr>
        <w:spacing w:line="360" w:lineRule="auto"/>
        <w:ind w:firstLineChars="250" w:firstLine="525"/>
        <w:rPr>
          <w:rFonts w:ascii="Arial Unicode MS" w:hAnsi="Arial Unicode MS" w:cs="Arial" w:hint="eastAsia"/>
          <w:bCs/>
          <w:szCs w:val="21"/>
        </w:rPr>
      </w:pPr>
      <w:r>
        <w:rPr>
          <w:rFonts w:ascii="Arial Unicode MS" w:hAnsi="Arial Unicode MS" w:cs="Arial" w:hint="eastAsia"/>
          <w:bCs/>
          <w:szCs w:val="21"/>
        </w:rPr>
        <w:t>本基金选择上述业绩比较基准的原因为本基金是通过债券资产的配置和个券的选择来增强债券投资的收益。中债综合全价</w:t>
      </w:r>
      <w:r>
        <w:rPr>
          <w:rFonts w:ascii="Arial Unicode MS" w:hAnsi="Arial Unicode MS" w:cs="Arial" w:hint="eastAsia"/>
          <w:bCs/>
          <w:szCs w:val="21"/>
        </w:rPr>
        <w:t>(</w:t>
      </w:r>
      <w:r>
        <w:rPr>
          <w:rFonts w:ascii="Arial Unicode MS" w:hAnsi="Arial Unicode MS" w:cs="Arial" w:hint="eastAsia"/>
          <w:bCs/>
          <w:szCs w:val="21"/>
        </w:rPr>
        <w:t>总值</w:t>
      </w:r>
      <w:r>
        <w:rPr>
          <w:rFonts w:ascii="Arial Unicode MS" w:hAnsi="Arial Unicode MS" w:cs="Arial" w:hint="eastAsia"/>
          <w:bCs/>
          <w:szCs w:val="21"/>
        </w:rPr>
        <w:t>)</w:t>
      </w:r>
      <w:r>
        <w:rPr>
          <w:rFonts w:ascii="Arial Unicode MS" w:hAnsi="Arial Unicode MS" w:cs="Arial" w:hint="eastAsia"/>
          <w:bCs/>
          <w:szCs w:val="21"/>
        </w:rPr>
        <w:t>指数由中央国债登记结算有限责任公司编制，该指数旨在综合反映债券全市场整体价格和投资回报情况。指数涵盖了银行间市场和交易所市场，具有广泛的市场代表性，适合作为市场债券投资收益的衡量标准；由于本基金投资于债券资产的比例不低于基金资产净值的</w:t>
      </w:r>
      <w:r>
        <w:rPr>
          <w:rFonts w:ascii="Arial Unicode MS" w:hAnsi="Arial Unicode MS" w:cs="Arial" w:hint="eastAsia"/>
          <w:bCs/>
          <w:szCs w:val="21"/>
        </w:rPr>
        <w:t>80%</w:t>
      </w:r>
      <w:r>
        <w:rPr>
          <w:rFonts w:ascii="Arial Unicode MS" w:hAnsi="Arial Unicode MS" w:cs="Arial" w:hint="eastAsia"/>
          <w:bCs/>
          <w:szCs w:val="21"/>
        </w:rPr>
        <w:t>，持有现金或者到期日在一年以内的政府债券不低于基金资产净值的</w:t>
      </w:r>
      <w:r>
        <w:rPr>
          <w:rFonts w:ascii="Arial Unicode MS" w:hAnsi="Arial Unicode MS" w:cs="Arial" w:hint="eastAsia"/>
          <w:bCs/>
          <w:szCs w:val="21"/>
        </w:rPr>
        <w:t>5%</w:t>
      </w:r>
      <w:r>
        <w:rPr>
          <w:rFonts w:ascii="Arial Unicode MS" w:hAnsi="Arial Unicode MS" w:cs="Arial" w:hint="eastAsia"/>
          <w:bCs/>
          <w:szCs w:val="21"/>
        </w:rPr>
        <w:t>，采用</w:t>
      </w:r>
      <w:r>
        <w:rPr>
          <w:rFonts w:ascii="Arial Unicode MS" w:hAnsi="Arial Unicode MS" w:cs="Arial" w:hint="eastAsia"/>
          <w:bCs/>
          <w:szCs w:val="21"/>
        </w:rPr>
        <w:t>90%</w:t>
      </w:r>
      <w:r>
        <w:rPr>
          <w:rFonts w:ascii="Arial Unicode MS" w:hAnsi="Arial Unicode MS" w:cs="Arial" w:hint="eastAsia"/>
          <w:bCs/>
          <w:szCs w:val="21"/>
        </w:rPr>
        <w:t>作为业绩比较基准中债券投资所代表的权重，</w:t>
      </w:r>
      <w:r>
        <w:rPr>
          <w:rFonts w:ascii="Arial Unicode MS" w:hAnsi="Arial Unicode MS" w:cs="Arial" w:hint="eastAsia"/>
          <w:bCs/>
          <w:szCs w:val="21"/>
        </w:rPr>
        <w:t>10%</w:t>
      </w:r>
      <w:r>
        <w:rPr>
          <w:rFonts w:ascii="Arial Unicode MS" w:hAnsi="Arial Unicode MS" w:cs="Arial" w:hint="eastAsia"/>
          <w:bCs/>
          <w:szCs w:val="21"/>
        </w:rPr>
        <w:t>乘以</w:t>
      </w:r>
      <w:r>
        <w:rPr>
          <w:rFonts w:ascii="Arial Unicode MS" w:hAnsi="Arial Unicode MS" w:cs="Arial" w:hint="eastAsia"/>
          <w:bCs/>
          <w:szCs w:val="21"/>
        </w:rPr>
        <w:t>1</w:t>
      </w:r>
      <w:r>
        <w:rPr>
          <w:rFonts w:ascii="Arial Unicode MS" w:hAnsi="Arial Unicode MS" w:cs="Arial" w:hint="eastAsia"/>
          <w:bCs/>
          <w:szCs w:val="21"/>
        </w:rPr>
        <w:t>年定期银行存款利率（税后）作为资产所对应的权重可以较好的反映本基金的风险收益特征。</w:t>
      </w:r>
    </w:p>
    <w:p w14:paraId="73C45135"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若未来法律法规发生变化，或者有更权威的、更能为市场普遍接受的业绩比较基准推出，或者市场发生变化导致本业绩比较基准不再适用，本基金管理人可以依据维护投资者合法权益的原则，在与基金托管人协商一致并报中国证监会备案后，适当调整业绩比较基准并及时公告，而无需召开基金份额持有人大会。</w:t>
      </w:r>
    </w:p>
    <w:p w14:paraId="4D6C6580" w14:textId="77777777" w:rsidR="00B804EC" w:rsidRDefault="00000000">
      <w:pPr>
        <w:widowControl/>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lastRenderedPageBreak/>
        <w:t>七</w:t>
      </w:r>
      <w:r>
        <w:rPr>
          <w:rFonts w:ascii="Arial Unicode MS" w:hAnsi="Arial Unicode MS" w:cs="Arial"/>
          <w:b/>
          <w:szCs w:val="21"/>
        </w:rPr>
        <w:t>、风险收益特征</w:t>
      </w:r>
    </w:p>
    <w:p w14:paraId="527EB418"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本基金为债券型基金，预期收益和预期风险高于货币市场基金，但低于混合型基金、股票型基金，属于中低预期风险</w:t>
      </w:r>
      <w:r>
        <w:rPr>
          <w:rFonts w:ascii="Arial Unicode MS" w:hAnsi="Arial Unicode MS" w:cs="Arial" w:hint="eastAsia"/>
          <w:bCs/>
          <w:szCs w:val="21"/>
        </w:rPr>
        <w:t>/</w:t>
      </w:r>
      <w:r>
        <w:rPr>
          <w:rFonts w:ascii="Arial Unicode MS" w:hAnsi="Arial Unicode MS" w:cs="Arial" w:hint="eastAsia"/>
          <w:bCs/>
          <w:szCs w:val="21"/>
        </w:rPr>
        <w:t>预期收益的产品。</w:t>
      </w:r>
    </w:p>
    <w:p w14:paraId="61CFD954" w14:textId="77777777" w:rsidR="00B804EC" w:rsidRDefault="00000000">
      <w:pPr>
        <w:spacing w:line="360" w:lineRule="auto"/>
        <w:ind w:firstLineChars="200" w:firstLine="422"/>
        <w:rPr>
          <w:rFonts w:ascii="Arial Unicode MS" w:hAnsi="Arial Unicode MS" w:cs="Arial" w:hint="eastAsia"/>
          <w:b/>
          <w:bCs/>
          <w:szCs w:val="21"/>
        </w:rPr>
      </w:pPr>
      <w:bookmarkStart w:id="59" w:name="_Toc79392634"/>
      <w:r>
        <w:rPr>
          <w:rFonts w:ascii="Arial Unicode MS" w:hAnsi="Arial Unicode MS" w:cs="Arial" w:hint="eastAsia"/>
          <w:b/>
          <w:bCs/>
          <w:szCs w:val="21"/>
        </w:rPr>
        <w:t>八、基金管理人代表基金行使相关权利的处理原则及方法</w:t>
      </w:r>
    </w:p>
    <w:p w14:paraId="7DD158D5"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、有利于基金资产的安全与增值；</w:t>
      </w:r>
    </w:p>
    <w:p w14:paraId="6349E41B"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bCs/>
          <w:szCs w:val="21"/>
        </w:rPr>
        <w:t>2</w:t>
      </w:r>
      <w:r>
        <w:rPr>
          <w:rFonts w:ascii="Arial Unicode MS" w:hAnsi="Arial Unicode MS" w:cs="Arial" w:hint="eastAsia"/>
          <w:bCs/>
          <w:szCs w:val="21"/>
        </w:rPr>
        <w:t>、基金管理人按照国家有关规定代表基金独立行使相关权利，保护基金份额持有人的利益；</w:t>
      </w:r>
    </w:p>
    <w:p w14:paraId="24C0BC0C"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、不通过关联交易为自身、雇员、授权代理人或任何存在利害关系的第三人牟取任何不当利益。</w:t>
      </w:r>
    </w:p>
    <w:p w14:paraId="10FAE2D7" w14:textId="77777777" w:rsidR="00B804EC"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九、侧袋机制的实施和投资运作安排</w:t>
      </w:r>
    </w:p>
    <w:p w14:paraId="03DD1AB7"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4569254"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侧袋机制实施期间，本部分约定的投资组合比例、投资策略、组合限制、业绩比较基准、风险收益特征等约定仅适用于主袋账户。</w:t>
      </w:r>
    </w:p>
    <w:p w14:paraId="18389508"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侧袋账户的实施条件、实施程序、运作安排、投资安排、特定资产的处置变现和支付等对投资者权益有重大影响的事项详见招募说明书“侧袋机制”部分的规定。</w:t>
      </w:r>
    </w:p>
    <w:p w14:paraId="4DBA18B1" w14:textId="77777777" w:rsidR="00B804EC"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十、基金投资组合报告</w:t>
      </w:r>
    </w:p>
    <w:p w14:paraId="77520E65"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基金管理人的董事会及董事保证本报告所载资料不存在虚假记载、误导性陈述或重大遗漏，并对其内容的真实性、准确性和完整性承担个别及连带责任。</w:t>
      </w:r>
    </w:p>
    <w:p w14:paraId="21FF3F91"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本基金托管人中国建设银行股份有限公司根据本基金合同规定，已复核了本报告中的财务指标、净值表现和投资组合报告等内容，保证复核内容不存在虚假记载、误导性陈述或者重大遗漏。</w:t>
      </w:r>
    </w:p>
    <w:p w14:paraId="58364F5A" w14:textId="2785BF11"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本投资组合报告所载数据取自本基金</w:t>
      </w:r>
      <w:r>
        <w:rPr>
          <w:rFonts w:ascii="Arial Unicode MS" w:hAnsi="Arial Unicode MS" w:cs="Arial" w:hint="eastAsia"/>
          <w:bCs/>
          <w:szCs w:val="21"/>
        </w:rPr>
        <w:t>2025</w:t>
      </w:r>
      <w:r>
        <w:rPr>
          <w:rFonts w:ascii="Arial Unicode MS" w:hAnsi="Arial Unicode MS" w:cs="Arial" w:hint="eastAsia"/>
          <w:bCs/>
          <w:szCs w:val="21"/>
        </w:rPr>
        <w:t>年第</w:t>
      </w:r>
      <w:r>
        <w:rPr>
          <w:rFonts w:ascii="Arial Unicode MS" w:hAnsi="Arial Unicode MS" w:cs="Arial" w:hint="eastAsia"/>
          <w:bCs/>
          <w:szCs w:val="21"/>
        </w:rPr>
        <w:t>4</w:t>
      </w:r>
      <w:r>
        <w:rPr>
          <w:rFonts w:ascii="Arial Unicode MS" w:hAnsi="Arial Unicode MS" w:cs="Arial" w:hint="eastAsia"/>
          <w:bCs/>
          <w:szCs w:val="21"/>
        </w:rPr>
        <w:t>季度报告，本报告中所列财务数据未经审计。</w:t>
      </w:r>
    </w:p>
    <w:p w14:paraId="368F19F2" w14:textId="77777777" w:rsidR="00B804EC" w:rsidRDefault="00B804EC">
      <w:pPr>
        <w:ind w:firstLine="420"/>
        <w:rPr>
          <w:szCs w:val="21"/>
        </w:rPr>
      </w:pPr>
    </w:p>
    <w:p w14:paraId="2AE3221F" w14:textId="77777777" w:rsidR="00B804EC" w:rsidRDefault="00000000">
      <w:pPr>
        <w:ind w:firstLineChars="200" w:firstLine="420"/>
        <w:rPr>
          <w:szCs w:val="21"/>
        </w:rPr>
      </w:pPr>
      <w:r>
        <w:rPr>
          <w:rFonts w:hint="eastAsia"/>
          <w:szCs w:val="21"/>
        </w:rPr>
        <w:t>1</w:t>
      </w:r>
      <w:r>
        <w:rPr>
          <w:rFonts w:hint="eastAsia"/>
          <w:szCs w:val="21"/>
        </w:rPr>
        <w:t>、报告期末基金资产组合情况</w:t>
      </w:r>
    </w:p>
    <w:tbl>
      <w:tblPr>
        <w:tblW w:w="8080" w:type="dxa"/>
        <w:tblInd w:w="108" w:type="dxa"/>
        <w:tblLook w:val="04A0" w:firstRow="1" w:lastRow="0" w:firstColumn="1" w:lastColumn="0" w:noHBand="0" w:noVBand="1"/>
      </w:tblPr>
      <w:tblGrid>
        <w:gridCol w:w="756"/>
        <w:gridCol w:w="2809"/>
        <w:gridCol w:w="2257"/>
        <w:gridCol w:w="2258"/>
      </w:tblGrid>
      <w:tr w:rsidR="00B804EC" w14:paraId="2277A874"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66A0C47E" w14:textId="77777777" w:rsidR="00B804EC" w:rsidRDefault="00000000">
            <w:pPr>
              <w:pStyle w:val="biaogecenter"/>
              <w:wordWrap w:val="0"/>
              <w:ind w:left="0"/>
              <w:jc w:val="both"/>
              <w:rPr>
                <w:rFonts w:hint="eastAsia"/>
                <w:sz w:val="21"/>
                <w:szCs w:val="21"/>
              </w:rPr>
            </w:pPr>
            <w:r>
              <w:rPr>
                <w:rFonts w:hint="eastAsia"/>
                <w:sz w:val="21"/>
                <w:szCs w:val="21"/>
              </w:rPr>
              <w:t>序号</w:t>
            </w:r>
          </w:p>
        </w:tc>
        <w:tc>
          <w:tcPr>
            <w:tcW w:w="2809" w:type="dxa"/>
            <w:tcBorders>
              <w:top w:val="single" w:sz="8" w:space="0" w:color="000000"/>
              <w:left w:val="single" w:sz="8" w:space="0" w:color="000000"/>
              <w:bottom w:val="single" w:sz="6" w:space="0" w:color="000000"/>
              <w:right w:val="single" w:sz="8" w:space="0" w:color="000000"/>
            </w:tcBorders>
            <w:vAlign w:val="center"/>
          </w:tcPr>
          <w:p w14:paraId="409F0FAF" w14:textId="77777777" w:rsidR="00B804EC" w:rsidRDefault="00000000">
            <w:pPr>
              <w:pStyle w:val="biaogeleft"/>
              <w:rPr>
                <w:rFonts w:hint="eastAsia"/>
                <w:sz w:val="21"/>
                <w:szCs w:val="21"/>
              </w:rPr>
            </w:pPr>
            <w:r>
              <w:rPr>
                <w:rFonts w:hint="eastAsia"/>
                <w:sz w:val="21"/>
                <w:szCs w:val="21"/>
              </w:rPr>
              <w:t>项目</w:t>
            </w:r>
          </w:p>
        </w:tc>
        <w:tc>
          <w:tcPr>
            <w:tcW w:w="2257" w:type="dxa"/>
            <w:tcBorders>
              <w:top w:val="single" w:sz="8" w:space="0" w:color="000000"/>
              <w:left w:val="single" w:sz="8" w:space="0" w:color="000000"/>
              <w:bottom w:val="single" w:sz="6" w:space="0" w:color="000000"/>
              <w:right w:val="single" w:sz="8" w:space="0" w:color="000000"/>
            </w:tcBorders>
            <w:vAlign w:val="center"/>
          </w:tcPr>
          <w:p w14:paraId="3129745B" w14:textId="77777777" w:rsidR="00B804EC" w:rsidRDefault="00000000" w:rsidP="0021714D">
            <w:pPr>
              <w:pStyle w:val="biaogeright"/>
              <w:ind w:left="420" w:hanging="420"/>
              <w:jc w:val="center"/>
              <w:rPr>
                <w:rFonts w:hint="eastAsia"/>
                <w:sz w:val="21"/>
                <w:szCs w:val="21"/>
              </w:rPr>
            </w:pPr>
            <w:r>
              <w:rPr>
                <w:rFonts w:hint="eastAsia"/>
                <w:sz w:val="21"/>
                <w:szCs w:val="21"/>
              </w:rPr>
              <w:t>金额(元)</w:t>
            </w:r>
          </w:p>
        </w:tc>
        <w:tc>
          <w:tcPr>
            <w:tcW w:w="2258" w:type="dxa"/>
            <w:tcBorders>
              <w:top w:val="single" w:sz="8" w:space="0" w:color="000000"/>
              <w:left w:val="single" w:sz="8" w:space="0" w:color="000000"/>
              <w:bottom w:val="single" w:sz="6" w:space="0" w:color="000000"/>
              <w:right w:val="single" w:sz="8" w:space="0" w:color="000000"/>
            </w:tcBorders>
            <w:vAlign w:val="center"/>
          </w:tcPr>
          <w:p w14:paraId="1E61A159" w14:textId="77777777" w:rsidR="00B804EC" w:rsidRDefault="00000000">
            <w:pPr>
              <w:pStyle w:val="biaogeright"/>
              <w:ind w:left="420" w:hanging="420"/>
              <w:rPr>
                <w:rFonts w:hint="eastAsia"/>
                <w:sz w:val="21"/>
                <w:szCs w:val="21"/>
              </w:rPr>
            </w:pPr>
            <w:r>
              <w:rPr>
                <w:rFonts w:hint="eastAsia"/>
                <w:sz w:val="21"/>
                <w:szCs w:val="21"/>
              </w:rPr>
              <w:t>占基金总资产的比例（%）</w:t>
            </w:r>
          </w:p>
        </w:tc>
      </w:tr>
      <w:tr w:rsidR="00B804EC" w14:paraId="38111FA2"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63862ACD" w14:textId="77777777" w:rsidR="00B804EC" w:rsidRDefault="00000000">
            <w:pPr>
              <w:pStyle w:val="biaogecenter"/>
              <w:wordWrap w:val="0"/>
              <w:ind w:firstLine="420"/>
              <w:rPr>
                <w:rFonts w:hint="eastAsia"/>
                <w:sz w:val="21"/>
                <w:szCs w:val="21"/>
              </w:rPr>
            </w:pPr>
            <w:r>
              <w:rPr>
                <w:sz w:val="21"/>
                <w:szCs w:val="21"/>
              </w:rPr>
              <w:t>1</w:t>
            </w:r>
          </w:p>
        </w:tc>
        <w:tc>
          <w:tcPr>
            <w:tcW w:w="2809" w:type="dxa"/>
            <w:tcBorders>
              <w:top w:val="single" w:sz="8" w:space="0" w:color="000000"/>
              <w:left w:val="single" w:sz="8" w:space="0" w:color="000000"/>
              <w:bottom w:val="single" w:sz="6" w:space="0" w:color="000000"/>
              <w:right w:val="single" w:sz="8" w:space="0" w:color="000000"/>
            </w:tcBorders>
            <w:vAlign w:val="center"/>
          </w:tcPr>
          <w:p w14:paraId="2D24F14F" w14:textId="77777777" w:rsidR="00B804EC" w:rsidRDefault="00000000">
            <w:pPr>
              <w:pStyle w:val="biaogeleft"/>
              <w:wordWrap w:val="0"/>
              <w:rPr>
                <w:rFonts w:hint="eastAsia"/>
                <w:sz w:val="21"/>
                <w:szCs w:val="21"/>
              </w:rPr>
            </w:pPr>
            <w:r>
              <w:rPr>
                <w:sz w:val="21"/>
                <w:szCs w:val="21"/>
              </w:rPr>
              <w:t>权益投资</w:t>
            </w:r>
          </w:p>
        </w:tc>
        <w:tc>
          <w:tcPr>
            <w:tcW w:w="2257" w:type="dxa"/>
            <w:tcBorders>
              <w:top w:val="single" w:sz="8" w:space="0" w:color="000000"/>
              <w:left w:val="single" w:sz="8" w:space="0" w:color="000000"/>
              <w:bottom w:val="single" w:sz="6" w:space="0" w:color="000000"/>
              <w:right w:val="single" w:sz="8" w:space="0" w:color="000000"/>
            </w:tcBorders>
          </w:tcPr>
          <w:p w14:paraId="7D4A40AF" w14:textId="50FFBDDA"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24A06360" w14:textId="7E232364"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39972E7F"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03F767D1" w14:textId="77777777" w:rsidR="00B804EC" w:rsidRDefault="00B804EC">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455667DC" w14:textId="77777777" w:rsidR="00B804EC" w:rsidRDefault="00000000">
            <w:pPr>
              <w:pStyle w:val="biaogeleft"/>
              <w:wordWrap w:val="0"/>
              <w:rPr>
                <w:rFonts w:hint="eastAsia"/>
                <w:sz w:val="21"/>
                <w:szCs w:val="21"/>
              </w:rPr>
            </w:pPr>
            <w:r>
              <w:rPr>
                <w:sz w:val="21"/>
                <w:szCs w:val="21"/>
              </w:rPr>
              <w:t>其中：股票</w:t>
            </w:r>
          </w:p>
        </w:tc>
        <w:tc>
          <w:tcPr>
            <w:tcW w:w="2257" w:type="dxa"/>
            <w:tcBorders>
              <w:top w:val="single" w:sz="8" w:space="0" w:color="000000"/>
              <w:left w:val="single" w:sz="8" w:space="0" w:color="000000"/>
              <w:bottom w:val="single" w:sz="6" w:space="0" w:color="000000"/>
              <w:right w:val="single" w:sz="8" w:space="0" w:color="000000"/>
            </w:tcBorders>
          </w:tcPr>
          <w:p w14:paraId="1EDB3FD6" w14:textId="2511B34F"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5C2CB135" w14:textId="33189A78"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2BAF0840"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77DF9BB8" w14:textId="77777777" w:rsidR="00B804EC" w:rsidRDefault="00000000">
            <w:pPr>
              <w:pStyle w:val="biaogecenter"/>
              <w:wordWrap w:val="0"/>
              <w:ind w:firstLine="420"/>
              <w:rPr>
                <w:rFonts w:hint="eastAsia"/>
                <w:sz w:val="21"/>
                <w:szCs w:val="21"/>
              </w:rPr>
            </w:pPr>
            <w:r>
              <w:rPr>
                <w:sz w:val="21"/>
                <w:szCs w:val="21"/>
              </w:rPr>
              <w:t>2</w:t>
            </w:r>
          </w:p>
        </w:tc>
        <w:tc>
          <w:tcPr>
            <w:tcW w:w="2809" w:type="dxa"/>
            <w:tcBorders>
              <w:top w:val="single" w:sz="8" w:space="0" w:color="000000"/>
              <w:left w:val="single" w:sz="8" w:space="0" w:color="000000"/>
              <w:bottom w:val="single" w:sz="6" w:space="0" w:color="000000"/>
              <w:right w:val="single" w:sz="8" w:space="0" w:color="000000"/>
            </w:tcBorders>
            <w:vAlign w:val="center"/>
          </w:tcPr>
          <w:p w14:paraId="5865DD06" w14:textId="77777777" w:rsidR="00B804EC" w:rsidRDefault="00000000">
            <w:pPr>
              <w:pStyle w:val="biaogeleft"/>
              <w:wordWrap w:val="0"/>
              <w:rPr>
                <w:rFonts w:hint="eastAsia"/>
                <w:sz w:val="21"/>
                <w:szCs w:val="21"/>
              </w:rPr>
            </w:pPr>
            <w:r>
              <w:rPr>
                <w:sz w:val="21"/>
                <w:szCs w:val="21"/>
              </w:rPr>
              <w:t>基金投资</w:t>
            </w:r>
          </w:p>
        </w:tc>
        <w:tc>
          <w:tcPr>
            <w:tcW w:w="2257" w:type="dxa"/>
            <w:tcBorders>
              <w:top w:val="single" w:sz="8" w:space="0" w:color="000000"/>
              <w:left w:val="single" w:sz="8" w:space="0" w:color="000000"/>
              <w:bottom w:val="single" w:sz="6" w:space="0" w:color="000000"/>
              <w:right w:val="single" w:sz="8" w:space="0" w:color="000000"/>
            </w:tcBorders>
          </w:tcPr>
          <w:p w14:paraId="56DD20B2" w14:textId="51EAACFB"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7C3C2D9E" w14:textId="32FB0CA6"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2D54C0E3"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74DC50D8" w14:textId="77777777" w:rsidR="00B804EC" w:rsidRDefault="00000000">
            <w:pPr>
              <w:pStyle w:val="biaogecenter"/>
              <w:wordWrap w:val="0"/>
              <w:ind w:firstLine="420"/>
              <w:rPr>
                <w:rFonts w:hint="eastAsia"/>
                <w:sz w:val="21"/>
                <w:szCs w:val="21"/>
              </w:rPr>
            </w:pPr>
            <w:r>
              <w:rPr>
                <w:sz w:val="21"/>
                <w:szCs w:val="21"/>
              </w:rPr>
              <w:t>3</w:t>
            </w:r>
          </w:p>
        </w:tc>
        <w:tc>
          <w:tcPr>
            <w:tcW w:w="2809" w:type="dxa"/>
            <w:tcBorders>
              <w:top w:val="single" w:sz="8" w:space="0" w:color="000000"/>
              <w:left w:val="single" w:sz="8" w:space="0" w:color="000000"/>
              <w:bottom w:val="single" w:sz="6" w:space="0" w:color="000000"/>
              <w:right w:val="single" w:sz="8" w:space="0" w:color="000000"/>
            </w:tcBorders>
            <w:vAlign w:val="center"/>
          </w:tcPr>
          <w:p w14:paraId="43166741" w14:textId="77777777" w:rsidR="00B804EC" w:rsidRDefault="00000000">
            <w:pPr>
              <w:pStyle w:val="biaogeleft"/>
              <w:wordWrap w:val="0"/>
              <w:rPr>
                <w:rFonts w:hint="eastAsia"/>
                <w:sz w:val="21"/>
                <w:szCs w:val="21"/>
              </w:rPr>
            </w:pPr>
            <w:r>
              <w:rPr>
                <w:sz w:val="21"/>
                <w:szCs w:val="21"/>
              </w:rPr>
              <w:t>固定收益投资</w:t>
            </w:r>
          </w:p>
        </w:tc>
        <w:tc>
          <w:tcPr>
            <w:tcW w:w="2257" w:type="dxa"/>
            <w:tcBorders>
              <w:top w:val="single" w:sz="8" w:space="0" w:color="000000"/>
              <w:left w:val="single" w:sz="8" w:space="0" w:color="000000"/>
              <w:bottom w:val="single" w:sz="6" w:space="0" w:color="000000"/>
              <w:right w:val="single" w:sz="8" w:space="0" w:color="000000"/>
            </w:tcBorders>
          </w:tcPr>
          <w:p w14:paraId="4D83FAF5" w14:textId="6421129F" w:rsidR="00B804EC" w:rsidRDefault="00000000" w:rsidP="0021714D">
            <w:pPr>
              <w:widowControl/>
              <w:wordWrap w:val="0"/>
              <w:autoSpaceDE w:val="0"/>
              <w:autoSpaceDN w:val="0"/>
              <w:adjustRightInd w:val="0"/>
              <w:spacing w:before="29" w:line="288" w:lineRule="auto"/>
              <w:ind w:left="15"/>
              <w:jc w:val="center"/>
              <w:rPr>
                <w:rFonts w:hint="eastAsia"/>
              </w:rPr>
            </w:pPr>
            <w:r>
              <w:t>241,807,455.89</w:t>
            </w:r>
          </w:p>
        </w:tc>
        <w:tc>
          <w:tcPr>
            <w:tcW w:w="2258" w:type="dxa"/>
            <w:tcBorders>
              <w:top w:val="single" w:sz="8" w:space="0" w:color="000000"/>
              <w:left w:val="single" w:sz="8" w:space="0" w:color="000000"/>
              <w:bottom w:val="single" w:sz="6" w:space="0" w:color="000000"/>
              <w:right w:val="single" w:sz="8" w:space="0" w:color="000000"/>
            </w:tcBorders>
          </w:tcPr>
          <w:p w14:paraId="5B3F7ABE" w14:textId="63D44131" w:rsidR="00B804EC" w:rsidRDefault="00000000" w:rsidP="0021714D">
            <w:pPr>
              <w:widowControl/>
              <w:wordWrap w:val="0"/>
              <w:autoSpaceDE w:val="0"/>
              <w:autoSpaceDN w:val="0"/>
              <w:adjustRightInd w:val="0"/>
              <w:spacing w:before="29" w:line="288" w:lineRule="auto"/>
              <w:ind w:left="15"/>
              <w:jc w:val="center"/>
              <w:rPr>
                <w:rFonts w:hint="eastAsia"/>
              </w:rPr>
            </w:pPr>
            <w:r>
              <w:t>99.79</w:t>
            </w:r>
          </w:p>
        </w:tc>
      </w:tr>
      <w:tr w:rsidR="00B804EC" w14:paraId="6E66A09C"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27789397" w14:textId="77777777" w:rsidR="00B804EC" w:rsidRDefault="00B804EC">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57C2DA80" w14:textId="77777777" w:rsidR="00B804EC" w:rsidRDefault="00000000">
            <w:pPr>
              <w:pStyle w:val="biaogeleft"/>
              <w:wordWrap w:val="0"/>
              <w:rPr>
                <w:rFonts w:hint="eastAsia"/>
                <w:sz w:val="21"/>
                <w:szCs w:val="21"/>
              </w:rPr>
            </w:pPr>
            <w:r>
              <w:rPr>
                <w:sz w:val="21"/>
                <w:szCs w:val="21"/>
              </w:rPr>
              <w:t>其中：债券</w:t>
            </w:r>
          </w:p>
        </w:tc>
        <w:tc>
          <w:tcPr>
            <w:tcW w:w="2257" w:type="dxa"/>
            <w:tcBorders>
              <w:top w:val="single" w:sz="8" w:space="0" w:color="000000"/>
              <w:left w:val="single" w:sz="8" w:space="0" w:color="000000"/>
              <w:bottom w:val="single" w:sz="6" w:space="0" w:color="000000"/>
              <w:right w:val="single" w:sz="8" w:space="0" w:color="000000"/>
            </w:tcBorders>
          </w:tcPr>
          <w:p w14:paraId="694547C0" w14:textId="60D5D010" w:rsidR="00B804EC" w:rsidRDefault="00000000" w:rsidP="0021714D">
            <w:pPr>
              <w:widowControl/>
              <w:wordWrap w:val="0"/>
              <w:autoSpaceDE w:val="0"/>
              <w:autoSpaceDN w:val="0"/>
              <w:adjustRightInd w:val="0"/>
              <w:spacing w:before="29" w:line="288" w:lineRule="auto"/>
              <w:ind w:left="15"/>
              <w:jc w:val="center"/>
              <w:rPr>
                <w:rFonts w:hint="eastAsia"/>
              </w:rPr>
            </w:pPr>
            <w:r>
              <w:t>241,807,455.89</w:t>
            </w:r>
          </w:p>
        </w:tc>
        <w:tc>
          <w:tcPr>
            <w:tcW w:w="2258" w:type="dxa"/>
            <w:tcBorders>
              <w:top w:val="single" w:sz="8" w:space="0" w:color="000000"/>
              <w:left w:val="single" w:sz="8" w:space="0" w:color="000000"/>
              <w:bottom w:val="single" w:sz="6" w:space="0" w:color="000000"/>
              <w:right w:val="single" w:sz="8" w:space="0" w:color="000000"/>
            </w:tcBorders>
          </w:tcPr>
          <w:p w14:paraId="21DE7621" w14:textId="059BD8CC" w:rsidR="00B804EC" w:rsidRDefault="00000000" w:rsidP="0021714D">
            <w:pPr>
              <w:widowControl/>
              <w:wordWrap w:val="0"/>
              <w:autoSpaceDE w:val="0"/>
              <w:autoSpaceDN w:val="0"/>
              <w:adjustRightInd w:val="0"/>
              <w:spacing w:before="29" w:line="288" w:lineRule="auto"/>
              <w:ind w:left="15"/>
              <w:jc w:val="center"/>
              <w:rPr>
                <w:rFonts w:hint="eastAsia"/>
              </w:rPr>
            </w:pPr>
            <w:r>
              <w:t>99.79</w:t>
            </w:r>
          </w:p>
        </w:tc>
      </w:tr>
      <w:tr w:rsidR="00B804EC" w14:paraId="61A772DF"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722C6B98" w14:textId="77777777" w:rsidR="00B804EC" w:rsidRDefault="00B804EC">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2D2887DA" w14:textId="77777777" w:rsidR="00B804EC" w:rsidRDefault="00000000">
            <w:pPr>
              <w:pStyle w:val="biaogeleft"/>
              <w:wordWrap w:val="0"/>
              <w:rPr>
                <w:rFonts w:hint="eastAsia"/>
                <w:sz w:val="21"/>
                <w:szCs w:val="21"/>
              </w:rPr>
            </w:pPr>
            <w:r>
              <w:rPr>
                <w:sz w:val="21"/>
                <w:szCs w:val="21"/>
              </w:rPr>
              <w:t>资产支持证券</w:t>
            </w:r>
          </w:p>
        </w:tc>
        <w:tc>
          <w:tcPr>
            <w:tcW w:w="2257" w:type="dxa"/>
            <w:tcBorders>
              <w:top w:val="single" w:sz="8" w:space="0" w:color="000000"/>
              <w:left w:val="single" w:sz="8" w:space="0" w:color="000000"/>
              <w:bottom w:val="single" w:sz="6" w:space="0" w:color="000000"/>
              <w:right w:val="single" w:sz="8" w:space="0" w:color="000000"/>
            </w:tcBorders>
          </w:tcPr>
          <w:p w14:paraId="06F083C0" w14:textId="46D8BB90"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53FB1026" w14:textId="03A058A9"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75DA67A5"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6FEEB285" w14:textId="77777777" w:rsidR="00B804EC" w:rsidRDefault="00000000">
            <w:pPr>
              <w:pStyle w:val="biaogecenter"/>
              <w:wordWrap w:val="0"/>
              <w:ind w:firstLine="420"/>
              <w:rPr>
                <w:rFonts w:hint="eastAsia"/>
                <w:sz w:val="21"/>
                <w:szCs w:val="21"/>
              </w:rPr>
            </w:pPr>
            <w:r>
              <w:rPr>
                <w:sz w:val="21"/>
                <w:szCs w:val="21"/>
              </w:rPr>
              <w:t>4</w:t>
            </w:r>
          </w:p>
        </w:tc>
        <w:tc>
          <w:tcPr>
            <w:tcW w:w="2809" w:type="dxa"/>
            <w:tcBorders>
              <w:top w:val="single" w:sz="8" w:space="0" w:color="000000"/>
              <w:left w:val="single" w:sz="8" w:space="0" w:color="000000"/>
              <w:bottom w:val="single" w:sz="6" w:space="0" w:color="000000"/>
              <w:right w:val="single" w:sz="8" w:space="0" w:color="000000"/>
            </w:tcBorders>
            <w:vAlign w:val="center"/>
          </w:tcPr>
          <w:p w14:paraId="33438C88" w14:textId="77777777" w:rsidR="00B804EC" w:rsidRDefault="00000000">
            <w:pPr>
              <w:pStyle w:val="biaogeleft"/>
              <w:wordWrap w:val="0"/>
              <w:rPr>
                <w:rFonts w:hint="eastAsia"/>
                <w:sz w:val="21"/>
                <w:szCs w:val="21"/>
              </w:rPr>
            </w:pPr>
            <w:r>
              <w:rPr>
                <w:sz w:val="21"/>
                <w:szCs w:val="21"/>
              </w:rPr>
              <w:t>贵金属投资</w:t>
            </w:r>
          </w:p>
        </w:tc>
        <w:tc>
          <w:tcPr>
            <w:tcW w:w="2257" w:type="dxa"/>
            <w:tcBorders>
              <w:top w:val="single" w:sz="8" w:space="0" w:color="000000"/>
              <w:left w:val="single" w:sz="8" w:space="0" w:color="000000"/>
              <w:bottom w:val="single" w:sz="6" w:space="0" w:color="000000"/>
              <w:right w:val="single" w:sz="8" w:space="0" w:color="000000"/>
            </w:tcBorders>
          </w:tcPr>
          <w:p w14:paraId="41730CC1" w14:textId="3975FA9A"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75BD2FA9" w14:textId="7E1BAA0D"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70681CE9"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56C70B84" w14:textId="77777777" w:rsidR="00B804EC" w:rsidRDefault="00000000">
            <w:pPr>
              <w:pStyle w:val="biaogecenter"/>
              <w:wordWrap w:val="0"/>
              <w:ind w:firstLine="420"/>
              <w:rPr>
                <w:rFonts w:hint="eastAsia"/>
                <w:sz w:val="21"/>
                <w:szCs w:val="21"/>
              </w:rPr>
            </w:pPr>
            <w:r>
              <w:rPr>
                <w:sz w:val="21"/>
                <w:szCs w:val="21"/>
              </w:rPr>
              <w:t>5</w:t>
            </w:r>
          </w:p>
        </w:tc>
        <w:tc>
          <w:tcPr>
            <w:tcW w:w="2809" w:type="dxa"/>
            <w:tcBorders>
              <w:top w:val="single" w:sz="8" w:space="0" w:color="000000"/>
              <w:left w:val="single" w:sz="8" w:space="0" w:color="000000"/>
              <w:bottom w:val="single" w:sz="6" w:space="0" w:color="000000"/>
              <w:right w:val="single" w:sz="8" w:space="0" w:color="000000"/>
            </w:tcBorders>
            <w:vAlign w:val="center"/>
          </w:tcPr>
          <w:p w14:paraId="2D11BA6B" w14:textId="77777777" w:rsidR="00B804EC" w:rsidRDefault="00000000">
            <w:pPr>
              <w:pStyle w:val="biaogeleft"/>
              <w:wordWrap w:val="0"/>
              <w:rPr>
                <w:rFonts w:hint="eastAsia"/>
                <w:sz w:val="21"/>
                <w:szCs w:val="21"/>
              </w:rPr>
            </w:pPr>
            <w:r>
              <w:rPr>
                <w:sz w:val="21"/>
                <w:szCs w:val="21"/>
              </w:rPr>
              <w:t>金融衍生品投资</w:t>
            </w:r>
          </w:p>
        </w:tc>
        <w:tc>
          <w:tcPr>
            <w:tcW w:w="2257" w:type="dxa"/>
            <w:tcBorders>
              <w:top w:val="single" w:sz="8" w:space="0" w:color="000000"/>
              <w:left w:val="single" w:sz="8" w:space="0" w:color="000000"/>
              <w:bottom w:val="single" w:sz="6" w:space="0" w:color="000000"/>
              <w:right w:val="single" w:sz="8" w:space="0" w:color="000000"/>
            </w:tcBorders>
          </w:tcPr>
          <w:p w14:paraId="1C297131" w14:textId="0657B933"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7CE821DD" w14:textId="6E689265"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3E0829F7"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6529F9C6" w14:textId="77777777" w:rsidR="00B804EC" w:rsidRDefault="00000000">
            <w:pPr>
              <w:pStyle w:val="biaogecenter"/>
              <w:wordWrap w:val="0"/>
              <w:ind w:firstLine="420"/>
              <w:rPr>
                <w:rFonts w:hint="eastAsia"/>
                <w:sz w:val="21"/>
                <w:szCs w:val="21"/>
              </w:rPr>
            </w:pPr>
            <w:r>
              <w:rPr>
                <w:sz w:val="21"/>
                <w:szCs w:val="21"/>
              </w:rPr>
              <w:t>6</w:t>
            </w:r>
          </w:p>
        </w:tc>
        <w:tc>
          <w:tcPr>
            <w:tcW w:w="2809" w:type="dxa"/>
            <w:tcBorders>
              <w:top w:val="single" w:sz="8" w:space="0" w:color="000000"/>
              <w:left w:val="single" w:sz="8" w:space="0" w:color="000000"/>
              <w:bottom w:val="single" w:sz="6" w:space="0" w:color="000000"/>
              <w:right w:val="single" w:sz="8" w:space="0" w:color="000000"/>
            </w:tcBorders>
            <w:vAlign w:val="center"/>
          </w:tcPr>
          <w:p w14:paraId="166006C3" w14:textId="77777777" w:rsidR="00B804EC" w:rsidRDefault="00000000">
            <w:pPr>
              <w:pStyle w:val="biaogeleft"/>
              <w:wordWrap w:val="0"/>
              <w:rPr>
                <w:rFonts w:hint="eastAsia"/>
                <w:sz w:val="21"/>
                <w:szCs w:val="21"/>
              </w:rPr>
            </w:pPr>
            <w:r>
              <w:rPr>
                <w:sz w:val="21"/>
                <w:szCs w:val="21"/>
              </w:rPr>
              <w:t>买入返售金融资产</w:t>
            </w:r>
          </w:p>
        </w:tc>
        <w:tc>
          <w:tcPr>
            <w:tcW w:w="2257" w:type="dxa"/>
            <w:tcBorders>
              <w:top w:val="single" w:sz="8" w:space="0" w:color="000000"/>
              <w:left w:val="single" w:sz="8" w:space="0" w:color="000000"/>
              <w:bottom w:val="single" w:sz="6" w:space="0" w:color="000000"/>
              <w:right w:val="single" w:sz="8" w:space="0" w:color="000000"/>
            </w:tcBorders>
          </w:tcPr>
          <w:p w14:paraId="7CF0148B" w14:textId="3CC527B9"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2151110F" w14:textId="7291C7EF"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07F094E2"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5A3EC770" w14:textId="77777777" w:rsidR="00B804EC" w:rsidRDefault="00B804EC">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3576044E" w14:textId="77777777" w:rsidR="00B804EC" w:rsidRDefault="00000000">
            <w:pPr>
              <w:pStyle w:val="biaogeleft"/>
              <w:wordWrap w:val="0"/>
              <w:rPr>
                <w:rFonts w:hint="eastAsia"/>
                <w:sz w:val="21"/>
                <w:szCs w:val="21"/>
              </w:rPr>
            </w:pPr>
            <w:r>
              <w:rPr>
                <w:sz w:val="21"/>
                <w:szCs w:val="21"/>
              </w:rPr>
              <w:t>其中：买断式回购的买入返售金融资产</w:t>
            </w:r>
          </w:p>
        </w:tc>
        <w:tc>
          <w:tcPr>
            <w:tcW w:w="2257" w:type="dxa"/>
            <w:tcBorders>
              <w:top w:val="single" w:sz="8" w:space="0" w:color="000000"/>
              <w:left w:val="single" w:sz="8" w:space="0" w:color="000000"/>
              <w:bottom w:val="single" w:sz="6" w:space="0" w:color="000000"/>
              <w:right w:val="single" w:sz="8" w:space="0" w:color="000000"/>
            </w:tcBorders>
          </w:tcPr>
          <w:p w14:paraId="0B8FFE67" w14:textId="5DB012F5" w:rsidR="00B804EC" w:rsidRDefault="00000000" w:rsidP="0021714D">
            <w:pPr>
              <w:widowControl/>
              <w:wordWrap w:val="0"/>
              <w:autoSpaceDE w:val="0"/>
              <w:autoSpaceDN w:val="0"/>
              <w:adjustRightInd w:val="0"/>
              <w:spacing w:before="29" w:line="288" w:lineRule="auto"/>
              <w:ind w:left="15"/>
              <w:jc w:val="center"/>
              <w:rPr>
                <w:rFonts w:hint="eastAsia"/>
              </w:rPr>
            </w:pPr>
            <w:r>
              <w:t>-</w:t>
            </w:r>
          </w:p>
        </w:tc>
        <w:tc>
          <w:tcPr>
            <w:tcW w:w="2258" w:type="dxa"/>
            <w:tcBorders>
              <w:top w:val="single" w:sz="8" w:space="0" w:color="000000"/>
              <w:left w:val="single" w:sz="8" w:space="0" w:color="000000"/>
              <w:bottom w:val="single" w:sz="6" w:space="0" w:color="000000"/>
              <w:right w:val="single" w:sz="8" w:space="0" w:color="000000"/>
            </w:tcBorders>
          </w:tcPr>
          <w:p w14:paraId="2E1F75A2" w14:textId="46D43A03"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68DEF0DD"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338C4B17" w14:textId="77777777" w:rsidR="00B804EC" w:rsidRDefault="00000000">
            <w:pPr>
              <w:pStyle w:val="biaogecenter"/>
              <w:wordWrap w:val="0"/>
              <w:ind w:firstLine="420"/>
              <w:rPr>
                <w:rFonts w:hint="eastAsia"/>
                <w:sz w:val="21"/>
                <w:szCs w:val="21"/>
              </w:rPr>
            </w:pPr>
            <w:r>
              <w:rPr>
                <w:sz w:val="21"/>
                <w:szCs w:val="21"/>
              </w:rPr>
              <w:t>7</w:t>
            </w:r>
          </w:p>
        </w:tc>
        <w:tc>
          <w:tcPr>
            <w:tcW w:w="2809" w:type="dxa"/>
            <w:tcBorders>
              <w:top w:val="single" w:sz="8" w:space="0" w:color="000000"/>
              <w:left w:val="single" w:sz="8" w:space="0" w:color="000000"/>
              <w:bottom w:val="single" w:sz="6" w:space="0" w:color="000000"/>
              <w:right w:val="single" w:sz="8" w:space="0" w:color="000000"/>
            </w:tcBorders>
            <w:vAlign w:val="center"/>
          </w:tcPr>
          <w:p w14:paraId="2829728B" w14:textId="77777777" w:rsidR="00B804EC" w:rsidRDefault="00000000">
            <w:pPr>
              <w:pStyle w:val="biaogeleft"/>
              <w:wordWrap w:val="0"/>
              <w:rPr>
                <w:rFonts w:hint="eastAsia"/>
                <w:sz w:val="21"/>
                <w:szCs w:val="21"/>
              </w:rPr>
            </w:pPr>
            <w:r>
              <w:rPr>
                <w:sz w:val="21"/>
                <w:szCs w:val="21"/>
              </w:rPr>
              <w:t>银行存款和结算备付金合计</w:t>
            </w:r>
          </w:p>
        </w:tc>
        <w:tc>
          <w:tcPr>
            <w:tcW w:w="2257" w:type="dxa"/>
            <w:tcBorders>
              <w:top w:val="single" w:sz="8" w:space="0" w:color="000000"/>
              <w:left w:val="single" w:sz="8" w:space="0" w:color="000000"/>
              <w:bottom w:val="single" w:sz="6" w:space="0" w:color="000000"/>
              <w:right w:val="single" w:sz="8" w:space="0" w:color="000000"/>
            </w:tcBorders>
          </w:tcPr>
          <w:p w14:paraId="591C1962" w14:textId="56C26C57" w:rsidR="00B804EC" w:rsidRDefault="00000000" w:rsidP="0021714D">
            <w:pPr>
              <w:widowControl/>
              <w:wordWrap w:val="0"/>
              <w:autoSpaceDE w:val="0"/>
              <w:autoSpaceDN w:val="0"/>
              <w:adjustRightInd w:val="0"/>
              <w:spacing w:before="29" w:line="288" w:lineRule="auto"/>
              <w:ind w:left="15"/>
              <w:jc w:val="center"/>
              <w:rPr>
                <w:rFonts w:hint="eastAsia"/>
              </w:rPr>
            </w:pPr>
            <w:r>
              <w:t>502,536.98</w:t>
            </w:r>
          </w:p>
        </w:tc>
        <w:tc>
          <w:tcPr>
            <w:tcW w:w="2258" w:type="dxa"/>
            <w:tcBorders>
              <w:top w:val="single" w:sz="8" w:space="0" w:color="000000"/>
              <w:left w:val="single" w:sz="8" w:space="0" w:color="000000"/>
              <w:bottom w:val="single" w:sz="6" w:space="0" w:color="000000"/>
              <w:right w:val="single" w:sz="8" w:space="0" w:color="000000"/>
            </w:tcBorders>
          </w:tcPr>
          <w:p w14:paraId="2606AB1B" w14:textId="7BC32AFB" w:rsidR="00B804EC" w:rsidRDefault="00000000" w:rsidP="0021714D">
            <w:pPr>
              <w:widowControl/>
              <w:wordWrap w:val="0"/>
              <w:autoSpaceDE w:val="0"/>
              <w:autoSpaceDN w:val="0"/>
              <w:adjustRightInd w:val="0"/>
              <w:spacing w:before="29" w:line="288" w:lineRule="auto"/>
              <w:ind w:left="15"/>
              <w:jc w:val="center"/>
              <w:rPr>
                <w:rFonts w:hint="eastAsia"/>
              </w:rPr>
            </w:pPr>
            <w:r>
              <w:t>0.21</w:t>
            </w:r>
          </w:p>
        </w:tc>
      </w:tr>
      <w:tr w:rsidR="00B804EC" w14:paraId="609C2B62"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4BCB481E" w14:textId="77777777" w:rsidR="00B804EC" w:rsidRDefault="00000000">
            <w:pPr>
              <w:pStyle w:val="biaogecenter"/>
              <w:wordWrap w:val="0"/>
              <w:ind w:firstLine="420"/>
              <w:rPr>
                <w:rFonts w:hint="eastAsia"/>
                <w:sz w:val="21"/>
                <w:szCs w:val="21"/>
              </w:rPr>
            </w:pPr>
            <w:r>
              <w:rPr>
                <w:sz w:val="21"/>
                <w:szCs w:val="21"/>
              </w:rPr>
              <w:t>8</w:t>
            </w:r>
          </w:p>
        </w:tc>
        <w:tc>
          <w:tcPr>
            <w:tcW w:w="2809" w:type="dxa"/>
            <w:tcBorders>
              <w:top w:val="single" w:sz="8" w:space="0" w:color="000000"/>
              <w:left w:val="single" w:sz="8" w:space="0" w:color="000000"/>
              <w:bottom w:val="single" w:sz="6" w:space="0" w:color="000000"/>
              <w:right w:val="single" w:sz="8" w:space="0" w:color="000000"/>
            </w:tcBorders>
            <w:vAlign w:val="center"/>
          </w:tcPr>
          <w:p w14:paraId="509A8E13" w14:textId="77777777" w:rsidR="00B804EC" w:rsidRDefault="00000000">
            <w:pPr>
              <w:pStyle w:val="biaogeleft"/>
              <w:wordWrap w:val="0"/>
              <w:rPr>
                <w:rFonts w:hint="eastAsia"/>
                <w:sz w:val="21"/>
                <w:szCs w:val="21"/>
              </w:rPr>
            </w:pPr>
            <w:r>
              <w:rPr>
                <w:sz w:val="21"/>
                <w:szCs w:val="21"/>
              </w:rPr>
              <w:t>其他资产</w:t>
            </w:r>
          </w:p>
        </w:tc>
        <w:tc>
          <w:tcPr>
            <w:tcW w:w="2257" w:type="dxa"/>
            <w:tcBorders>
              <w:top w:val="single" w:sz="8" w:space="0" w:color="000000"/>
              <w:left w:val="single" w:sz="8" w:space="0" w:color="000000"/>
              <w:bottom w:val="single" w:sz="6" w:space="0" w:color="000000"/>
              <w:right w:val="single" w:sz="8" w:space="0" w:color="000000"/>
            </w:tcBorders>
          </w:tcPr>
          <w:p w14:paraId="54494D50" w14:textId="0954D62C" w:rsidR="00B804EC" w:rsidRDefault="00000000" w:rsidP="0021714D">
            <w:pPr>
              <w:widowControl/>
              <w:wordWrap w:val="0"/>
              <w:autoSpaceDE w:val="0"/>
              <w:autoSpaceDN w:val="0"/>
              <w:adjustRightInd w:val="0"/>
              <w:spacing w:before="29" w:line="288" w:lineRule="auto"/>
              <w:ind w:left="15"/>
              <w:jc w:val="center"/>
              <w:rPr>
                <w:rFonts w:hint="eastAsia"/>
              </w:rPr>
            </w:pPr>
            <w:r>
              <w:t>3,037.18</w:t>
            </w:r>
          </w:p>
        </w:tc>
        <w:tc>
          <w:tcPr>
            <w:tcW w:w="2258" w:type="dxa"/>
            <w:tcBorders>
              <w:top w:val="single" w:sz="8" w:space="0" w:color="000000"/>
              <w:left w:val="single" w:sz="8" w:space="0" w:color="000000"/>
              <w:bottom w:val="single" w:sz="6" w:space="0" w:color="000000"/>
              <w:right w:val="single" w:sz="8" w:space="0" w:color="000000"/>
            </w:tcBorders>
          </w:tcPr>
          <w:p w14:paraId="1B27CACF" w14:textId="16A91A8C" w:rsidR="00B804EC" w:rsidRDefault="00000000" w:rsidP="0021714D">
            <w:pPr>
              <w:widowControl/>
              <w:wordWrap w:val="0"/>
              <w:autoSpaceDE w:val="0"/>
              <w:autoSpaceDN w:val="0"/>
              <w:adjustRightInd w:val="0"/>
              <w:spacing w:before="29" w:line="288" w:lineRule="auto"/>
              <w:ind w:left="15"/>
              <w:jc w:val="center"/>
              <w:rPr>
                <w:rFonts w:hint="eastAsia"/>
              </w:rPr>
            </w:pPr>
            <w:r>
              <w:t>0.00</w:t>
            </w:r>
          </w:p>
        </w:tc>
      </w:tr>
      <w:tr w:rsidR="00B804EC" w14:paraId="1121FB4E" w14:textId="77777777" w:rsidTr="0021714D">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623933AE" w14:textId="77777777" w:rsidR="00B804EC" w:rsidRDefault="00000000">
            <w:pPr>
              <w:pStyle w:val="biaogecenter"/>
              <w:wordWrap w:val="0"/>
              <w:ind w:firstLine="420"/>
              <w:rPr>
                <w:rFonts w:hint="eastAsia"/>
                <w:sz w:val="21"/>
                <w:szCs w:val="21"/>
              </w:rPr>
            </w:pPr>
            <w:r>
              <w:rPr>
                <w:sz w:val="21"/>
                <w:szCs w:val="21"/>
              </w:rPr>
              <w:t>9</w:t>
            </w:r>
          </w:p>
        </w:tc>
        <w:tc>
          <w:tcPr>
            <w:tcW w:w="2809" w:type="dxa"/>
            <w:tcBorders>
              <w:top w:val="single" w:sz="8" w:space="0" w:color="000000"/>
              <w:left w:val="single" w:sz="8" w:space="0" w:color="000000"/>
              <w:bottom w:val="single" w:sz="6" w:space="0" w:color="000000"/>
              <w:right w:val="single" w:sz="8" w:space="0" w:color="000000"/>
            </w:tcBorders>
            <w:vAlign w:val="center"/>
          </w:tcPr>
          <w:p w14:paraId="47807553" w14:textId="77777777" w:rsidR="00B804EC" w:rsidRDefault="00000000">
            <w:pPr>
              <w:pStyle w:val="biaogeleft"/>
              <w:wordWrap w:val="0"/>
              <w:rPr>
                <w:rFonts w:hint="eastAsia"/>
                <w:sz w:val="21"/>
                <w:szCs w:val="21"/>
              </w:rPr>
            </w:pPr>
            <w:r>
              <w:rPr>
                <w:sz w:val="21"/>
                <w:szCs w:val="21"/>
              </w:rPr>
              <w:t>合计</w:t>
            </w:r>
          </w:p>
        </w:tc>
        <w:tc>
          <w:tcPr>
            <w:tcW w:w="2257" w:type="dxa"/>
            <w:tcBorders>
              <w:top w:val="single" w:sz="8" w:space="0" w:color="000000"/>
              <w:left w:val="single" w:sz="8" w:space="0" w:color="000000"/>
              <w:bottom w:val="single" w:sz="6" w:space="0" w:color="000000"/>
              <w:right w:val="single" w:sz="8" w:space="0" w:color="000000"/>
            </w:tcBorders>
          </w:tcPr>
          <w:p w14:paraId="2621C633" w14:textId="706C280D" w:rsidR="00B804EC" w:rsidRDefault="00000000" w:rsidP="0021714D">
            <w:pPr>
              <w:widowControl/>
              <w:wordWrap w:val="0"/>
              <w:autoSpaceDE w:val="0"/>
              <w:autoSpaceDN w:val="0"/>
              <w:adjustRightInd w:val="0"/>
              <w:spacing w:before="29" w:line="288" w:lineRule="auto"/>
              <w:ind w:left="15"/>
              <w:jc w:val="center"/>
              <w:rPr>
                <w:rFonts w:hint="eastAsia"/>
              </w:rPr>
            </w:pPr>
            <w:r>
              <w:t>242,313,030.05</w:t>
            </w:r>
          </w:p>
        </w:tc>
        <w:tc>
          <w:tcPr>
            <w:tcW w:w="2258" w:type="dxa"/>
            <w:tcBorders>
              <w:top w:val="single" w:sz="8" w:space="0" w:color="000000"/>
              <w:left w:val="single" w:sz="8" w:space="0" w:color="000000"/>
              <w:bottom w:val="single" w:sz="6" w:space="0" w:color="000000"/>
              <w:right w:val="single" w:sz="8" w:space="0" w:color="000000"/>
            </w:tcBorders>
          </w:tcPr>
          <w:p w14:paraId="78BD4C38" w14:textId="00496799" w:rsidR="00B804EC" w:rsidRDefault="00000000" w:rsidP="0021714D">
            <w:pPr>
              <w:widowControl/>
              <w:wordWrap w:val="0"/>
              <w:autoSpaceDE w:val="0"/>
              <w:autoSpaceDN w:val="0"/>
              <w:adjustRightInd w:val="0"/>
              <w:spacing w:before="29" w:line="288" w:lineRule="auto"/>
              <w:ind w:left="15"/>
              <w:jc w:val="center"/>
              <w:rPr>
                <w:rFonts w:hint="eastAsia"/>
              </w:rPr>
            </w:pPr>
            <w:r>
              <w:t>100.00</w:t>
            </w:r>
          </w:p>
        </w:tc>
      </w:tr>
    </w:tbl>
    <w:p w14:paraId="5FB295A8" w14:textId="77777777" w:rsidR="00B804EC" w:rsidRDefault="00B804EC">
      <w:pPr>
        <w:widowControl/>
        <w:spacing w:line="360" w:lineRule="auto"/>
        <w:jc w:val="left"/>
        <w:rPr>
          <w:rFonts w:ascii="宋体" w:hAnsi="宋体" w:cs="宋体" w:hint="eastAsia"/>
          <w:kern w:val="0"/>
          <w:szCs w:val="21"/>
        </w:rPr>
      </w:pPr>
    </w:p>
    <w:p w14:paraId="61244251" w14:textId="77777777" w:rsidR="00B804EC" w:rsidRDefault="00000000">
      <w:pPr>
        <w:pStyle w:val="neirong"/>
        <w:spacing w:line="360" w:lineRule="auto"/>
        <w:ind w:leftChars="7" w:firstLineChars="100" w:firstLine="210"/>
        <w:rPr>
          <w:rFonts w:hint="eastAsia"/>
          <w:bCs/>
          <w:szCs w:val="21"/>
        </w:rPr>
      </w:pPr>
      <w:r>
        <w:rPr>
          <w:bCs/>
          <w:sz w:val="21"/>
          <w:szCs w:val="21"/>
        </w:rPr>
        <w:t>2</w:t>
      </w:r>
      <w:r>
        <w:rPr>
          <w:rFonts w:hint="eastAsia"/>
          <w:bCs/>
          <w:sz w:val="21"/>
          <w:szCs w:val="21"/>
        </w:rPr>
        <w:t>、报告期末按行业分类的股票投资组合</w:t>
      </w:r>
    </w:p>
    <w:p w14:paraId="47111A08" w14:textId="77777777" w:rsidR="00B804EC" w:rsidRDefault="00000000">
      <w:pPr>
        <w:pStyle w:val="neirong"/>
        <w:spacing w:line="360" w:lineRule="auto"/>
        <w:ind w:leftChars="7" w:firstLineChars="100" w:firstLine="210"/>
        <w:rPr>
          <w:rFonts w:hint="eastAsia"/>
          <w:bCs/>
          <w:szCs w:val="21"/>
        </w:rPr>
      </w:pPr>
      <w:r>
        <w:rPr>
          <w:rFonts w:hint="eastAsia"/>
          <w:bCs/>
          <w:sz w:val="21"/>
          <w:szCs w:val="21"/>
        </w:rPr>
        <w:t>（1）报告期末按行业分类的境内股票投资组合</w:t>
      </w:r>
    </w:p>
    <w:p w14:paraId="7620815D" w14:textId="77777777" w:rsidR="00B804EC" w:rsidRDefault="00000000">
      <w:pPr>
        <w:pStyle w:val="neirong"/>
        <w:spacing w:line="360" w:lineRule="auto"/>
        <w:ind w:leftChars="7" w:firstLineChars="200" w:firstLine="420"/>
        <w:rPr>
          <w:rFonts w:hint="eastAsia"/>
          <w:bCs/>
          <w:szCs w:val="21"/>
        </w:rPr>
      </w:pPr>
      <w:r>
        <w:rPr>
          <w:rFonts w:hint="eastAsia"/>
          <w:bCs/>
          <w:sz w:val="21"/>
          <w:szCs w:val="21"/>
        </w:rPr>
        <w:t>本基金报告期末未持有股票。</w:t>
      </w:r>
    </w:p>
    <w:p w14:paraId="580FD288" w14:textId="77777777" w:rsidR="00B804EC" w:rsidRDefault="00000000">
      <w:pPr>
        <w:pStyle w:val="neirong"/>
        <w:spacing w:line="360" w:lineRule="auto"/>
        <w:ind w:leftChars="7" w:firstLineChars="100" w:firstLine="210"/>
        <w:rPr>
          <w:rFonts w:hint="eastAsia"/>
          <w:bCs/>
          <w:sz w:val="21"/>
          <w:szCs w:val="21"/>
        </w:rPr>
      </w:pPr>
      <w:r>
        <w:rPr>
          <w:rFonts w:hint="eastAsia"/>
          <w:bCs/>
          <w:sz w:val="21"/>
          <w:szCs w:val="21"/>
        </w:rPr>
        <w:t>（</w:t>
      </w:r>
      <w:r>
        <w:rPr>
          <w:bCs/>
          <w:sz w:val="21"/>
          <w:szCs w:val="21"/>
        </w:rPr>
        <w:t>2）报告期末按行业分类的港股通投资股票投资组合</w:t>
      </w:r>
    </w:p>
    <w:p w14:paraId="720C8E16" w14:textId="77777777" w:rsidR="00B804EC" w:rsidRDefault="00000000">
      <w:pPr>
        <w:pStyle w:val="neirong"/>
        <w:spacing w:line="360" w:lineRule="auto"/>
        <w:ind w:leftChars="7" w:firstLineChars="200" w:firstLine="420"/>
        <w:rPr>
          <w:rFonts w:hint="eastAsia"/>
          <w:bCs/>
          <w:sz w:val="21"/>
          <w:szCs w:val="21"/>
        </w:rPr>
      </w:pPr>
      <w:r>
        <w:rPr>
          <w:rFonts w:hint="eastAsia"/>
          <w:bCs/>
          <w:sz w:val="21"/>
          <w:szCs w:val="21"/>
        </w:rPr>
        <w:t>本基金报告期末未持有港股通股票。</w:t>
      </w:r>
    </w:p>
    <w:p w14:paraId="66B3C44C" w14:textId="77777777" w:rsidR="00B804EC" w:rsidRDefault="00B804EC">
      <w:pPr>
        <w:pStyle w:val="neirong"/>
        <w:spacing w:line="360" w:lineRule="auto"/>
        <w:ind w:leftChars="7" w:firstLineChars="200" w:firstLine="420"/>
        <w:rPr>
          <w:rFonts w:hint="eastAsia"/>
          <w:bCs/>
          <w:sz w:val="21"/>
          <w:szCs w:val="21"/>
        </w:rPr>
      </w:pPr>
    </w:p>
    <w:p w14:paraId="197E7D71" w14:textId="77777777" w:rsidR="00B804EC" w:rsidRDefault="00000000">
      <w:pPr>
        <w:spacing w:line="360" w:lineRule="auto"/>
        <w:ind w:firstLineChars="100" w:firstLine="210"/>
        <w:rPr>
          <w:szCs w:val="21"/>
        </w:rPr>
      </w:pPr>
      <w:r>
        <w:rPr>
          <w:rFonts w:hint="eastAsia"/>
          <w:szCs w:val="21"/>
        </w:rPr>
        <w:t>3</w:t>
      </w:r>
      <w:r>
        <w:rPr>
          <w:rFonts w:hint="eastAsia"/>
          <w:szCs w:val="21"/>
        </w:rPr>
        <w:t>、报告期末按公允价值占基金资产净值比例大小排序的前十名股票投资明细</w:t>
      </w:r>
    </w:p>
    <w:p w14:paraId="249F05C2" w14:textId="77777777" w:rsidR="00B804EC" w:rsidRDefault="00B804EC">
      <w:pPr>
        <w:spacing w:line="360" w:lineRule="auto"/>
        <w:ind w:firstLineChars="100" w:firstLine="210"/>
        <w:rPr>
          <w:vanish/>
          <w:szCs w:val="21"/>
        </w:rPr>
      </w:pPr>
    </w:p>
    <w:p w14:paraId="03ACB5AD" w14:textId="77777777" w:rsidR="00B804EC" w:rsidRDefault="00000000">
      <w:pPr>
        <w:pStyle w:val="neirong"/>
        <w:spacing w:line="360" w:lineRule="auto"/>
        <w:ind w:left="0" w:firstLineChars="200" w:firstLine="420"/>
        <w:rPr>
          <w:rFonts w:hint="eastAsia"/>
          <w:sz w:val="21"/>
          <w:szCs w:val="21"/>
        </w:rPr>
      </w:pPr>
      <w:r>
        <w:rPr>
          <w:rFonts w:hint="eastAsia"/>
          <w:sz w:val="21"/>
          <w:szCs w:val="21"/>
        </w:rPr>
        <w:t>本基金本报告期末未持有股票。</w:t>
      </w:r>
    </w:p>
    <w:p w14:paraId="13C26B4B" w14:textId="77777777" w:rsidR="00B804EC" w:rsidRDefault="00B804EC">
      <w:pPr>
        <w:spacing w:line="360" w:lineRule="auto"/>
        <w:ind w:firstLineChars="100" w:firstLine="210"/>
        <w:rPr>
          <w:szCs w:val="21"/>
        </w:rPr>
      </w:pPr>
    </w:p>
    <w:p w14:paraId="249ACDA0" w14:textId="77777777" w:rsidR="00B804EC" w:rsidRDefault="00000000">
      <w:pPr>
        <w:spacing w:line="360" w:lineRule="auto"/>
        <w:ind w:firstLineChars="100" w:firstLine="210"/>
      </w:pPr>
      <w:r>
        <w:rPr>
          <w:rFonts w:hint="eastAsia"/>
          <w:szCs w:val="21"/>
        </w:rPr>
        <w:t>4</w:t>
      </w:r>
      <w:r>
        <w:rPr>
          <w:rFonts w:hint="eastAsia"/>
          <w:szCs w:val="21"/>
        </w:rPr>
        <w:t>、报告期末按债券品种分类的债券投资组合</w:t>
      </w:r>
    </w:p>
    <w:tbl>
      <w:tblPr>
        <w:tblW w:w="0" w:type="auto"/>
        <w:tblInd w:w="108" w:type="dxa"/>
        <w:tblLook w:val="04A0" w:firstRow="1" w:lastRow="0" w:firstColumn="1" w:lastColumn="0" w:noHBand="0" w:noVBand="1"/>
      </w:tblPr>
      <w:tblGrid>
        <w:gridCol w:w="1149"/>
        <w:gridCol w:w="2716"/>
        <w:gridCol w:w="2139"/>
        <w:gridCol w:w="2174"/>
      </w:tblGrid>
      <w:tr w:rsidR="00B804EC" w14:paraId="2EC8CDE5" w14:textId="77777777" w:rsidTr="0021714D">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1CF4180"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序号</w:t>
            </w:r>
          </w:p>
        </w:tc>
        <w:tc>
          <w:tcPr>
            <w:tcW w:w="2716" w:type="dxa"/>
            <w:tcBorders>
              <w:top w:val="single" w:sz="8" w:space="0" w:color="000000"/>
              <w:left w:val="single" w:sz="8" w:space="0" w:color="000000"/>
              <w:bottom w:val="single" w:sz="6" w:space="0" w:color="000000"/>
              <w:right w:val="single" w:sz="8" w:space="0" w:color="000000"/>
            </w:tcBorders>
            <w:vAlign w:val="center"/>
          </w:tcPr>
          <w:p w14:paraId="6710A530" w14:textId="77777777" w:rsidR="00B804EC" w:rsidRDefault="00000000">
            <w:pPr>
              <w:pStyle w:val="biaogeleft"/>
              <w:rPr>
                <w:rFonts w:hint="eastAsia"/>
                <w:sz w:val="21"/>
                <w:szCs w:val="21"/>
              </w:rPr>
            </w:pPr>
            <w:r>
              <w:rPr>
                <w:rFonts w:hint="eastAsia"/>
                <w:sz w:val="21"/>
                <w:szCs w:val="21"/>
              </w:rPr>
              <w:t>债券品种</w:t>
            </w:r>
          </w:p>
        </w:tc>
        <w:tc>
          <w:tcPr>
            <w:tcW w:w="2139" w:type="dxa"/>
            <w:tcBorders>
              <w:top w:val="single" w:sz="8" w:space="0" w:color="000000"/>
              <w:left w:val="single" w:sz="8" w:space="0" w:color="000000"/>
              <w:bottom w:val="single" w:sz="6" w:space="0" w:color="000000"/>
              <w:right w:val="single" w:sz="8" w:space="0" w:color="000000"/>
            </w:tcBorders>
            <w:vAlign w:val="center"/>
          </w:tcPr>
          <w:p w14:paraId="049E0C8A" w14:textId="77777777" w:rsidR="00B804EC" w:rsidRDefault="00000000" w:rsidP="0021714D">
            <w:pPr>
              <w:pStyle w:val="biaogeright"/>
              <w:ind w:left="420" w:hanging="420"/>
              <w:jc w:val="center"/>
              <w:rPr>
                <w:rFonts w:hAnsi="Calibri"/>
                <w:color w:val="000000"/>
                <w:sz w:val="21"/>
                <w:szCs w:val="21"/>
              </w:rPr>
            </w:pPr>
            <w:r>
              <w:rPr>
                <w:rFonts w:hAnsi="Calibri" w:hint="eastAsia"/>
                <w:color w:val="000000"/>
                <w:sz w:val="21"/>
                <w:szCs w:val="21"/>
              </w:rPr>
              <w:t>公允价值(元)</w:t>
            </w:r>
          </w:p>
        </w:tc>
        <w:tc>
          <w:tcPr>
            <w:tcW w:w="2174" w:type="dxa"/>
            <w:tcBorders>
              <w:top w:val="single" w:sz="8" w:space="0" w:color="000000"/>
              <w:left w:val="single" w:sz="8" w:space="0" w:color="000000"/>
              <w:bottom w:val="single" w:sz="6" w:space="0" w:color="000000"/>
              <w:right w:val="single" w:sz="8" w:space="0" w:color="000000"/>
            </w:tcBorders>
            <w:vAlign w:val="center"/>
          </w:tcPr>
          <w:p w14:paraId="3E53C567" w14:textId="77777777" w:rsidR="00B804EC" w:rsidRDefault="00000000">
            <w:pPr>
              <w:pStyle w:val="biaogeright"/>
              <w:ind w:left="420" w:hanging="420"/>
              <w:rPr>
                <w:rFonts w:hAnsi="Calibri"/>
                <w:color w:val="000000"/>
                <w:sz w:val="21"/>
                <w:szCs w:val="21"/>
              </w:rPr>
            </w:pPr>
            <w:r>
              <w:rPr>
                <w:rFonts w:hAnsi="Calibri" w:hint="eastAsia"/>
                <w:color w:val="000000"/>
                <w:sz w:val="21"/>
                <w:szCs w:val="21"/>
              </w:rPr>
              <w:t>占基金资产净值比例（％）</w:t>
            </w:r>
          </w:p>
        </w:tc>
      </w:tr>
      <w:tr w:rsidR="00B804EC" w14:paraId="1E895C8C"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88F9CFC" w14:textId="77777777" w:rsidR="00B804EC" w:rsidRDefault="00000000">
            <w:pPr>
              <w:pStyle w:val="biaogecenter"/>
              <w:wordWrap w:val="0"/>
              <w:ind w:firstLine="420"/>
              <w:rPr>
                <w:rFonts w:hAnsi="Calibri"/>
                <w:color w:val="000000"/>
                <w:sz w:val="21"/>
                <w:szCs w:val="21"/>
              </w:rPr>
            </w:pPr>
            <w:r>
              <w:rPr>
                <w:rFonts w:hAnsi="Calibri"/>
                <w:color w:val="000000"/>
                <w:sz w:val="21"/>
                <w:szCs w:val="21"/>
              </w:rPr>
              <w:t>1</w:t>
            </w:r>
          </w:p>
        </w:tc>
        <w:tc>
          <w:tcPr>
            <w:tcW w:w="2716" w:type="dxa"/>
            <w:tcBorders>
              <w:top w:val="single" w:sz="8" w:space="0" w:color="000000"/>
              <w:left w:val="single" w:sz="8" w:space="0" w:color="000000"/>
              <w:bottom w:val="single" w:sz="6" w:space="0" w:color="000000"/>
              <w:right w:val="single" w:sz="8" w:space="0" w:color="000000"/>
            </w:tcBorders>
            <w:vAlign w:val="center"/>
          </w:tcPr>
          <w:p w14:paraId="688664BC" w14:textId="77777777" w:rsidR="00B804EC" w:rsidRDefault="00000000">
            <w:pPr>
              <w:pStyle w:val="biaogeleft"/>
              <w:wordWrap w:val="0"/>
              <w:rPr>
                <w:rFonts w:hint="eastAsia"/>
                <w:sz w:val="21"/>
                <w:szCs w:val="21"/>
              </w:rPr>
            </w:pPr>
            <w:r>
              <w:rPr>
                <w:sz w:val="21"/>
                <w:szCs w:val="21"/>
              </w:rPr>
              <w:t>国家债券</w:t>
            </w:r>
          </w:p>
        </w:tc>
        <w:tc>
          <w:tcPr>
            <w:tcW w:w="2139" w:type="dxa"/>
            <w:tcBorders>
              <w:top w:val="single" w:sz="8" w:space="0" w:color="000000"/>
              <w:left w:val="single" w:sz="8" w:space="0" w:color="000000"/>
              <w:bottom w:val="single" w:sz="6" w:space="0" w:color="000000"/>
              <w:right w:val="single" w:sz="8" w:space="0" w:color="000000"/>
            </w:tcBorders>
          </w:tcPr>
          <w:p w14:paraId="06D35D70" w14:textId="1B180937"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20,681,738.09</w:t>
            </w:r>
          </w:p>
        </w:tc>
        <w:tc>
          <w:tcPr>
            <w:tcW w:w="2174" w:type="dxa"/>
            <w:tcBorders>
              <w:top w:val="single" w:sz="8" w:space="0" w:color="000000"/>
              <w:left w:val="single" w:sz="8" w:space="0" w:color="000000"/>
              <w:bottom w:val="single" w:sz="6" w:space="0" w:color="000000"/>
              <w:right w:val="single" w:sz="8" w:space="0" w:color="000000"/>
            </w:tcBorders>
          </w:tcPr>
          <w:p w14:paraId="75B43CB2" w14:textId="0426320A"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9.82</w:t>
            </w:r>
          </w:p>
        </w:tc>
      </w:tr>
      <w:tr w:rsidR="00B804EC" w14:paraId="3BECCF35"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16B01F49" w14:textId="77777777" w:rsidR="00B804EC" w:rsidRDefault="00000000">
            <w:pPr>
              <w:pStyle w:val="biaogecenter"/>
              <w:wordWrap w:val="0"/>
              <w:ind w:firstLine="420"/>
              <w:rPr>
                <w:rFonts w:hAnsi="Calibri"/>
                <w:color w:val="000000"/>
                <w:sz w:val="21"/>
                <w:szCs w:val="21"/>
              </w:rPr>
            </w:pPr>
            <w:r>
              <w:rPr>
                <w:rFonts w:hAnsi="Calibri"/>
                <w:color w:val="000000"/>
                <w:sz w:val="21"/>
                <w:szCs w:val="21"/>
              </w:rPr>
              <w:t>2</w:t>
            </w:r>
          </w:p>
        </w:tc>
        <w:tc>
          <w:tcPr>
            <w:tcW w:w="2716" w:type="dxa"/>
            <w:tcBorders>
              <w:top w:val="single" w:sz="8" w:space="0" w:color="000000"/>
              <w:left w:val="single" w:sz="8" w:space="0" w:color="000000"/>
              <w:bottom w:val="single" w:sz="6" w:space="0" w:color="000000"/>
              <w:right w:val="single" w:sz="8" w:space="0" w:color="000000"/>
            </w:tcBorders>
            <w:vAlign w:val="center"/>
          </w:tcPr>
          <w:p w14:paraId="7DACDE60" w14:textId="77777777" w:rsidR="00B804EC" w:rsidRDefault="00000000">
            <w:pPr>
              <w:pStyle w:val="biaogeleft"/>
              <w:wordWrap w:val="0"/>
              <w:rPr>
                <w:rFonts w:hint="eastAsia"/>
                <w:sz w:val="21"/>
                <w:szCs w:val="21"/>
              </w:rPr>
            </w:pPr>
            <w:r>
              <w:rPr>
                <w:sz w:val="21"/>
                <w:szCs w:val="21"/>
              </w:rPr>
              <w:t>央行票据</w:t>
            </w:r>
          </w:p>
        </w:tc>
        <w:tc>
          <w:tcPr>
            <w:tcW w:w="2139" w:type="dxa"/>
            <w:tcBorders>
              <w:top w:val="single" w:sz="8" w:space="0" w:color="000000"/>
              <w:left w:val="single" w:sz="8" w:space="0" w:color="000000"/>
              <w:bottom w:val="single" w:sz="6" w:space="0" w:color="000000"/>
              <w:right w:val="single" w:sz="8" w:space="0" w:color="000000"/>
            </w:tcBorders>
          </w:tcPr>
          <w:p w14:paraId="6BDC052E" w14:textId="485A6E31"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72BF9CBC" w14:textId="50422F5B"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62B6D279"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06D60849" w14:textId="77777777" w:rsidR="00B804EC" w:rsidRDefault="00000000">
            <w:pPr>
              <w:pStyle w:val="biaogecenter"/>
              <w:wordWrap w:val="0"/>
              <w:ind w:firstLine="420"/>
              <w:rPr>
                <w:rFonts w:hAnsi="Calibri"/>
                <w:color w:val="000000"/>
                <w:sz w:val="21"/>
                <w:szCs w:val="21"/>
              </w:rPr>
            </w:pPr>
            <w:r>
              <w:rPr>
                <w:rFonts w:hAnsi="Calibri"/>
                <w:color w:val="000000"/>
                <w:sz w:val="21"/>
                <w:szCs w:val="21"/>
              </w:rPr>
              <w:t>3</w:t>
            </w:r>
          </w:p>
        </w:tc>
        <w:tc>
          <w:tcPr>
            <w:tcW w:w="2716" w:type="dxa"/>
            <w:tcBorders>
              <w:top w:val="single" w:sz="8" w:space="0" w:color="000000"/>
              <w:left w:val="single" w:sz="8" w:space="0" w:color="000000"/>
              <w:bottom w:val="single" w:sz="6" w:space="0" w:color="000000"/>
              <w:right w:val="single" w:sz="8" w:space="0" w:color="000000"/>
            </w:tcBorders>
            <w:vAlign w:val="center"/>
          </w:tcPr>
          <w:p w14:paraId="5C089ECD" w14:textId="77777777" w:rsidR="00B804EC" w:rsidRDefault="00000000">
            <w:pPr>
              <w:pStyle w:val="biaogeleft"/>
              <w:wordWrap w:val="0"/>
              <w:rPr>
                <w:rFonts w:hint="eastAsia"/>
                <w:sz w:val="21"/>
                <w:szCs w:val="21"/>
              </w:rPr>
            </w:pPr>
            <w:r>
              <w:rPr>
                <w:sz w:val="21"/>
                <w:szCs w:val="21"/>
              </w:rPr>
              <w:t>金融债券</w:t>
            </w:r>
          </w:p>
        </w:tc>
        <w:tc>
          <w:tcPr>
            <w:tcW w:w="2139" w:type="dxa"/>
            <w:tcBorders>
              <w:top w:val="single" w:sz="8" w:space="0" w:color="000000"/>
              <w:left w:val="single" w:sz="8" w:space="0" w:color="000000"/>
              <w:bottom w:val="single" w:sz="6" w:space="0" w:color="000000"/>
              <w:right w:val="single" w:sz="8" w:space="0" w:color="000000"/>
            </w:tcBorders>
          </w:tcPr>
          <w:p w14:paraId="51C106D9" w14:textId="161FA2EF"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221,125,717.80</w:t>
            </w:r>
          </w:p>
        </w:tc>
        <w:tc>
          <w:tcPr>
            <w:tcW w:w="2174" w:type="dxa"/>
            <w:tcBorders>
              <w:top w:val="single" w:sz="8" w:space="0" w:color="000000"/>
              <w:left w:val="single" w:sz="8" w:space="0" w:color="000000"/>
              <w:bottom w:val="single" w:sz="6" w:space="0" w:color="000000"/>
              <w:right w:val="single" w:sz="8" w:space="0" w:color="000000"/>
            </w:tcBorders>
          </w:tcPr>
          <w:p w14:paraId="75308DA4" w14:textId="56BA5B60"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104.99</w:t>
            </w:r>
          </w:p>
        </w:tc>
      </w:tr>
      <w:tr w:rsidR="00B804EC" w14:paraId="7BE71E6B"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1AB55C94" w14:textId="77777777" w:rsidR="00B804EC" w:rsidRDefault="00B804EC">
            <w:pPr>
              <w:pStyle w:val="biaogecenter"/>
              <w:wordWrap w:val="0"/>
              <w:ind w:firstLine="420"/>
              <w:rPr>
                <w:rFonts w:hAnsi="Calibri"/>
                <w:color w:val="000000"/>
                <w:sz w:val="21"/>
                <w:szCs w:val="21"/>
              </w:rPr>
            </w:pPr>
          </w:p>
        </w:tc>
        <w:tc>
          <w:tcPr>
            <w:tcW w:w="2716" w:type="dxa"/>
            <w:tcBorders>
              <w:top w:val="single" w:sz="8" w:space="0" w:color="000000"/>
              <w:left w:val="single" w:sz="8" w:space="0" w:color="000000"/>
              <w:bottom w:val="single" w:sz="6" w:space="0" w:color="000000"/>
              <w:right w:val="single" w:sz="8" w:space="0" w:color="000000"/>
            </w:tcBorders>
            <w:vAlign w:val="center"/>
          </w:tcPr>
          <w:p w14:paraId="3AAD4D78" w14:textId="77777777" w:rsidR="00B804EC" w:rsidRDefault="00000000">
            <w:pPr>
              <w:pStyle w:val="biaogeleft"/>
              <w:wordWrap w:val="0"/>
              <w:rPr>
                <w:rFonts w:hint="eastAsia"/>
                <w:sz w:val="21"/>
                <w:szCs w:val="21"/>
              </w:rPr>
            </w:pPr>
            <w:r>
              <w:rPr>
                <w:sz w:val="21"/>
                <w:szCs w:val="21"/>
              </w:rPr>
              <w:t>其中：政策性金融债</w:t>
            </w:r>
          </w:p>
        </w:tc>
        <w:tc>
          <w:tcPr>
            <w:tcW w:w="2139" w:type="dxa"/>
            <w:tcBorders>
              <w:top w:val="single" w:sz="8" w:space="0" w:color="000000"/>
              <w:left w:val="single" w:sz="8" w:space="0" w:color="000000"/>
              <w:bottom w:val="single" w:sz="6" w:space="0" w:color="000000"/>
              <w:right w:val="single" w:sz="8" w:space="0" w:color="000000"/>
            </w:tcBorders>
          </w:tcPr>
          <w:p w14:paraId="2581B4CF" w14:textId="465066B0"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221,125,717.80</w:t>
            </w:r>
          </w:p>
        </w:tc>
        <w:tc>
          <w:tcPr>
            <w:tcW w:w="2174" w:type="dxa"/>
            <w:tcBorders>
              <w:top w:val="single" w:sz="8" w:space="0" w:color="000000"/>
              <w:left w:val="single" w:sz="8" w:space="0" w:color="000000"/>
              <w:bottom w:val="single" w:sz="6" w:space="0" w:color="000000"/>
              <w:right w:val="single" w:sz="8" w:space="0" w:color="000000"/>
            </w:tcBorders>
          </w:tcPr>
          <w:p w14:paraId="7C023639" w14:textId="15804E99"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104.99</w:t>
            </w:r>
          </w:p>
        </w:tc>
      </w:tr>
      <w:tr w:rsidR="00B804EC" w14:paraId="2C0CEB46"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C86D67F" w14:textId="77777777" w:rsidR="00B804EC" w:rsidRDefault="00000000">
            <w:pPr>
              <w:pStyle w:val="biaogecenter"/>
              <w:wordWrap w:val="0"/>
              <w:ind w:firstLine="420"/>
              <w:rPr>
                <w:rFonts w:hAnsi="Calibri"/>
                <w:color w:val="000000"/>
                <w:sz w:val="21"/>
                <w:szCs w:val="21"/>
              </w:rPr>
            </w:pPr>
            <w:r>
              <w:rPr>
                <w:rFonts w:hAnsi="Calibri"/>
                <w:color w:val="000000"/>
                <w:sz w:val="21"/>
                <w:szCs w:val="21"/>
              </w:rPr>
              <w:t>4</w:t>
            </w:r>
          </w:p>
        </w:tc>
        <w:tc>
          <w:tcPr>
            <w:tcW w:w="2716" w:type="dxa"/>
            <w:tcBorders>
              <w:top w:val="single" w:sz="8" w:space="0" w:color="000000"/>
              <w:left w:val="single" w:sz="8" w:space="0" w:color="000000"/>
              <w:bottom w:val="single" w:sz="6" w:space="0" w:color="000000"/>
              <w:right w:val="single" w:sz="8" w:space="0" w:color="000000"/>
            </w:tcBorders>
            <w:vAlign w:val="center"/>
          </w:tcPr>
          <w:p w14:paraId="0BDFA812" w14:textId="77777777" w:rsidR="00B804EC" w:rsidRDefault="00000000">
            <w:pPr>
              <w:pStyle w:val="biaogeleft"/>
              <w:wordWrap w:val="0"/>
              <w:rPr>
                <w:rFonts w:hint="eastAsia"/>
                <w:sz w:val="21"/>
                <w:szCs w:val="21"/>
              </w:rPr>
            </w:pPr>
            <w:r>
              <w:rPr>
                <w:sz w:val="21"/>
                <w:szCs w:val="21"/>
              </w:rPr>
              <w:t>企业债券</w:t>
            </w:r>
          </w:p>
        </w:tc>
        <w:tc>
          <w:tcPr>
            <w:tcW w:w="2139" w:type="dxa"/>
            <w:tcBorders>
              <w:top w:val="single" w:sz="8" w:space="0" w:color="000000"/>
              <w:left w:val="single" w:sz="8" w:space="0" w:color="000000"/>
              <w:bottom w:val="single" w:sz="6" w:space="0" w:color="000000"/>
              <w:right w:val="single" w:sz="8" w:space="0" w:color="000000"/>
            </w:tcBorders>
          </w:tcPr>
          <w:p w14:paraId="1E3F7D9A" w14:textId="76540331"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04C2463B" w14:textId="100B772C"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0AD3EFBE"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06AAABDC" w14:textId="77777777" w:rsidR="00B804EC" w:rsidRDefault="00000000">
            <w:pPr>
              <w:pStyle w:val="biaogecenter"/>
              <w:wordWrap w:val="0"/>
              <w:ind w:firstLine="420"/>
              <w:rPr>
                <w:rFonts w:hAnsi="Calibri"/>
                <w:color w:val="000000"/>
                <w:sz w:val="21"/>
                <w:szCs w:val="21"/>
              </w:rPr>
            </w:pPr>
            <w:r>
              <w:rPr>
                <w:rFonts w:hAnsi="Calibri"/>
                <w:color w:val="000000"/>
                <w:sz w:val="21"/>
                <w:szCs w:val="21"/>
              </w:rPr>
              <w:t>5</w:t>
            </w:r>
          </w:p>
        </w:tc>
        <w:tc>
          <w:tcPr>
            <w:tcW w:w="2716" w:type="dxa"/>
            <w:tcBorders>
              <w:top w:val="single" w:sz="8" w:space="0" w:color="000000"/>
              <w:left w:val="single" w:sz="8" w:space="0" w:color="000000"/>
              <w:bottom w:val="single" w:sz="6" w:space="0" w:color="000000"/>
              <w:right w:val="single" w:sz="8" w:space="0" w:color="000000"/>
            </w:tcBorders>
            <w:vAlign w:val="center"/>
          </w:tcPr>
          <w:p w14:paraId="5C8FB8B7" w14:textId="77777777" w:rsidR="00B804EC" w:rsidRDefault="00000000">
            <w:pPr>
              <w:pStyle w:val="biaogeleft"/>
              <w:wordWrap w:val="0"/>
              <w:rPr>
                <w:rFonts w:hint="eastAsia"/>
                <w:sz w:val="21"/>
                <w:szCs w:val="21"/>
              </w:rPr>
            </w:pPr>
            <w:r>
              <w:rPr>
                <w:sz w:val="21"/>
                <w:szCs w:val="21"/>
              </w:rPr>
              <w:t>企业短期融资券</w:t>
            </w:r>
          </w:p>
        </w:tc>
        <w:tc>
          <w:tcPr>
            <w:tcW w:w="2139" w:type="dxa"/>
            <w:tcBorders>
              <w:top w:val="single" w:sz="8" w:space="0" w:color="000000"/>
              <w:left w:val="single" w:sz="8" w:space="0" w:color="000000"/>
              <w:bottom w:val="single" w:sz="6" w:space="0" w:color="000000"/>
              <w:right w:val="single" w:sz="8" w:space="0" w:color="000000"/>
            </w:tcBorders>
          </w:tcPr>
          <w:p w14:paraId="10AE1B40" w14:textId="22E79CF1"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025826C4" w14:textId="2A7C87BE"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2217ECB1"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7FA10AE3" w14:textId="77777777" w:rsidR="00B804EC" w:rsidRDefault="00000000">
            <w:pPr>
              <w:pStyle w:val="biaogecenter"/>
              <w:wordWrap w:val="0"/>
              <w:ind w:firstLine="420"/>
              <w:rPr>
                <w:rFonts w:hAnsi="Calibri"/>
                <w:color w:val="000000"/>
                <w:sz w:val="21"/>
                <w:szCs w:val="21"/>
              </w:rPr>
            </w:pPr>
            <w:r>
              <w:rPr>
                <w:rFonts w:hAnsi="Calibri"/>
                <w:color w:val="000000"/>
                <w:sz w:val="21"/>
                <w:szCs w:val="21"/>
              </w:rPr>
              <w:t>6</w:t>
            </w:r>
          </w:p>
        </w:tc>
        <w:tc>
          <w:tcPr>
            <w:tcW w:w="2716" w:type="dxa"/>
            <w:tcBorders>
              <w:top w:val="single" w:sz="8" w:space="0" w:color="000000"/>
              <w:left w:val="single" w:sz="8" w:space="0" w:color="000000"/>
              <w:bottom w:val="single" w:sz="6" w:space="0" w:color="000000"/>
              <w:right w:val="single" w:sz="8" w:space="0" w:color="000000"/>
            </w:tcBorders>
            <w:vAlign w:val="center"/>
          </w:tcPr>
          <w:p w14:paraId="602BA682" w14:textId="77777777" w:rsidR="00B804EC" w:rsidRDefault="00000000">
            <w:pPr>
              <w:pStyle w:val="biaogeleft"/>
              <w:wordWrap w:val="0"/>
              <w:rPr>
                <w:rFonts w:hint="eastAsia"/>
                <w:sz w:val="21"/>
                <w:szCs w:val="21"/>
              </w:rPr>
            </w:pPr>
            <w:r>
              <w:rPr>
                <w:sz w:val="21"/>
                <w:szCs w:val="21"/>
              </w:rPr>
              <w:t>中期票据</w:t>
            </w:r>
          </w:p>
        </w:tc>
        <w:tc>
          <w:tcPr>
            <w:tcW w:w="2139" w:type="dxa"/>
            <w:tcBorders>
              <w:top w:val="single" w:sz="8" w:space="0" w:color="000000"/>
              <w:left w:val="single" w:sz="8" w:space="0" w:color="000000"/>
              <w:bottom w:val="single" w:sz="6" w:space="0" w:color="000000"/>
              <w:right w:val="single" w:sz="8" w:space="0" w:color="000000"/>
            </w:tcBorders>
          </w:tcPr>
          <w:p w14:paraId="059FA41E" w14:textId="067054BA"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5867D309" w14:textId="1E6F08BD"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6FB641B9"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0AE015C6" w14:textId="77777777" w:rsidR="00B804EC" w:rsidRDefault="00000000">
            <w:pPr>
              <w:pStyle w:val="biaogecenter"/>
              <w:wordWrap w:val="0"/>
              <w:ind w:firstLine="420"/>
              <w:rPr>
                <w:rFonts w:hAnsi="Calibri"/>
                <w:color w:val="000000"/>
                <w:sz w:val="21"/>
                <w:szCs w:val="21"/>
              </w:rPr>
            </w:pPr>
            <w:r>
              <w:rPr>
                <w:rFonts w:hAnsi="Calibri"/>
                <w:color w:val="000000"/>
                <w:sz w:val="21"/>
                <w:szCs w:val="21"/>
              </w:rPr>
              <w:t>7</w:t>
            </w:r>
          </w:p>
        </w:tc>
        <w:tc>
          <w:tcPr>
            <w:tcW w:w="2716" w:type="dxa"/>
            <w:tcBorders>
              <w:top w:val="single" w:sz="8" w:space="0" w:color="000000"/>
              <w:left w:val="single" w:sz="8" w:space="0" w:color="000000"/>
              <w:bottom w:val="single" w:sz="6" w:space="0" w:color="000000"/>
              <w:right w:val="single" w:sz="8" w:space="0" w:color="000000"/>
            </w:tcBorders>
            <w:vAlign w:val="center"/>
          </w:tcPr>
          <w:p w14:paraId="51B00DBE" w14:textId="77777777" w:rsidR="00B804EC" w:rsidRDefault="00000000">
            <w:pPr>
              <w:pStyle w:val="biaogeleft"/>
              <w:wordWrap w:val="0"/>
              <w:rPr>
                <w:rFonts w:hint="eastAsia"/>
                <w:sz w:val="21"/>
                <w:szCs w:val="21"/>
              </w:rPr>
            </w:pPr>
            <w:r>
              <w:rPr>
                <w:sz w:val="21"/>
                <w:szCs w:val="21"/>
              </w:rPr>
              <w:t>可转债（可交换债）</w:t>
            </w:r>
          </w:p>
        </w:tc>
        <w:tc>
          <w:tcPr>
            <w:tcW w:w="2139" w:type="dxa"/>
            <w:tcBorders>
              <w:top w:val="single" w:sz="8" w:space="0" w:color="000000"/>
              <w:left w:val="single" w:sz="8" w:space="0" w:color="000000"/>
              <w:bottom w:val="single" w:sz="6" w:space="0" w:color="000000"/>
              <w:right w:val="single" w:sz="8" w:space="0" w:color="000000"/>
            </w:tcBorders>
          </w:tcPr>
          <w:p w14:paraId="6A0C106E" w14:textId="24AEF1BC"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6BDF4711" w14:textId="667C802D"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0B608CCA"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3E043B70" w14:textId="77777777" w:rsidR="00B804EC" w:rsidRDefault="00000000">
            <w:pPr>
              <w:pStyle w:val="biaogecenter"/>
              <w:wordWrap w:val="0"/>
              <w:ind w:firstLine="420"/>
              <w:rPr>
                <w:rFonts w:hAnsi="Calibri"/>
                <w:color w:val="000000"/>
                <w:sz w:val="21"/>
                <w:szCs w:val="21"/>
              </w:rPr>
            </w:pPr>
            <w:r>
              <w:rPr>
                <w:rFonts w:hAnsi="Calibri"/>
                <w:color w:val="000000"/>
                <w:sz w:val="21"/>
                <w:szCs w:val="21"/>
              </w:rPr>
              <w:t>8</w:t>
            </w:r>
          </w:p>
        </w:tc>
        <w:tc>
          <w:tcPr>
            <w:tcW w:w="2716" w:type="dxa"/>
            <w:tcBorders>
              <w:top w:val="single" w:sz="8" w:space="0" w:color="000000"/>
              <w:left w:val="single" w:sz="8" w:space="0" w:color="000000"/>
              <w:bottom w:val="single" w:sz="6" w:space="0" w:color="000000"/>
              <w:right w:val="single" w:sz="8" w:space="0" w:color="000000"/>
            </w:tcBorders>
            <w:vAlign w:val="center"/>
          </w:tcPr>
          <w:p w14:paraId="4368FA73" w14:textId="77777777" w:rsidR="00B804EC" w:rsidRDefault="00000000">
            <w:pPr>
              <w:pStyle w:val="biaogeleft"/>
              <w:wordWrap w:val="0"/>
              <w:rPr>
                <w:rFonts w:hint="eastAsia"/>
                <w:sz w:val="21"/>
                <w:szCs w:val="21"/>
              </w:rPr>
            </w:pPr>
            <w:r>
              <w:rPr>
                <w:sz w:val="21"/>
                <w:szCs w:val="21"/>
              </w:rPr>
              <w:t>同业存单</w:t>
            </w:r>
          </w:p>
        </w:tc>
        <w:tc>
          <w:tcPr>
            <w:tcW w:w="2139" w:type="dxa"/>
            <w:tcBorders>
              <w:top w:val="single" w:sz="8" w:space="0" w:color="000000"/>
              <w:left w:val="single" w:sz="8" w:space="0" w:color="000000"/>
              <w:bottom w:val="single" w:sz="6" w:space="0" w:color="000000"/>
              <w:right w:val="single" w:sz="8" w:space="0" w:color="000000"/>
            </w:tcBorders>
          </w:tcPr>
          <w:p w14:paraId="2D5CE18C" w14:textId="514E381B"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5F45948B" w14:textId="40CB4404"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1B133899"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1205D144" w14:textId="77777777" w:rsidR="00B804EC" w:rsidRDefault="00000000">
            <w:pPr>
              <w:pStyle w:val="biaogecenter"/>
              <w:wordWrap w:val="0"/>
              <w:ind w:firstLine="420"/>
              <w:rPr>
                <w:rFonts w:hAnsi="Calibri"/>
                <w:color w:val="000000"/>
                <w:sz w:val="21"/>
                <w:szCs w:val="21"/>
              </w:rPr>
            </w:pPr>
            <w:r>
              <w:rPr>
                <w:rFonts w:hAnsi="Calibri"/>
                <w:color w:val="000000"/>
                <w:sz w:val="21"/>
                <w:szCs w:val="21"/>
              </w:rPr>
              <w:t>9</w:t>
            </w:r>
          </w:p>
        </w:tc>
        <w:tc>
          <w:tcPr>
            <w:tcW w:w="2716" w:type="dxa"/>
            <w:tcBorders>
              <w:top w:val="single" w:sz="8" w:space="0" w:color="000000"/>
              <w:left w:val="single" w:sz="8" w:space="0" w:color="000000"/>
              <w:bottom w:val="single" w:sz="6" w:space="0" w:color="000000"/>
              <w:right w:val="single" w:sz="8" w:space="0" w:color="000000"/>
            </w:tcBorders>
            <w:vAlign w:val="center"/>
          </w:tcPr>
          <w:p w14:paraId="0439D3CE" w14:textId="77777777" w:rsidR="00B804EC" w:rsidRDefault="00000000">
            <w:pPr>
              <w:pStyle w:val="biaogeleft"/>
              <w:wordWrap w:val="0"/>
              <w:rPr>
                <w:rFonts w:hint="eastAsia"/>
                <w:sz w:val="21"/>
                <w:szCs w:val="21"/>
              </w:rPr>
            </w:pPr>
            <w:r>
              <w:rPr>
                <w:sz w:val="21"/>
                <w:szCs w:val="21"/>
              </w:rPr>
              <w:t>其他</w:t>
            </w:r>
          </w:p>
        </w:tc>
        <w:tc>
          <w:tcPr>
            <w:tcW w:w="2139" w:type="dxa"/>
            <w:tcBorders>
              <w:top w:val="single" w:sz="8" w:space="0" w:color="000000"/>
              <w:left w:val="single" w:sz="8" w:space="0" w:color="000000"/>
              <w:bottom w:val="single" w:sz="6" w:space="0" w:color="000000"/>
              <w:right w:val="single" w:sz="8" w:space="0" w:color="000000"/>
            </w:tcBorders>
          </w:tcPr>
          <w:p w14:paraId="397F3EDB" w14:textId="50FD2FFC"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619B3A2A" w14:textId="1C26AAEB"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w:t>
            </w:r>
          </w:p>
        </w:tc>
      </w:tr>
      <w:tr w:rsidR="00B804EC" w14:paraId="7E978D46"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4B6F092B" w14:textId="77777777" w:rsidR="00B804EC" w:rsidRDefault="00000000">
            <w:pPr>
              <w:pStyle w:val="biaogecenter"/>
              <w:wordWrap w:val="0"/>
              <w:ind w:firstLine="420"/>
              <w:rPr>
                <w:rFonts w:hAnsi="Calibri"/>
                <w:color w:val="000000"/>
                <w:sz w:val="21"/>
                <w:szCs w:val="21"/>
              </w:rPr>
            </w:pPr>
            <w:r>
              <w:rPr>
                <w:rFonts w:hAnsi="Calibri"/>
                <w:color w:val="000000"/>
                <w:sz w:val="21"/>
                <w:szCs w:val="21"/>
              </w:rPr>
              <w:t>10</w:t>
            </w:r>
          </w:p>
        </w:tc>
        <w:tc>
          <w:tcPr>
            <w:tcW w:w="2716" w:type="dxa"/>
            <w:tcBorders>
              <w:top w:val="single" w:sz="8" w:space="0" w:color="000000"/>
              <w:left w:val="single" w:sz="8" w:space="0" w:color="000000"/>
              <w:bottom w:val="single" w:sz="6" w:space="0" w:color="000000"/>
              <w:right w:val="single" w:sz="8" w:space="0" w:color="000000"/>
            </w:tcBorders>
            <w:vAlign w:val="center"/>
          </w:tcPr>
          <w:p w14:paraId="7DBF8A50" w14:textId="77777777" w:rsidR="00B804EC" w:rsidRDefault="00000000">
            <w:pPr>
              <w:pStyle w:val="biaogeleft"/>
              <w:wordWrap w:val="0"/>
              <w:rPr>
                <w:rFonts w:hint="eastAsia"/>
                <w:sz w:val="21"/>
                <w:szCs w:val="21"/>
              </w:rPr>
            </w:pPr>
            <w:r>
              <w:rPr>
                <w:sz w:val="21"/>
                <w:szCs w:val="21"/>
              </w:rPr>
              <w:t>合计</w:t>
            </w:r>
          </w:p>
        </w:tc>
        <w:tc>
          <w:tcPr>
            <w:tcW w:w="2139" w:type="dxa"/>
            <w:tcBorders>
              <w:top w:val="single" w:sz="8" w:space="0" w:color="000000"/>
              <w:left w:val="single" w:sz="8" w:space="0" w:color="000000"/>
              <w:bottom w:val="single" w:sz="6" w:space="0" w:color="000000"/>
              <w:right w:val="single" w:sz="8" w:space="0" w:color="000000"/>
            </w:tcBorders>
          </w:tcPr>
          <w:p w14:paraId="382A1B25" w14:textId="1277C115"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241,807,455.89</w:t>
            </w:r>
          </w:p>
        </w:tc>
        <w:tc>
          <w:tcPr>
            <w:tcW w:w="2174" w:type="dxa"/>
            <w:tcBorders>
              <w:top w:val="single" w:sz="8" w:space="0" w:color="000000"/>
              <w:left w:val="single" w:sz="8" w:space="0" w:color="000000"/>
              <w:bottom w:val="single" w:sz="6" w:space="0" w:color="000000"/>
              <w:right w:val="single" w:sz="8" w:space="0" w:color="000000"/>
            </w:tcBorders>
          </w:tcPr>
          <w:p w14:paraId="42602C7D" w14:textId="1736EF97" w:rsidR="00B804EC" w:rsidRPr="00846174" w:rsidRDefault="00000000" w:rsidP="0021714D">
            <w:pPr>
              <w:widowControl/>
              <w:wordWrap w:val="0"/>
              <w:autoSpaceDE w:val="0"/>
              <w:autoSpaceDN w:val="0"/>
              <w:adjustRightInd w:val="0"/>
              <w:spacing w:before="29" w:line="288" w:lineRule="auto"/>
              <w:ind w:left="15"/>
              <w:jc w:val="center"/>
              <w:rPr>
                <w:rFonts w:hAnsi="Calibri"/>
                <w:color w:val="000000"/>
                <w:szCs w:val="21"/>
              </w:rPr>
            </w:pPr>
            <w:r>
              <w:t>114.81</w:t>
            </w:r>
          </w:p>
        </w:tc>
      </w:tr>
    </w:tbl>
    <w:p w14:paraId="1713BCC7" w14:textId="77777777" w:rsidR="00B804EC" w:rsidRDefault="00B804EC">
      <w:pPr>
        <w:widowControl/>
        <w:spacing w:line="360" w:lineRule="auto"/>
        <w:jc w:val="left"/>
        <w:rPr>
          <w:rFonts w:ascii="宋体" w:hAnsi="宋体" w:cs="宋体" w:hint="eastAsia"/>
          <w:kern w:val="0"/>
          <w:szCs w:val="21"/>
        </w:rPr>
      </w:pPr>
    </w:p>
    <w:p w14:paraId="6B3DEBFE" w14:textId="77777777" w:rsidR="00B804EC" w:rsidRDefault="00000000">
      <w:pPr>
        <w:spacing w:line="360" w:lineRule="auto"/>
        <w:ind w:firstLineChars="200" w:firstLine="420"/>
        <w:rPr>
          <w:rFonts w:ascii="宋体" w:hAnsi="宋体" w:hint="eastAsia"/>
          <w:kern w:val="0"/>
        </w:rPr>
      </w:pPr>
      <w:r>
        <w:rPr>
          <w:rFonts w:hint="eastAsia"/>
          <w:szCs w:val="21"/>
        </w:rPr>
        <w:t>5</w:t>
      </w:r>
      <w:r>
        <w:rPr>
          <w:rFonts w:hint="eastAsia"/>
          <w:szCs w:val="21"/>
        </w:rPr>
        <w:t>、报告期末按公允价值占基金资产净值比例大小排序的前五名债券投资明细</w:t>
      </w:r>
    </w:p>
    <w:tbl>
      <w:tblPr>
        <w:tblW w:w="9073" w:type="dxa"/>
        <w:tblInd w:w="-34" w:type="dxa"/>
        <w:tblLook w:val="04A0" w:firstRow="1" w:lastRow="0" w:firstColumn="1" w:lastColumn="0" w:noHBand="0" w:noVBand="1"/>
      </w:tblPr>
      <w:tblGrid>
        <w:gridCol w:w="709"/>
        <w:gridCol w:w="1377"/>
        <w:gridCol w:w="2252"/>
        <w:gridCol w:w="1144"/>
        <w:gridCol w:w="1905"/>
        <w:gridCol w:w="1686"/>
      </w:tblGrid>
      <w:tr w:rsidR="00B804EC" w14:paraId="48AC98A7"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419356F9"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lastRenderedPageBreak/>
              <w:t>序号</w:t>
            </w:r>
          </w:p>
        </w:tc>
        <w:tc>
          <w:tcPr>
            <w:tcW w:w="1377" w:type="dxa"/>
            <w:tcBorders>
              <w:top w:val="single" w:sz="8" w:space="0" w:color="000000"/>
              <w:left w:val="single" w:sz="8" w:space="0" w:color="000000"/>
              <w:bottom w:val="single" w:sz="6" w:space="0" w:color="000000"/>
              <w:right w:val="single" w:sz="8" w:space="0" w:color="000000"/>
            </w:tcBorders>
            <w:vAlign w:val="center"/>
          </w:tcPr>
          <w:p w14:paraId="4C7C7748"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债券代码</w:t>
            </w:r>
          </w:p>
        </w:tc>
        <w:tc>
          <w:tcPr>
            <w:tcW w:w="2252" w:type="dxa"/>
            <w:tcBorders>
              <w:top w:val="single" w:sz="8" w:space="0" w:color="000000"/>
              <w:left w:val="single" w:sz="8" w:space="0" w:color="000000"/>
              <w:bottom w:val="single" w:sz="6" w:space="0" w:color="000000"/>
              <w:right w:val="single" w:sz="8" w:space="0" w:color="000000"/>
            </w:tcBorders>
            <w:vAlign w:val="center"/>
          </w:tcPr>
          <w:p w14:paraId="5DF8E36A"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债券名称</w:t>
            </w:r>
          </w:p>
        </w:tc>
        <w:tc>
          <w:tcPr>
            <w:tcW w:w="1144" w:type="dxa"/>
            <w:tcBorders>
              <w:top w:val="single" w:sz="8" w:space="0" w:color="000000"/>
              <w:left w:val="single" w:sz="8" w:space="0" w:color="000000"/>
              <w:bottom w:val="single" w:sz="6" w:space="0" w:color="000000"/>
              <w:right w:val="single" w:sz="8" w:space="0" w:color="000000"/>
            </w:tcBorders>
            <w:vAlign w:val="center"/>
          </w:tcPr>
          <w:p w14:paraId="303946AE"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数量（张）</w:t>
            </w:r>
          </w:p>
        </w:tc>
        <w:tc>
          <w:tcPr>
            <w:tcW w:w="1905" w:type="dxa"/>
            <w:tcBorders>
              <w:top w:val="single" w:sz="8" w:space="0" w:color="000000"/>
              <w:left w:val="single" w:sz="8" w:space="0" w:color="000000"/>
              <w:bottom w:val="single" w:sz="6" w:space="0" w:color="000000"/>
              <w:right w:val="single" w:sz="8" w:space="0" w:color="000000"/>
            </w:tcBorders>
            <w:vAlign w:val="center"/>
          </w:tcPr>
          <w:p w14:paraId="20594DA4"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公允价值</w:t>
            </w:r>
            <w:r>
              <w:rPr>
                <w:rFonts w:hAnsi="Calibri" w:hint="eastAsia"/>
                <w:color w:val="000000"/>
                <w:szCs w:val="21"/>
              </w:rPr>
              <w:t>(</w:t>
            </w:r>
            <w:r>
              <w:rPr>
                <w:rFonts w:hAnsi="Calibri" w:hint="eastAsia"/>
                <w:color w:val="000000"/>
                <w:szCs w:val="21"/>
              </w:rPr>
              <w:t>元</w:t>
            </w:r>
            <w:r>
              <w:rPr>
                <w:rFonts w:hAnsi="Calibri" w:hint="eastAsia"/>
                <w:color w:val="000000"/>
                <w:szCs w:val="21"/>
              </w:rPr>
              <w:t>)</w:t>
            </w:r>
          </w:p>
        </w:tc>
        <w:tc>
          <w:tcPr>
            <w:tcW w:w="1686" w:type="dxa"/>
            <w:tcBorders>
              <w:top w:val="single" w:sz="8" w:space="0" w:color="000000"/>
              <w:left w:val="single" w:sz="8" w:space="0" w:color="000000"/>
              <w:bottom w:val="single" w:sz="6" w:space="0" w:color="000000"/>
              <w:right w:val="single" w:sz="8" w:space="0" w:color="000000"/>
            </w:tcBorders>
            <w:vAlign w:val="center"/>
          </w:tcPr>
          <w:p w14:paraId="1D044A8C"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占基金资产净值比例（％）</w:t>
            </w:r>
          </w:p>
        </w:tc>
      </w:tr>
      <w:tr w:rsidR="00B804EC" w14:paraId="7F014304"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20691690" w14:textId="77777777" w:rsidR="00B804EC" w:rsidRDefault="00000000">
            <w:pPr>
              <w:widowControl/>
              <w:autoSpaceDE w:val="0"/>
              <w:autoSpaceDN w:val="0"/>
              <w:adjustRightInd w:val="0"/>
              <w:spacing w:before="29" w:line="288" w:lineRule="auto"/>
              <w:ind w:left="15"/>
              <w:jc w:val="center"/>
              <w:rPr>
                <w:rFonts w:hAnsi="Calibri"/>
                <w:color w:val="000000"/>
                <w:szCs w:val="21"/>
              </w:rPr>
            </w:pPr>
            <w:r>
              <w:rPr>
                <w:rFonts w:hAnsi="Calibri"/>
                <w:color w:val="000000"/>
                <w:szCs w:val="21"/>
              </w:rPr>
              <w:t>1</w:t>
            </w:r>
          </w:p>
        </w:tc>
        <w:tc>
          <w:tcPr>
            <w:tcW w:w="1377" w:type="dxa"/>
            <w:tcBorders>
              <w:top w:val="single" w:sz="8" w:space="0" w:color="000000"/>
              <w:left w:val="single" w:sz="8" w:space="0" w:color="000000"/>
              <w:bottom w:val="single" w:sz="6" w:space="0" w:color="000000"/>
              <w:right w:val="single" w:sz="8" w:space="0" w:color="000000"/>
            </w:tcBorders>
          </w:tcPr>
          <w:p w14:paraId="7A934842" w14:textId="319226BC"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180310</w:t>
            </w:r>
          </w:p>
        </w:tc>
        <w:tc>
          <w:tcPr>
            <w:tcW w:w="2252" w:type="dxa"/>
            <w:tcBorders>
              <w:top w:val="single" w:sz="8" w:space="0" w:color="000000"/>
              <w:left w:val="single" w:sz="8" w:space="0" w:color="000000"/>
              <w:bottom w:val="single" w:sz="6" w:space="0" w:color="000000"/>
              <w:right w:val="single" w:sz="8" w:space="0" w:color="000000"/>
            </w:tcBorders>
          </w:tcPr>
          <w:p w14:paraId="7F4803C9" w14:textId="496EE6A3"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进出</w:t>
            </w:r>
            <w:r>
              <w:rPr>
                <w:rFonts w:hint="eastAsia"/>
              </w:rPr>
              <w:t>10</w:t>
            </w:r>
          </w:p>
        </w:tc>
        <w:tc>
          <w:tcPr>
            <w:tcW w:w="1144" w:type="dxa"/>
            <w:tcBorders>
              <w:top w:val="single" w:sz="8" w:space="0" w:color="000000"/>
              <w:left w:val="single" w:sz="8" w:space="0" w:color="000000"/>
              <w:bottom w:val="single" w:sz="6" w:space="0" w:color="000000"/>
              <w:right w:val="single" w:sz="8" w:space="0" w:color="000000"/>
            </w:tcBorders>
          </w:tcPr>
          <w:p w14:paraId="08C620F2" w14:textId="3E92E324"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500,000</w:t>
            </w:r>
          </w:p>
        </w:tc>
        <w:tc>
          <w:tcPr>
            <w:tcW w:w="1905" w:type="dxa"/>
            <w:tcBorders>
              <w:top w:val="single" w:sz="8" w:space="0" w:color="000000"/>
              <w:left w:val="single" w:sz="8" w:space="0" w:color="000000"/>
              <w:bottom w:val="single" w:sz="6" w:space="0" w:color="000000"/>
              <w:right w:val="single" w:sz="8" w:space="0" w:color="000000"/>
            </w:tcBorders>
          </w:tcPr>
          <w:p w14:paraId="33EA9F2F" w14:textId="2420B372"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55,377,315.07</w:t>
            </w:r>
          </w:p>
        </w:tc>
        <w:tc>
          <w:tcPr>
            <w:tcW w:w="1686" w:type="dxa"/>
            <w:tcBorders>
              <w:top w:val="single" w:sz="8" w:space="0" w:color="000000"/>
              <w:left w:val="single" w:sz="8" w:space="0" w:color="000000"/>
              <w:bottom w:val="single" w:sz="6" w:space="0" w:color="000000"/>
              <w:right w:val="single" w:sz="8" w:space="0" w:color="000000"/>
            </w:tcBorders>
          </w:tcPr>
          <w:p w14:paraId="4AE99B8D" w14:textId="1590EE50"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26.29</w:t>
            </w:r>
          </w:p>
        </w:tc>
      </w:tr>
      <w:tr w:rsidR="00B804EC" w14:paraId="39C58951"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6E74E5A3"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2</w:t>
            </w:r>
          </w:p>
        </w:tc>
        <w:tc>
          <w:tcPr>
            <w:tcW w:w="1377" w:type="dxa"/>
            <w:tcBorders>
              <w:top w:val="single" w:sz="8" w:space="0" w:color="000000"/>
              <w:left w:val="single" w:sz="8" w:space="0" w:color="000000"/>
              <w:bottom w:val="single" w:sz="6" w:space="0" w:color="000000"/>
              <w:right w:val="single" w:sz="8" w:space="0" w:color="000000"/>
            </w:tcBorders>
          </w:tcPr>
          <w:p w14:paraId="159AA1B8" w14:textId="74133AFE"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180205</w:t>
            </w:r>
          </w:p>
        </w:tc>
        <w:tc>
          <w:tcPr>
            <w:tcW w:w="2252" w:type="dxa"/>
            <w:tcBorders>
              <w:top w:val="single" w:sz="8" w:space="0" w:color="000000"/>
              <w:left w:val="single" w:sz="8" w:space="0" w:color="000000"/>
              <w:bottom w:val="single" w:sz="6" w:space="0" w:color="000000"/>
              <w:right w:val="single" w:sz="8" w:space="0" w:color="000000"/>
            </w:tcBorders>
          </w:tcPr>
          <w:p w14:paraId="683ABAED" w14:textId="50CB3385"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国开</w:t>
            </w:r>
            <w:r>
              <w:rPr>
                <w:rFonts w:hint="eastAsia"/>
              </w:rPr>
              <w:t>05</w:t>
            </w:r>
          </w:p>
        </w:tc>
        <w:tc>
          <w:tcPr>
            <w:tcW w:w="1144" w:type="dxa"/>
            <w:tcBorders>
              <w:top w:val="single" w:sz="8" w:space="0" w:color="000000"/>
              <w:left w:val="single" w:sz="8" w:space="0" w:color="000000"/>
              <w:bottom w:val="single" w:sz="6" w:space="0" w:color="000000"/>
              <w:right w:val="single" w:sz="8" w:space="0" w:color="000000"/>
            </w:tcBorders>
          </w:tcPr>
          <w:p w14:paraId="302200F2" w14:textId="1E8460FE"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300,000</w:t>
            </w:r>
          </w:p>
        </w:tc>
        <w:tc>
          <w:tcPr>
            <w:tcW w:w="1905" w:type="dxa"/>
            <w:tcBorders>
              <w:top w:val="single" w:sz="8" w:space="0" w:color="000000"/>
              <w:left w:val="single" w:sz="8" w:space="0" w:color="000000"/>
              <w:bottom w:val="single" w:sz="6" w:space="0" w:color="000000"/>
              <w:right w:val="single" w:sz="8" w:space="0" w:color="000000"/>
            </w:tcBorders>
          </w:tcPr>
          <w:p w14:paraId="238B1E81" w14:textId="5789A46C"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33,308,572.60</w:t>
            </w:r>
          </w:p>
        </w:tc>
        <w:tc>
          <w:tcPr>
            <w:tcW w:w="1686" w:type="dxa"/>
            <w:tcBorders>
              <w:top w:val="single" w:sz="8" w:space="0" w:color="000000"/>
              <w:left w:val="single" w:sz="8" w:space="0" w:color="000000"/>
              <w:bottom w:val="single" w:sz="6" w:space="0" w:color="000000"/>
              <w:right w:val="single" w:sz="8" w:space="0" w:color="000000"/>
            </w:tcBorders>
          </w:tcPr>
          <w:p w14:paraId="2B1E057E" w14:textId="5675AD42"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15.82</w:t>
            </w:r>
          </w:p>
        </w:tc>
      </w:tr>
      <w:tr w:rsidR="00B804EC" w14:paraId="089DDA90"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6A31BA65"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3</w:t>
            </w:r>
          </w:p>
        </w:tc>
        <w:tc>
          <w:tcPr>
            <w:tcW w:w="1377" w:type="dxa"/>
            <w:tcBorders>
              <w:top w:val="single" w:sz="8" w:space="0" w:color="000000"/>
              <w:left w:val="single" w:sz="8" w:space="0" w:color="000000"/>
              <w:bottom w:val="single" w:sz="6" w:space="0" w:color="000000"/>
              <w:right w:val="single" w:sz="8" w:space="0" w:color="000000"/>
            </w:tcBorders>
          </w:tcPr>
          <w:p w14:paraId="10C8A9F5" w14:textId="7B8497A3"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180406</w:t>
            </w:r>
          </w:p>
        </w:tc>
        <w:tc>
          <w:tcPr>
            <w:tcW w:w="2252" w:type="dxa"/>
            <w:tcBorders>
              <w:top w:val="single" w:sz="8" w:space="0" w:color="000000"/>
              <w:left w:val="single" w:sz="8" w:space="0" w:color="000000"/>
              <w:bottom w:val="single" w:sz="6" w:space="0" w:color="000000"/>
              <w:right w:val="single" w:sz="8" w:space="0" w:color="000000"/>
            </w:tcBorders>
          </w:tcPr>
          <w:p w14:paraId="7D2CD9BE" w14:textId="1424C7C9"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农发</w:t>
            </w:r>
            <w:r>
              <w:rPr>
                <w:rFonts w:hint="eastAsia"/>
              </w:rPr>
              <w:t>06</w:t>
            </w:r>
          </w:p>
        </w:tc>
        <w:tc>
          <w:tcPr>
            <w:tcW w:w="1144" w:type="dxa"/>
            <w:tcBorders>
              <w:top w:val="single" w:sz="8" w:space="0" w:color="000000"/>
              <w:left w:val="single" w:sz="8" w:space="0" w:color="000000"/>
              <w:bottom w:val="single" w:sz="6" w:space="0" w:color="000000"/>
              <w:right w:val="single" w:sz="8" w:space="0" w:color="000000"/>
            </w:tcBorders>
          </w:tcPr>
          <w:p w14:paraId="3CAA41A3" w14:textId="62113146"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6AA4EE8B" w14:textId="489C40AB"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21,968,767.12</w:t>
            </w:r>
          </w:p>
        </w:tc>
        <w:tc>
          <w:tcPr>
            <w:tcW w:w="1686" w:type="dxa"/>
            <w:tcBorders>
              <w:top w:val="single" w:sz="8" w:space="0" w:color="000000"/>
              <w:left w:val="single" w:sz="8" w:space="0" w:color="000000"/>
              <w:bottom w:val="single" w:sz="6" w:space="0" w:color="000000"/>
              <w:right w:val="single" w:sz="8" w:space="0" w:color="000000"/>
            </w:tcBorders>
          </w:tcPr>
          <w:p w14:paraId="54602CA7" w14:textId="2D69ABBA"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10.43</w:t>
            </w:r>
          </w:p>
        </w:tc>
      </w:tr>
      <w:tr w:rsidR="00B804EC" w14:paraId="216D3259"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2AD67C43"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4</w:t>
            </w:r>
          </w:p>
        </w:tc>
        <w:tc>
          <w:tcPr>
            <w:tcW w:w="1377" w:type="dxa"/>
            <w:tcBorders>
              <w:top w:val="single" w:sz="8" w:space="0" w:color="000000"/>
              <w:left w:val="single" w:sz="8" w:space="0" w:color="000000"/>
              <w:bottom w:val="single" w:sz="6" w:space="0" w:color="000000"/>
              <w:right w:val="single" w:sz="8" w:space="0" w:color="000000"/>
            </w:tcBorders>
          </w:tcPr>
          <w:p w14:paraId="0169E7CB" w14:textId="49EDBC9C"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180210</w:t>
            </w:r>
          </w:p>
        </w:tc>
        <w:tc>
          <w:tcPr>
            <w:tcW w:w="2252" w:type="dxa"/>
            <w:tcBorders>
              <w:top w:val="single" w:sz="8" w:space="0" w:color="000000"/>
              <w:left w:val="single" w:sz="8" w:space="0" w:color="000000"/>
              <w:bottom w:val="single" w:sz="6" w:space="0" w:color="000000"/>
              <w:right w:val="single" w:sz="8" w:space="0" w:color="000000"/>
            </w:tcBorders>
          </w:tcPr>
          <w:p w14:paraId="56EDF4DE" w14:textId="1BD7426D"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国开</w:t>
            </w:r>
            <w:r>
              <w:rPr>
                <w:rFonts w:hint="eastAsia"/>
              </w:rPr>
              <w:t>10</w:t>
            </w:r>
          </w:p>
        </w:tc>
        <w:tc>
          <w:tcPr>
            <w:tcW w:w="1144" w:type="dxa"/>
            <w:tcBorders>
              <w:top w:val="single" w:sz="8" w:space="0" w:color="000000"/>
              <w:left w:val="single" w:sz="8" w:space="0" w:color="000000"/>
              <w:bottom w:val="single" w:sz="6" w:space="0" w:color="000000"/>
              <w:right w:val="single" w:sz="8" w:space="0" w:color="000000"/>
            </w:tcBorders>
          </w:tcPr>
          <w:p w14:paraId="01D7C33E" w14:textId="2C1C1D86"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4D69D141" w14:textId="4DA573EC"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21,554,252.05</w:t>
            </w:r>
          </w:p>
        </w:tc>
        <w:tc>
          <w:tcPr>
            <w:tcW w:w="1686" w:type="dxa"/>
            <w:tcBorders>
              <w:top w:val="single" w:sz="8" w:space="0" w:color="000000"/>
              <w:left w:val="single" w:sz="8" w:space="0" w:color="000000"/>
              <w:bottom w:val="single" w:sz="6" w:space="0" w:color="000000"/>
              <w:right w:val="single" w:sz="8" w:space="0" w:color="000000"/>
            </w:tcBorders>
          </w:tcPr>
          <w:p w14:paraId="6F8D7923" w14:textId="5F5D0132"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10.23</w:t>
            </w:r>
          </w:p>
        </w:tc>
      </w:tr>
      <w:tr w:rsidR="00B804EC" w14:paraId="41D9449F"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753132E8" w14:textId="77777777"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5</w:t>
            </w:r>
          </w:p>
        </w:tc>
        <w:tc>
          <w:tcPr>
            <w:tcW w:w="1377" w:type="dxa"/>
            <w:tcBorders>
              <w:top w:val="single" w:sz="8" w:space="0" w:color="000000"/>
              <w:left w:val="single" w:sz="8" w:space="0" w:color="000000"/>
              <w:bottom w:val="single" w:sz="6" w:space="0" w:color="000000"/>
              <w:right w:val="single" w:sz="8" w:space="0" w:color="000000"/>
            </w:tcBorders>
          </w:tcPr>
          <w:p w14:paraId="7B7ADF6B" w14:textId="0E03BA8D"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170215</w:t>
            </w:r>
          </w:p>
        </w:tc>
        <w:tc>
          <w:tcPr>
            <w:tcW w:w="2252" w:type="dxa"/>
            <w:tcBorders>
              <w:top w:val="single" w:sz="8" w:space="0" w:color="000000"/>
              <w:left w:val="single" w:sz="8" w:space="0" w:color="000000"/>
              <w:bottom w:val="single" w:sz="6" w:space="0" w:color="000000"/>
              <w:right w:val="single" w:sz="8" w:space="0" w:color="000000"/>
            </w:tcBorders>
          </w:tcPr>
          <w:p w14:paraId="33DA16DD" w14:textId="44F49A02" w:rsidR="00B804EC"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17</w:t>
            </w:r>
            <w:r>
              <w:rPr>
                <w:rFonts w:hint="eastAsia"/>
              </w:rPr>
              <w:t>国开</w:t>
            </w:r>
            <w:r>
              <w:rPr>
                <w:rFonts w:hint="eastAsia"/>
              </w:rPr>
              <w:t>15</w:t>
            </w:r>
          </w:p>
        </w:tc>
        <w:tc>
          <w:tcPr>
            <w:tcW w:w="1144" w:type="dxa"/>
            <w:tcBorders>
              <w:top w:val="single" w:sz="8" w:space="0" w:color="000000"/>
              <w:left w:val="single" w:sz="8" w:space="0" w:color="000000"/>
              <w:bottom w:val="single" w:sz="6" w:space="0" w:color="000000"/>
              <w:right w:val="single" w:sz="8" w:space="0" w:color="000000"/>
            </w:tcBorders>
          </w:tcPr>
          <w:p w14:paraId="50ABF407" w14:textId="76C510C5"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6FBD7EEA" w14:textId="012151CD"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21,144,027.40</w:t>
            </w:r>
          </w:p>
        </w:tc>
        <w:tc>
          <w:tcPr>
            <w:tcW w:w="1686" w:type="dxa"/>
            <w:tcBorders>
              <w:top w:val="single" w:sz="8" w:space="0" w:color="000000"/>
              <w:left w:val="single" w:sz="8" w:space="0" w:color="000000"/>
              <w:bottom w:val="single" w:sz="6" w:space="0" w:color="000000"/>
              <w:right w:val="single" w:sz="8" w:space="0" w:color="000000"/>
            </w:tcBorders>
          </w:tcPr>
          <w:p w14:paraId="53BAD70F" w14:textId="764BDF3D" w:rsidR="00B804EC"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10.04</w:t>
            </w:r>
          </w:p>
        </w:tc>
      </w:tr>
    </w:tbl>
    <w:p w14:paraId="472A705D" w14:textId="77777777" w:rsidR="00B804EC" w:rsidRDefault="00B804EC">
      <w:pPr>
        <w:widowControl/>
        <w:spacing w:line="360" w:lineRule="auto"/>
        <w:jc w:val="left"/>
        <w:rPr>
          <w:rFonts w:ascii="宋体" w:hAnsi="宋体" w:cs="宋体" w:hint="eastAsia"/>
          <w:kern w:val="0"/>
          <w:szCs w:val="21"/>
        </w:rPr>
      </w:pPr>
    </w:p>
    <w:p w14:paraId="42256924" w14:textId="77777777" w:rsidR="00B804EC" w:rsidRDefault="00000000">
      <w:pPr>
        <w:spacing w:line="360" w:lineRule="auto"/>
        <w:ind w:firstLineChars="200" w:firstLine="420"/>
        <w:rPr>
          <w:szCs w:val="21"/>
        </w:rPr>
      </w:pPr>
      <w:r>
        <w:rPr>
          <w:rFonts w:hint="eastAsia"/>
          <w:szCs w:val="21"/>
        </w:rPr>
        <w:t>6</w:t>
      </w:r>
      <w:r>
        <w:rPr>
          <w:rFonts w:hint="eastAsia"/>
          <w:szCs w:val="21"/>
        </w:rPr>
        <w:t>、报告期末按公允价值占基金资产净值比例大小排序的前十名资产支持证券投资明细</w:t>
      </w:r>
    </w:p>
    <w:p w14:paraId="3D2A772F" w14:textId="77777777" w:rsidR="00B804EC" w:rsidRDefault="00000000">
      <w:pPr>
        <w:spacing w:line="360" w:lineRule="auto"/>
        <w:ind w:firstLineChars="300" w:firstLine="630"/>
        <w:rPr>
          <w:szCs w:val="21"/>
        </w:rPr>
      </w:pPr>
      <w:r>
        <w:rPr>
          <w:rFonts w:hint="eastAsia"/>
          <w:szCs w:val="21"/>
        </w:rPr>
        <w:t>本基金本报告期末未持有资产支持证券。</w:t>
      </w:r>
    </w:p>
    <w:p w14:paraId="09E92B8E" w14:textId="77777777" w:rsidR="00B804EC" w:rsidRDefault="00000000">
      <w:pPr>
        <w:spacing w:line="360" w:lineRule="auto"/>
        <w:ind w:firstLineChars="200" w:firstLine="420"/>
        <w:rPr>
          <w:rFonts w:ascii="宋体" w:hAnsi="宋体" w:cs="宋体" w:hint="eastAsia"/>
          <w:kern w:val="0"/>
          <w:szCs w:val="21"/>
        </w:rPr>
      </w:pPr>
      <w:r>
        <w:rPr>
          <w:rFonts w:hint="eastAsia"/>
          <w:szCs w:val="21"/>
        </w:rPr>
        <w:t>7</w:t>
      </w:r>
      <w:r>
        <w:rPr>
          <w:rFonts w:hint="eastAsia"/>
          <w:szCs w:val="21"/>
        </w:rPr>
        <w:t>、报告期末按公允价值占基金资产净值比例大小排序的前五名贵金属投资明细</w:t>
      </w:r>
    </w:p>
    <w:p w14:paraId="5138AF1E" w14:textId="77777777" w:rsidR="00B804EC" w:rsidRDefault="00000000">
      <w:pPr>
        <w:pStyle w:val="neirong"/>
        <w:spacing w:line="360" w:lineRule="auto"/>
        <w:ind w:leftChars="7" w:firstLineChars="300" w:firstLine="630"/>
        <w:rPr>
          <w:rFonts w:hint="eastAsia"/>
        </w:rPr>
      </w:pPr>
      <w:r>
        <w:rPr>
          <w:rFonts w:hint="eastAsia"/>
          <w:sz w:val="21"/>
          <w:szCs w:val="21"/>
        </w:rPr>
        <w:t>本基金本报告期末未持有贵金属。</w:t>
      </w:r>
    </w:p>
    <w:p w14:paraId="06A2E526" w14:textId="77777777" w:rsidR="00B804EC" w:rsidRDefault="00000000">
      <w:pPr>
        <w:spacing w:line="360" w:lineRule="auto"/>
        <w:ind w:firstLineChars="200" w:firstLine="420"/>
        <w:rPr>
          <w:szCs w:val="21"/>
        </w:rPr>
      </w:pPr>
      <w:r>
        <w:rPr>
          <w:rFonts w:hint="eastAsia"/>
          <w:szCs w:val="21"/>
        </w:rPr>
        <w:t>8</w:t>
      </w:r>
      <w:r>
        <w:rPr>
          <w:rFonts w:hint="eastAsia"/>
          <w:szCs w:val="21"/>
        </w:rPr>
        <w:t>、报告期末按公允价值占基金资产净值比例大小排序的前五名权证投资明细</w:t>
      </w:r>
    </w:p>
    <w:p w14:paraId="323D8EB7" w14:textId="77777777" w:rsidR="00B804EC" w:rsidRDefault="00B804EC">
      <w:pPr>
        <w:spacing w:line="360" w:lineRule="auto"/>
        <w:ind w:firstLineChars="200" w:firstLine="420"/>
        <w:rPr>
          <w:vanish/>
          <w:szCs w:val="21"/>
        </w:rPr>
      </w:pPr>
    </w:p>
    <w:p w14:paraId="7E98C6E3" w14:textId="77777777" w:rsidR="00B804EC" w:rsidRDefault="00000000">
      <w:pPr>
        <w:pStyle w:val="neirong"/>
        <w:spacing w:line="360" w:lineRule="auto"/>
        <w:ind w:leftChars="7" w:firstLineChars="300" w:firstLine="630"/>
        <w:rPr>
          <w:rFonts w:hint="eastAsia"/>
        </w:rPr>
      </w:pPr>
      <w:r>
        <w:rPr>
          <w:rFonts w:hint="eastAsia"/>
          <w:sz w:val="21"/>
          <w:szCs w:val="21"/>
        </w:rPr>
        <w:t>本基金本报告期末未持有权证。</w:t>
      </w:r>
    </w:p>
    <w:p w14:paraId="4612EC73" w14:textId="77777777" w:rsidR="00B804EC" w:rsidRDefault="00000000">
      <w:pPr>
        <w:spacing w:line="360" w:lineRule="auto"/>
        <w:ind w:firstLineChars="200" w:firstLine="420"/>
      </w:pPr>
      <w:r>
        <w:rPr>
          <w:rFonts w:hint="eastAsia"/>
          <w:szCs w:val="21"/>
        </w:rPr>
        <w:t>9</w:t>
      </w:r>
      <w:r>
        <w:rPr>
          <w:rFonts w:hint="eastAsia"/>
          <w:szCs w:val="21"/>
        </w:rPr>
        <w:t>、</w:t>
      </w:r>
      <w:r>
        <w:rPr>
          <w:szCs w:val="21"/>
        </w:rPr>
        <w:t xml:space="preserve"> </w:t>
      </w:r>
      <w:r>
        <w:rPr>
          <w:rFonts w:hint="eastAsia"/>
          <w:szCs w:val="21"/>
        </w:rPr>
        <w:t>报告期末本基金投资的股指期货交易情况说明</w:t>
      </w:r>
    </w:p>
    <w:p w14:paraId="5F05C687" w14:textId="57C02916" w:rsidR="00B804EC" w:rsidRDefault="00000000">
      <w:pPr>
        <w:pStyle w:val="neirong"/>
        <w:spacing w:line="360" w:lineRule="auto"/>
        <w:ind w:leftChars="7" w:firstLineChars="200" w:firstLine="420"/>
        <w:rPr>
          <w:rFonts w:hint="eastAsia"/>
          <w:sz w:val="21"/>
          <w:szCs w:val="21"/>
        </w:rPr>
      </w:pPr>
      <w:r>
        <w:rPr>
          <w:rFonts w:hint="eastAsia"/>
          <w:sz w:val="21"/>
          <w:szCs w:val="21"/>
        </w:rPr>
        <w:t>(1)报告期末本基金投资的股指期货持仓和损益明细</w:t>
      </w:r>
    </w:p>
    <w:p w14:paraId="7B9DFF35" w14:textId="77777777" w:rsidR="00B804EC" w:rsidRDefault="00000000">
      <w:pPr>
        <w:pStyle w:val="neirong"/>
        <w:spacing w:line="360" w:lineRule="auto"/>
        <w:ind w:firstLineChars="300" w:firstLine="630"/>
        <w:rPr>
          <w:rFonts w:hint="eastAsia"/>
          <w:sz w:val="21"/>
          <w:szCs w:val="21"/>
        </w:rPr>
      </w:pPr>
      <w:r>
        <w:rPr>
          <w:rFonts w:hint="eastAsia"/>
          <w:sz w:val="21"/>
          <w:szCs w:val="21"/>
        </w:rPr>
        <w:t>本基金本报告期末未投资股指期货。</w:t>
      </w:r>
    </w:p>
    <w:p w14:paraId="7754901B" w14:textId="01F51507" w:rsidR="00B804EC" w:rsidRDefault="00000000">
      <w:pPr>
        <w:pStyle w:val="neirong"/>
        <w:spacing w:line="360" w:lineRule="auto"/>
        <w:ind w:leftChars="7" w:firstLineChars="150" w:firstLine="315"/>
        <w:rPr>
          <w:rFonts w:hint="eastAsia"/>
          <w:sz w:val="21"/>
          <w:szCs w:val="21"/>
        </w:rPr>
      </w:pPr>
      <w:r>
        <w:rPr>
          <w:rFonts w:hint="eastAsia"/>
          <w:sz w:val="21"/>
          <w:szCs w:val="21"/>
        </w:rPr>
        <w:t xml:space="preserve"> (2)本基金投资股指期货的投资政策</w:t>
      </w:r>
    </w:p>
    <w:p w14:paraId="022965C1" w14:textId="77777777" w:rsidR="00B804EC" w:rsidRDefault="00000000">
      <w:pPr>
        <w:pStyle w:val="neirong"/>
        <w:spacing w:line="360" w:lineRule="auto"/>
        <w:ind w:leftChars="7" w:firstLineChars="350" w:firstLine="735"/>
        <w:rPr>
          <w:rFonts w:hint="eastAsia"/>
          <w:sz w:val="21"/>
          <w:szCs w:val="21"/>
        </w:rPr>
      </w:pPr>
      <w:r>
        <w:rPr>
          <w:rFonts w:hint="eastAsia"/>
          <w:sz w:val="21"/>
          <w:szCs w:val="21"/>
        </w:rPr>
        <w:t>本基金本报告期末未投资股指期货。</w:t>
      </w:r>
    </w:p>
    <w:p w14:paraId="09316007" w14:textId="77777777" w:rsidR="00B804EC" w:rsidRDefault="00000000">
      <w:pPr>
        <w:spacing w:line="360" w:lineRule="auto"/>
        <w:ind w:firstLineChars="200" w:firstLine="420"/>
        <w:rPr>
          <w:rFonts w:ascii="宋体" w:hAnsi="宋体" w:cs="宋体" w:hint="eastAsia"/>
          <w:kern w:val="0"/>
          <w:szCs w:val="21"/>
        </w:rPr>
      </w:pPr>
      <w:r>
        <w:rPr>
          <w:rFonts w:hint="eastAsia"/>
          <w:szCs w:val="21"/>
        </w:rPr>
        <w:t>10</w:t>
      </w:r>
      <w:r>
        <w:rPr>
          <w:rFonts w:hint="eastAsia"/>
          <w:szCs w:val="21"/>
        </w:rPr>
        <w:t>、报告期末本基金投资的国债期货交易情况说明</w:t>
      </w:r>
    </w:p>
    <w:p w14:paraId="463DA7E3" w14:textId="77777777" w:rsidR="00B804EC" w:rsidRDefault="00000000">
      <w:pPr>
        <w:pStyle w:val="neirong"/>
        <w:spacing w:line="360" w:lineRule="auto"/>
        <w:ind w:firstLineChars="200" w:firstLine="420"/>
        <w:rPr>
          <w:rFonts w:hint="eastAsia"/>
          <w:sz w:val="21"/>
          <w:szCs w:val="21"/>
        </w:rPr>
      </w:pPr>
      <w:r>
        <w:rPr>
          <w:rFonts w:hint="eastAsia"/>
          <w:sz w:val="21"/>
          <w:szCs w:val="21"/>
        </w:rPr>
        <w:t>(1)本期国债期货投资政策</w:t>
      </w:r>
    </w:p>
    <w:p w14:paraId="465E9AE7" w14:textId="77777777" w:rsidR="00B804EC" w:rsidRDefault="00000000">
      <w:pPr>
        <w:pStyle w:val="neirong"/>
        <w:spacing w:line="360" w:lineRule="auto"/>
        <w:ind w:firstLineChars="200" w:firstLine="420"/>
        <w:rPr>
          <w:rFonts w:hint="eastAsia"/>
          <w:sz w:val="21"/>
          <w:szCs w:val="21"/>
        </w:rPr>
      </w:pPr>
      <w:r>
        <w:rPr>
          <w:rFonts w:hint="eastAsia"/>
          <w:sz w:val="21"/>
          <w:szCs w:val="21"/>
        </w:rPr>
        <w:t>本基金本报告期末未投资国债期货。</w:t>
      </w:r>
    </w:p>
    <w:p w14:paraId="36696C9B" w14:textId="77777777" w:rsidR="00B804EC" w:rsidRDefault="00000000">
      <w:pPr>
        <w:pStyle w:val="neirong"/>
        <w:spacing w:line="360" w:lineRule="auto"/>
        <w:ind w:firstLineChars="200" w:firstLine="420"/>
        <w:rPr>
          <w:rFonts w:hint="eastAsia"/>
          <w:sz w:val="21"/>
          <w:szCs w:val="21"/>
        </w:rPr>
      </w:pPr>
      <w:r>
        <w:rPr>
          <w:rFonts w:hint="eastAsia"/>
          <w:sz w:val="21"/>
          <w:szCs w:val="21"/>
        </w:rPr>
        <w:t>(2)报告期末本基金投资的国债期货持仓和损益明细</w:t>
      </w:r>
    </w:p>
    <w:p w14:paraId="0578443D" w14:textId="77777777" w:rsidR="00B804EC" w:rsidRDefault="00000000">
      <w:pPr>
        <w:pStyle w:val="neirong"/>
        <w:spacing w:line="360" w:lineRule="auto"/>
        <w:ind w:firstLineChars="200" w:firstLine="420"/>
        <w:rPr>
          <w:rFonts w:hint="eastAsia"/>
          <w:sz w:val="21"/>
          <w:szCs w:val="21"/>
        </w:rPr>
      </w:pPr>
      <w:r>
        <w:rPr>
          <w:rFonts w:hint="eastAsia"/>
          <w:sz w:val="21"/>
          <w:szCs w:val="21"/>
        </w:rPr>
        <w:t>本基金本报告期末未投资国债期货。</w:t>
      </w:r>
    </w:p>
    <w:p w14:paraId="71DE8809" w14:textId="32344D77" w:rsidR="00B804EC" w:rsidRDefault="00000000">
      <w:pPr>
        <w:pStyle w:val="neirong"/>
        <w:spacing w:line="360" w:lineRule="auto"/>
        <w:ind w:firstLineChars="200" w:firstLine="420"/>
        <w:rPr>
          <w:rFonts w:hint="eastAsia"/>
          <w:sz w:val="21"/>
          <w:szCs w:val="21"/>
        </w:rPr>
      </w:pPr>
      <w:r>
        <w:rPr>
          <w:rFonts w:hint="eastAsia"/>
          <w:sz w:val="21"/>
          <w:szCs w:val="21"/>
        </w:rPr>
        <w:t>(3)本期国债期货投资评价</w:t>
      </w:r>
    </w:p>
    <w:p w14:paraId="0115C419" w14:textId="77777777" w:rsidR="00B804EC" w:rsidRDefault="00000000">
      <w:pPr>
        <w:pStyle w:val="zhangjiep2"/>
        <w:spacing w:line="360" w:lineRule="auto"/>
        <w:ind w:firstLineChars="200" w:firstLine="420"/>
        <w:rPr>
          <w:rFonts w:hint="eastAsia"/>
          <w:sz w:val="21"/>
          <w:szCs w:val="21"/>
        </w:rPr>
      </w:pPr>
      <w:r>
        <w:rPr>
          <w:rFonts w:hint="eastAsia"/>
          <w:sz w:val="21"/>
          <w:szCs w:val="21"/>
        </w:rPr>
        <w:t>本基金本报告期末未投资国债期货。</w:t>
      </w:r>
    </w:p>
    <w:p w14:paraId="3B10AC41" w14:textId="77777777" w:rsidR="00B804EC"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、投资组合报告附注</w:t>
      </w:r>
    </w:p>
    <w:p w14:paraId="2578A2E0" w14:textId="77777777" w:rsidR="00B804EC" w:rsidRDefault="00000000">
      <w:pPr>
        <w:pStyle w:val="zhangjiep2"/>
        <w:spacing w:line="360" w:lineRule="auto"/>
        <w:ind w:firstLineChars="200" w:firstLine="420"/>
        <w:rPr>
          <w:rFonts w:hint="eastAsia"/>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w:t>
      </w:r>
      <w:r>
        <w:rPr>
          <w:rFonts w:hint="eastAsia"/>
          <w:sz w:val="21"/>
          <w:szCs w:val="21"/>
        </w:rPr>
        <w:t>本基金投资的前十名证券的发行主体本期没有出现被监管部门立案调查，或在报告编制日前一年内受到公开谴责、处罚的情形。</w:t>
      </w:r>
    </w:p>
    <w:p w14:paraId="77DCD003" w14:textId="77777777" w:rsidR="00B804EC"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）本基金本报告期末未持有股票。</w:t>
      </w:r>
    </w:p>
    <w:p w14:paraId="6D250BC2" w14:textId="77777777" w:rsidR="00B804EC"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3</w:t>
      </w:r>
      <w:r>
        <w:rPr>
          <w:rFonts w:ascii="Times New Roman" w:hAnsi="Times New Roman" w:cs="Times New Roman" w:hint="eastAsia"/>
          <w:kern w:val="2"/>
          <w:sz w:val="21"/>
          <w:szCs w:val="21"/>
        </w:rPr>
        <w:t>）其他资产构成</w:t>
      </w:r>
    </w:p>
    <w:tbl>
      <w:tblPr>
        <w:tblW w:w="0" w:type="auto"/>
        <w:tblInd w:w="108" w:type="dxa"/>
        <w:tblLook w:val="04A0" w:firstRow="1" w:lastRow="0" w:firstColumn="1" w:lastColumn="0" w:noHBand="0" w:noVBand="1"/>
      </w:tblPr>
      <w:tblGrid>
        <w:gridCol w:w="1160"/>
        <w:gridCol w:w="3308"/>
        <w:gridCol w:w="3633"/>
      </w:tblGrid>
      <w:tr w:rsidR="00B804EC" w14:paraId="1204A6AB"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4140F74E"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序号</w:t>
            </w:r>
          </w:p>
        </w:tc>
        <w:tc>
          <w:tcPr>
            <w:tcW w:w="3308" w:type="dxa"/>
            <w:tcBorders>
              <w:top w:val="single" w:sz="8" w:space="0" w:color="000000"/>
              <w:left w:val="single" w:sz="8" w:space="0" w:color="000000"/>
              <w:bottom w:val="single" w:sz="6" w:space="0" w:color="000000"/>
              <w:right w:val="single" w:sz="8" w:space="0" w:color="000000"/>
            </w:tcBorders>
            <w:vAlign w:val="center"/>
          </w:tcPr>
          <w:p w14:paraId="745C3F7A" w14:textId="77777777" w:rsidR="00B804EC" w:rsidRDefault="00000000">
            <w:pPr>
              <w:pStyle w:val="biaogeleft"/>
              <w:rPr>
                <w:rFonts w:hint="eastAsia"/>
                <w:sz w:val="21"/>
                <w:szCs w:val="21"/>
              </w:rPr>
            </w:pPr>
            <w:r>
              <w:rPr>
                <w:rFonts w:hint="eastAsia"/>
                <w:sz w:val="21"/>
                <w:szCs w:val="21"/>
              </w:rPr>
              <w:t>名称</w:t>
            </w:r>
          </w:p>
        </w:tc>
        <w:tc>
          <w:tcPr>
            <w:tcW w:w="3633" w:type="dxa"/>
            <w:tcBorders>
              <w:top w:val="single" w:sz="8" w:space="0" w:color="000000"/>
              <w:left w:val="single" w:sz="8" w:space="0" w:color="000000"/>
              <w:bottom w:val="single" w:sz="6" w:space="0" w:color="000000"/>
              <w:right w:val="single" w:sz="8" w:space="0" w:color="000000"/>
            </w:tcBorders>
            <w:vAlign w:val="center"/>
          </w:tcPr>
          <w:p w14:paraId="11FC2ADA" w14:textId="77777777" w:rsidR="00B804EC" w:rsidRDefault="00000000">
            <w:pPr>
              <w:pStyle w:val="biaogeright"/>
              <w:ind w:left="420" w:hanging="420"/>
              <w:rPr>
                <w:rFonts w:hint="eastAsia"/>
                <w:sz w:val="21"/>
                <w:szCs w:val="21"/>
              </w:rPr>
            </w:pPr>
            <w:r>
              <w:rPr>
                <w:rFonts w:hint="eastAsia"/>
                <w:sz w:val="21"/>
                <w:szCs w:val="21"/>
              </w:rPr>
              <w:t>金额(元)</w:t>
            </w:r>
          </w:p>
        </w:tc>
      </w:tr>
      <w:tr w:rsidR="00B804EC" w14:paraId="5083FCA3"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577AADCF"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1</w:t>
            </w:r>
          </w:p>
        </w:tc>
        <w:tc>
          <w:tcPr>
            <w:tcW w:w="3308" w:type="dxa"/>
            <w:tcBorders>
              <w:top w:val="single" w:sz="8" w:space="0" w:color="000000"/>
              <w:left w:val="single" w:sz="8" w:space="0" w:color="000000"/>
              <w:bottom w:val="single" w:sz="6" w:space="0" w:color="000000"/>
              <w:right w:val="single" w:sz="8" w:space="0" w:color="000000"/>
            </w:tcBorders>
            <w:vAlign w:val="center"/>
          </w:tcPr>
          <w:p w14:paraId="186AC72D" w14:textId="77777777" w:rsidR="00B804EC" w:rsidRDefault="00000000">
            <w:pPr>
              <w:pStyle w:val="biaogeleft"/>
              <w:wordWrap w:val="0"/>
              <w:rPr>
                <w:rFonts w:hint="eastAsia"/>
                <w:sz w:val="21"/>
                <w:szCs w:val="21"/>
              </w:rPr>
            </w:pPr>
            <w:r>
              <w:rPr>
                <w:rFonts w:hint="eastAsia"/>
                <w:sz w:val="21"/>
                <w:szCs w:val="21"/>
              </w:rPr>
              <w:t>存出保证金</w:t>
            </w:r>
          </w:p>
        </w:tc>
        <w:tc>
          <w:tcPr>
            <w:tcW w:w="3633" w:type="dxa"/>
            <w:tcBorders>
              <w:top w:val="single" w:sz="8" w:space="0" w:color="000000"/>
              <w:left w:val="single" w:sz="8" w:space="0" w:color="000000"/>
              <w:bottom w:val="single" w:sz="6" w:space="0" w:color="000000"/>
              <w:right w:val="single" w:sz="8" w:space="0" w:color="000000"/>
            </w:tcBorders>
          </w:tcPr>
          <w:p w14:paraId="5367CF2E" w14:textId="1B8C903F" w:rsidR="00B804EC" w:rsidRDefault="00000000" w:rsidP="0021714D">
            <w:pPr>
              <w:widowControl/>
              <w:wordWrap w:val="0"/>
              <w:autoSpaceDE w:val="0"/>
              <w:autoSpaceDN w:val="0"/>
              <w:adjustRightInd w:val="0"/>
              <w:spacing w:before="29" w:line="288" w:lineRule="auto"/>
              <w:ind w:left="15"/>
              <w:jc w:val="center"/>
              <w:rPr>
                <w:rFonts w:hint="eastAsia"/>
              </w:rPr>
            </w:pPr>
            <w:r>
              <w:t>443.88</w:t>
            </w:r>
          </w:p>
        </w:tc>
      </w:tr>
      <w:tr w:rsidR="00B804EC" w14:paraId="775BA04A"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727FECC0"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lastRenderedPageBreak/>
              <w:t>2</w:t>
            </w:r>
          </w:p>
        </w:tc>
        <w:tc>
          <w:tcPr>
            <w:tcW w:w="3308" w:type="dxa"/>
            <w:tcBorders>
              <w:top w:val="single" w:sz="8" w:space="0" w:color="000000"/>
              <w:left w:val="single" w:sz="8" w:space="0" w:color="000000"/>
              <w:bottom w:val="single" w:sz="6" w:space="0" w:color="000000"/>
              <w:right w:val="single" w:sz="8" w:space="0" w:color="000000"/>
            </w:tcBorders>
            <w:vAlign w:val="center"/>
          </w:tcPr>
          <w:p w14:paraId="30AA8566" w14:textId="77777777" w:rsidR="00B804EC" w:rsidRDefault="00000000">
            <w:pPr>
              <w:pStyle w:val="biaogeleft"/>
              <w:wordWrap w:val="0"/>
              <w:rPr>
                <w:rFonts w:hint="eastAsia"/>
                <w:sz w:val="21"/>
                <w:szCs w:val="21"/>
              </w:rPr>
            </w:pPr>
            <w:r>
              <w:rPr>
                <w:rFonts w:hint="eastAsia"/>
                <w:sz w:val="21"/>
                <w:szCs w:val="21"/>
              </w:rPr>
              <w:t>应收证券清算款</w:t>
            </w:r>
          </w:p>
        </w:tc>
        <w:tc>
          <w:tcPr>
            <w:tcW w:w="3633" w:type="dxa"/>
            <w:tcBorders>
              <w:top w:val="single" w:sz="8" w:space="0" w:color="000000"/>
              <w:left w:val="single" w:sz="8" w:space="0" w:color="000000"/>
              <w:bottom w:val="single" w:sz="6" w:space="0" w:color="000000"/>
              <w:right w:val="single" w:sz="8" w:space="0" w:color="000000"/>
            </w:tcBorders>
          </w:tcPr>
          <w:p w14:paraId="18CC7971" w14:textId="7A868C56"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3E3B2CFA"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11213896"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3</w:t>
            </w:r>
          </w:p>
        </w:tc>
        <w:tc>
          <w:tcPr>
            <w:tcW w:w="3308" w:type="dxa"/>
            <w:tcBorders>
              <w:top w:val="single" w:sz="8" w:space="0" w:color="000000"/>
              <w:left w:val="single" w:sz="8" w:space="0" w:color="000000"/>
              <w:bottom w:val="single" w:sz="6" w:space="0" w:color="000000"/>
              <w:right w:val="single" w:sz="8" w:space="0" w:color="000000"/>
            </w:tcBorders>
            <w:vAlign w:val="center"/>
          </w:tcPr>
          <w:p w14:paraId="42849627" w14:textId="77777777" w:rsidR="00B804EC" w:rsidRDefault="00000000">
            <w:pPr>
              <w:pStyle w:val="biaogeleft"/>
              <w:wordWrap w:val="0"/>
              <w:rPr>
                <w:rFonts w:hint="eastAsia"/>
                <w:sz w:val="21"/>
                <w:szCs w:val="21"/>
              </w:rPr>
            </w:pPr>
            <w:r>
              <w:rPr>
                <w:rFonts w:hint="eastAsia"/>
                <w:sz w:val="21"/>
                <w:szCs w:val="21"/>
              </w:rPr>
              <w:t>应收股利</w:t>
            </w:r>
          </w:p>
        </w:tc>
        <w:tc>
          <w:tcPr>
            <w:tcW w:w="3633" w:type="dxa"/>
            <w:tcBorders>
              <w:top w:val="single" w:sz="8" w:space="0" w:color="000000"/>
              <w:left w:val="single" w:sz="8" w:space="0" w:color="000000"/>
              <w:bottom w:val="single" w:sz="6" w:space="0" w:color="000000"/>
              <w:right w:val="single" w:sz="8" w:space="0" w:color="000000"/>
            </w:tcBorders>
          </w:tcPr>
          <w:p w14:paraId="738130D4" w14:textId="16C2BC13"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6E440F07"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7F394550"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4</w:t>
            </w:r>
          </w:p>
        </w:tc>
        <w:tc>
          <w:tcPr>
            <w:tcW w:w="3308" w:type="dxa"/>
            <w:tcBorders>
              <w:top w:val="single" w:sz="8" w:space="0" w:color="000000"/>
              <w:left w:val="single" w:sz="8" w:space="0" w:color="000000"/>
              <w:bottom w:val="single" w:sz="6" w:space="0" w:color="000000"/>
              <w:right w:val="single" w:sz="8" w:space="0" w:color="000000"/>
            </w:tcBorders>
            <w:vAlign w:val="center"/>
          </w:tcPr>
          <w:p w14:paraId="53250DBD" w14:textId="77777777" w:rsidR="00B804EC" w:rsidRDefault="00000000">
            <w:pPr>
              <w:pStyle w:val="biaogeleft"/>
              <w:wordWrap w:val="0"/>
              <w:rPr>
                <w:rFonts w:hint="eastAsia"/>
                <w:sz w:val="21"/>
                <w:szCs w:val="21"/>
              </w:rPr>
            </w:pPr>
            <w:r>
              <w:rPr>
                <w:rFonts w:hint="eastAsia"/>
                <w:sz w:val="21"/>
                <w:szCs w:val="21"/>
              </w:rPr>
              <w:t>应收利息</w:t>
            </w:r>
          </w:p>
        </w:tc>
        <w:tc>
          <w:tcPr>
            <w:tcW w:w="3633" w:type="dxa"/>
            <w:tcBorders>
              <w:top w:val="single" w:sz="8" w:space="0" w:color="000000"/>
              <w:left w:val="single" w:sz="8" w:space="0" w:color="000000"/>
              <w:bottom w:val="single" w:sz="6" w:space="0" w:color="000000"/>
              <w:right w:val="single" w:sz="8" w:space="0" w:color="000000"/>
            </w:tcBorders>
          </w:tcPr>
          <w:p w14:paraId="4F8CF948" w14:textId="47B5F00E"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1011D5B3"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44017182"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5</w:t>
            </w:r>
          </w:p>
        </w:tc>
        <w:tc>
          <w:tcPr>
            <w:tcW w:w="3308" w:type="dxa"/>
            <w:tcBorders>
              <w:top w:val="single" w:sz="8" w:space="0" w:color="000000"/>
              <w:left w:val="single" w:sz="8" w:space="0" w:color="000000"/>
              <w:bottom w:val="single" w:sz="6" w:space="0" w:color="000000"/>
              <w:right w:val="single" w:sz="8" w:space="0" w:color="000000"/>
            </w:tcBorders>
            <w:vAlign w:val="center"/>
          </w:tcPr>
          <w:p w14:paraId="066C6CB6" w14:textId="77777777" w:rsidR="00B804EC" w:rsidRDefault="00000000">
            <w:pPr>
              <w:pStyle w:val="biaogeleft"/>
              <w:wordWrap w:val="0"/>
              <w:rPr>
                <w:rFonts w:hint="eastAsia"/>
                <w:sz w:val="21"/>
                <w:szCs w:val="21"/>
              </w:rPr>
            </w:pPr>
            <w:r>
              <w:rPr>
                <w:rFonts w:hint="eastAsia"/>
                <w:sz w:val="21"/>
                <w:szCs w:val="21"/>
              </w:rPr>
              <w:t>应收申购款</w:t>
            </w:r>
          </w:p>
        </w:tc>
        <w:tc>
          <w:tcPr>
            <w:tcW w:w="3633" w:type="dxa"/>
            <w:tcBorders>
              <w:top w:val="single" w:sz="8" w:space="0" w:color="000000"/>
              <w:left w:val="single" w:sz="8" w:space="0" w:color="000000"/>
              <w:bottom w:val="single" w:sz="6" w:space="0" w:color="000000"/>
              <w:right w:val="single" w:sz="8" w:space="0" w:color="000000"/>
            </w:tcBorders>
          </w:tcPr>
          <w:p w14:paraId="0893257D" w14:textId="29C72A0B" w:rsidR="00B804EC" w:rsidRDefault="00000000" w:rsidP="0021714D">
            <w:pPr>
              <w:widowControl/>
              <w:wordWrap w:val="0"/>
              <w:autoSpaceDE w:val="0"/>
              <w:autoSpaceDN w:val="0"/>
              <w:adjustRightInd w:val="0"/>
              <w:spacing w:before="29" w:line="288" w:lineRule="auto"/>
              <w:ind w:left="15"/>
              <w:jc w:val="center"/>
              <w:rPr>
                <w:rFonts w:hint="eastAsia"/>
              </w:rPr>
            </w:pPr>
            <w:r>
              <w:t>2,593.30</w:t>
            </w:r>
          </w:p>
        </w:tc>
      </w:tr>
      <w:tr w:rsidR="00B804EC" w14:paraId="206E01D7"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173FEABA"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6</w:t>
            </w:r>
          </w:p>
        </w:tc>
        <w:tc>
          <w:tcPr>
            <w:tcW w:w="3308" w:type="dxa"/>
            <w:tcBorders>
              <w:top w:val="single" w:sz="8" w:space="0" w:color="000000"/>
              <w:left w:val="single" w:sz="8" w:space="0" w:color="000000"/>
              <w:bottom w:val="single" w:sz="6" w:space="0" w:color="000000"/>
              <w:right w:val="single" w:sz="8" w:space="0" w:color="000000"/>
            </w:tcBorders>
            <w:vAlign w:val="center"/>
          </w:tcPr>
          <w:p w14:paraId="0A1CABFA" w14:textId="77777777" w:rsidR="00B804EC" w:rsidRDefault="00000000">
            <w:pPr>
              <w:pStyle w:val="biaogeleft"/>
              <w:wordWrap w:val="0"/>
              <w:rPr>
                <w:rFonts w:hint="eastAsia"/>
                <w:sz w:val="21"/>
                <w:szCs w:val="21"/>
              </w:rPr>
            </w:pPr>
            <w:r>
              <w:rPr>
                <w:rFonts w:hint="eastAsia"/>
                <w:sz w:val="21"/>
                <w:szCs w:val="21"/>
              </w:rPr>
              <w:t>其他应收款</w:t>
            </w:r>
          </w:p>
        </w:tc>
        <w:tc>
          <w:tcPr>
            <w:tcW w:w="3633" w:type="dxa"/>
            <w:tcBorders>
              <w:top w:val="single" w:sz="8" w:space="0" w:color="000000"/>
              <w:left w:val="single" w:sz="8" w:space="0" w:color="000000"/>
              <w:bottom w:val="single" w:sz="6" w:space="0" w:color="000000"/>
              <w:right w:val="single" w:sz="8" w:space="0" w:color="000000"/>
            </w:tcBorders>
          </w:tcPr>
          <w:p w14:paraId="08FE5776" w14:textId="58A4C37B"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7FC105AE"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374962E2"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7</w:t>
            </w:r>
          </w:p>
        </w:tc>
        <w:tc>
          <w:tcPr>
            <w:tcW w:w="3308" w:type="dxa"/>
            <w:tcBorders>
              <w:top w:val="single" w:sz="8" w:space="0" w:color="000000"/>
              <w:left w:val="single" w:sz="8" w:space="0" w:color="000000"/>
              <w:bottom w:val="single" w:sz="6" w:space="0" w:color="000000"/>
              <w:right w:val="single" w:sz="8" w:space="0" w:color="000000"/>
            </w:tcBorders>
            <w:vAlign w:val="center"/>
          </w:tcPr>
          <w:p w14:paraId="15634069" w14:textId="77777777" w:rsidR="00B804EC" w:rsidRDefault="00000000">
            <w:pPr>
              <w:pStyle w:val="biaogeleft"/>
              <w:wordWrap w:val="0"/>
              <w:rPr>
                <w:rFonts w:hint="eastAsia"/>
                <w:sz w:val="21"/>
                <w:szCs w:val="21"/>
              </w:rPr>
            </w:pPr>
            <w:r>
              <w:rPr>
                <w:rFonts w:hint="eastAsia"/>
                <w:sz w:val="21"/>
                <w:szCs w:val="21"/>
              </w:rPr>
              <w:t>其他</w:t>
            </w:r>
          </w:p>
        </w:tc>
        <w:tc>
          <w:tcPr>
            <w:tcW w:w="3633" w:type="dxa"/>
            <w:tcBorders>
              <w:top w:val="single" w:sz="8" w:space="0" w:color="000000"/>
              <w:left w:val="single" w:sz="8" w:space="0" w:color="000000"/>
              <w:bottom w:val="single" w:sz="6" w:space="0" w:color="000000"/>
              <w:right w:val="single" w:sz="8" w:space="0" w:color="000000"/>
            </w:tcBorders>
          </w:tcPr>
          <w:p w14:paraId="1BAABA7D" w14:textId="43EC3D92" w:rsidR="00B804EC" w:rsidRDefault="00000000" w:rsidP="0021714D">
            <w:pPr>
              <w:widowControl/>
              <w:wordWrap w:val="0"/>
              <w:autoSpaceDE w:val="0"/>
              <w:autoSpaceDN w:val="0"/>
              <w:adjustRightInd w:val="0"/>
              <w:spacing w:before="29" w:line="288" w:lineRule="auto"/>
              <w:ind w:left="15"/>
              <w:jc w:val="center"/>
              <w:rPr>
                <w:rFonts w:hint="eastAsia"/>
              </w:rPr>
            </w:pPr>
            <w:r>
              <w:t>-</w:t>
            </w:r>
          </w:p>
        </w:tc>
      </w:tr>
      <w:tr w:rsidR="00B804EC" w14:paraId="6EE4086B"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2B03CDDD" w14:textId="77777777" w:rsidR="00B804EC" w:rsidRDefault="00000000">
            <w:pPr>
              <w:pStyle w:val="biaogecenter"/>
              <w:wordWrap w:val="0"/>
              <w:ind w:firstLine="420"/>
              <w:rPr>
                <w:rFonts w:hAnsi="Calibri"/>
                <w:color w:val="000000"/>
                <w:sz w:val="21"/>
                <w:szCs w:val="21"/>
              </w:rPr>
            </w:pPr>
            <w:r>
              <w:rPr>
                <w:rFonts w:hAnsi="Calibri" w:hint="eastAsia"/>
                <w:color w:val="000000"/>
                <w:sz w:val="21"/>
                <w:szCs w:val="21"/>
              </w:rPr>
              <w:t>8</w:t>
            </w:r>
          </w:p>
        </w:tc>
        <w:tc>
          <w:tcPr>
            <w:tcW w:w="3308" w:type="dxa"/>
            <w:tcBorders>
              <w:top w:val="single" w:sz="8" w:space="0" w:color="000000"/>
              <w:left w:val="single" w:sz="8" w:space="0" w:color="000000"/>
              <w:bottom w:val="single" w:sz="6" w:space="0" w:color="000000"/>
              <w:right w:val="single" w:sz="8" w:space="0" w:color="000000"/>
            </w:tcBorders>
            <w:vAlign w:val="center"/>
          </w:tcPr>
          <w:p w14:paraId="4BFD4F42" w14:textId="77777777" w:rsidR="00B804EC" w:rsidRDefault="00000000">
            <w:pPr>
              <w:pStyle w:val="biaogeleft"/>
              <w:wordWrap w:val="0"/>
              <w:rPr>
                <w:rFonts w:hint="eastAsia"/>
                <w:sz w:val="21"/>
                <w:szCs w:val="21"/>
              </w:rPr>
            </w:pPr>
            <w:r>
              <w:rPr>
                <w:rFonts w:hint="eastAsia"/>
                <w:sz w:val="21"/>
                <w:szCs w:val="21"/>
              </w:rPr>
              <w:t>合计</w:t>
            </w:r>
          </w:p>
        </w:tc>
        <w:tc>
          <w:tcPr>
            <w:tcW w:w="3633" w:type="dxa"/>
            <w:tcBorders>
              <w:top w:val="single" w:sz="8" w:space="0" w:color="000000"/>
              <w:left w:val="single" w:sz="8" w:space="0" w:color="000000"/>
              <w:bottom w:val="single" w:sz="6" w:space="0" w:color="000000"/>
              <w:right w:val="single" w:sz="8" w:space="0" w:color="000000"/>
            </w:tcBorders>
          </w:tcPr>
          <w:p w14:paraId="4FD664C0" w14:textId="5902D57E" w:rsidR="00B804EC" w:rsidRDefault="00000000" w:rsidP="0021714D">
            <w:pPr>
              <w:widowControl/>
              <w:wordWrap w:val="0"/>
              <w:autoSpaceDE w:val="0"/>
              <w:autoSpaceDN w:val="0"/>
              <w:adjustRightInd w:val="0"/>
              <w:spacing w:before="29" w:line="288" w:lineRule="auto"/>
              <w:ind w:left="15"/>
              <w:jc w:val="center"/>
              <w:rPr>
                <w:rFonts w:hint="eastAsia"/>
              </w:rPr>
            </w:pPr>
            <w:r>
              <w:t>3,037.18</w:t>
            </w:r>
          </w:p>
        </w:tc>
      </w:tr>
    </w:tbl>
    <w:p w14:paraId="3D23D593" w14:textId="77777777" w:rsidR="00B804EC" w:rsidRDefault="00B804EC">
      <w:pPr>
        <w:widowControl/>
        <w:spacing w:line="360" w:lineRule="auto"/>
        <w:jc w:val="left"/>
        <w:rPr>
          <w:rFonts w:ascii="宋体" w:hAnsi="宋体" w:cs="宋体" w:hint="eastAsia"/>
          <w:kern w:val="0"/>
          <w:szCs w:val="21"/>
        </w:rPr>
      </w:pPr>
    </w:p>
    <w:p w14:paraId="22C5470A" w14:textId="77777777" w:rsidR="00B804EC" w:rsidRDefault="00000000">
      <w:pPr>
        <w:pStyle w:val="zhangjiep2"/>
        <w:spacing w:line="360" w:lineRule="auto"/>
        <w:ind w:firstLineChars="200" w:firstLine="420"/>
        <w:rPr>
          <w:rFonts w:hint="eastAsia"/>
          <w:vanish/>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4</w:t>
      </w:r>
      <w:r>
        <w:rPr>
          <w:rFonts w:ascii="Times New Roman" w:hAnsi="Times New Roman" w:cs="Times New Roman" w:hint="eastAsia"/>
          <w:kern w:val="2"/>
          <w:sz w:val="21"/>
          <w:szCs w:val="21"/>
        </w:rPr>
        <w:t>）报告期末持有的处于转股期的可转换债券明细</w:t>
      </w:r>
    </w:p>
    <w:p w14:paraId="05430DEC" w14:textId="77777777" w:rsidR="00B804EC" w:rsidRDefault="00000000">
      <w:pPr>
        <w:pStyle w:val="zhangjiep2"/>
        <w:spacing w:line="360" w:lineRule="auto"/>
        <w:ind w:firstLineChars="300" w:firstLine="630"/>
        <w:rPr>
          <w:rFonts w:ascii="Times New Roman" w:hAnsi="Times New Roman" w:cs="Times New Roman"/>
          <w:kern w:val="2"/>
          <w:sz w:val="21"/>
          <w:szCs w:val="21"/>
        </w:rPr>
      </w:pPr>
      <w:r>
        <w:rPr>
          <w:rFonts w:ascii="Times New Roman" w:hAnsi="Times New Roman" w:cs="Times New Roman" w:hint="eastAsia"/>
          <w:kern w:val="2"/>
          <w:sz w:val="21"/>
          <w:szCs w:val="21"/>
        </w:rPr>
        <w:t>本基金本报告期末未持有处于转股期的可转换债券。</w:t>
      </w:r>
    </w:p>
    <w:p w14:paraId="7879CE8E" w14:textId="77777777" w:rsidR="00B804EC" w:rsidRDefault="00000000">
      <w:pPr>
        <w:pStyle w:val="zhangjiep2"/>
        <w:spacing w:line="360" w:lineRule="auto"/>
        <w:ind w:firstLineChars="200" w:firstLine="420"/>
        <w:rPr>
          <w:rFonts w:hint="eastAsia"/>
          <w:sz w:val="21"/>
          <w:szCs w:val="21"/>
        </w:rPr>
      </w:pPr>
      <w:r>
        <w:rPr>
          <w:rFonts w:hint="eastAsia"/>
          <w:sz w:val="21"/>
          <w:szCs w:val="21"/>
        </w:rPr>
        <w:t>（</w:t>
      </w:r>
      <w:r>
        <w:rPr>
          <w:sz w:val="21"/>
          <w:szCs w:val="21"/>
        </w:rPr>
        <w:t>5）</w:t>
      </w:r>
      <w:r>
        <w:rPr>
          <w:rFonts w:hint="eastAsia"/>
          <w:sz w:val="21"/>
          <w:szCs w:val="21"/>
        </w:rPr>
        <w:t>报告期末前十名股票中存在流通受限情况的说明</w:t>
      </w:r>
    </w:p>
    <w:p w14:paraId="73F603C9" w14:textId="77777777" w:rsidR="00B804EC" w:rsidRDefault="00B804EC">
      <w:pPr>
        <w:pStyle w:val="zhangjiep2"/>
        <w:spacing w:line="360" w:lineRule="auto"/>
        <w:ind w:firstLineChars="200" w:firstLine="420"/>
        <w:rPr>
          <w:rFonts w:hint="eastAsia"/>
          <w:vanish/>
          <w:sz w:val="21"/>
          <w:szCs w:val="21"/>
        </w:rPr>
      </w:pPr>
    </w:p>
    <w:p w14:paraId="3FFC2CEE" w14:textId="77777777" w:rsidR="00B804EC" w:rsidRDefault="00000000">
      <w:pPr>
        <w:pStyle w:val="zhangjiep2"/>
        <w:spacing w:line="360" w:lineRule="auto"/>
        <w:ind w:firstLineChars="300" w:firstLine="630"/>
        <w:rPr>
          <w:rFonts w:hint="eastAsia"/>
          <w:sz w:val="21"/>
          <w:szCs w:val="21"/>
        </w:rPr>
      </w:pPr>
      <w:r>
        <w:rPr>
          <w:rFonts w:hint="eastAsia"/>
          <w:sz w:val="21"/>
          <w:szCs w:val="21"/>
        </w:rPr>
        <w:t>本基金报告期末未持有股票。</w:t>
      </w:r>
    </w:p>
    <w:p w14:paraId="48548A7D" w14:textId="77777777" w:rsidR="00B804EC"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6</w:t>
      </w:r>
      <w:r>
        <w:rPr>
          <w:rFonts w:ascii="Times New Roman" w:hAnsi="Times New Roman" w:cs="Times New Roman" w:hint="eastAsia"/>
          <w:kern w:val="2"/>
          <w:sz w:val="21"/>
          <w:szCs w:val="21"/>
        </w:rPr>
        <w:t>）投资组合报告附注的其他文字描述部分</w:t>
      </w:r>
    </w:p>
    <w:p w14:paraId="6E51CA0E" w14:textId="77777777" w:rsidR="00B804EC" w:rsidRDefault="00000000">
      <w:pPr>
        <w:spacing w:line="360" w:lineRule="auto"/>
        <w:ind w:firstLineChars="300" w:firstLine="630"/>
        <w:rPr>
          <w:szCs w:val="21"/>
        </w:rPr>
      </w:pPr>
      <w:r>
        <w:rPr>
          <w:rFonts w:hint="eastAsia"/>
          <w:szCs w:val="21"/>
        </w:rPr>
        <w:t>由于四舍五入原因，分项之和与合计可能存在尾差。</w:t>
      </w:r>
    </w:p>
    <w:p w14:paraId="52C16376" w14:textId="77777777" w:rsidR="00B804EC" w:rsidRDefault="00000000">
      <w:pPr>
        <w:spacing w:line="360" w:lineRule="auto"/>
        <w:rPr>
          <w:rFonts w:ascii="Arial Unicode MS" w:hAnsi="Arial Unicode MS" w:cs="Arial" w:hint="eastAsia"/>
          <w:b/>
          <w:bCs/>
          <w:szCs w:val="21"/>
        </w:rPr>
      </w:pPr>
      <w:r>
        <w:rPr>
          <w:rFonts w:ascii="Arial Unicode MS" w:hAnsi="Arial Unicode MS" w:cs="Arial" w:hint="eastAsia"/>
          <w:b/>
          <w:bCs/>
          <w:szCs w:val="21"/>
        </w:rPr>
        <w:t>十一、基金净值表现</w:t>
      </w:r>
    </w:p>
    <w:p w14:paraId="601180C1" w14:textId="77777777" w:rsidR="00B804EC" w:rsidRDefault="00000000">
      <w:pPr>
        <w:pStyle w:val="zhangjiep2"/>
        <w:spacing w:line="360" w:lineRule="auto"/>
        <w:ind w:firstLineChars="200" w:firstLine="420"/>
        <w:rPr>
          <w:rFonts w:hint="eastAsia"/>
          <w:bCs/>
          <w:sz w:val="21"/>
          <w:szCs w:val="21"/>
        </w:rPr>
      </w:pPr>
      <w:r>
        <w:rPr>
          <w:rFonts w:hint="eastAsia"/>
          <w:bCs/>
          <w:sz w:val="21"/>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0BE9C0C6" w14:textId="77777777" w:rsidR="00B804EC" w:rsidRDefault="00000000">
      <w:pPr>
        <w:pStyle w:val="zhangjiep2"/>
        <w:spacing w:line="360" w:lineRule="auto"/>
        <w:ind w:firstLineChars="200" w:firstLine="420"/>
        <w:rPr>
          <w:rFonts w:hint="eastAsia"/>
          <w:sz w:val="21"/>
          <w:szCs w:val="21"/>
        </w:rPr>
      </w:pPr>
      <w:r>
        <w:rPr>
          <w:rFonts w:hint="eastAsia"/>
          <w:sz w:val="21"/>
          <w:szCs w:val="21"/>
        </w:rPr>
        <w:t>富荣富兴纯债A净值表现</w:t>
      </w:r>
    </w:p>
    <w:tbl>
      <w:tblPr>
        <w:tblW w:w="8364" w:type="dxa"/>
        <w:tblInd w:w="108" w:type="dxa"/>
        <w:tblLayout w:type="fixed"/>
        <w:tblLook w:val="04A0" w:firstRow="1" w:lastRow="0" w:firstColumn="1" w:lastColumn="0" w:noHBand="0" w:noVBand="1"/>
      </w:tblPr>
      <w:tblGrid>
        <w:gridCol w:w="2232"/>
        <w:gridCol w:w="1082"/>
        <w:gridCol w:w="865"/>
        <w:gridCol w:w="985"/>
        <w:gridCol w:w="1264"/>
        <w:gridCol w:w="877"/>
        <w:gridCol w:w="1059"/>
      </w:tblGrid>
      <w:tr w:rsidR="00B804EC" w14:paraId="42CE5E6D" w14:textId="77777777" w:rsidTr="0021714D">
        <w:trPr>
          <w:trHeight w:val="1995"/>
        </w:trPr>
        <w:tc>
          <w:tcPr>
            <w:tcW w:w="2232" w:type="dxa"/>
            <w:tcBorders>
              <w:top w:val="single" w:sz="8" w:space="0" w:color="000000"/>
              <w:left w:val="single" w:sz="8" w:space="0" w:color="000000"/>
              <w:bottom w:val="single" w:sz="8" w:space="0" w:color="000000"/>
              <w:right w:val="single" w:sz="8" w:space="0" w:color="000000"/>
            </w:tcBorders>
            <w:vAlign w:val="center"/>
          </w:tcPr>
          <w:p w14:paraId="1A85529E" w14:textId="77777777" w:rsidR="00B804EC" w:rsidRDefault="00000000">
            <w:pPr>
              <w:pStyle w:val="biaogecenter"/>
              <w:spacing w:line="360" w:lineRule="auto"/>
              <w:ind w:firstLine="420"/>
              <w:rPr>
                <w:rFonts w:hint="eastAsia"/>
                <w:sz w:val="21"/>
                <w:szCs w:val="21"/>
              </w:rPr>
            </w:pPr>
            <w:r>
              <w:rPr>
                <w:rFonts w:hAnsi="Calibri" w:hint="eastAsia"/>
                <w:color w:val="000000"/>
                <w:sz w:val="21"/>
                <w:szCs w:val="21"/>
              </w:rPr>
              <w:t>阶段</w:t>
            </w:r>
          </w:p>
        </w:tc>
        <w:tc>
          <w:tcPr>
            <w:tcW w:w="1082" w:type="dxa"/>
            <w:tcBorders>
              <w:top w:val="single" w:sz="8" w:space="0" w:color="000000"/>
              <w:left w:val="single" w:sz="8" w:space="0" w:color="000000"/>
              <w:bottom w:val="single" w:sz="8" w:space="0" w:color="000000"/>
              <w:right w:val="single" w:sz="8" w:space="0" w:color="000000"/>
            </w:tcBorders>
            <w:vAlign w:val="center"/>
          </w:tcPr>
          <w:p w14:paraId="07BF3D76"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份额净值增长率①</w:t>
            </w:r>
          </w:p>
        </w:tc>
        <w:tc>
          <w:tcPr>
            <w:tcW w:w="865" w:type="dxa"/>
            <w:tcBorders>
              <w:top w:val="single" w:sz="8" w:space="0" w:color="000000"/>
              <w:left w:val="single" w:sz="8" w:space="0" w:color="000000"/>
              <w:bottom w:val="single" w:sz="8" w:space="0" w:color="000000"/>
              <w:right w:val="single" w:sz="8" w:space="0" w:color="000000"/>
            </w:tcBorders>
            <w:vAlign w:val="center"/>
          </w:tcPr>
          <w:p w14:paraId="4EA584F9"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份额净值增长率标准差②</w:t>
            </w:r>
          </w:p>
        </w:tc>
        <w:tc>
          <w:tcPr>
            <w:tcW w:w="985" w:type="dxa"/>
            <w:tcBorders>
              <w:top w:val="single" w:sz="8" w:space="0" w:color="000000"/>
              <w:left w:val="single" w:sz="8" w:space="0" w:color="000000"/>
              <w:bottom w:val="single" w:sz="8" w:space="0" w:color="000000"/>
              <w:right w:val="single" w:sz="8" w:space="0" w:color="000000"/>
            </w:tcBorders>
            <w:vAlign w:val="center"/>
          </w:tcPr>
          <w:p w14:paraId="3EEB2BA2"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业绩比较基准收益率③</w:t>
            </w:r>
          </w:p>
        </w:tc>
        <w:tc>
          <w:tcPr>
            <w:tcW w:w="1264" w:type="dxa"/>
            <w:tcBorders>
              <w:top w:val="single" w:sz="8" w:space="0" w:color="000000"/>
              <w:left w:val="single" w:sz="8" w:space="0" w:color="000000"/>
              <w:bottom w:val="single" w:sz="8" w:space="0" w:color="000000"/>
              <w:right w:val="single" w:sz="8" w:space="0" w:color="000000"/>
            </w:tcBorders>
            <w:vAlign w:val="center"/>
          </w:tcPr>
          <w:p w14:paraId="5EF5C442"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业绩比较基准收益率标准差④</w:t>
            </w:r>
          </w:p>
        </w:tc>
        <w:tc>
          <w:tcPr>
            <w:tcW w:w="877" w:type="dxa"/>
            <w:tcBorders>
              <w:top w:val="single" w:sz="8" w:space="0" w:color="000000"/>
              <w:left w:val="single" w:sz="8" w:space="0" w:color="000000"/>
              <w:bottom w:val="single" w:sz="8" w:space="0" w:color="000000"/>
              <w:right w:val="single" w:sz="8" w:space="0" w:color="000000"/>
            </w:tcBorders>
            <w:vAlign w:val="center"/>
          </w:tcPr>
          <w:p w14:paraId="15771316"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①-③</w:t>
            </w:r>
          </w:p>
        </w:tc>
        <w:tc>
          <w:tcPr>
            <w:tcW w:w="1059" w:type="dxa"/>
            <w:tcBorders>
              <w:top w:val="single" w:sz="8" w:space="0" w:color="000000"/>
              <w:left w:val="single" w:sz="8" w:space="0" w:color="000000"/>
              <w:bottom w:val="single" w:sz="8" w:space="0" w:color="000000"/>
              <w:right w:val="single" w:sz="8" w:space="0" w:color="000000"/>
            </w:tcBorders>
            <w:vAlign w:val="center"/>
          </w:tcPr>
          <w:p w14:paraId="1423F72E"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②-④</w:t>
            </w:r>
          </w:p>
        </w:tc>
      </w:tr>
      <w:tr w:rsidR="00B804EC" w14:paraId="7CFE8190"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020956B7" w14:textId="77777777" w:rsidR="00B804EC" w:rsidRDefault="00000000">
            <w:pPr>
              <w:pStyle w:val="biaogeleft"/>
              <w:spacing w:line="360" w:lineRule="auto"/>
              <w:rPr>
                <w:rFonts w:hint="eastAsia"/>
                <w:sz w:val="21"/>
                <w:szCs w:val="21"/>
              </w:rPr>
            </w:pPr>
            <w:r>
              <w:rPr>
                <w:color w:val="000000"/>
                <w:sz w:val="21"/>
                <w:szCs w:val="21"/>
              </w:rPr>
              <w:t>2017.3.9~2017.</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vAlign w:val="center"/>
          </w:tcPr>
          <w:p w14:paraId="3B505929"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1.30%</w:t>
            </w:r>
          </w:p>
        </w:tc>
        <w:tc>
          <w:tcPr>
            <w:tcW w:w="865" w:type="dxa"/>
            <w:tcBorders>
              <w:top w:val="single" w:sz="8" w:space="0" w:color="000000"/>
              <w:left w:val="single" w:sz="8" w:space="0" w:color="000000"/>
              <w:bottom w:val="single" w:sz="8" w:space="0" w:color="000000"/>
              <w:right w:val="single" w:sz="8" w:space="0" w:color="000000"/>
            </w:tcBorders>
            <w:vAlign w:val="center"/>
          </w:tcPr>
          <w:p w14:paraId="147959F5"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vAlign w:val="center"/>
          </w:tcPr>
          <w:p w14:paraId="0E7CD13E"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0.86%</w:t>
            </w:r>
          </w:p>
        </w:tc>
        <w:tc>
          <w:tcPr>
            <w:tcW w:w="1264" w:type="dxa"/>
            <w:tcBorders>
              <w:top w:val="single" w:sz="8" w:space="0" w:color="000000"/>
              <w:left w:val="single" w:sz="8" w:space="0" w:color="000000"/>
              <w:bottom w:val="single" w:sz="8" w:space="0" w:color="000000"/>
              <w:right w:val="single" w:sz="8" w:space="0" w:color="000000"/>
            </w:tcBorders>
            <w:vAlign w:val="center"/>
          </w:tcPr>
          <w:p w14:paraId="6573E4B4"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0.05%</w:t>
            </w:r>
          </w:p>
        </w:tc>
        <w:tc>
          <w:tcPr>
            <w:tcW w:w="877" w:type="dxa"/>
            <w:tcBorders>
              <w:top w:val="single" w:sz="8" w:space="0" w:color="000000"/>
              <w:left w:val="single" w:sz="8" w:space="0" w:color="000000"/>
              <w:bottom w:val="single" w:sz="8" w:space="0" w:color="000000"/>
              <w:right w:val="single" w:sz="8" w:space="0" w:color="000000"/>
            </w:tcBorders>
            <w:vAlign w:val="center"/>
          </w:tcPr>
          <w:p w14:paraId="2A19BB89"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0.44%</w:t>
            </w:r>
          </w:p>
        </w:tc>
        <w:tc>
          <w:tcPr>
            <w:tcW w:w="1059" w:type="dxa"/>
            <w:tcBorders>
              <w:top w:val="single" w:sz="8" w:space="0" w:color="000000"/>
              <w:left w:val="single" w:sz="8" w:space="0" w:color="000000"/>
              <w:bottom w:val="single" w:sz="8" w:space="0" w:color="000000"/>
              <w:right w:val="single" w:sz="8" w:space="0" w:color="000000"/>
            </w:tcBorders>
            <w:vAlign w:val="center"/>
          </w:tcPr>
          <w:p w14:paraId="383C510F" w14:textId="77777777" w:rsidR="00B804EC" w:rsidRDefault="00000000">
            <w:pPr>
              <w:pStyle w:val="biaogeright"/>
              <w:spacing w:line="360" w:lineRule="auto"/>
              <w:ind w:left="420" w:hanging="420"/>
              <w:rPr>
                <w:rFonts w:hint="eastAsia"/>
                <w:sz w:val="21"/>
                <w:szCs w:val="21"/>
              </w:rPr>
            </w:pPr>
            <w:r>
              <w:rPr>
                <w:rFonts w:hAnsi="Calibri"/>
                <w:color w:val="000000"/>
                <w:sz w:val="21"/>
                <w:szCs w:val="21"/>
              </w:rPr>
              <w:t>0.01%</w:t>
            </w:r>
          </w:p>
        </w:tc>
      </w:tr>
      <w:tr w:rsidR="00B804EC" w14:paraId="70AA2C0E" w14:textId="77777777" w:rsidTr="0021714D">
        <w:trPr>
          <w:trHeight w:val="402"/>
        </w:trPr>
        <w:tc>
          <w:tcPr>
            <w:tcW w:w="2232" w:type="dxa"/>
            <w:tcBorders>
              <w:top w:val="single" w:sz="8" w:space="0" w:color="000000"/>
              <w:left w:val="single" w:sz="8" w:space="0" w:color="000000"/>
              <w:bottom w:val="single" w:sz="8" w:space="0" w:color="000000"/>
              <w:right w:val="single" w:sz="8" w:space="0" w:color="000000"/>
            </w:tcBorders>
            <w:vAlign w:val="center"/>
          </w:tcPr>
          <w:p w14:paraId="4ABD7EB4" w14:textId="77777777" w:rsidR="00B804EC" w:rsidRDefault="00000000">
            <w:pPr>
              <w:pStyle w:val="biaogeleft"/>
              <w:spacing w:line="360" w:lineRule="auto"/>
              <w:rPr>
                <w:rFonts w:hint="eastAsia"/>
                <w:color w:val="000000"/>
                <w:sz w:val="21"/>
                <w:szCs w:val="21"/>
              </w:rPr>
            </w:pP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tcPr>
          <w:p w14:paraId="62B28FF0"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8.10%</w:t>
            </w:r>
          </w:p>
        </w:tc>
        <w:tc>
          <w:tcPr>
            <w:tcW w:w="865" w:type="dxa"/>
            <w:tcBorders>
              <w:top w:val="single" w:sz="8" w:space="0" w:color="000000"/>
              <w:left w:val="single" w:sz="8" w:space="0" w:color="000000"/>
              <w:bottom w:val="single" w:sz="8" w:space="0" w:color="000000"/>
              <w:right w:val="single" w:sz="8" w:space="0" w:color="000000"/>
            </w:tcBorders>
          </w:tcPr>
          <w:p w14:paraId="7748CE24"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tcPr>
          <w:p w14:paraId="3F1920C2"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7.53%</w:t>
            </w:r>
          </w:p>
        </w:tc>
        <w:tc>
          <w:tcPr>
            <w:tcW w:w="1264" w:type="dxa"/>
            <w:tcBorders>
              <w:top w:val="single" w:sz="8" w:space="0" w:color="000000"/>
              <w:left w:val="single" w:sz="8" w:space="0" w:color="000000"/>
              <w:bottom w:val="single" w:sz="8" w:space="0" w:color="000000"/>
              <w:right w:val="single" w:sz="8" w:space="0" w:color="000000"/>
            </w:tcBorders>
          </w:tcPr>
          <w:p w14:paraId="420A78AF"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877" w:type="dxa"/>
            <w:tcBorders>
              <w:top w:val="single" w:sz="8" w:space="0" w:color="000000"/>
              <w:left w:val="single" w:sz="8" w:space="0" w:color="000000"/>
              <w:bottom w:val="single" w:sz="8" w:space="0" w:color="000000"/>
              <w:right w:val="single" w:sz="8" w:space="0" w:color="000000"/>
            </w:tcBorders>
          </w:tcPr>
          <w:p w14:paraId="26C4B2FC"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0.57%</w:t>
            </w:r>
          </w:p>
        </w:tc>
        <w:tc>
          <w:tcPr>
            <w:tcW w:w="1059" w:type="dxa"/>
            <w:tcBorders>
              <w:top w:val="single" w:sz="8" w:space="0" w:color="000000"/>
              <w:left w:val="single" w:sz="8" w:space="0" w:color="000000"/>
              <w:bottom w:val="single" w:sz="8" w:space="0" w:color="000000"/>
              <w:right w:val="single" w:sz="8" w:space="0" w:color="000000"/>
            </w:tcBorders>
          </w:tcPr>
          <w:p w14:paraId="6313261E"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0.00%</w:t>
            </w:r>
          </w:p>
        </w:tc>
      </w:tr>
      <w:tr w:rsidR="00B804EC" w14:paraId="714A1516"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4B690926" w14:textId="77777777" w:rsidR="00B804EC" w:rsidRDefault="00000000">
            <w:pPr>
              <w:pStyle w:val="biaogeleft"/>
              <w:spacing w:line="360" w:lineRule="auto"/>
              <w:rPr>
                <w:rFonts w:hAnsi="Calibri"/>
                <w:color w:val="000000"/>
                <w:sz w:val="21"/>
                <w:szCs w:val="21"/>
              </w:rPr>
            </w:pP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tcPr>
          <w:p w14:paraId="1790DE95"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6.36%</w:t>
            </w:r>
          </w:p>
        </w:tc>
        <w:tc>
          <w:tcPr>
            <w:tcW w:w="865" w:type="dxa"/>
            <w:tcBorders>
              <w:top w:val="single" w:sz="8" w:space="0" w:color="000000"/>
              <w:left w:val="single" w:sz="8" w:space="0" w:color="000000"/>
              <w:bottom w:val="single" w:sz="8" w:space="0" w:color="000000"/>
              <w:right w:val="single" w:sz="8" w:space="0" w:color="000000"/>
            </w:tcBorders>
          </w:tcPr>
          <w:p w14:paraId="2BB7C38F"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0.05%</w:t>
            </w:r>
          </w:p>
        </w:tc>
        <w:tc>
          <w:tcPr>
            <w:tcW w:w="985" w:type="dxa"/>
            <w:tcBorders>
              <w:top w:val="single" w:sz="8" w:space="0" w:color="000000"/>
              <w:left w:val="single" w:sz="8" w:space="0" w:color="000000"/>
              <w:bottom w:val="single" w:sz="8" w:space="0" w:color="000000"/>
              <w:right w:val="single" w:sz="8" w:space="0" w:color="000000"/>
            </w:tcBorders>
          </w:tcPr>
          <w:p w14:paraId="43D61F17"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4.28%</w:t>
            </w:r>
          </w:p>
        </w:tc>
        <w:tc>
          <w:tcPr>
            <w:tcW w:w="1264" w:type="dxa"/>
            <w:tcBorders>
              <w:top w:val="single" w:sz="8" w:space="0" w:color="000000"/>
              <w:left w:val="single" w:sz="8" w:space="0" w:color="000000"/>
              <w:bottom w:val="single" w:sz="8" w:space="0" w:color="000000"/>
              <w:right w:val="single" w:sz="8" w:space="0" w:color="000000"/>
            </w:tcBorders>
          </w:tcPr>
          <w:p w14:paraId="08737C8B"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tcPr>
          <w:p w14:paraId="517D830A"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2.08%</w:t>
            </w:r>
          </w:p>
        </w:tc>
        <w:tc>
          <w:tcPr>
            <w:tcW w:w="1059" w:type="dxa"/>
            <w:tcBorders>
              <w:top w:val="single" w:sz="8" w:space="0" w:color="000000"/>
              <w:left w:val="single" w:sz="8" w:space="0" w:color="000000"/>
              <w:bottom w:val="single" w:sz="8" w:space="0" w:color="000000"/>
              <w:right w:val="single" w:sz="8" w:space="0" w:color="000000"/>
            </w:tcBorders>
          </w:tcPr>
          <w:p w14:paraId="5718E65B"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0.01%</w:t>
            </w:r>
          </w:p>
        </w:tc>
      </w:tr>
      <w:tr w:rsidR="00B804EC" w14:paraId="324743E3"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4217D9A3" w14:textId="77777777" w:rsidR="00B804EC" w:rsidRDefault="00000000">
            <w:pPr>
              <w:pStyle w:val="biaogeleft"/>
              <w:spacing w:line="360" w:lineRule="auto"/>
              <w:rPr>
                <w:rFonts w:hint="eastAsia"/>
                <w:color w:val="000000"/>
                <w:sz w:val="21"/>
                <w:szCs w:val="21"/>
              </w:rPr>
            </w:pPr>
            <w:r>
              <w:rPr>
                <w:color w:val="000000"/>
                <w:sz w:val="21"/>
                <w:szCs w:val="21"/>
              </w:rPr>
              <w:t>20</w:t>
            </w:r>
            <w:r>
              <w:rPr>
                <w:rFonts w:hint="eastAsia"/>
                <w:color w:val="000000"/>
                <w:sz w:val="21"/>
                <w:szCs w:val="21"/>
              </w:rPr>
              <w:t>20</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w:t>
            </w:r>
            <w:r>
              <w:rPr>
                <w:rFonts w:hint="eastAsia"/>
                <w:color w:val="000000"/>
                <w:sz w:val="21"/>
                <w:szCs w:val="21"/>
              </w:rPr>
              <w:t>20</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vAlign w:val="center"/>
          </w:tcPr>
          <w:p w14:paraId="28052ABE"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4.17%</w:t>
            </w:r>
          </w:p>
        </w:tc>
        <w:tc>
          <w:tcPr>
            <w:tcW w:w="865" w:type="dxa"/>
            <w:tcBorders>
              <w:top w:val="single" w:sz="8" w:space="0" w:color="000000"/>
              <w:left w:val="single" w:sz="8" w:space="0" w:color="000000"/>
              <w:bottom w:val="single" w:sz="8" w:space="0" w:color="000000"/>
              <w:right w:val="single" w:sz="8" w:space="0" w:color="000000"/>
            </w:tcBorders>
            <w:vAlign w:val="center"/>
          </w:tcPr>
          <w:p w14:paraId="69457D68"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0.07%</w:t>
            </w:r>
          </w:p>
        </w:tc>
        <w:tc>
          <w:tcPr>
            <w:tcW w:w="985" w:type="dxa"/>
            <w:tcBorders>
              <w:top w:val="single" w:sz="8" w:space="0" w:color="000000"/>
              <w:left w:val="single" w:sz="8" w:space="0" w:color="000000"/>
              <w:bottom w:val="single" w:sz="8" w:space="0" w:color="000000"/>
              <w:right w:val="single" w:sz="8" w:space="0" w:color="000000"/>
            </w:tcBorders>
            <w:vAlign w:val="center"/>
          </w:tcPr>
          <w:p w14:paraId="29E8FC70"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2.83%</w:t>
            </w:r>
          </w:p>
        </w:tc>
        <w:tc>
          <w:tcPr>
            <w:tcW w:w="1264" w:type="dxa"/>
            <w:tcBorders>
              <w:top w:val="single" w:sz="8" w:space="0" w:color="000000"/>
              <w:left w:val="single" w:sz="8" w:space="0" w:color="000000"/>
              <w:bottom w:val="single" w:sz="8" w:space="0" w:color="000000"/>
              <w:right w:val="single" w:sz="8" w:space="0" w:color="000000"/>
            </w:tcBorders>
            <w:vAlign w:val="center"/>
          </w:tcPr>
          <w:p w14:paraId="6A291F9D"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0.09%</w:t>
            </w:r>
          </w:p>
        </w:tc>
        <w:tc>
          <w:tcPr>
            <w:tcW w:w="877" w:type="dxa"/>
            <w:tcBorders>
              <w:top w:val="single" w:sz="8" w:space="0" w:color="000000"/>
              <w:left w:val="single" w:sz="8" w:space="0" w:color="000000"/>
              <w:bottom w:val="single" w:sz="8" w:space="0" w:color="000000"/>
              <w:right w:val="single" w:sz="8" w:space="0" w:color="000000"/>
            </w:tcBorders>
            <w:vAlign w:val="center"/>
          </w:tcPr>
          <w:p w14:paraId="46AEBC73"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1.34%</w:t>
            </w:r>
          </w:p>
        </w:tc>
        <w:tc>
          <w:tcPr>
            <w:tcW w:w="1059" w:type="dxa"/>
            <w:tcBorders>
              <w:top w:val="single" w:sz="8" w:space="0" w:color="000000"/>
              <w:left w:val="single" w:sz="8" w:space="0" w:color="000000"/>
              <w:bottom w:val="single" w:sz="8" w:space="0" w:color="000000"/>
              <w:right w:val="single" w:sz="8" w:space="0" w:color="000000"/>
            </w:tcBorders>
            <w:vAlign w:val="center"/>
          </w:tcPr>
          <w:p w14:paraId="38806FA1"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-0.02%</w:t>
            </w:r>
          </w:p>
        </w:tc>
      </w:tr>
      <w:tr w:rsidR="00B804EC" w14:paraId="03897CC2"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7304317B" w14:textId="77777777" w:rsidR="00B804EC" w:rsidRDefault="00000000">
            <w:pPr>
              <w:pStyle w:val="biaogeleft"/>
              <w:spacing w:line="360" w:lineRule="auto"/>
              <w:rPr>
                <w:rFonts w:hint="eastAsia"/>
                <w:color w:val="000000"/>
                <w:sz w:val="21"/>
                <w:szCs w:val="21"/>
              </w:rPr>
            </w:pPr>
            <w:r>
              <w:rPr>
                <w:color w:val="000000"/>
                <w:sz w:val="21"/>
                <w:szCs w:val="21"/>
              </w:rPr>
              <w:t>2021.1.1~2021.12.31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02EB299C"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5.61%</w:t>
            </w:r>
          </w:p>
        </w:tc>
        <w:tc>
          <w:tcPr>
            <w:tcW w:w="865" w:type="dxa"/>
            <w:tcBorders>
              <w:top w:val="single" w:sz="8" w:space="0" w:color="000000"/>
              <w:left w:val="single" w:sz="8" w:space="0" w:color="000000"/>
              <w:bottom w:val="single" w:sz="8" w:space="0" w:color="000000"/>
              <w:right w:val="single" w:sz="8" w:space="0" w:color="000000"/>
            </w:tcBorders>
            <w:vAlign w:val="center"/>
          </w:tcPr>
          <w:p w14:paraId="12A7E4C5"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vAlign w:val="center"/>
          </w:tcPr>
          <w:p w14:paraId="4E001BA8"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4.73%</w:t>
            </w:r>
          </w:p>
        </w:tc>
        <w:tc>
          <w:tcPr>
            <w:tcW w:w="1264" w:type="dxa"/>
            <w:tcBorders>
              <w:top w:val="single" w:sz="8" w:space="0" w:color="000000"/>
              <w:left w:val="single" w:sz="8" w:space="0" w:color="000000"/>
              <w:bottom w:val="single" w:sz="8" w:space="0" w:color="000000"/>
              <w:right w:val="single" w:sz="8" w:space="0" w:color="000000"/>
            </w:tcBorders>
            <w:vAlign w:val="center"/>
          </w:tcPr>
          <w:p w14:paraId="7531CE73"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vAlign w:val="center"/>
          </w:tcPr>
          <w:p w14:paraId="12CA0A7D"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0.88%</w:t>
            </w:r>
          </w:p>
        </w:tc>
        <w:tc>
          <w:tcPr>
            <w:tcW w:w="1059" w:type="dxa"/>
            <w:tcBorders>
              <w:top w:val="single" w:sz="8" w:space="0" w:color="000000"/>
              <w:left w:val="single" w:sz="8" w:space="0" w:color="000000"/>
              <w:bottom w:val="single" w:sz="8" w:space="0" w:color="000000"/>
              <w:right w:val="single" w:sz="8" w:space="0" w:color="000000"/>
            </w:tcBorders>
            <w:vAlign w:val="center"/>
          </w:tcPr>
          <w:p w14:paraId="6C0128DC"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0.02%</w:t>
            </w:r>
          </w:p>
        </w:tc>
      </w:tr>
      <w:tr w:rsidR="00B804EC" w14:paraId="1796A644"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44932772" w14:textId="77777777" w:rsidR="00B804EC" w:rsidRDefault="00000000">
            <w:pPr>
              <w:pStyle w:val="biaogeleft"/>
              <w:spacing w:line="360" w:lineRule="auto"/>
              <w:rPr>
                <w:rFonts w:hint="eastAsia"/>
                <w:color w:val="000000"/>
                <w:sz w:val="21"/>
                <w:szCs w:val="21"/>
              </w:rPr>
            </w:pPr>
            <w:r>
              <w:rPr>
                <w:rFonts w:hAnsi="Calibri" w:hint="eastAsia"/>
                <w:color w:val="000000"/>
                <w:sz w:val="21"/>
                <w:szCs w:val="21"/>
              </w:rPr>
              <w:t>2022.1.1</w:t>
            </w:r>
            <w:r>
              <w:rPr>
                <w:color w:val="000000"/>
                <w:sz w:val="21"/>
                <w:szCs w:val="21"/>
              </w:rPr>
              <w:t>~</w:t>
            </w:r>
            <w:r>
              <w:rPr>
                <w:rFonts w:hint="eastAsia"/>
                <w:color w:val="000000"/>
                <w:sz w:val="21"/>
                <w:szCs w:val="21"/>
              </w:rPr>
              <w:t>2022.12.31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5C5D1143"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-0.90%</w:t>
            </w:r>
          </w:p>
        </w:tc>
        <w:tc>
          <w:tcPr>
            <w:tcW w:w="865" w:type="dxa"/>
            <w:tcBorders>
              <w:top w:val="single" w:sz="8" w:space="0" w:color="000000"/>
              <w:left w:val="single" w:sz="8" w:space="0" w:color="000000"/>
              <w:bottom w:val="single" w:sz="8" w:space="0" w:color="000000"/>
              <w:right w:val="single" w:sz="8" w:space="0" w:color="000000"/>
            </w:tcBorders>
            <w:vAlign w:val="center"/>
          </w:tcPr>
          <w:p w14:paraId="796C10CD"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0.15%</w:t>
            </w:r>
          </w:p>
        </w:tc>
        <w:tc>
          <w:tcPr>
            <w:tcW w:w="985" w:type="dxa"/>
            <w:tcBorders>
              <w:top w:val="single" w:sz="8" w:space="0" w:color="000000"/>
              <w:left w:val="single" w:sz="8" w:space="0" w:color="000000"/>
              <w:bottom w:val="single" w:sz="8" w:space="0" w:color="000000"/>
              <w:right w:val="single" w:sz="8" w:space="0" w:color="000000"/>
            </w:tcBorders>
            <w:vAlign w:val="center"/>
          </w:tcPr>
          <w:p w14:paraId="41CD8408"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3.12%</w:t>
            </w:r>
          </w:p>
        </w:tc>
        <w:tc>
          <w:tcPr>
            <w:tcW w:w="1264" w:type="dxa"/>
            <w:tcBorders>
              <w:top w:val="single" w:sz="8" w:space="0" w:color="000000"/>
              <w:left w:val="single" w:sz="8" w:space="0" w:color="000000"/>
              <w:bottom w:val="single" w:sz="8" w:space="0" w:color="000000"/>
              <w:right w:val="single" w:sz="8" w:space="0" w:color="000000"/>
            </w:tcBorders>
            <w:vAlign w:val="center"/>
          </w:tcPr>
          <w:p w14:paraId="044EEE9E"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0.05%</w:t>
            </w:r>
          </w:p>
        </w:tc>
        <w:tc>
          <w:tcPr>
            <w:tcW w:w="877" w:type="dxa"/>
            <w:tcBorders>
              <w:top w:val="single" w:sz="8" w:space="0" w:color="000000"/>
              <w:left w:val="single" w:sz="8" w:space="0" w:color="000000"/>
              <w:bottom w:val="single" w:sz="8" w:space="0" w:color="000000"/>
              <w:right w:val="single" w:sz="8" w:space="0" w:color="000000"/>
            </w:tcBorders>
            <w:vAlign w:val="center"/>
          </w:tcPr>
          <w:p w14:paraId="6324D05B"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-4.02%</w:t>
            </w:r>
          </w:p>
        </w:tc>
        <w:tc>
          <w:tcPr>
            <w:tcW w:w="1059" w:type="dxa"/>
            <w:tcBorders>
              <w:top w:val="single" w:sz="8" w:space="0" w:color="000000"/>
              <w:left w:val="single" w:sz="8" w:space="0" w:color="000000"/>
              <w:bottom w:val="single" w:sz="8" w:space="0" w:color="000000"/>
              <w:right w:val="single" w:sz="8" w:space="0" w:color="000000"/>
            </w:tcBorders>
            <w:vAlign w:val="center"/>
          </w:tcPr>
          <w:p w14:paraId="165A0C4D"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0.10%</w:t>
            </w:r>
          </w:p>
        </w:tc>
      </w:tr>
      <w:tr w:rsidR="00B804EC" w14:paraId="2F2D5E84"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088680CF" w14:textId="77777777" w:rsidR="00B804EC" w:rsidRDefault="00000000">
            <w:pPr>
              <w:pStyle w:val="biaogeleft"/>
              <w:spacing w:line="360" w:lineRule="auto"/>
              <w:rPr>
                <w:rFonts w:hAnsi="Calibri"/>
                <w:color w:val="000000"/>
                <w:sz w:val="21"/>
                <w:szCs w:val="21"/>
              </w:rPr>
            </w:pPr>
            <w:r>
              <w:rPr>
                <w:rFonts w:hAnsi="Calibri" w:hint="eastAsia"/>
                <w:color w:val="000000"/>
                <w:sz w:val="21"/>
                <w:szCs w:val="21"/>
              </w:rPr>
              <w:t>2023.1.1</w:t>
            </w:r>
            <w:r>
              <w:rPr>
                <w:color w:val="000000"/>
                <w:sz w:val="21"/>
                <w:szCs w:val="21"/>
              </w:rPr>
              <w:t>~</w:t>
            </w:r>
            <w:r>
              <w:rPr>
                <w:rFonts w:hint="eastAsia"/>
                <w:color w:val="000000"/>
                <w:sz w:val="21"/>
                <w:szCs w:val="21"/>
              </w:rPr>
              <w:t>2023.12.31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2B083767"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3.39%</w:t>
            </w:r>
          </w:p>
        </w:tc>
        <w:tc>
          <w:tcPr>
            <w:tcW w:w="865" w:type="dxa"/>
            <w:tcBorders>
              <w:top w:val="single" w:sz="8" w:space="0" w:color="000000"/>
              <w:left w:val="single" w:sz="8" w:space="0" w:color="000000"/>
              <w:bottom w:val="single" w:sz="8" w:space="0" w:color="000000"/>
              <w:right w:val="single" w:sz="8" w:space="0" w:color="000000"/>
            </w:tcBorders>
            <w:vAlign w:val="center"/>
          </w:tcPr>
          <w:p w14:paraId="754238B7"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0.03%</w:t>
            </w:r>
          </w:p>
        </w:tc>
        <w:tc>
          <w:tcPr>
            <w:tcW w:w="985" w:type="dxa"/>
            <w:tcBorders>
              <w:top w:val="single" w:sz="8" w:space="0" w:color="000000"/>
              <w:left w:val="single" w:sz="8" w:space="0" w:color="000000"/>
              <w:bottom w:val="single" w:sz="8" w:space="0" w:color="000000"/>
              <w:right w:val="single" w:sz="8" w:space="0" w:color="000000"/>
            </w:tcBorders>
            <w:vAlign w:val="center"/>
          </w:tcPr>
          <w:p w14:paraId="0886BD91"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4.45%</w:t>
            </w:r>
          </w:p>
        </w:tc>
        <w:tc>
          <w:tcPr>
            <w:tcW w:w="1264" w:type="dxa"/>
            <w:tcBorders>
              <w:top w:val="single" w:sz="8" w:space="0" w:color="000000"/>
              <w:left w:val="single" w:sz="8" w:space="0" w:color="000000"/>
              <w:bottom w:val="single" w:sz="8" w:space="0" w:color="000000"/>
              <w:right w:val="single" w:sz="8" w:space="0" w:color="000000"/>
            </w:tcBorders>
            <w:vAlign w:val="center"/>
          </w:tcPr>
          <w:p w14:paraId="34232B88"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vAlign w:val="center"/>
          </w:tcPr>
          <w:p w14:paraId="4449E1AA"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-1.06%</w:t>
            </w:r>
          </w:p>
        </w:tc>
        <w:tc>
          <w:tcPr>
            <w:tcW w:w="1059" w:type="dxa"/>
            <w:tcBorders>
              <w:top w:val="single" w:sz="8" w:space="0" w:color="000000"/>
              <w:left w:val="single" w:sz="8" w:space="0" w:color="000000"/>
              <w:bottom w:val="single" w:sz="8" w:space="0" w:color="000000"/>
              <w:right w:val="single" w:sz="8" w:space="0" w:color="000000"/>
            </w:tcBorders>
            <w:vAlign w:val="center"/>
          </w:tcPr>
          <w:p w14:paraId="616307C1" w14:textId="77777777" w:rsidR="00B804EC" w:rsidRDefault="00000000">
            <w:pPr>
              <w:pStyle w:val="biaogeright"/>
              <w:spacing w:line="360" w:lineRule="auto"/>
              <w:ind w:left="420" w:hanging="420"/>
              <w:rPr>
                <w:rFonts w:hAnsi="Calibri"/>
                <w:color w:val="000000"/>
                <w:sz w:val="21"/>
                <w:szCs w:val="21"/>
              </w:rPr>
            </w:pPr>
            <w:r>
              <w:rPr>
                <w:rFonts w:hAnsi="Calibri"/>
                <w:color w:val="000000"/>
                <w:sz w:val="21"/>
                <w:szCs w:val="21"/>
              </w:rPr>
              <w:t>-0.01%</w:t>
            </w:r>
          </w:p>
        </w:tc>
      </w:tr>
      <w:tr w:rsidR="00B804EC" w14:paraId="446BC5DB"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tcPr>
          <w:p w14:paraId="07C6277B" w14:textId="77777777" w:rsidR="00B804EC" w:rsidRDefault="00000000">
            <w:pPr>
              <w:pStyle w:val="biaogeleft"/>
              <w:spacing w:line="360" w:lineRule="auto"/>
              <w:rPr>
                <w:rFonts w:hAnsi="Calibri"/>
                <w:color w:val="000000"/>
                <w:sz w:val="21"/>
                <w:szCs w:val="21"/>
              </w:rPr>
            </w:pPr>
            <w:r>
              <w:rPr>
                <w:rFonts w:hint="eastAsia"/>
                <w:sz w:val="21"/>
                <w:szCs w:val="21"/>
              </w:rPr>
              <w:t>2024.1.1~2024.12.31</w:t>
            </w:r>
          </w:p>
        </w:tc>
        <w:tc>
          <w:tcPr>
            <w:tcW w:w="1082" w:type="dxa"/>
            <w:tcBorders>
              <w:top w:val="single" w:sz="8" w:space="0" w:color="000000"/>
              <w:left w:val="single" w:sz="8" w:space="0" w:color="000000"/>
              <w:bottom w:val="single" w:sz="8" w:space="0" w:color="000000"/>
              <w:right w:val="single" w:sz="8" w:space="0" w:color="000000"/>
            </w:tcBorders>
          </w:tcPr>
          <w:p w14:paraId="57E55EEB"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3.94%</w:t>
            </w:r>
          </w:p>
        </w:tc>
        <w:tc>
          <w:tcPr>
            <w:tcW w:w="865" w:type="dxa"/>
            <w:tcBorders>
              <w:top w:val="single" w:sz="8" w:space="0" w:color="000000"/>
              <w:left w:val="single" w:sz="8" w:space="0" w:color="000000"/>
              <w:bottom w:val="single" w:sz="8" w:space="0" w:color="000000"/>
              <w:right w:val="single" w:sz="8" w:space="0" w:color="000000"/>
            </w:tcBorders>
          </w:tcPr>
          <w:p w14:paraId="157730EB"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0.09%</w:t>
            </w:r>
          </w:p>
        </w:tc>
        <w:tc>
          <w:tcPr>
            <w:tcW w:w="985" w:type="dxa"/>
            <w:tcBorders>
              <w:top w:val="single" w:sz="8" w:space="0" w:color="000000"/>
              <w:left w:val="single" w:sz="8" w:space="0" w:color="000000"/>
              <w:bottom w:val="single" w:sz="8" w:space="0" w:color="000000"/>
              <w:right w:val="single" w:sz="8" w:space="0" w:color="000000"/>
            </w:tcBorders>
          </w:tcPr>
          <w:p w14:paraId="189C6F28"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6.99%</w:t>
            </w:r>
          </w:p>
        </w:tc>
        <w:tc>
          <w:tcPr>
            <w:tcW w:w="1264" w:type="dxa"/>
            <w:tcBorders>
              <w:top w:val="single" w:sz="8" w:space="0" w:color="000000"/>
              <w:left w:val="single" w:sz="8" w:space="0" w:color="000000"/>
              <w:bottom w:val="single" w:sz="8" w:space="0" w:color="000000"/>
              <w:right w:val="single" w:sz="8" w:space="0" w:color="000000"/>
            </w:tcBorders>
          </w:tcPr>
          <w:p w14:paraId="44610575"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0.08%</w:t>
            </w:r>
          </w:p>
        </w:tc>
        <w:tc>
          <w:tcPr>
            <w:tcW w:w="877" w:type="dxa"/>
            <w:tcBorders>
              <w:top w:val="single" w:sz="8" w:space="0" w:color="000000"/>
              <w:left w:val="single" w:sz="8" w:space="0" w:color="000000"/>
              <w:bottom w:val="single" w:sz="8" w:space="0" w:color="000000"/>
              <w:right w:val="single" w:sz="8" w:space="0" w:color="000000"/>
            </w:tcBorders>
          </w:tcPr>
          <w:p w14:paraId="591B2E9F"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-3.05%</w:t>
            </w:r>
          </w:p>
        </w:tc>
        <w:tc>
          <w:tcPr>
            <w:tcW w:w="1059" w:type="dxa"/>
            <w:tcBorders>
              <w:top w:val="single" w:sz="8" w:space="0" w:color="000000"/>
              <w:left w:val="single" w:sz="8" w:space="0" w:color="000000"/>
              <w:bottom w:val="single" w:sz="8" w:space="0" w:color="000000"/>
              <w:right w:val="single" w:sz="8" w:space="0" w:color="000000"/>
            </w:tcBorders>
          </w:tcPr>
          <w:p w14:paraId="02D870CB" w14:textId="77777777" w:rsidR="00B804EC" w:rsidRDefault="00000000">
            <w:pPr>
              <w:pStyle w:val="biaogeright"/>
              <w:spacing w:line="360" w:lineRule="auto"/>
              <w:ind w:left="420" w:hanging="420"/>
              <w:rPr>
                <w:rFonts w:hAnsi="Calibri"/>
                <w:color w:val="000000"/>
                <w:sz w:val="21"/>
                <w:szCs w:val="21"/>
              </w:rPr>
            </w:pPr>
            <w:r>
              <w:rPr>
                <w:rFonts w:hint="eastAsia"/>
                <w:sz w:val="21"/>
                <w:szCs w:val="21"/>
              </w:rPr>
              <w:t>0.01%</w:t>
            </w:r>
          </w:p>
        </w:tc>
      </w:tr>
      <w:tr w:rsidR="00B804EC" w14:paraId="56A6296E"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tcPr>
          <w:p w14:paraId="2E8F3C0A" w14:textId="77777777" w:rsidR="00B804EC" w:rsidRDefault="00000000">
            <w:pPr>
              <w:pStyle w:val="biaogeleft"/>
              <w:spacing w:line="360" w:lineRule="auto"/>
              <w:rPr>
                <w:rFonts w:hint="eastAsia"/>
                <w:sz w:val="21"/>
                <w:szCs w:val="21"/>
              </w:rPr>
            </w:pPr>
            <w:r>
              <w:rPr>
                <w:rFonts w:hint="eastAsia"/>
                <w:sz w:val="21"/>
                <w:szCs w:val="21"/>
              </w:rPr>
              <w:t>2025.1.1~2025.12.31</w:t>
            </w:r>
          </w:p>
        </w:tc>
        <w:tc>
          <w:tcPr>
            <w:tcW w:w="1082" w:type="dxa"/>
            <w:tcBorders>
              <w:top w:val="single" w:sz="8" w:space="0" w:color="000000"/>
              <w:left w:val="single" w:sz="8" w:space="0" w:color="000000"/>
              <w:bottom w:val="single" w:sz="8" w:space="0" w:color="000000"/>
              <w:right w:val="single" w:sz="8" w:space="0" w:color="000000"/>
            </w:tcBorders>
          </w:tcPr>
          <w:p w14:paraId="47FF1A02" w14:textId="77777777" w:rsidR="00B804EC" w:rsidRDefault="00000000">
            <w:pPr>
              <w:pStyle w:val="biaogeright"/>
              <w:spacing w:line="360" w:lineRule="auto"/>
              <w:ind w:left="420" w:hanging="420"/>
              <w:rPr>
                <w:rFonts w:hint="eastAsia"/>
                <w:sz w:val="21"/>
                <w:szCs w:val="21"/>
              </w:rPr>
            </w:pPr>
            <w:r>
              <w:rPr>
                <w:rFonts w:hint="eastAsia"/>
                <w:sz w:val="21"/>
                <w:szCs w:val="21"/>
              </w:rPr>
              <w:t>1.29%</w:t>
            </w:r>
          </w:p>
        </w:tc>
        <w:tc>
          <w:tcPr>
            <w:tcW w:w="865" w:type="dxa"/>
            <w:tcBorders>
              <w:top w:val="single" w:sz="8" w:space="0" w:color="000000"/>
              <w:left w:val="single" w:sz="8" w:space="0" w:color="000000"/>
              <w:bottom w:val="single" w:sz="8" w:space="0" w:color="000000"/>
              <w:right w:val="single" w:sz="8" w:space="0" w:color="000000"/>
            </w:tcBorders>
          </w:tcPr>
          <w:p w14:paraId="2095986B" w14:textId="77777777" w:rsidR="00B804EC" w:rsidRDefault="00000000">
            <w:pPr>
              <w:pStyle w:val="biaogeright"/>
              <w:spacing w:line="360" w:lineRule="auto"/>
              <w:ind w:left="420" w:hanging="420"/>
              <w:rPr>
                <w:rFonts w:hint="eastAsia"/>
                <w:sz w:val="21"/>
                <w:szCs w:val="21"/>
              </w:rPr>
            </w:pPr>
            <w:r>
              <w:rPr>
                <w:rFonts w:hint="eastAsia"/>
                <w:sz w:val="21"/>
                <w:szCs w:val="21"/>
              </w:rPr>
              <w:t>0.07%</w:t>
            </w:r>
          </w:p>
        </w:tc>
        <w:tc>
          <w:tcPr>
            <w:tcW w:w="985" w:type="dxa"/>
            <w:tcBorders>
              <w:top w:val="single" w:sz="8" w:space="0" w:color="000000"/>
              <w:left w:val="single" w:sz="8" w:space="0" w:color="000000"/>
              <w:bottom w:val="single" w:sz="8" w:space="0" w:color="000000"/>
              <w:right w:val="single" w:sz="8" w:space="0" w:color="000000"/>
            </w:tcBorders>
          </w:tcPr>
          <w:p w14:paraId="2605049C" w14:textId="77777777" w:rsidR="00B804EC" w:rsidRDefault="00000000">
            <w:pPr>
              <w:pStyle w:val="biaogeright"/>
              <w:spacing w:line="360" w:lineRule="auto"/>
              <w:ind w:left="420" w:hanging="420"/>
              <w:rPr>
                <w:rFonts w:hint="eastAsia"/>
                <w:sz w:val="21"/>
                <w:szCs w:val="21"/>
              </w:rPr>
            </w:pPr>
            <w:r>
              <w:rPr>
                <w:rFonts w:hint="eastAsia"/>
                <w:sz w:val="21"/>
                <w:szCs w:val="21"/>
              </w:rPr>
              <w:t>-0.67%</w:t>
            </w:r>
          </w:p>
        </w:tc>
        <w:tc>
          <w:tcPr>
            <w:tcW w:w="1264" w:type="dxa"/>
            <w:tcBorders>
              <w:top w:val="single" w:sz="8" w:space="0" w:color="000000"/>
              <w:left w:val="single" w:sz="8" w:space="0" w:color="000000"/>
              <w:bottom w:val="single" w:sz="8" w:space="0" w:color="000000"/>
              <w:right w:val="single" w:sz="8" w:space="0" w:color="000000"/>
            </w:tcBorders>
          </w:tcPr>
          <w:p w14:paraId="298E8FF1" w14:textId="77777777" w:rsidR="00B804EC" w:rsidRDefault="00000000">
            <w:pPr>
              <w:pStyle w:val="biaogeright"/>
              <w:spacing w:line="360" w:lineRule="auto"/>
              <w:ind w:left="420" w:hanging="420"/>
              <w:rPr>
                <w:rFonts w:hint="eastAsia"/>
                <w:sz w:val="21"/>
                <w:szCs w:val="21"/>
              </w:rPr>
            </w:pPr>
            <w:r>
              <w:rPr>
                <w:rFonts w:hint="eastAsia"/>
                <w:sz w:val="21"/>
                <w:szCs w:val="21"/>
              </w:rPr>
              <w:t>0.08%</w:t>
            </w:r>
          </w:p>
        </w:tc>
        <w:tc>
          <w:tcPr>
            <w:tcW w:w="877" w:type="dxa"/>
            <w:tcBorders>
              <w:top w:val="single" w:sz="8" w:space="0" w:color="000000"/>
              <w:left w:val="single" w:sz="8" w:space="0" w:color="000000"/>
              <w:bottom w:val="single" w:sz="8" w:space="0" w:color="000000"/>
              <w:right w:val="single" w:sz="8" w:space="0" w:color="000000"/>
            </w:tcBorders>
          </w:tcPr>
          <w:p w14:paraId="5D34DE06" w14:textId="77777777" w:rsidR="00B804EC" w:rsidRDefault="00000000">
            <w:pPr>
              <w:pStyle w:val="biaogeright"/>
              <w:spacing w:line="360" w:lineRule="auto"/>
              <w:ind w:left="420" w:hanging="420"/>
              <w:rPr>
                <w:rFonts w:hint="eastAsia"/>
                <w:sz w:val="21"/>
                <w:szCs w:val="21"/>
              </w:rPr>
            </w:pPr>
            <w:r>
              <w:rPr>
                <w:rFonts w:hint="eastAsia"/>
                <w:sz w:val="21"/>
                <w:szCs w:val="21"/>
              </w:rPr>
              <w:t>1.96%</w:t>
            </w:r>
          </w:p>
        </w:tc>
        <w:tc>
          <w:tcPr>
            <w:tcW w:w="1059" w:type="dxa"/>
            <w:tcBorders>
              <w:top w:val="single" w:sz="8" w:space="0" w:color="000000"/>
              <w:left w:val="single" w:sz="8" w:space="0" w:color="000000"/>
              <w:bottom w:val="single" w:sz="8" w:space="0" w:color="000000"/>
              <w:right w:val="single" w:sz="8" w:space="0" w:color="000000"/>
            </w:tcBorders>
          </w:tcPr>
          <w:p w14:paraId="50368557" w14:textId="77777777" w:rsidR="00B804EC" w:rsidRDefault="00000000">
            <w:pPr>
              <w:pStyle w:val="biaogeright"/>
              <w:spacing w:line="360" w:lineRule="auto"/>
              <w:ind w:left="420" w:hanging="420"/>
              <w:rPr>
                <w:rFonts w:hint="eastAsia"/>
                <w:sz w:val="21"/>
                <w:szCs w:val="21"/>
              </w:rPr>
            </w:pPr>
            <w:r>
              <w:rPr>
                <w:rFonts w:hint="eastAsia"/>
                <w:sz w:val="21"/>
                <w:szCs w:val="21"/>
              </w:rPr>
              <w:t>-0.01%</w:t>
            </w:r>
          </w:p>
        </w:tc>
      </w:tr>
      <w:tr w:rsidR="00B804EC" w14:paraId="6B2B24DC" w14:textId="77777777" w:rsidTr="0021714D">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4C83C344" w14:textId="5CC5193D" w:rsidR="00B804EC" w:rsidRDefault="00000000">
            <w:pPr>
              <w:pStyle w:val="biaogeleft"/>
              <w:spacing w:line="360" w:lineRule="auto"/>
              <w:rPr>
                <w:rFonts w:hint="eastAsia"/>
                <w:color w:val="000000"/>
                <w:sz w:val="21"/>
                <w:szCs w:val="21"/>
              </w:rPr>
            </w:pPr>
            <w:r>
              <w:rPr>
                <w:rFonts w:hAnsi="Calibri" w:hint="eastAsia"/>
                <w:color w:val="000000"/>
                <w:sz w:val="21"/>
                <w:szCs w:val="21"/>
              </w:rPr>
              <w:lastRenderedPageBreak/>
              <w:t>自基金合同生效起至今</w:t>
            </w:r>
          </w:p>
        </w:tc>
        <w:tc>
          <w:tcPr>
            <w:tcW w:w="1082" w:type="dxa"/>
            <w:tcBorders>
              <w:top w:val="single" w:sz="8" w:space="0" w:color="000000"/>
              <w:left w:val="single" w:sz="8" w:space="0" w:color="000000"/>
              <w:bottom w:val="single" w:sz="8" w:space="0" w:color="000000"/>
              <w:right w:val="single" w:sz="8" w:space="0" w:color="000000"/>
            </w:tcBorders>
          </w:tcPr>
          <w:p w14:paraId="75E6E8A8" w14:textId="10662A88" w:rsidR="00B804EC" w:rsidRDefault="00000000">
            <w:pPr>
              <w:pStyle w:val="biaogeright"/>
              <w:spacing w:line="360" w:lineRule="auto"/>
              <w:ind w:left="420" w:hanging="420"/>
              <w:rPr>
                <w:rFonts w:hAnsi="Calibri"/>
                <w:color w:val="000000"/>
                <w:sz w:val="21"/>
                <w:szCs w:val="21"/>
              </w:rPr>
            </w:pPr>
            <w:r>
              <w:rPr>
                <w:rFonts w:hint="eastAsia"/>
                <w:sz w:val="21"/>
                <w:szCs w:val="21"/>
              </w:rPr>
              <w:t>38.22%</w:t>
            </w:r>
          </w:p>
        </w:tc>
        <w:tc>
          <w:tcPr>
            <w:tcW w:w="865" w:type="dxa"/>
            <w:tcBorders>
              <w:top w:val="single" w:sz="8" w:space="0" w:color="000000"/>
              <w:left w:val="single" w:sz="8" w:space="0" w:color="000000"/>
              <w:bottom w:val="single" w:sz="8" w:space="0" w:color="000000"/>
              <w:right w:val="single" w:sz="8" w:space="0" w:color="000000"/>
            </w:tcBorders>
          </w:tcPr>
          <w:p w14:paraId="367876E2" w14:textId="3A7A5010" w:rsidR="00B804EC" w:rsidRDefault="00000000">
            <w:pPr>
              <w:pStyle w:val="biaogeright"/>
              <w:spacing w:line="360" w:lineRule="auto"/>
              <w:ind w:left="420" w:hanging="420"/>
              <w:rPr>
                <w:rFonts w:hAnsi="Calibri"/>
                <w:color w:val="000000"/>
                <w:sz w:val="21"/>
                <w:szCs w:val="21"/>
              </w:rPr>
            </w:pPr>
            <w:r>
              <w:rPr>
                <w:rFonts w:hint="eastAsia"/>
                <w:sz w:val="21"/>
                <w:szCs w:val="21"/>
              </w:rPr>
              <w:t>0.08%</w:t>
            </w:r>
          </w:p>
        </w:tc>
        <w:tc>
          <w:tcPr>
            <w:tcW w:w="985" w:type="dxa"/>
            <w:tcBorders>
              <w:top w:val="single" w:sz="8" w:space="0" w:color="000000"/>
              <w:left w:val="single" w:sz="8" w:space="0" w:color="000000"/>
              <w:bottom w:val="single" w:sz="8" w:space="0" w:color="000000"/>
              <w:right w:val="single" w:sz="8" w:space="0" w:color="000000"/>
            </w:tcBorders>
          </w:tcPr>
          <w:p w14:paraId="46758DB3" w14:textId="015E598C" w:rsidR="00B804EC" w:rsidRDefault="00000000">
            <w:pPr>
              <w:pStyle w:val="biaogeright"/>
              <w:spacing w:line="360" w:lineRule="auto"/>
              <w:ind w:left="420" w:hanging="420"/>
              <w:rPr>
                <w:rFonts w:hAnsi="Calibri"/>
                <w:color w:val="000000"/>
                <w:sz w:val="21"/>
                <w:szCs w:val="21"/>
              </w:rPr>
            </w:pPr>
            <w:r>
              <w:rPr>
                <w:rFonts w:hint="eastAsia"/>
                <w:sz w:val="21"/>
                <w:szCs w:val="21"/>
              </w:rPr>
              <w:t>39.41%</w:t>
            </w:r>
          </w:p>
        </w:tc>
        <w:tc>
          <w:tcPr>
            <w:tcW w:w="1264" w:type="dxa"/>
            <w:tcBorders>
              <w:top w:val="single" w:sz="8" w:space="0" w:color="000000"/>
              <w:left w:val="single" w:sz="8" w:space="0" w:color="000000"/>
              <w:bottom w:val="single" w:sz="8" w:space="0" w:color="000000"/>
              <w:right w:val="single" w:sz="8" w:space="0" w:color="000000"/>
            </w:tcBorders>
          </w:tcPr>
          <w:p w14:paraId="26C9DE73" w14:textId="1B9DFA45" w:rsidR="00B804EC" w:rsidRDefault="00000000">
            <w:pPr>
              <w:pStyle w:val="biaogeright"/>
              <w:spacing w:line="360" w:lineRule="auto"/>
              <w:ind w:left="420" w:hanging="420"/>
              <w:rPr>
                <w:rFonts w:hAnsi="Calibri"/>
                <w:color w:val="000000"/>
                <w:sz w:val="21"/>
                <w:szCs w:val="21"/>
              </w:rPr>
            </w:pPr>
            <w:r>
              <w:rPr>
                <w:rFonts w:hint="eastAsia"/>
                <w:sz w:val="21"/>
                <w:szCs w:val="21"/>
              </w:rPr>
              <w:t>0.06%</w:t>
            </w:r>
          </w:p>
        </w:tc>
        <w:tc>
          <w:tcPr>
            <w:tcW w:w="877" w:type="dxa"/>
            <w:tcBorders>
              <w:top w:val="single" w:sz="8" w:space="0" w:color="000000"/>
              <w:left w:val="single" w:sz="8" w:space="0" w:color="000000"/>
              <w:bottom w:val="single" w:sz="8" w:space="0" w:color="000000"/>
              <w:right w:val="single" w:sz="8" w:space="0" w:color="000000"/>
            </w:tcBorders>
          </w:tcPr>
          <w:p w14:paraId="2967B420" w14:textId="1696FB91" w:rsidR="00B804EC" w:rsidRDefault="00000000">
            <w:pPr>
              <w:pStyle w:val="biaogeright"/>
              <w:spacing w:line="360" w:lineRule="auto"/>
              <w:ind w:left="420" w:hanging="420"/>
              <w:rPr>
                <w:rFonts w:hAnsi="Calibri"/>
                <w:color w:val="000000"/>
                <w:sz w:val="21"/>
                <w:szCs w:val="21"/>
              </w:rPr>
            </w:pPr>
            <w:r>
              <w:rPr>
                <w:rFonts w:hint="eastAsia"/>
                <w:sz w:val="21"/>
                <w:szCs w:val="21"/>
              </w:rPr>
              <w:t>-1.19%</w:t>
            </w:r>
          </w:p>
        </w:tc>
        <w:tc>
          <w:tcPr>
            <w:tcW w:w="1059" w:type="dxa"/>
            <w:tcBorders>
              <w:top w:val="single" w:sz="8" w:space="0" w:color="000000"/>
              <w:left w:val="single" w:sz="8" w:space="0" w:color="000000"/>
              <w:bottom w:val="single" w:sz="8" w:space="0" w:color="000000"/>
              <w:right w:val="single" w:sz="8" w:space="0" w:color="000000"/>
            </w:tcBorders>
          </w:tcPr>
          <w:p w14:paraId="0A75FB02" w14:textId="393DA821" w:rsidR="00B804EC" w:rsidRDefault="00000000">
            <w:pPr>
              <w:pStyle w:val="biaogeright"/>
              <w:spacing w:line="360" w:lineRule="auto"/>
              <w:ind w:left="420" w:hanging="420"/>
              <w:rPr>
                <w:rFonts w:hAnsi="Calibri"/>
                <w:color w:val="000000"/>
                <w:sz w:val="21"/>
                <w:szCs w:val="21"/>
              </w:rPr>
            </w:pPr>
            <w:r>
              <w:rPr>
                <w:rFonts w:hint="eastAsia"/>
                <w:sz w:val="21"/>
                <w:szCs w:val="21"/>
              </w:rPr>
              <w:t>0.02%</w:t>
            </w:r>
          </w:p>
        </w:tc>
      </w:tr>
    </w:tbl>
    <w:p w14:paraId="5E23DA7D" w14:textId="77777777" w:rsidR="00B804EC" w:rsidRDefault="00000000">
      <w:pPr>
        <w:pStyle w:val="biaogeleft"/>
        <w:ind w:firstLine="400"/>
        <w:rPr>
          <w:rFonts w:hint="eastAsia"/>
          <w:bCs/>
          <w:sz w:val="21"/>
          <w:szCs w:val="21"/>
        </w:rPr>
      </w:pPr>
      <w:r>
        <w:rPr>
          <w:rFonts w:hint="eastAsia"/>
          <w:bCs/>
          <w:sz w:val="21"/>
          <w:szCs w:val="21"/>
        </w:rPr>
        <w:t>富荣富兴纯债C净值表现</w:t>
      </w:r>
    </w:p>
    <w:tbl>
      <w:tblPr>
        <w:tblW w:w="8364" w:type="dxa"/>
        <w:tblInd w:w="108" w:type="dxa"/>
        <w:tblLayout w:type="fixed"/>
        <w:tblLook w:val="04A0" w:firstRow="1" w:lastRow="0" w:firstColumn="1" w:lastColumn="0" w:noHBand="0" w:noVBand="1"/>
      </w:tblPr>
      <w:tblGrid>
        <w:gridCol w:w="2434"/>
        <w:gridCol w:w="931"/>
        <w:gridCol w:w="1053"/>
        <w:gridCol w:w="993"/>
        <w:gridCol w:w="1134"/>
        <w:gridCol w:w="864"/>
        <w:gridCol w:w="955"/>
      </w:tblGrid>
      <w:tr w:rsidR="00B804EC" w14:paraId="02CA236F" w14:textId="77777777">
        <w:trPr>
          <w:trHeight w:val="1995"/>
        </w:trPr>
        <w:tc>
          <w:tcPr>
            <w:tcW w:w="2434" w:type="dxa"/>
            <w:tcBorders>
              <w:top w:val="single" w:sz="8" w:space="0" w:color="000000"/>
              <w:left w:val="single" w:sz="8" w:space="0" w:color="000000"/>
              <w:bottom w:val="single" w:sz="8" w:space="0" w:color="000000"/>
              <w:right w:val="single" w:sz="8" w:space="0" w:color="000000"/>
            </w:tcBorders>
            <w:vAlign w:val="center"/>
          </w:tcPr>
          <w:p w14:paraId="2DB149A0" w14:textId="77777777" w:rsidR="00B804EC" w:rsidRDefault="00000000">
            <w:pPr>
              <w:pStyle w:val="biaogecenter"/>
              <w:spacing w:line="360" w:lineRule="auto"/>
              <w:ind w:firstLine="420"/>
              <w:rPr>
                <w:rFonts w:hint="eastAsia"/>
                <w:sz w:val="21"/>
                <w:szCs w:val="21"/>
              </w:rPr>
            </w:pPr>
            <w:r>
              <w:rPr>
                <w:rFonts w:hAnsi="Calibri" w:hint="eastAsia"/>
                <w:color w:val="000000"/>
                <w:sz w:val="21"/>
                <w:szCs w:val="21"/>
              </w:rPr>
              <w:t>阶段</w:t>
            </w:r>
          </w:p>
        </w:tc>
        <w:tc>
          <w:tcPr>
            <w:tcW w:w="931" w:type="dxa"/>
            <w:tcBorders>
              <w:top w:val="single" w:sz="8" w:space="0" w:color="000000"/>
              <w:left w:val="single" w:sz="8" w:space="0" w:color="000000"/>
              <w:bottom w:val="single" w:sz="8" w:space="0" w:color="000000"/>
              <w:right w:val="single" w:sz="8" w:space="0" w:color="000000"/>
            </w:tcBorders>
            <w:vAlign w:val="center"/>
          </w:tcPr>
          <w:p w14:paraId="05624676"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份额净值增长率①</w:t>
            </w:r>
          </w:p>
        </w:tc>
        <w:tc>
          <w:tcPr>
            <w:tcW w:w="1053" w:type="dxa"/>
            <w:tcBorders>
              <w:top w:val="single" w:sz="8" w:space="0" w:color="000000"/>
              <w:left w:val="single" w:sz="8" w:space="0" w:color="000000"/>
              <w:bottom w:val="single" w:sz="8" w:space="0" w:color="000000"/>
              <w:right w:val="single" w:sz="8" w:space="0" w:color="000000"/>
            </w:tcBorders>
            <w:vAlign w:val="center"/>
          </w:tcPr>
          <w:p w14:paraId="2635CD59"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份额净值增长率标准差②</w:t>
            </w:r>
          </w:p>
        </w:tc>
        <w:tc>
          <w:tcPr>
            <w:tcW w:w="993" w:type="dxa"/>
            <w:tcBorders>
              <w:top w:val="single" w:sz="8" w:space="0" w:color="000000"/>
              <w:left w:val="single" w:sz="8" w:space="0" w:color="000000"/>
              <w:bottom w:val="single" w:sz="8" w:space="0" w:color="000000"/>
              <w:right w:val="single" w:sz="8" w:space="0" w:color="000000"/>
            </w:tcBorders>
            <w:vAlign w:val="center"/>
          </w:tcPr>
          <w:p w14:paraId="791396CF"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业绩比较基准收益率③</w:t>
            </w:r>
          </w:p>
        </w:tc>
        <w:tc>
          <w:tcPr>
            <w:tcW w:w="1134" w:type="dxa"/>
            <w:tcBorders>
              <w:top w:val="single" w:sz="8" w:space="0" w:color="000000"/>
              <w:left w:val="single" w:sz="8" w:space="0" w:color="000000"/>
              <w:bottom w:val="single" w:sz="8" w:space="0" w:color="000000"/>
              <w:right w:val="single" w:sz="8" w:space="0" w:color="000000"/>
            </w:tcBorders>
            <w:vAlign w:val="center"/>
          </w:tcPr>
          <w:p w14:paraId="7F8D8E56"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业绩比较基准收益率标准差④</w:t>
            </w:r>
          </w:p>
        </w:tc>
        <w:tc>
          <w:tcPr>
            <w:tcW w:w="864" w:type="dxa"/>
            <w:tcBorders>
              <w:top w:val="single" w:sz="8" w:space="0" w:color="000000"/>
              <w:left w:val="single" w:sz="8" w:space="0" w:color="000000"/>
              <w:bottom w:val="single" w:sz="8" w:space="0" w:color="000000"/>
              <w:right w:val="single" w:sz="8" w:space="0" w:color="000000"/>
            </w:tcBorders>
            <w:vAlign w:val="center"/>
          </w:tcPr>
          <w:p w14:paraId="749A8548"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①-③</w:t>
            </w:r>
          </w:p>
        </w:tc>
        <w:tc>
          <w:tcPr>
            <w:tcW w:w="955" w:type="dxa"/>
            <w:tcBorders>
              <w:top w:val="single" w:sz="8" w:space="0" w:color="000000"/>
              <w:left w:val="single" w:sz="8" w:space="0" w:color="000000"/>
              <w:bottom w:val="single" w:sz="8" w:space="0" w:color="000000"/>
              <w:right w:val="single" w:sz="8" w:space="0" w:color="000000"/>
            </w:tcBorders>
            <w:vAlign w:val="center"/>
          </w:tcPr>
          <w:p w14:paraId="66F807BA" w14:textId="77777777" w:rsidR="00B804EC" w:rsidRDefault="00000000">
            <w:pPr>
              <w:pStyle w:val="biaogecenter"/>
              <w:spacing w:line="360" w:lineRule="auto"/>
              <w:jc w:val="both"/>
              <w:rPr>
                <w:rFonts w:hint="eastAsia"/>
                <w:sz w:val="21"/>
                <w:szCs w:val="21"/>
              </w:rPr>
            </w:pPr>
            <w:r>
              <w:rPr>
                <w:rFonts w:hAnsi="Calibri" w:hint="eastAsia"/>
                <w:color w:val="000000"/>
                <w:sz w:val="21"/>
                <w:szCs w:val="21"/>
              </w:rPr>
              <w:t>②-④</w:t>
            </w:r>
          </w:p>
        </w:tc>
      </w:tr>
      <w:tr w:rsidR="00B804EC" w14:paraId="0500D27B" w14:textId="77777777">
        <w:trPr>
          <w:trHeight w:val="402"/>
        </w:trPr>
        <w:tc>
          <w:tcPr>
            <w:tcW w:w="2434" w:type="dxa"/>
            <w:tcBorders>
              <w:top w:val="single" w:sz="8" w:space="0" w:color="000000"/>
              <w:left w:val="single" w:sz="8" w:space="0" w:color="000000"/>
              <w:bottom w:val="single" w:sz="8" w:space="0" w:color="000000"/>
              <w:right w:val="single" w:sz="8" w:space="0" w:color="000000"/>
            </w:tcBorders>
            <w:vAlign w:val="center"/>
          </w:tcPr>
          <w:p w14:paraId="346B74A0" w14:textId="77777777" w:rsidR="00B804EC" w:rsidRDefault="00000000">
            <w:pPr>
              <w:pStyle w:val="biaogeleft"/>
              <w:spacing w:line="360" w:lineRule="auto"/>
              <w:rPr>
                <w:rFonts w:hint="eastAsia"/>
                <w:color w:val="000000"/>
                <w:sz w:val="21"/>
                <w:szCs w:val="21"/>
              </w:rPr>
            </w:pPr>
            <w:r>
              <w:rPr>
                <w:rFonts w:hAnsi="Calibri" w:hint="eastAsia"/>
                <w:color w:val="000000"/>
                <w:sz w:val="21"/>
                <w:szCs w:val="21"/>
              </w:rPr>
              <w:t>2024.7.25</w:t>
            </w:r>
            <w:r>
              <w:rPr>
                <w:color w:val="000000"/>
                <w:sz w:val="21"/>
                <w:szCs w:val="21"/>
              </w:rPr>
              <w:t>~</w:t>
            </w:r>
            <w:r>
              <w:rPr>
                <w:rFonts w:hint="eastAsia"/>
                <w:color w:val="000000"/>
                <w:sz w:val="21"/>
                <w:szCs w:val="21"/>
              </w:rPr>
              <w:t>2024.12.31</w:t>
            </w:r>
          </w:p>
        </w:tc>
        <w:tc>
          <w:tcPr>
            <w:tcW w:w="931" w:type="dxa"/>
            <w:tcBorders>
              <w:top w:val="single" w:sz="8" w:space="0" w:color="000000"/>
              <w:left w:val="single" w:sz="8" w:space="0" w:color="000000"/>
              <w:bottom w:val="single" w:sz="8" w:space="0" w:color="000000"/>
              <w:right w:val="single" w:sz="8" w:space="0" w:color="000000"/>
            </w:tcBorders>
          </w:tcPr>
          <w:p w14:paraId="1965F92A"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0.79%</w:t>
            </w:r>
          </w:p>
        </w:tc>
        <w:tc>
          <w:tcPr>
            <w:tcW w:w="1053" w:type="dxa"/>
            <w:tcBorders>
              <w:top w:val="single" w:sz="8" w:space="0" w:color="000000"/>
              <w:left w:val="single" w:sz="8" w:space="0" w:color="000000"/>
              <w:bottom w:val="single" w:sz="8" w:space="0" w:color="000000"/>
              <w:right w:val="single" w:sz="8" w:space="0" w:color="000000"/>
            </w:tcBorders>
          </w:tcPr>
          <w:p w14:paraId="78148E54"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0.13%</w:t>
            </w:r>
          </w:p>
        </w:tc>
        <w:tc>
          <w:tcPr>
            <w:tcW w:w="993" w:type="dxa"/>
            <w:tcBorders>
              <w:top w:val="single" w:sz="8" w:space="0" w:color="000000"/>
              <w:left w:val="single" w:sz="8" w:space="0" w:color="000000"/>
              <w:bottom w:val="single" w:sz="8" w:space="0" w:color="000000"/>
              <w:right w:val="single" w:sz="8" w:space="0" w:color="000000"/>
            </w:tcBorders>
          </w:tcPr>
          <w:p w14:paraId="47A5370F"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3.07%</w:t>
            </w:r>
          </w:p>
        </w:tc>
        <w:tc>
          <w:tcPr>
            <w:tcW w:w="1134" w:type="dxa"/>
            <w:tcBorders>
              <w:top w:val="single" w:sz="8" w:space="0" w:color="000000"/>
              <w:left w:val="single" w:sz="8" w:space="0" w:color="000000"/>
              <w:bottom w:val="single" w:sz="8" w:space="0" w:color="000000"/>
              <w:right w:val="single" w:sz="8" w:space="0" w:color="000000"/>
            </w:tcBorders>
          </w:tcPr>
          <w:p w14:paraId="283E0EBF"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864" w:type="dxa"/>
            <w:tcBorders>
              <w:top w:val="single" w:sz="8" w:space="0" w:color="000000"/>
              <w:left w:val="single" w:sz="8" w:space="0" w:color="000000"/>
              <w:bottom w:val="single" w:sz="8" w:space="0" w:color="000000"/>
              <w:right w:val="single" w:sz="8" w:space="0" w:color="000000"/>
            </w:tcBorders>
          </w:tcPr>
          <w:p w14:paraId="6FC8761F"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-2.28%</w:t>
            </w:r>
          </w:p>
        </w:tc>
        <w:tc>
          <w:tcPr>
            <w:tcW w:w="955" w:type="dxa"/>
            <w:tcBorders>
              <w:top w:val="single" w:sz="8" w:space="0" w:color="000000"/>
              <w:left w:val="single" w:sz="8" w:space="0" w:color="000000"/>
              <w:bottom w:val="single" w:sz="8" w:space="0" w:color="000000"/>
              <w:right w:val="single" w:sz="8" w:space="0" w:color="000000"/>
            </w:tcBorders>
          </w:tcPr>
          <w:p w14:paraId="78688110"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0.04%</w:t>
            </w:r>
          </w:p>
        </w:tc>
      </w:tr>
      <w:tr w:rsidR="00B804EC" w14:paraId="22428BC0" w14:textId="77777777" w:rsidTr="0021714D">
        <w:trPr>
          <w:trHeight w:val="402"/>
        </w:trPr>
        <w:tc>
          <w:tcPr>
            <w:tcW w:w="2434" w:type="dxa"/>
            <w:tcBorders>
              <w:top w:val="single" w:sz="8" w:space="0" w:color="000000"/>
              <w:left w:val="single" w:sz="8" w:space="0" w:color="000000"/>
              <w:bottom w:val="single" w:sz="8" w:space="0" w:color="000000"/>
              <w:right w:val="single" w:sz="8" w:space="0" w:color="000000"/>
            </w:tcBorders>
          </w:tcPr>
          <w:p w14:paraId="4295C008" w14:textId="77777777" w:rsidR="00B804EC" w:rsidRDefault="00000000">
            <w:pPr>
              <w:pStyle w:val="biaogeleft"/>
              <w:spacing w:line="360" w:lineRule="auto"/>
              <w:rPr>
                <w:rFonts w:hAnsi="Calibri"/>
                <w:color w:val="000000"/>
                <w:sz w:val="21"/>
                <w:szCs w:val="21"/>
              </w:rPr>
            </w:pPr>
            <w:r>
              <w:rPr>
                <w:rFonts w:hint="eastAsia"/>
                <w:sz w:val="21"/>
                <w:szCs w:val="21"/>
              </w:rPr>
              <w:t>2025.1.1~2025.12.31</w:t>
            </w:r>
          </w:p>
        </w:tc>
        <w:tc>
          <w:tcPr>
            <w:tcW w:w="931" w:type="dxa"/>
            <w:tcBorders>
              <w:top w:val="single" w:sz="8" w:space="0" w:color="000000"/>
              <w:left w:val="single" w:sz="8" w:space="0" w:color="000000"/>
              <w:bottom w:val="single" w:sz="8" w:space="0" w:color="000000"/>
              <w:right w:val="single" w:sz="8" w:space="0" w:color="000000"/>
            </w:tcBorders>
            <w:vAlign w:val="center"/>
          </w:tcPr>
          <w:p w14:paraId="05F4D6DD"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2.26%</w:t>
            </w:r>
          </w:p>
        </w:tc>
        <w:tc>
          <w:tcPr>
            <w:tcW w:w="1053" w:type="dxa"/>
            <w:tcBorders>
              <w:top w:val="single" w:sz="8" w:space="0" w:color="000000"/>
              <w:left w:val="single" w:sz="8" w:space="0" w:color="000000"/>
              <w:bottom w:val="single" w:sz="8" w:space="0" w:color="000000"/>
              <w:right w:val="single" w:sz="8" w:space="0" w:color="000000"/>
            </w:tcBorders>
            <w:vAlign w:val="center"/>
          </w:tcPr>
          <w:p w14:paraId="1CE39B9A"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993" w:type="dxa"/>
            <w:tcBorders>
              <w:top w:val="single" w:sz="8" w:space="0" w:color="000000"/>
              <w:left w:val="single" w:sz="8" w:space="0" w:color="000000"/>
              <w:bottom w:val="single" w:sz="8" w:space="0" w:color="000000"/>
              <w:right w:val="single" w:sz="8" w:space="0" w:color="000000"/>
            </w:tcBorders>
            <w:vAlign w:val="center"/>
          </w:tcPr>
          <w:p w14:paraId="62D52914"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-0.67%</w:t>
            </w:r>
          </w:p>
        </w:tc>
        <w:tc>
          <w:tcPr>
            <w:tcW w:w="1134" w:type="dxa"/>
            <w:tcBorders>
              <w:top w:val="single" w:sz="8" w:space="0" w:color="000000"/>
              <w:left w:val="single" w:sz="8" w:space="0" w:color="000000"/>
              <w:bottom w:val="single" w:sz="8" w:space="0" w:color="000000"/>
              <w:right w:val="single" w:sz="8" w:space="0" w:color="000000"/>
            </w:tcBorders>
            <w:vAlign w:val="center"/>
          </w:tcPr>
          <w:p w14:paraId="2695BEB5"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0.08%</w:t>
            </w:r>
          </w:p>
        </w:tc>
        <w:tc>
          <w:tcPr>
            <w:tcW w:w="864" w:type="dxa"/>
            <w:tcBorders>
              <w:top w:val="single" w:sz="8" w:space="0" w:color="000000"/>
              <w:left w:val="single" w:sz="8" w:space="0" w:color="000000"/>
              <w:bottom w:val="single" w:sz="8" w:space="0" w:color="000000"/>
              <w:right w:val="single" w:sz="8" w:space="0" w:color="000000"/>
            </w:tcBorders>
            <w:vAlign w:val="center"/>
          </w:tcPr>
          <w:p w14:paraId="59C1E272"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2.93%</w:t>
            </w:r>
          </w:p>
        </w:tc>
        <w:tc>
          <w:tcPr>
            <w:tcW w:w="955" w:type="dxa"/>
            <w:tcBorders>
              <w:top w:val="single" w:sz="8" w:space="0" w:color="000000"/>
              <w:left w:val="single" w:sz="8" w:space="0" w:color="000000"/>
              <w:bottom w:val="single" w:sz="8" w:space="0" w:color="000000"/>
              <w:right w:val="single" w:sz="8" w:space="0" w:color="000000"/>
            </w:tcBorders>
            <w:vAlign w:val="center"/>
          </w:tcPr>
          <w:p w14:paraId="7E190E32"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0.01%</w:t>
            </w:r>
          </w:p>
        </w:tc>
      </w:tr>
      <w:tr w:rsidR="00B804EC" w14:paraId="0C6D1152" w14:textId="77777777" w:rsidTr="0021714D">
        <w:trPr>
          <w:trHeight w:val="402"/>
        </w:trPr>
        <w:tc>
          <w:tcPr>
            <w:tcW w:w="2434" w:type="dxa"/>
            <w:tcBorders>
              <w:top w:val="single" w:sz="8" w:space="0" w:color="000000"/>
              <w:left w:val="single" w:sz="8" w:space="0" w:color="000000"/>
              <w:bottom w:val="single" w:sz="8" w:space="0" w:color="000000"/>
              <w:right w:val="single" w:sz="8" w:space="0" w:color="000000"/>
            </w:tcBorders>
            <w:vAlign w:val="center"/>
          </w:tcPr>
          <w:p w14:paraId="674694E6" w14:textId="77777777" w:rsidR="00B804EC" w:rsidRDefault="00000000">
            <w:pPr>
              <w:pStyle w:val="biaogeleft"/>
              <w:spacing w:line="360" w:lineRule="auto"/>
              <w:rPr>
                <w:rFonts w:hAnsi="Calibri"/>
                <w:color w:val="000000"/>
                <w:sz w:val="21"/>
                <w:szCs w:val="21"/>
              </w:rPr>
            </w:pPr>
            <w:r>
              <w:rPr>
                <w:rFonts w:hAnsi="Calibri" w:hint="eastAsia"/>
                <w:color w:val="000000"/>
                <w:sz w:val="21"/>
                <w:szCs w:val="21"/>
              </w:rPr>
              <w:t>自基金合同生效起至今</w:t>
            </w:r>
          </w:p>
        </w:tc>
        <w:tc>
          <w:tcPr>
            <w:tcW w:w="931" w:type="dxa"/>
            <w:tcBorders>
              <w:top w:val="single" w:sz="8" w:space="0" w:color="000000"/>
              <w:left w:val="single" w:sz="8" w:space="0" w:color="000000"/>
              <w:bottom w:val="single" w:sz="8" w:space="0" w:color="000000"/>
              <w:right w:val="single" w:sz="8" w:space="0" w:color="000000"/>
            </w:tcBorders>
            <w:vAlign w:val="center"/>
          </w:tcPr>
          <w:p w14:paraId="19CB25F5"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3.06%</w:t>
            </w:r>
          </w:p>
        </w:tc>
        <w:tc>
          <w:tcPr>
            <w:tcW w:w="1053" w:type="dxa"/>
            <w:tcBorders>
              <w:top w:val="single" w:sz="8" w:space="0" w:color="000000"/>
              <w:left w:val="single" w:sz="8" w:space="0" w:color="000000"/>
              <w:bottom w:val="single" w:sz="8" w:space="0" w:color="000000"/>
              <w:right w:val="single" w:sz="8" w:space="0" w:color="000000"/>
            </w:tcBorders>
            <w:vAlign w:val="center"/>
          </w:tcPr>
          <w:p w14:paraId="217BD8C9"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0.11%</w:t>
            </w:r>
          </w:p>
        </w:tc>
        <w:tc>
          <w:tcPr>
            <w:tcW w:w="993" w:type="dxa"/>
            <w:tcBorders>
              <w:top w:val="single" w:sz="8" w:space="0" w:color="000000"/>
              <w:left w:val="single" w:sz="8" w:space="0" w:color="000000"/>
              <w:bottom w:val="single" w:sz="8" w:space="0" w:color="000000"/>
              <w:right w:val="single" w:sz="8" w:space="0" w:color="000000"/>
            </w:tcBorders>
            <w:vAlign w:val="center"/>
          </w:tcPr>
          <w:p w14:paraId="27385403"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2.37%</w:t>
            </w:r>
          </w:p>
        </w:tc>
        <w:tc>
          <w:tcPr>
            <w:tcW w:w="1134" w:type="dxa"/>
            <w:tcBorders>
              <w:top w:val="single" w:sz="8" w:space="0" w:color="000000"/>
              <w:left w:val="single" w:sz="8" w:space="0" w:color="000000"/>
              <w:bottom w:val="single" w:sz="8" w:space="0" w:color="000000"/>
              <w:right w:val="single" w:sz="8" w:space="0" w:color="000000"/>
            </w:tcBorders>
            <w:vAlign w:val="center"/>
          </w:tcPr>
          <w:p w14:paraId="36FBCB63"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864" w:type="dxa"/>
            <w:tcBorders>
              <w:top w:val="single" w:sz="8" w:space="0" w:color="000000"/>
              <w:left w:val="single" w:sz="8" w:space="0" w:color="000000"/>
              <w:bottom w:val="single" w:sz="8" w:space="0" w:color="000000"/>
              <w:right w:val="single" w:sz="8" w:space="0" w:color="000000"/>
            </w:tcBorders>
            <w:vAlign w:val="center"/>
          </w:tcPr>
          <w:p w14:paraId="74B655B3"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0.69%</w:t>
            </w:r>
          </w:p>
        </w:tc>
        <w:tc>
          <w:tcPr>
            <w:tcW w:w="955" w:type="dxa"/>
            <w:tcBorders>
              <w:top w:val="single" w:sz="8" w:space="0" w:color="000000"/>
              <w:left w:val="single" w:sz="8" w:space="0" w:color="000000"/>
              <w:bottom w:val="single" w:sz="8" w:space="0" w:color="000000"/>
              <w:right w:val="single" w:sz="8" w:space="0" w:color="000000"/>
            </w:tcBorders>
            <w:vAlign w:val="center"/>
          </w:tcPr>
          <w:p w14:paraId="1202B1D6" w14:textId="77777777" w:rsidR="00B804EC"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0.02%</w:t>
            </w:r>
          </w:p>
        </w:tc>
      </w:tr>
    </w:tbl>
    <w:p w14:paraId="0F712ED8" w14:textId="77777777" w:rsidR="00B804EC" w:rsidRDefault="00000000">
      <w:pPr>
        <w:pStyle w:val="biaogeleft"/>
        <w:ind w:firstLine="400"/>
        <w:rPr>
          <w:rFonts w:hint="eastAsia"/>
          <w:bCs/>
          <w:sz w:val="21"/>
          <w:szCs w:val="21"/>
        </w:rPr>
      </w:pPr>
      <w:r>
        <w:rPr>
          <w:rFonts w:hint="eastAsia"/>
          <w:bCs/>
          <w:sz w:val="21"/>
          <w:szCs w:val="21"/>
        </w:rPr>
        <w:t>注：①本基金的业绩比较基准为：中债综合指数（总财富）收益率×90%+1年期定期存款利率（税后）×10%。（自2025年4月18日起，本基金的业绩比较基准变更为：中债综合全价(总值)指数收益率*90%+1年期定期存款利率（税后）*10%）</w:t>
      </w:r>
    </w:p>
    <w:p w14:paraId="643BA91F" w14:textId="77777777" w:rsidR="00B804EC" w:rsidRDefault="00000000">
      <w:pPr>
        <w:pStyle w:val="biaogeleft"/>
        <w:ind w:firstLine="400"/>
        <w:rPr>
          <w:rFonts w:hint="eastAsia"/>
          <w:bCs/>
          <w:sz w:val="21"/>
          <w:szCs w:val="21"/>
        </w:rPr>
      </w:pPr>
      <w:r>
        <w:rPr>
          <w:rFonts w:hint="eastAsia"/>
          <w:bCs/>
          <w:sz w:val="21"/>
          <w:szCs w:val="21"/>
        </w:rPr>
        <w:t>②富荣富兴纯债债券型证券投资基金自2024年7月25日起增加C类基金份额。</w:t>
      </w:r>
    </w:p>
    <w:p w14:paraId="266CEBCB" w14:textId="77777777" w:rsidR="00B804EC" w:rsidRDefault="00000000">
      <w:pPr>
        <w:pStyle w:val="zhangjiep2"/>
        <w:ind w:left="0"/>
        <w:rPr>
          <w:rFonts w:hint="eastAsia"/>
          <w:sz w:val="21"/>
          <w:szCs w:val="21"/>
        </w:rPr>
      </w:pPr>
      <w:r>
        <w:rPr>
          <w:rFonts w:hint="eastAsia"/>
          <w:bCs/>
          <w:sz w:val="21"/>
          <w:szCs w:val="21"/>
        </w:rPr>
        <w:t xml:space="preserve">    2、自基金合同生效以来基金份额累计净值增长率变动及其与同期业绩比较基准收益率变动的比较</w:t>
      </w:r>
    </w:p>
    <w:p w14:paraId="636B5165" w14:textId="0D67CFE6" w:rsidR="00B804EC" w:rsidRDefault="00000000">
      <w:pPr>
        <w:pStyle w:val="biaogeleft"/>
        <w:rPr>
          <w:rFonts w:hint="eastAsia"/>
        </w:rPr>
      </w:pPr>
      <w:r>
        <w:rPr>
          <w:rFonts w:hAnsi="等线"/>
          <w:noProof/>
          <w:color w:val="000000"/>
        </w:rPr>
        <w:drawing>
          <wp:inline distT="0" distB="0" distL="0" distR="0" wp14:anchorId="3582D944" wp14:editId="77D5C5C4">
            <wp:extent cx="5274310" cy="34264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0592EAB7" w14:textId="77777777" w:rsidR="00B804EC" w:rsidRDefault="00000000">
      <w:pPr>
        <w:pStyle w:val="biaogeleft"/>
        <w:rPr>
          <w:rFonts w:hint="eastAsia"/>
        </w:rPr>
      </w:pPr>
      <w:r>
        <w:rPr>
          <w:rFonts w:hAnsi="等线"/>
          <w:noProof/>
          <w:color w:val="000000"/>
        </w:rPr>
        <w:lastRenderedPageBreak/>
        <w:drawing>
          <wp:inline distT="0" distB="0" distL="0" distR="0" wp14:anchorId="190A2B4F" wp14:editId="362C2907">
            <wp:extent cx="5274310" cy="342646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50E3F268" w14:textId="629F5483" w:rsidR="00B804EC" w:rsidRDefault="00000000">
      <w:pPr>
        <w:pStyle w:val="biaogeleft"/>
        <w:ind w:left="420" w:hangingChars="200" w:hanging="420"/>
        <w:rPr>
          <w:rFonts w:hint="eastAsia"/>
        </w:rPr>
      </w:pPr>
      <w:r>
        <w:rPr>
          <w:rFonts w:hint="eastAsia"/>
          <w:sz w:val="21"/>
          <w:szCs w:val="18"/>
        </w:rPr>
        <w:t>注：本基金建仓期为6个月，建仓期结束时各项资产配置比例符合合同约定。</w:t>
      </w:r>
    </w:p>
    <w:p w14:paraId="6ACB347C" w14:textId="77777777" w:rsidR="00B804EC" w:rsidRDefault="00000000">
      <w:pPr>
        <w:pStyle w:val="biaogeleft"/>
        <w:rPr>
          <w:rFonts w:ascii="Arial Unicode MS" w:hAnsi="Arial Unicode MS" w:cs="Arial" w:hint="eastAsia"/>
          <w:b/>
          <w:bCs/>
        </w:rPr>
      </w:pPr>
      <w:r>
        <w:rPr>
          <w:rFonts w:ascii="Arial Unicode MS" w:hAnsi="Arial Unicode MS" w:cs="Arial"/>
          <w:b/>
          <w:bCs/>
        </w:rPr>
        <w:br w:type="page"/>
      </w:r>
    </w:p>
    <w:p w14:paraId="10A96F10" w14:textId="77777777" w:rsidR="00B804EC" w:rsidRDefault="00000000">
      <w:pPr>
        <w:pStyle w:val="11"/>
        <w:snapToGrid w:val="0"/>
        <w:spacing w:before="0" w:after="0" w:line="360" w:lineRule="auto"/>
        <w:ind w:firstLineChars="950" w:firstLine="2670"/>
        <w:jc w:val="left"/>
        <w:rPr>
          <w:rFonts w:ascii="Arial Unicode MS" w:eastAsia="宋体" w:hAnsi="Arial Unicode MS" w:cs="Arial" w:hint="eastAsia"/>
          <w:b/>
          <w:bCs/>
          <w:sz w:val="28"/>
          <w:szCs w:val="28"/>
        </w:rPr>
      </w:pPr>
      <w:bookmarkStart w:id="60" w:name="_Toc335232698"/>
      <w:bookmarkStart w:id="61" w:name="_Toc317088544"/>
      <w:bookmarkStart w:id="62" w:name="_Toc63676445"/>
      <w:bookmarkStart w:id="63" w:name="_Toc320887649"/>
      <w:bookmarkStart w:id="64" w:name="_Toc317088147"/>
      <w:bookmarkStart w:id="65" w:name="_Toc214873599"/>
      <w:bookmarkEnd w:id="59"/>
      <w:r>
        <w:rPr>
          <w:rFonts w:ascii="Arial Unicode MS" w:eastAsia="宋体" w:hAnsi="Arial Unicode MS" w:cs="Arial"/>
          <w:b/>
          <w:bCs/>
          <w:sz w:val="28"/>
          <w:szCs w:val="28"/>
        </w:rPr>
        <w:lastRenderedPageBreak/>
        <w:t>第十部分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基金的财产</w:t>
      </w:r>
      <w:bookmarkEnd w:id="60"/>
      <w:bookmarkEnd w:id="61"/>
      <w:bookmarkEnd w:id="62"/>
      <w:bookmarkEnd w:id="63"/>
      <w:bookmarkEnd w:id="64"/>
      <w:bookmarkEnd w:id="65"/>
    </w:p>
    <w:p w14:paraId="4F166F96" w14:textId="77777777" w:rsidR="00B804EC" w:rsidRDefault="00B804EC">
      <w:pPr>
        <w:ind w:firstLine="2280"/>
      </w:pPr>
    </w:p>
    <w:p w14:paraId="2AC39EDE"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一、基金资产总值</w:t>
      </w:r>
    </w:p>
    <w:p w14:paraId="2DB2682A"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bCs/>
          <w:szCs w:val="21"/>
        </w:rPr>
        <w:t>基金资产总值是指购买的各类证券及票据价值、银行存款本息和基金应收的申购基金款以及其他投资所形成的价值总和。</w:t>
      </w:r>
    </w:p>
    <w:p w14:paraId="3052F1F8"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二、基金资产净值</w:t>
      </w:r>
    </w:p>
    <w:p w14:paraId="79198158" w14:textId="77777777" w:rsidR="00B804EC"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基金资产净值是指基金资产总值减去基金负债后的价值。</w:t>
      </w:r>
    </w:p>
    <w:p w14:paraId="62840D65"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三、基金财产的账户</w:t>
      </w:r>
    </w:p>
    <w:p w14:paraId="7F02C26A"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7E95DD6" w14:textId="77777777" w:rsidR="00B804EC"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四、基金财产的保管和处分</w:t>
      </w:r>
    </w:p>
    <w:p w14:paraId="3EC1A200" w14:textId="77777777" w:rsidR="00B804EC" w:rsidRDefault="00000000">
      <w:pPr>
        <w:spacing w:line="360" w:lineRule="auto"/>
        <w:ind w:firstLineChars="200" w:firstLine="420"/>
        <w:rPr>
          <w:rFonts w:ascii="Arial Unicode MS" w:hAnsi="Arial Unicode MS" w:cs="Arial" w:hint="eastAsia"/>
          <w:bCs/>
          <w:szCs w:val="21"/>
        </w:rPr>
      </w:pPr>
      <w:bookmarkStart w:id="66" w:name="_Hlt88841837"/>
      <w:bookmarkStart w:id="67" w:name="_Hlt88900062"/>
      <w:bookmarkEnd w:id="66"/>
      <w:bookmarkEnd w:id="67"/>
      <w:r>
        <w:rPr>
          <w:rFonts w:ascii="Arial Unicode MS" w:hAnsi="Arial Unicode MS" w:cs="Arial"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570A9E0" w14:textId="77777777" w:rsidR="00B804EC"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E31C1FA" w14:textId="77777777" w:rsidR="00B804EC" w:rsidRDefault="00B804EC">
      <w:pPr>
        <w:spacing w:line="360" w:lineRule="auto"/>
        <w:ind w:firstLineChars="200" w:firstLine="420"/>
        <w:rPr>
          <w:rFonts w:ascii="Arial Unicode MS" w:hAnsi="Arial Unicode MS" w:cs="Arial" w:hint="eastAsia"/>
          <w:szCs w:val="21"/>
        </w:rPr>
        <w:sectPr w:rsidR="00B804EC">
          <w:pgSz w:w="11906" w:h="16838"/>
          <w:pgMar w:top="1440" w:right="1800" w:bottom="1440" w:left="1800" w:header="851" w:footer="992" w:gutter="0"/>
          <w:cols w:space="720"/>
          <w:titlePg/>
          <w:docGrid w:linePitch="312"/>
        </w:sectPr>
      </w:pPr>
    </w:p>
    <w:p w14:paraId="05EB783A"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68" w:name="_Toc317088148"/>
      <w:bookmarkStart w:id="69" w:name="_Toc320887650"/>
      <w:bookmarkStart w:id="70" w:name="_Toc214873600"/>
      <w:bookmarkStart w:id="71" w:name="_Toc335232699"/>
      <w:bookmarkStart w:id="72" w:name="_Toc63676446"/>
      <w:bookmarkStart w:id="73" w:name="_Toc317088545"/>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一</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基金资产的估值</w:t>
      </w:r>
      <w:bookmarkEnd w:id="68"/>
      <w:bookmarkEnd w:id="69"/>
      <w:bookmarkEnd w:id="70"/>
      <w:bookmarkEnd w:id="71"/>
      <w:bookmarkEnd w:id="72"/>
      <w:bookmarkEnd w:id="73"/>
    </w:p>
    <w:p w14:paraId="35700BD5" w14:textId="77777777" w:rsidR="00B804EC" w:rsidRDefault="00B804EC">
      <w:pPr>
        <w:ind w:firstLine="315"/>
      </w:pPr>
    </w:p>
    <w:p w14:paraId="2682BE27" w14:textId="77777777" w:rsidR="00B804EC" w:rsidRDefault="00000000">
      <w:pPr>
        <w:spacing w:line="360" w:lineRule="auto"/>
        <w:ind w:firstLineChars="200" w:firstLine="422"/>
        <w:rPr>
          <w:rFonts w:ascii="Arial Unicode MS" w:hAnsi="Arial Unicode MS" w:hint="eastAsia"/>
          <w:b/>
          <w:bCs/>
          <w:szCs w:val="21"/>
        </w:rPr>
      </w:pPr>
      <w:bookmarkStart w:id="74" w:name="_Toc530223193"/>
      <w:bookmarkStart w:id="75" w:name="_Toc214873601"/>
      <w:r>
        <w:rPr>
          <w:rFonts w:ascii="Arial Unicode MS" w:hAnsi="Arial Unicode MS"/>
          <w:b/>
          <w:bCs/>
          <w:szCs w:val="21"/>
        </w:rPr>
        <w:t>一、估值日</w:t>
      </w:r>
    </w:p>
    <w:p w14:paraId="00C5947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本基金的估值日为本基金相关的证券交易场所的交易日以及国家法律法规规定需要对外披露基金净值的非交易日。</w:t>
      </w:r>
    </w:p>
    <w:p w14:paraId="36DE73B3"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二、估值对象</w:t>
      </w:r>
    </w:p>
    <w:p w14:paraId="0F09704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基金所拥有的债券和银行存款本息、应收款项、其它投资等资产及负债。</w:t>
      </w:r>
    </w:p>
    <w:p w14:paraId="7824EEFD" w14:textId="77777777" w:rsidR="00B804EC" w:rsidRDefault="00000000">
      <w:pPr>
        <w:numPr>
          <w:ilvl w:val="0"/>
          <w:numId w:val="5"/>
        </w:numPr>
        <w:spacing w:line="360" w:lineRule="auto"/>
        <w:ind w:firstLineChars="200" w:firstLine="422"/>
        <w:rPr>
          <w:rFonts w:ascii="Arial Unicode MS" w:hAnsi="Arial Unicode MS" w:hint="eastAsia"/>
          <w:b/>
          <w:szCs w:val="21"/>
        </w:rPr>
      </w:pPr>
      <w:r>
        <w:rPr>
          <w:rFonts w:ascii="Arial Unicode MS" w:hAnsi="Arial Unicode MS" w:hint="eastAsia"/>
          <w:b/>
          <w:szCs w:val="21"/>
        </w:rPr>
        <w:t>估值原则</w:t>
      </w:r>
    </w:p>
    <w:p w14:paraId="3BF15DA4" w14:textId="77777777" w:rsidR="00B804EC"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基金管理人在确定相关金融资产和金融负债的公允价值时，应符合《企业会计准则》、监管部门有关规定。</w:t>
      </w:r>
    </w:p>
    <w:p w14:paraId="35A22EA0" w14:textId="77777777" w:rsidR="00B804EC"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9E385FF" w14:textId="77777777" w:rsidR="00B804EC"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8984142" w14:textId="77777777" w:rsidR="00B804EC"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40C4E9B" w14:textId="77777777" w:rsidR="00B804EC"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（三）如经济环境发生重大变化或证券发行人发生影响证券价格的重大事件，使潜在估值调整对前一估值日的基金资产净值的影响在</w:t>
      </w:r>
      <w:r>
        <w:rPr>
          <w:rFonts w:ascii="Arial Unicode MS" w:hAnsi="Arial Unicode MS"/>
          <w:bCs/>
          <w:szCs w:val="21"/>
        </w:rPr>
        <w:t>0.25%</w:t>
      </w:r>
      <w:r>
        <w:rPr>
          <w:rFonts w:ascii="Arial Unicode MS" w:hAnsi="Arial Unicode MS"/>
          <w:bCs/>
          <w:szCs w:val="21"/>
        </w:rPr>
        <w:t>以上的，应对估值进行调整并确定公允价值。</w:t>
      </w:r>
    </w:p>
    <w:p w14:paraId="07304AAE"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、估值方法</w:t>
      </w:r>
    </w:p>
    <w:p w14:paraId="62ADBBCB"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、证券交易所上市的有价证券的估值</w:t>
      </w:r>
    </w:p>
    <w:p w14:paraId="1C7D228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）交易所上市交易或挂牌转让的不含权固定收益品种，选取估值日第三方估值基准服务机构提供的相应品种当日的估值全价进行估值；</w:t>
      </w:r>
    </w:p>
    <w:p w14:paraId="07A159A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）交易所上市交易或挂牌转让的含权固定收益品种，选取估值日第三方估值基准服务机构提供的相应品种当日的唯一估值全价或推荐估值全价进行估值；</w:t>
      </w:r>
    </w:p>
    <w:p w14:paraId="53F90FC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含投资者回售权的固定收益品种，行使回售权的，在回售登记日至实际收款日期间选取</w:t>
      </w:r>
      <w:r>
        <w:rPr>
          <w:rFonts w:ascii="Arial Unicode MS" w:hAnsi="Arial Unicode MS" w:hint="eastAsia"/>
          <w:bCs/>
          <w:szCs w:val="21"/>
        </w:rPr>
        <w:lastRenderedPageBreak/>
        <w:t>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4DF3F0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04EFBC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）交易所上市不存在活跃市场的有价证券，采用估值技术确定公允价值。</w:t>
      </w:r>
    </w:p>
    <w:p w14:paraId="17305D7B"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、首次公开发行未上市的债券，采用估值技术确定公允价值；</w:t>
      </w:r>
    </w:p>
    <w:p w14:paraId="28A13939"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回售登记期截止日（含当日）后未行使回售权的按照长待偿期所对应的价格进行估值。对银行间市场未上市，且第三方估值基准服务机构未提供估值价格的债券，采用估值技术确定公允价值。</w:t>
      </w:r>
    </w:p>
    <w:p w14:paraId="64F2F45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、同一债券同时在两个或两个以上市场交易的，按债券所处的市场分别估值。</w:t>
      </w:r>
    </w:p>
    <w:p w14:paraId="5793CF5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、当发生大额申购或赎回情形时，基金管理人可以采用摆动定价机制，以确保基金估值的公平性。</w:t>
      </w:r>
    </w:p>
    <w:p w14:paraId="5C864FD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、如有确凿证据表明按上述方法进行估值不能客观反映其公允价值的，基金管理人可根据具体情况与基金托管人商定后，按最能反映公允价值的价格估值。</w:t>
      </w:r>
    </w:p>
    <w:p w14:paraId="27B1C20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、相关法律法规以及监管部门有强制规定的，从其规定。如有新增事项，按国家最新规定估值。</w:t>
      </w:r>
    </w:p>
    <w:p w14:paraId="696D2EA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CA2B72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958EC6C"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四、估值程序</w:t>
      </w:r>
    </w:p>
    <w:p w14:paraId="5372A6E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、各类基金份额的基金份额净值是按照每个工作日闭市后，各类基金资产净值除以当日该类基金份额的余额数量计算，均精确到</w:t>
      </w:r>
      <w:r>
        <w:rPr>
          <w:rFonts w:ascii="Arial Unicode MS" w:hAnsi="Arial Unicode MS" w:hint="eastAsia"/>
          <w:bCs/>
          <w:szCs w:val="21"/>
        </w:rPr>
        <w:t>0.00</w:t>
      </w:r>
      <w:r>
        <w:rPr>
          <w:rFonts w:ascii="Arial Unicode MS" w:hAnsi="Arial Unicode MS"/>
          <w:bCs/>
          <w:szCs w:val="21"/>
        </w:rPr>
        <w:t>0</w:t>
      </w:r>
      <w:r>
        <w:rPr>
          <w:rFonts w:ascii="Arial Unicode MS" w:hAnsi="Arial Unicode MS" w:hint="eastAsia"/>
          <w:bCs/>
          <w:szCs w:val="21"/>
        </w:rPr>
        <w:t>1</w:t>
      </w:r>
      <w:r>
        <w:rPr>
          <w:rFonts w:ascii="Arial Unicode MS" w:hAnsi="Arial Unicode MS" w:hint="eastAsia"/>
          <w:bCs/>
          <w:szCs w:val="21"/>
        </w:rPr>
        <w:t>元，小数点后第</w:t>
      </w:r>
      <w:r>
        <w:rPr>
          <w:rFonts w:ascii="Arial Unicode MS" w:hAnsi="Arial Unicode MS"/>
          <w:bCs/>
          <w:szCs w:val="21"/>
        </w:rPr>
        <w:t>5</w:t>
      </w:r>
      <w:r>
        <w:rPr>
          <w:rFonts w:ascii="Arial Unicode MS" w:hAnsi="Arial Unicode MS" w:hint="eastAsia"/>
          <w:bCs/>
          <w:szCs w:val="21"/>
        </w:rPr>
        <w:t>位四舍五入。基金管</w:t>
      </w:r>
      <w:r>
        <w:rPr>
          <w:rFonts w:ascii="Arial Unicode MS" w:hAnsi="Arial Unicode MS" w:hint="eastAsia"/>
          <w:bCs/>
          <w:szCs w:val="21"/>
        </w:rPr>
        <w:lastRenderedPageBreak/>
        <w:t>理人可以设立大额赎回情形下的净值精度应急调整机制。国家另有规定的，从其规定。</w:t>
      </w:r>
    </w:p>
    <w:p w14:paraId="7078CFB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基金管理人应每个工作日计算基金资产净值及各类基金份额的基金份额净值，并按规定进行公告。</w:t>
      </w:r>
    </w:p>
    <w:p w14:paraId="65C49DD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约定对外公布。</w:t>
      </w:r>
    </w:p>
    <w:p w14:paraId="42E8AB68"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五、估值错误的处理</w:t>
      </w:r>
    </w:p>
    <w:p w14:paraId="73048E3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基金管理人和基金托管人将采取必要、适当、合理的措施确保基金资产估值的准确性、及时性。当任一类基金份额净值小数点后</w:t>
      </w:r>
      <w:r>
        <w:rPr>
          <w:rFonts w:ascii="Arial Unicode MS" w:hAnsi="Arial Unicode MS"/>
          <w:bCs/>
          <w:szCs w:val="21"/>
        </w:rPr>
        <w:t>4</w:t>
      </w:r>
      <w:r>
        <w:rPr>
          <w:rFonts w:ascii="Arial Unicode MS" w:hAnsi="Arial Unicode MS" w:hint="eastAsia"/>
          <w:bCs/>
          <w:szCs w:val="21"/>
        </w:rPr>
        <w:t>位以内</w:t>
      </w:r>
      <w:r>
        <w:rPr>
          <w:rFonts w:ascii="Arial Unicode MS" w:hAnsi="Arial Unicode MS" w:hint="eastAsia"/>
          <w:bCs/>
          <w:szCs w:val="21"/>
        </w:rPr>
        <w:t>(</w:t>
      </w:r>
      <w:r>
        <w:rPr>
          <w:rFonts w:ascii="Arial Unicode MS" w:hAnsi="Arial Unicode MS" w:hint="eastAsia"/>
          <w:bCs/>
          <w:szCs w:val="21"/>
        </w:rPr>
        <w:t>含第</w:t>
      </w:r>
      <w:r>
        <w:rPr>
          <w:rFonts w:ascii="Arial Unicode MS" w:hAnsi="Arial Unicode MS"/>
          <w:bCs/>
          <w:szCs w:val="21"/>
        </w:rPr>
        <w:t>4</w:t>
      </w:r>
      <w:r>
        <w:rPr>
          <w:rFonts w:ascii="Arial Unicode MS" w:hAnsi="Arial Unicode MS" w:hint="eastAsia"/>
          <w:bCs/>
          <w:szCs w:val="21"/>
        </w:rPr>
        <w:t>位</w:t>
      </w:r>
      <w:r>
        <w:rPr>
          <w:rFonts w:ascii="Arial Unicode MS" w:hAnsi="Arial Unicode MS" w:hint="eastAsia"/>
          <w:bCs/>
          <w:szCs w:val="21"/>
        </w:rPr>
        <w:t>)</w:t>
      </w:r>
      <w:r>
        <w:rPr>
          <w:rFonts w:ascii="Arial Unicode MS" w:hAnsi="Arial Unicode MS" w:hint="eastAsia"/>
          <w:bCs/>
          <w:szCs w:val="21"/>
        </w:rPr>
        <w:t>发生估值错误时，视为该类基金份额净值错误。</w:t>
      </w:r>
    </w:p>
    <w:p w14:paraId="10D1DC1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基金合同的当事人应按照以下约定处理：</w:t>
      </w:r>
    </w:p>
    <w:p w14:paraId="5DF4D95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、估值错误类型</w:t>
      </w:r>
    </w:p>
    <w:p w14:paraId="15428B9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Arial Unicode MS" w:hAnsi="Arial Unicode MS" w:hint="eastAsia"/>
          <w:bCs/>
          <w:szCs w:val="21"/>
        </w:rPr>
        <w:t>(</w:t>
      </w:r>
      <w:r>
        <w:rPr>
          <w:rFonts w:ascii="Arial Unicode MS" w:hAnsi="Arial Unicode MS" w:hint="eastAsia"/>
          <w:bCs/>
          <w:szCs w:val="21"/>
        </w:rPr>
        <w:t>“受损方”</w:t>
      </w:r>
      <w:r>
        <w:rPr>
          <w:rFonts w:ascii="Arial Unicode MS" w:hAnsi="Arial Unicode MS" w:hint="eastAsia"/>
          <w:bCs/>
          <w:szCs w:val="21"/>
        </w:rPr>
        <w:t>)</w:t>
      </w:r>
      <w:r>
        <w:rPr>
          <w:rFonts w:ascii="Arial Unicode MS" w:hAnsi="Arial Unicode MS" w:hint="eastAsia"/>
          <w:bCs/>
          <w:szCs w:val="21"/>
        </w:rPr>
        <w:t>的直接损失按下述“估值错误处理原则”给予赔偿，承担赔偿责任。</w:t>
      </w:r>
    </w:p>
    <w:p w14:paraId="34F0EC8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因不可抗力原因出现差错的当事人不对其他当事人承担赔偿责任。</w:t>
      </w:r>
    </w:p>
    <w:p w14:paraId="19AFC3E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、估值错误处理原则</w:t>
      </w:r>
    </w:p>
    <w:p w14:paraId="06FA3C6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8EAD3B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）估值错误的责任方对有关当事人的直接损失负责，不对间接损失负责，并且仅对估值错误的有关直接当事人负责，不对第三方负责。</w:t>
      </w:r>
    </w:p>
    <w:p w14:paraId="73C9E19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）因估值错误而获得不当得利的当事人负有及时返还不当得利的义务。但估值错误责任方仍应对估值错误负责。如果由于获得不当得利的当事人不返还或不全部返还不当得利</w:t>
      </w:r>
      <w:r>
        <w:rPr>
          <w:rFonts w:ascii="Arial Unicode MS" w:hAnsi="Arial Unicode MS" w:hint="eastAsia"/>
          <w:bCs/>
          <w:szCs w:val="21"/>
        </w:rPr>
        <w:lastRenderedPageBreak/>
        <w:t>造成其他当事人的利益损失</w:t>
      </w:r>
      <w:r>
        <w:rPr>
          <w:rFonts w:ascii="Arial Unicode MS" w:hAnsi="Arial Unicode MS" w:hint="eastAsia"/>
          <w:bCs/>
          <w:szCs w:val="21"/>
        </w:rPr>
        <w:t>(</w:t>
      </w:r>
      <w:r>
        <w:rPr>
          <w:rFonts w:ascii="Arial Unicode MS" w:hAnsi="Arial Unicode MS" w:hint="eastAsia"/>
          <w:bCs/>
          <w:szCs w:val="21"/>
        </w:rPr>
        <w:t>“受损方”</w:t>
      </w:r>
      <w:r>
        <w:rPr>
          <w:rFonts w:ascii="Arial Unicode MS" w:hAnsi="Arial Unicode MS" w:hint="eastAsia"/>
          <w:bCs/>
          <w:szCs w:val="21"/>
        </w:rPr>
        <w:t>)</w:t>
      </w:r>
      <w:r>
        <w:rPr>
          <w:rFonts w:ascii="Arial Unicode MS" w:hAnsi="Arial Unicode M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2E00ED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）估值错误调整采用尽量恢复至假设未发生估值错误的正确情形的方式。</w:t>
      </w:r>
    </w:p>
    <w:p w14:paraId="08A6DFF9"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、估值错误处理程序</w:t>
      </w:r>
    </w:p>
    <w:p w14:paraId="04EB02F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估值错误被发现后，有关的当事人应当及时进行处理，处理的程序如下：</w:t>
      </w:r>
    </w:p>
    <w:p w14:paraId="46DD775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）查明估值错误发生的原因，列明所有的当事人，并根据估值错误发生的原因确定估值错误的责任方；</w:t>
      </w:r>
    </w:p>
    <w:p w14:paraId="3938855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）根据估值错误处理原则或当事人协商的方法对因估值错误造成的损失进行评估；</w:t>
      </w:r>
    </w:p>
    <w:p w14:paraId="485F7B8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）根据估值错误处理原则或当事人协商的方法由估值错误的责任方进行更正和赔偿损失；</w:t>
      </w:r>
    </w:p>
    <w:p w14:paraId="12128A4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）根据估值错误处理的方法，需要修改基金登记机构交易数据的，由基金登记机构进行更正，并就估值错误的更正向有关当事人进行确认。</w:t>
      </w:r>
    </w:p>
    <w:p w14:paraId="6C4F0A39"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、基金份额净值估值错误处理的方法如下：</w:t>
      </w:r>
    </w:p>
    <w:p w14:paraId="2F481D6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）基金份额净值计算出现错误时，基金管理人应当立即予以纠正，通报基金托管人，并采取合理的措施防止损失进一步扩大。</w:t>
      </w:r>
    </w:p>
    <w:p w14:paraId="7C9CB31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）错误偏差达到该类基金份额净值的</w:t>
      </w:r>
      <w:r>
        <w:rPr>
          <w:rFonts w:ascii="Arial Unicode MS" w:hAnsi="Arial Unicode MS" w:hint="eastAsia"/>
          <w:bCs/>
          <w:szCs w:val="21"/>
        </w:rPr>
        <w:t>0.25%</w:t>
      </w:r>
      <w:r>
        <w:rPr>
          <w:rFonts w:ascii="Arial Unicode MS" w:hAnsi="Arial Unicode MS" w:hint="eastAsia"/>
          <w:bCs/>
          <w:szCs w:val="21"/>
        </w:rPr>
        <w:t>时，基金管理人应当通报基金托管人并报中国证监会备案；错误偏差达到该类基金份额净值的</w:t>
      </w:r>
      <w:r>
        <w:rPr>
          <w:rFonts w:ascii="Arial Unicode MS" w:hAnsi="Arial Unicode MS" w:hint="eastAsia"/>
          <w:bCs/>
          <w:szCs w:val="21"/>
        </w:rPr>
        <w:t>0.5%</w:t>
      </w:r>
      <w:r>
        <w:rPr>
          <w:rFonts w:ascii="Arial Unicode MS" w:hAnsi="Arial Unicode MS" w:hint="eastAsia"/>
          <w:bCs/>
          <w:szCs w:val="21"/>
        </w:rPr>
        <w:t>时，基金管理人应当公告，并报中国证监会备案。</w:t>
      </w:r>
    </w:p>
    <w:p w14:paraId="228F357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）前述内容如法律法规或监管机关另有规定的，从其规定处理。</w:t>
      </w:r>
    </w:p>
    <w:p w14:paraId="6B024A53"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六、暂停估值的情形</w:t>
      </w:r>
    </w:p>
    <w:p w14:paraId="51EA524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、基金投资所涉及的证券交易市场遇法定节假日或因其他原因暂停营业时；</w:t>
      </w:r>
    </w:p>
    <w:p w14:paraId="25635F0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、因不可抗力致使基金管理人、基金托管人无法准确评估基金资产价值时；</w:t>
      </w:r>
    </w:p>
    <w:p w14:paraId="7040BB2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、当特定资产占前一估值日基金资产净值</w:t>
      </w:r>
      <w:r>
        <w:rPr>
          <w:rFonts w:ascii="Arial Unicode MS" w:hAnsi="Arial Unicode MS" w:hint="eastAsia"/>
          <w:bCs/>
          <w:szCs w:val="21"/>
        </w:rPr>
        <w:t>50%</w:t>
      </w:r>
      <w:r>
        <w:rPr>
          <w:rFonts w:ascii="Arial Unicode MS" w:hAnsi="Arial Unicode MS" w:hint="eastAsia"/>
          <w:bCs/>
          <w:szCs w:val="21"/>
        </w:rPr>
        <w:t>以上的，经与基金托管人协商一致的，基金管理人应当暂停基金估值；</w:t>
      </w:r>
    </w:p>
    <w:p w14:paraId="7E5972F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、中国证监会和基金合同认定的其它情形。</w:t>
      </w:r>
    </w:p>
    <w:p w14:paraId="489BF11A"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七、基金净值的确认</w:t>
      </w:r>
    </w:p>
    <w:p w14:paraId="217D530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用于基金信息披露的基金资产净值和各类基金份额的基金份额净值由基金管理人负责</w:t>
      </w:r>
      <w:r>
        <w:rPr>
          <w:rFonts w:ascii="Arial Unicode MS" w:hAnsi="Arial Unicode MS" w:hint="eastAsia"/>
          <w:bCs/>
          <w:szCs w:val="21"/>
        </w:rPr>
        <w:lastRenderedPageBreak/>
        <w:t>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净值按约定予以公布。</w:t>
      </w:r>
    </w:p>
    <w:p w14:paraId="5FE7128D"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八</w:t>
      </w:r>
      <w:r>
        <w:rPr>
          <w:rFonts w:ascii="Arial Unicode MS" w:hAnsi="Arial Unicode MS"/>
          <w:b/>
          <w:bCs/>
          <w:szCs w:val="21"/>
        </w:rPr>
        <w:t>、</w:t>
      </w:r>
      <w:r>
        <w:rPr>
          <w:rFonts w:ascii="Arial Unicode MS" w:hAnsi="Arial Unicode MS" w:hint="eastAsia"/>
          <w:b/>
          <w:bCs/>
          <w:szCs w:val="21"/>
        </w:rPr>
        <w:t>特殊情况的处理方法</w:t>
      </w:r>
    </w:p>
    <w:p w14:paraId="3EBF915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、基金管理人或基金托管人按估值方法的第</w:t>
      </w:r>
      <w:r>
        <w:rPr>
          <w:rFonts w:ascii="Arial Unicode MS" w:hAnsi="Arial Unicode MS" w:hint="eastAsia"/>
          <w:bCs/>
          <w:szCs w:val="21"/>
        </w:rPr>
        <w:t>6</w:t>
      </w:r>
      <w:r>
        <w:rPr>
          <w:rFonts w:ascii="Arial Unicode MS" w:hAnsi="Arial Unicode MS" w:hint="eastAsia"/>
          <w:bCs/>
          <w:szCs w:val="21"/>
        </w:rPr>
        <w:t>项进行估值时，所造成的误差不作为基金资产估值错误处理。</w:t>
      </w:r>
    </w:p>
    <w:p w14:paraId="5637F34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由于不可抗力原因，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Start w:id="76" w:name="_Toc317088149"/>
      <w:bookmarkStart w:id="77" w:name="_Toc335232700"/>
      <w:bookmarkStart w:id="78" w:name="_Toc320887651"/>
      <w:bookmarkStart w:id="79" w:name="_Toc317088546"/>
    </w:p>
    <w:p w14:paraId="3B7CAC81"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九、实施侧袋机制期间的基金资产估值</w:t>
      </w:r>
    </w:p>
    <w:p w14:paraId="38F2B62B" w14:textId="77777777" w:rsidR="00B804EC" w:rsidRDefault="00000000">
      <w:pPr>
        <w:spacing w:line="360" w:lineRule="auto"/>
        <w:ind w:firstLine="420"/>
        <w:rPr>
          <w:rFonts w:ascii="Arial Unicode MS" w:hAnsi="Arial Unicode MS" w:hint="eastAsia"/>
        </w:rPr>
      </w:pPr>
      <w:r>
        <w:rPr>
          <w:rFonts w:ascii="Arial Unicode MS" w:hAnsi="Arial Unicode MS" w:hint="eastAsia"/>
          <w:bCs/>
          <w:szCs w:val="21"/>
        </w:rPr>
        <w:t>本基金实施侧袋机制的，应根据本部分的约定对主袋账户资产进行估值并披露主袋账户的基金净值信息，暂停披露侧袋账户的基金份额净值。</w:t>
      </w:r>
    </w:p>
    <w:p w14:paraId="52435946" w14:textId="77777777" w:rsidR="00B804EC" w:rsidRDefault="00B804EC">
      <w:pPr>
        <w:spacing w:line="360" w:lineRule="auto"/>
        <w:rPr>
          <w:rFonts w:ascii="Arial Unicode MS" w:hAnsi="Arial Unicode MS" w:hint="eastAsia"/>
        </w:rPr>
      </w:pPr>
    </w:p>
    <w:p w14:paraId="7CC4C178" w14:textId="77777777" w:rsidR="00B804EC" w:rsidRDefault="00B804EC">
      <w:pPr>
        <w:spacing w:line="360" w:lineRule="auto"/>
        <w:rPr>
          <w:rFonts w:ascii="Arial Unicode MS" w:hAnsi="Arial Unicode MS" w:hint="eastAsia"/>
        </w:rPr>
      </w:pPr>
    </w:p>
    <w:p w14:paraId="233F2024" w14:textId="77777777" w:rsidR="00B804EC" w:rsidRDefault="00B804EC">
      <w:pPr>
        <w:spacing w:line="360" w:lineRule="auto"/>
        <w:rPr>
          <w:rFonts w:ascii="Arial Unicode MS" w:hAnsi="Arial Unicode MS" w:hint="eastAsia"/>
        </w:rPr>
      </w:pPr>
    </w:p>
    <w:p w14:paraId="47C0CF2F" w14:textId="77777777" w:rsidR="00B804EC" w:rsidRDefault="00B804EC">
      <w:pPr>
        <w:spacing w:line="360" w:lineRule="auto"/>
        <w:rPr>
          <w:rFonts w:ascii="Arial Unicode MS" w:hAnsi="Arial Unicode MS" w:hint="eastAsia"/>
        </w:rPr>
      </w:pPr>
    </w:p>
    <w:p w14:paraId="4AD90A33" w14:textId="77777777" w:rsidR="00B804EC" w:rsidRDefault="00B804EC">
      <w:pPr>
        <w:spacing w:line="360" w:lineRule="auto"/>
        <w:rPr>
          <w:rFonts w:ascii="Arial Unicode MS" w:hAnsi="Arial Unicode MS" w:hint="eastAsia"/>
        </w:rPr>
      </w:pPr>
    </w:p>
    <w:p w14:paraId="0369355A" w14:textId="77777777" w:rsidR="00B804EC" w:rsidRDefault="00000000">
      <w:pPr>
        <w:widowControl/>
        <w:jc w:val="left"/>
        <w:rPr>
          <w:rFonts w:ascii="Arial Unicode MS" w:hAnsi="Arial Unicode MS" w:hint="eastAsia"/>
        </w:rPr>
      </w:pPr>
      <w:r>
        <w:rPr>
          <w:rFonts w:ascii="Arial Unicode MS" w:hAnsi="Arial Unicode MS"/>
        </w:rPr>
        <w:br w:type="page"/>
      </w:r>
    </w:p>
    <w:p w14:paraId="7630639B"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80" w:name="_Toc63676447"/>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二</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74"/>
      <w:r>
        <w:rPr>
          <w:rFonts w:ascii="Arial Unicode MS" w:eastAsia="宋体" w:hAnsi="Arial Unicode MS" w:cs="Arial"/>
          <w:b/>
          <w:bCs/>
          <w:sz w:val="28"/>
          <w:szCs w:val="28"/>
        </w:rPr>
        <w:t>基金的收益分配</w:t>
      </w:r>
      <w:bookmarkEnd w:id="75"/>
      <w:bookmarkEnd w:id="76"/>
      <w:bookmarkEnd w:id="77"/>
      <w:bookmarkEnd w:id="78"/>
      <w:bookmarkEnd w:id="79"/>
      <w:bookmarkEnd w:id="80"/>
    </w:p>
    <w:p w14:paraId="396A2E11" w14:textId="77777777" w:rsidR="00B804EC" w:rsidRDefault="00B804EC"/>
    <w:p w14:paraId="39760649"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一、基金利润的构成</w:t>
      </w:r>
    </w:p>
    <w:p w14:paraId="7FDBFCA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基金利润指基金利息收入、投资收益、公允价值变动收益和其他收入扣除相关费用后的余额，基金已实现收益指基金利润减去公允价值变动收益后的余额。</w:t>
      </w:r>
    </w:p>
    <w:p w14:paraId="35778BB9"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二、基金可供分配利润</w:t>
      </w:r>
    </w:p>
    <w:p w14:paraId="46380CF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基金可供分配利润指截至收益分配基准日基金未分配利润与未分配利润中已实现收益的孰低数。</w:t>
      </w:r>
    </w:p>
    <w:p w14:paraId="6F55B0D3"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三</w:t>
      </w:r>
      <w:r>
        <w:rPr>
          <w:rFonts w:ascii="Arial Unicode MS" w:hAnsi="Arial Unicode MS"/>
          <w:b/>
          <w:bCs/>
          <w:szCs w:val="21"/>
        </w:rPr>
        <w:t>、基金收益分配原则</w:t>
      </w:r>
    </w:p>
    <w:p w14:paraId="456D73BB"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、在符合有关基金分红条件的前提下，基金管理人可以根据实际情况进行收益分配；</w:t>
      </w:r>
    </w:p>
    <w:p w14:paraId="12FDA820" w14:textId="77777777" w:rsidR="00B804EC" w:rsidRDefault="00000000">
      <w:pPr>
        <w:adjustRightInd w:val="0"/>
        <w:snapToGrid w:val="0"/>
        <w:spacing w:line="360" w:lineRule="auto"/>
        <w:ind w:firstLineChars="200" w:firstLine="420"/>
        <w:rPr>
          <w:rFonts w:ascii="Arial Unicode MS" w:hAnsi="Arial Unicode MS" w:hint="eastAsia"/>
          <w:bCs/>
          <w:kern w:val="0"/>
          <w:szCs w:val="21"/>
        </w:rPr>
      </w:pPr>
      <w:r>
        <w:rPr>
          <w:rFonts w:ascii="Arial Unicode MS" w:hAnsi="Arial Unicode MS" w:hint="eastAsia"/>
          <w:bCs/>
          <w:szCs w:val="21"/>
        </w:rPr>
        <w:t>2</w:t>
      </w:r>
      <w:r>
        <w:rPr>
          <w:rFonts w:ascii="Arial Unicode MS" w:hAnsi="Arial Unicode MS" w:hint="eastAsia"/>
          <w:bCs/>
          <w:szCs w:val="21"/>
        </w:rPr>
        <w:t>、</w:t>
      </w:r>
      <w:r>
        <w:rPr>
          <w:rFonts w:ascii="Arial Unicode MS" w:hAnsi="Arial Unicode MS" w:hint="eastAsia"/>
          <w:bCs/>
          <w:kern w:val="0"/>
          <w:szCs w:val="21"/>
        </w:rPr>
        <w:t>本基金收益分配方式分两种：现金分红与红利再投资，投资者可选择现金红利或将现金红利自动转为该类基金份额进行再投资；若投资者不选择，本基金默认的收益分配方式是现金分红；</w:t>
      </w:r>
    </w:p>
    <w:p w14:paraId="2827894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hint="eastAsia"/>
          <w:bCs/>
          <w:szCs w:val="21"/>
        </w:rPr>
        <w:t>、基金收益分配后各类基金份额净值不能低于面值，即基金收益分配基准日的各类基金份额净值减去每单位该类基金份额收益分配金额后不能低于面值；</w:t>
      </w:r>
    </w:p>
    <w:p w14:paraId="0FCA1E5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4</w:t>
      </w:r>
      <w:r>
        <w:rPr>
          <w:rFonts w:ascii="Arial Unicode MS" w:hAnsi="Arial Unicode MS" w:hint="eastAsia"/>
          <w:bCs/>
          <w:szCs w:val="21"/>
        </w:rPr>
        <w:t>、</w:t>
      </w:r>
      <w:r>
        <w:rPr>
          <w:rFonts w:ascii="Arial Unicode MS" w:hAnsi="Arial Unicode MS" w:hint="eastAsia"/>
          <w:bCs/>
          <w:szCs w:val="21"/>
        </w:rPr>
        <w:t>A</w:t>
      </w:r>
      <w:r>
        <w:rPr>
          <w:rFonts w:ascii="Arial Unicode MS" w:hAnsi="Arial Unicode MS" w:hint="eastAsia"/>
          <w:bCs/>
          <w:szCs w:val="21"/>
        </w:rPr>
        <w:t>类基金份额和</w:t>
      </w:r>
      <w:r>
        <w:rPr>
          <w:rFonts w:ascii="Arial Unicode MS" w:hAnsi="Arial Unicode MS" w:hint="eastAsia"/>
          <w:bCs/>
          <w:szCs w:val="21"/>
        </w:rPr>
        <w:t>C</w:t>
      </w:r>
      <w:r>
        <w:rPr>
          <w:rFonts w:ascii="Arial Unicode MS" w:hAnsi="Arial Unicode MS" w:hint="eastAsia"/>
          <w:bCs/>
          <w:szCs w:val="21"/>
        </w:rPr>
        <w:t>类基金份额之间由于</w:t>
      </w:r>
      <w:r>
        <w:rPr>
          <w:rFonts w:ascii="Arial Unicode MS" w:hAnsi="Arial Unicode MS" w:hint="eastAsia"/>
          <w:bCs/>
          <w:szCs w:val="21"/>
        </w:rPr>
        <w:t>A</w:t>
      </w:r>
      <w:r>
        <w:rPr>
          <w:rFonts w:ascii="Arial Unicode MS" w:hAnsi="Arial Unicode MS" w:hint="eastAsia"/>
          <w:bCs/>
          <w:szCs w:val="21"/>
        </w:rPr>
        <w:t>类基金份额不收取而</w:t>
      </w:r>
      <w:r>
        <w:rPr>
          <w:rFonts w:ascii="Arial Unicode MS" w:hAnsi="Arial Unicode MS" w:hint="eastAsia"/>
          <w:bCs/>
          <w:szCs w:val="21"/>
        </w:rPr>
        <w:t>C</w:t>
      </w:r>
      <w:r>
        <w:rPr>
          <w:rFonts w:ascii="Arial Unicode MS" w:hAnsi="Arial Unicode MS" w:hint="eastAsia"/>
          <w:bCs/>
          <w:szCs w:val="21"/>
        </w:rPr>
        <w:t>类基金份额收取销售服务费，将导致在可供分配利润上有所不同；同一类别的每一基金份额享有同等分配权；</w:t>
      </w:r>
    </w:p>
    <w:p w14:paraId="57FBD11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5</w:t>
      </w:r>
      <w:r>
        <w:rPr>
          <w:rFonts w:ascii="Arial Unicode MS" w:hAnsi="Arial Unicode MS" w:hint="eastAsia"/>
          <w:bCs/>
          <w:szCs w:val="21"/>
        </w:rPr>
        <w:t>、法律法规或监管机关另有规定的，从其规定。</w:t>
      </w:r>
    </w:p>
    <w:p w14:paraId="729244F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在符合法律法规及基金合同约定，并对基金份额持有人利益无实质不利影响的前提下，基金管理人可对基金收益分配原则和支付方式进行调整，不需召开基金份额持有人大会。</w:t>
      </w:r>
    </w:p>
    <w:p w14:paraId="706D769F"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、收益分配方案</w:t>
      </w:r>
    </w:p>
    <w:p w14:paraId="326CB45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基金收益分配方案中应载明截止收益分配基准日的可供分配利润、基金收益分配对象、分配时间、分配数额及比例、分配方式等内容。</w:t>
      </w:r>
    </w:p>
    <w:p w14:paraId="0F501E58"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五、收益分配方案的确定、公告与实施</w:t>
      </w:r>
    </w:p>
    <w:p w14:paraId="0FA8BF2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本基金收益分配方案由基金管理人拟定，并由基金托管人复核，依据相关规定在规定媒介公告。</w:t>
      </w:r>
    </w:p>
    <w:p w14:paraId="57BB1DCD"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六、基金收益分配中发生的费用</w:t>
      </w:r>
    </w:p>
    <w:p w14:paraId="4073365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1EF94F0D" w14:textId="77777777" w:rsidR="00B804EC" w:rsidRDefault="00000000">
      <w:pPr>
        <w:spacing w:line="360" w:lineRule="auto"/>
        <w:ind w:firstLineChars="200" w:firstLine="422"/>
        <w:rPr>
          <w:rFonts w:ascii="Arial Unicode MS" w:hAnsi="Arial Unicode MS" w:hint="eastAsia"/>
          <w:b/>
          <w:bCs/>
          <w:szCs w:val="21"/>
        </w:rPr>
      </w:pPr>
      <w:bookmarkStart w:id="81" w:name="_Toc317088150"/>
      <w:bookmarkStart w:id="82" w:name="_Toc317088547"/>
      <w:bookmarkStart w:id="83" w:name="_Toc12357181"/>
      <w:bookmarkStart w:id="84" w:name="_Toc214873602"/>
      <w:bookmarkStart w:id="85" w:name="_Toc335232701"/>
      <w:bookmarkStart w:id="86" w:name="_Toc320887652"/>
      <w:bookmarkStart w:id="87" w:name="_Toc147463128"/>
      <w:bookmarkStart w:id="88" w:name="_Toc21073401"/>
      <w:r>
        <w:rPr>
          <w:rFonts w:ascii="Arial Unicode MS" w:hAnsi="Arial Unicode MS" w:hint="eastAsia"/>
          <w:b/>
          <w:bCs/>
          <w:szCs w:val="21"/>
        </w:rPr>
        <w:t>七、实施侧袋机制期间的收益分配</w:t>
      </w:r>
      <w:r>
        <w:rPr>
          <w:rFonts w:ascii="Arial Unicode MS" w:hAnsi="Arial Unicode MS"/>
          <w:b/>
          <w:bCs/>
          <w:szCs w:val="21"/>
        </w:rPr>
        <w:t xml:space="preserve"> </w:t>
      </w:r>
    </w:p>
    <w:p w14:paraId="5D5A6137" w14:textId="77777777" w:rsidR="00B804EC" w:rsidRDefault="00000000">
      <w:pPr>
        <w:spacing w:line="360" w:lineRule="auto"/>
        <w:ind w:right="420" w:firstLineChars="200" w:firstLine="420"/>
        <w:rPr>
          <w:rFonts w:ascii="Arial Unicode MS" w:hAnsi="Arial Unicode MS" w:hint="eastAsia"/>
          <w:bCs/>
          <w:szCs w:val="21"/>
        </w:rPr>
      </w:pPr>
      <w:r>
        <w:rPr>
          <w:rFonts w:ascii="Arial Unicode MS" w:hAnsi="Arial Unicode MS" w:hint="eastAsia"/>
          <w:bCs/>
          <w:szCs w:val="21"/>
        </w:rPr>
        <w:lastRenderedPageBreak/>
        <w:t>本基金实施侧袋机制的，侧袋账户不进行收益分配，详见招募说明书的规定。</w:t>
      </w:r>
    </w:p>
    <w:p w14:paraId="6F505D5C" w14:textId="77777777" w:rsidR="00B804EC" w:rsidRDefault="00B804EC">
      <w:pPr>
        <w:snapToGrid w:val="0"/>
        <w:spacing w:line="360" w:lineRule="auto"/>
        <w:ind w:firstLineChars="200" w:firstLine="420"/>
        <w:rPr>
          <w:rFonts w:ascii="Arial Unicode MS" w:hAnsi="Arial Unicode MS" w:hint="eastAsia"/>
          <w:bCs/>
          <w:szCs w:val="21"/>
        </w:rPr>
        <w:sectPr w:rsidR="00B804EC">
          <w:pgSz w:w="11906" w:h="16838"/>
          <w:pgMar w:top="1440" w:right="1800" w:bottom="1440" w:left="1800" w:header="851" w:footer="992" w:gutter="0"/>
          <w:cols w:space="720"/>
          <w:titlePg/>
          <w:docGrid w:linePitch="312"/>
        </w:sectPr>
      </w:pPr>
    </w:p>
    <w:p w14:paraId="791A7F37"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89" w:name="_Toc63676448"/>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三</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基金费用与税收</w:t>
      </w:r>
      <w:bookmarkEnd w:id="81"/>
      <w:bookmarkEnd w:id="82"/>
      <w:bookmarkEnd w:id="83"/>
      <w:bookmarkEnd w:id="84"/>
      <w:bookmarkEnd w:id="85"/>
      <w:bookmarkEnd w:id="86"/>
      <w:bookmarkEnd w:id="87"/>
      <w:bookmarkEnd w:id="88"/>
      <w:bookmarkEnd w:id="89"/>
    </w:p>
    <w:p w14:paraId="088F574C" w14:textId="77777777" w:rsidR="00B804EC" w:rsidRDefault="00B804EC"/>
    <w:p w14:paraId="7E14AAE3"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一、基金费用的种类</w:t>
      </w:r>
    </w:p>
    <w:p w14:paraId="79ECD41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、基金管理人的管理费；</w:t>
      </w:r>
    </w:p>
    <w:p w14:paraId="0D90E8C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、基金托管人的托管费；</w:t>
      </w:r>
    </w:p>
    <w:p w14:paraId="731A55DB"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w:t>
      </w:r>
      <w:r>
        <w:rPr>
          <w:rFonts w:ascii="Arial Unicode MS" w:hAnsi="Arial Unicode MS" w:hint="eastAsia"/>
          <w:bCs/>
          <w:szCs w:val="21"/>
        </w:rPr>
        <w:t>C</w:t>
      </w:r>
      <w:r>
        <w:rPr>
          <w:rFonts w:ascii="Arial Unicode MS" w:hAnsi="Arial Unicode MS" w:hint="eastAsia"/>
          <w:bCs/>
          <w:szCs w:val="21"/>
        </w:rPr>
        <w:t>类基金份额的销售服务费；</w:t>
      </w:r>
    </w:p>
    <w:p w14:paraId="0B3F926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、《基金合同》生效后与基金相关的信息披露费用；</w:t>
      </w:r>
    </w:p>
    <w:p w14:paraId="20DF7CE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、《基金合同》生效后与基金相关的会计师费、律师费、诉讼费和仲裁费；</w:t>
      </w:r>
    </w:p>
    <w:p w14:paraId="38C6EEA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、基金份额持有人大会费用；</w:t>
      </w:r>
    </w:p>
    <w:p w14:paraId="42BE3C8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、基金的证券交易费用；</w:t>
      </w:r>
    </w:p>
    <w:p w14:paraId="172417C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8</w:t>
      </w:r>
      <w:r>
        <w:rPr>
          <w:rFonts w:ascii="Arial Unicode MS" w:hAnsi="Arial Unicode MS" w:hint="eastAsia"/>
          <w:bCs/>
          <w:szCs w:val="21"/>
        </w:rPr>
        <w:t>、基金的银行汇划费用；</w:t>
      </w:r>
    </w:p>
    <w:p w14:paraId="5EB0EAE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9</w:t>
      </w:r>
      <w:r>
        <w:rPr>
          <w:rFonts w:ascii="Arial Unicode MS" w:hAnsi="Arial Unicode MS" w:hint="eastAsia"/>
          <w:bCs/>
          <w:szCs w:val="21"/>
        </w:rPr>
        <w:t>、基金的开户费用、账户维护费用；</w:t>
      </w:r>
    </w:p>
    <w:p w14:paraId="442FC5C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10</w:t>
      </w:r>
      <w:r>
        <w:rPr>
          <w:rFonts w:ascii="Arial Unicode MS" w:hAnsi="Arial Unicode MS" w:hint="eastAsia"/>
          <w:bCs/>
          <w:szCs w:val="21"/>
        </w:rPr>
        <w:t>、按照国家有关规定和《基金合同》约定，可以在基金财产中列支的其他费用。</w:t>
      </w:r>
    </w:p>
    <w:p w14:paraId="77C34FC9"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二、基金费用计提方法、计提标准和支付方式</w:t>
      </w:r>
    </w:p>
    <w:p w14:paraId="1AD8D2D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、基金管理人的管理费</w:t>
      </w:r>
    </w:p>
    <w:p w14:paraId="0B1CA56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本基金的管理费按前一日基金资产净值的</w:t>
      </w:r>
      <w:r>
        <w:rPr>
          <w:rFonts w:ascii="Arial Unicode MS" w:hAnsi="Arial Unicode MS" w:hint="eastAsia"/>
          <w:bCs/>
          <w:szCs w:val="21"/>
        </w:rPr>
        <w:t>0.</w:t>
      </w:r>
      <w:r>
        <w:rPr>
          <w:rFonts w:ascii="Arial Unicode MS" w:hAnsi="Arial Unicode MS"/>
          <w:bCs/>
          <w:szCs w:val="21"/>
        </w:rPr>
        <w:t>3</w:t>
      </w:r>
      <w:r>
        <w:rPr>
          <w:rFonts w:ascii="Arial Unicode MS" w:hAnsi="Arial Unicode MS" w:hint="eastAsia"/>
          <w:bCs/>
          <w:szCs w:val="21"/>
        </w:rPr>
        <w:t>0%</w:t>
      </w:r>
      <w:r>
        <w:rPr>
          <w:rFonts w:ascii="Arial Unicode MS" w:hAnsi="Arial Unicode MS" w:hint="eastAsia"/>
          <w:bCs/>
          <w:szCs w:val="21"/>
        </w:rPr>
        <w:t>年费率计提。管理费的计算方法如下：</w:t>
      </w:r>
    </w:p>
    <w:p w14:paraId="6502DF9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w:t>
      </w:r>
      <w:r>
        <w:rPr>
          <w:rFonts w:ascii="Arial Unicode MS" w:hAnsi="Arial Unicode MS" w:hint="eastAsia"/>
          <w:bCs/>
          <w:szCs w:val="21"/>
        </w:rPr>
        <w:t>E</w:t>
      </w:r>
      <w:r>
        <w:rPr>
          <w:rFonts w:ascii="Arial Unicode MS" w:hAnsi="Arial Unicode MS" w:hint="eastAsia"/>
          <w:bCs/>
          <w:szCs w:val="21"/>
        </w:rPr>
        <w:t>×</w:t>
      </w:r>
      <w:r>
        <w:rPr>
          <w:rFonts w:ascii="Arial Unicode MS" w:hAnsi="Arial Unicode MS" w:hint="eastAsia"/>
          <w:bCs/>
          <w:szCs w:val="21"/>
        </w:rPr>
        <w:t>0.</w:t>
      </w:r>
      <w:r>
        <w:rPr>
          <w:rFonts w:ascii="Arial Unicode MS" w:hAnsi="Arial Unicode MS"/>
          <w:bCs/>
          <w:szCs w:val="21"/>
        </w:rPr>
        <w:t>3</w:t>
      </w:r>
      <w:r>
        <w:rPr>
          <w:rFonts w:ascii="Arial Unicode MS" w:hAnsi="Arial Unicode MS" w:hint="eastAsia"/>
          <w:bCs/>
          <w:szCs w:val="21"/>
        </w:rPr>
        <w:t>0%</w:t>
      </w:r>
      <w:r>
        <w:rPr>
          <w:rFonts w:ascii="Arial Unicode MS" w:hAnsi="Arial Unicode MS" w:hint="eastAsia"/>
          <w:bCs/>
          <w:szCs w:val="21"/>
        </w:rPr>
        <w:t>÷当年天数</w:t>
      </w:r>
    </w:p>
    <w:p w14:paraId="3A49CA3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为每日应计提的基金管理费</w:t>
      </w:r>
    </w:p>
    <w:p w14:paraId="3BDFE96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为前一日的基金资产净值</w:t>
      </w:r>
    </w:p>
    <w:p w14:paraId="18095E6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A7723F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、基金托管人的托管费</w:t>
      </w:r>
    </w:p>
    <w:p w14:paraId="07AB2AA0"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本基金的托管费按前一日基金资产净值的</w:t>
      </w:r>
      <w:r>
        <w:rPr>
          <w:rFonts w:ascii="Arial Unicode MS" w:hAnsi="Arial Unicode MS" w:hint="eastAsia"/>
          <w:bCs/>
          <w:szCs w:val="21"/>
        </w:rPr>
        <w:t>0.10%</w:t>
      </w:r>
      <w:r>
        <w:rPr>
          <w:rFonts w:ascii="Arial Unicode MS" w:hAnsi="Arial Unicode MS" w:hint="eastAsia"/>
          <w:bCs/>
          <w:szCs w:val="21"/>
        </w:rPr>
        <w:t>的年费率计提。托管费的计算方法如下：</w:t>
      </w:r>
    </w:p>
    <w:p w14:paraId="4C8EED9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w:t>
      </w:r>
      <w:r>
        <w:rPr>
          <w:rFonts w:ascii="Arial Unicode MS" w:hAnsi="Arial Unicode MS" w:hint="eastAsia"/>
          <w:bCs/>
          <w:szCs w:val="21"/>
        </w:rPr>
        <w:t>E</w:t>
      </w:r>
      <w:r>
        <w:rPr>
          <w:rFonts w:ascii="Arial Unicode MS" w:hAnsi="Arial Unicode MS" w:hint="eastAsia"/>
          <w:bCs/>
          <w:szCs w:val="21"/>
        </w:rPr>
        <w:t>×</w:t>
      </w:r>
      <w:r>
        <w:rPr>
          <w:rFonts w:ascii="Arial Unicode MS" w:hAnsi="Arial Unicode MS" w:hint="eastAsia"/>
          <w:bCs/>
          <w:szCs w:val="21"/>
        </w:rPr>
        <w:t>0.10%</w:t>
      </w:r>
      <w:r>
        <w:rPr>
          <w:rFonts w:ascii="Arial Unicode MS" w:hAnsi="Arial Unicode MS" w:hint="eastAsia"/>
          <w:bCs/>
          <w:szCs w:val="21"/>
        </w:rPr>
        <w:t>÷当年天数</w:t>
      </w:r>
    </w:p>
    <w:p w14:paraId="223D1C1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H</w:t>
      </w:r>
      <w:r>
        <w:rPr>
          <w:rFonts w:ascii="Arial Unicode MS" w:hAnsi="Arial Unicode MS" w:hint="eastAsia"/>
          <w:bCs/>
          <w:szCs w:val="21"/>
        </w:rPr>
        <w:t>为每日应计提的基金托管费</w:t>
      </w:r>
    </w:p>
    <w:p w14:paraId="1D6C33B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为前一日的基金资产净值</w:t>
      </w:r>
    </w:p>
    <w:p w14:paraId="5B09C42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基金托管费每日计算，逐日累计至每月月末，按月支付，由基金托管人根据与基金管理人核对一致的财务数据，自动在月初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E7A70F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w:t>
      </w:r>
      <w:r>
        <w:rPr>
          <w:rFonts w:ascii="Arial Unicode MS" w:hAnsi="Arial Unicode MS" w:hint="eastAsia"/>
          <w:bCs/>
          <w:szCs w:val="21"/>
        </w:rPr>
        <w:t>C</w:t>
      </w:r>
      <w:r>
        <w:rPr>
          <w:rFonts w:ascii="Arial Unicode MS" w:hAnsi="Arial Unicode MS" w:hint="eastAsia"/>
          <w:bCs/>
          <w:szCs w:val="21"/>
        </w:rPr>
        <w:t>类基金份额的销售服务费</w:t>
      </w:r>
    </w:p>
    <w:p w14:paraId="3A4DB39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w:t>
      </w:r>
      <w:r>
        <w:rPr>
          <w:rFonts w:ascii="Arial Unicode MS" w:hAnsi="Arial Unicode MS" w:hint="eastAsia"/>
          <w:bCs/>
          <w:szCs w:val="21"/>
        </w:rPr>
        <w:t>A</w:t>
      </w:r>
      <w:r>
        <w:rPr>
          <w:rFonts w:ascii="Arial Unicode MS" w:hAnsi="Arial Unicode MS" w:hint="eastAsia"/>
          <w:bCs/>
          <w:szCs w:val="21"/>
        </w:rPr>
        <w:t>类基金份额不收取销售服务费，</w:t>
      </w:r>
      <w:r>
        <w:rPr>
          <w:rFonts w:ascii="Arial Unicode MS" w:hAnsi="Arial Unicode MS" w:hint="eastAsia"/>
          <w:bCs/>
          <w:szCs w:val="21"/>
        </w:rPr>
        <w:t>C</w:t>
      </w:r>
      <w:r>
        <w:rPr>
          <w:rFonts w:ascii="Arial Unicode MS" w:hAnsi="Arial Unicode MS" w:hint="eastAsia"/>
          <w:bCs/>
          <w:szCs w:val="21"/>
        </w:rPr>
        <w:t>类基金份额的销售服务费年费率为</w:t>
      </w:r>
      <w:r>
        <w:rPr>
          <w:rFonts w:ascii="Arial Unicode MS" w:hAnsi="Arial Unicode MS" w:hint="eastAsia"/>
          <w:bCs/>
          <w:szCs w:val="21"/>
        </w:rPr>
        <w:t>0.20%</w:t>
      </w:r>
      <w:r>
        <w:rPr>
          <w:rFonts w:ascii="Arial Unicode MS" w:hAnsi="Arial Unicode MS" w:hint="eastAsia"/>
          <w:bCs/>
          <w:szCs w:val="21"/>
        </w:rPr>
        <w:t>。</w:t>
      </w:r>
    </w:p>
    <w:p w14:paraId="51EF704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本基金销售服务费将专门用于本基金的销售与基金份额持有人服务，销售服务费计提的计算公式如下：</w:t>
      </w:r>
      <w:r>
        <w:rPr>
          <w:rFonts w:ascii="Arial Unicode MS" w:hAnsi="Arial Unicode MS" w:hint="eastAsia"/>
          <w:bCs/>
          <w:szCs w:val="21"/>
        </w:rPr>
        <w:t xml:space="preserve"> </w:t>
      </w:r>
    </w:p>
    <w:p w14:paraId="69B4795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H=E</w:t>
      </w:r>
      <w:r>
        <w:rPr>
          <w:rFonts w:ascii="Arial Unicode MS" w:hAnsi="Arial Unicode MS" w:hint="eastAsia"/>
          <w:bCs/>
          <w:szCs w:val="21"/>
        </w:rPr>
        <w:t>×</w:t>
      </w:r>
      <w:r>
        <w:rPr>
          <w:rFonts w:ascii="Arial Unicode MS" w:hAnsi="Arial Unicode MS" w:hint="eastAsia"/>
          <w:bCs/>
          <w:szCs w:val="21"/>
        </w:rPr>
        <w:t>0.20%</w:t>
      </w:r>
      <w:r>
        <w:rPr>
          <w:rFonts w:ascii="Arial Unicode MS" w:hAnsi="Arial Unicode MS" w:hint="eastAsia"/>
          <w:bCs/>
          <w:szCs w:val="21"/>
        </w:rPr>
        <w:t>÷当年天数</w:t>
      </w:r>
    </w:p>
    <w:p w14:paraId="4B9FD4F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为</w:t>
      </w:r>
      <w:r>
        <w:rPr>
          <w:rFonts w:ascii="Arial Unicode MS" w:hAnsi="Arial Unicode MS" w:hint="eastAsia"/>
          <w:bCs/>
          <w:szCs w:val="21"/>
        </w:rPr>
        <w:t>C</w:t>
      </w:r>
      <w:r>
        <w:rPr>
          <w:rFonts w:ascii="Arial Unicode MS" w:hAnsi="Arial Unicode MS" w:hint="eastAsia"/>
          <w:bCs/>
          <w:szCs w:val="21"/>
        </w:rPr>
        <w:t>类基金份额每日应计提的销售服务费</w:t>
      </w:r>
    </w:p>
    <w:p w14:paraId="4DBB2509"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w:t>
      </w:r>
      <w:r>
        <w:rPr>
          <w:rFonts w:ascii="Arial Unicode MS" w:hAnsi="Arial Unicode MS" w:hint="eastAsia"/>
          <w:bCs/>
          <w:szCs w:val="21"/>
        </w:rPr>
        <w:t>C</w:t>
      </w:r>
      <w:r>
        <w:rPr>
          <w:rFonts w:ascii="Arial Unicode MS" w:hAnsi="Arial Unicode MS" w:hint="eastAsia"/>
          <w:bCs/>
          <w:szCs w:val="21"/>
        </w:rPr>
        <w:t>类基金份额前一日基金资产净值</w:t>
      </w:r>
    </w:p>
    <w:p w14:paraId="2A9DA19B"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基金销售服务费每日计算，逐日累计至每月月末，按月支付，由基金托管人根据与基金管理人核对一致的财务数据，自动在月初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8F21FE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自</w:t>
      </w:r>
      <w:r>
        <w:rPr>
          <w:rFonts w:ascii="Arial Unicode MS" w:hAnsi="Arial Unicode MS" w:hint="eastAsia"/>
          <w:bCs/>
          <w:szCs w:val="21"/>
        </w:rPr>
        <w:t>2024</w:t>
      </w:r>
      <w:r>
        <w:rPr>
          <w:rFonts w:ascii="Arial Unicode MS" w:hAnsi="Arial Unicode MS" w:hint="eastAsia"/>
          <w:bCs/>
          <w:szCs w:val="21"/>
        </w:rPr>
        <w:t>年</w:t>
      </w:r>
      <w:r>
        <w:rPr>
          <w:rFonts w:ascii="Arial Unicode MS" w:hAnsi="Arial Unicode MS" w:hint="eastAsia"/>
          <w:bCs/>
          <w:szCs w:val="21"/>
        </w:rPr>
        <w:t>7</w:t>
      </w:r>
      <w:r>
        <w:rPr>
          <w:rFonts w:ascii="Arial Unicode MS" w:hAnsi="Arial Unicode MS" w:hint="eastAsia"/>
          <w:bCs/>
          <w:szCs w:val="21"/>
        </w:rPr>
        <w:t>月</w:t>
      </w:r>
      <w:r>
        <w:rPr>
          <w:rFonts w:ascii="Arial Unicode MS" w:hAnsi="Arial Unicode MS" w:hint="eastAsia"/>
          <w:bCs/>
          <w:szCs w:val="21"/>
        </w:rPr>
        <w:t>25</w:t>
      </w:r>
      <w:r>
        <w:rPr>
          <w:rFonts w:ascii="Arial Unicode MS" w:hAnsi="Arial Unicode MS" w:hint="eastAsia"/>
          <w:bCs/>
          <w:szCs w:val="21"/>
        </w:rPr>
        <w:t>日起，</w:t>
      </w:r>
      <w:r>
        <w:rPr>
          <w:rFonts w:ascii="Arial Unicode MS" w:hAnsi="Arial Unicode MS" w:hint="eastAsia"/>
          <w:bCs/>
          <w:szCs w:val="21"/>
        </w:rPr>
        <w:t>C</w:t>
      </w:r>
      <w:r>
        <w:rPr>
          <w:rFonts w:ascii="Arial Unicode MS" w:hAnsi="Arial Unicode MS" w:hint="eastAsia"/>
          <w:bCs/>
          <w:szCs w:val="21"/>
        </w:rPr>
        <w:t>类基金份额销售服务费优惠费率为</w:t>
      </w:r>
      <w:r>
        <w:rPr>
          <w:rFonts w:ascii="Arial Unicode MS" w:hAnsi="Arial Unicode MS" w:hint="eastAsia"/>
          <w:bCs/>
          <w:szCs w:val="21"/>
        </w:rPr>
        <w:t>0.10%</w:t>
      </w:r>
      <w:r>
        <w:rPr>
          <w:rFonts w:ascii="Arial Unicode MS" w:hAnsi="Arial Unicode MS" w:hint="eastAsia"/>
          <w:bCs/>
          <w:szCs w:val="21"/>
        </w:rPr>
        <w:t>，优惠活动结束时间另行公告。</w:t>
      </w:r>
    </w:p>
    <w:p w14:paraId="20B62A7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上述“一、基金费用的种类”中第</w:t>
      </w:r>
      <w:r>
        <w:rPr>
          <w:rFonts w:ascii="Arial Unicode MS" w:hAnsi="Arial Unicode MS" w:hint="eastAsia"/>
          <w:bCs/>
          <w:szCs w:val="21"/>
        </w:rPr>
        <w:t>4</w:t>
      </w: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项费用，根据有关法规及相应协议规定，按费用实际支出金额列入当期费用，由基金托管人从基金财产中支付。</w:t>
      </w:r>
    </w:p>
    <w:p w14:paraId="0787D01B"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三、不列入基金费用的项目</w:t>
      </w:r>
    </w:p>
    <w:p w14:paraId="00474A1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下列费用不列入基金费用：</w:t>
      </w:r>
    </w:p>
    <w:p w14:paraId="49F31E1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、基金管理人和基金托管人因未履行或未完全履行义务导致的费用支出或基金财产的损失；</w:t>
      </w:r>
    </w:p>
    <w:p w14:paraId="0ED727B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、基金管理人和基金托管人处理与基金运作无关的事项发生的费用；</w:t>
      </w:r>
    </w:p>
    <w:p w14:paraId="6F1C406B"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、《基金合同》生效前的相关费用；</w:t>
      </w:r>
    </w:p>
    <w:p w14:paraId="29E04302"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、其他根据相关法律法规及中国证监会的有关规定不得列入基金费用的项目。</w:t>
      </w:r>
    </w:p>
    <w:p w14:paraId="1B775A34"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四、实施侧袋机制期间的基金费用</w:t>
      </w:r>
    </w:p>
    <w:p w14:paraId="4CCC326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本基金实施侧袋机制的，与侧袋账户有关的费用可以从侧袋账户中列支，但应待侧袋账户资产变现后方可列支。侧袋账户资产不收取管理费，其他费用详见招募说明书“侧袋机制”部分的规定。</w:t>
      </w:r>
    </w:p>
    <w:p w14:paraId="50B5F454"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五</w:t>
      </w:r>
      <w:r>
        <w:rPr>
          <w:rFonts w:ascii="Arial Unicode MS" w:hAnsi="Arial Unicode MS"/>
          <w:b/>
          <w:bCs/>
          <w:szCs w:val="21"/>
        </w:rPr>
        <w:t>、基金税收</w:t>
      </w:r>
    </w:p>
    <w:p w14:paraId="6F6B17B9"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本基金运作过程中涉及的各纳税主体，其纳税义务按国家税收法律、法规执行。</w:t>
      </w:r>
      <w:r>
        <w:rPr>
          <w:rFonts w:ascii="Arial Unicode MS" w:hAnsi="Arial Unicode MS" w:hint="eastAsia"/>
          <w:bCs/>
          <w:szCs w:val="21"/>
        </w:rPr>
        <w:t>基金财产投资的相关税收，由基金份额持有人承担，基金管理人或者其他扣缴义务人按照国家有关税收征收的规定代扣代缴。</w:t>
      </w:r>
    </w:p>
    <w:p w14:paraId="7A7A12E8" w14:textId="77777777" w:rsidR="00B804EC" w:rsidRDefault="00B804EC">
      <w:pPr>
        <w:spacing w:line="360" w:lineRule="auto"/>
        <w:ind w:firstLineChars="200" w:firstLine="420"/>
        <w:rPr>
          <w:rFonts w:ascii="Arial Unicode MS" w:hAnsi="Arial Unicode MS" w:hint="eastAsia"/>
          <w:bCs/>
          <w:szCs w:val="21"/>
        </w:rPr>
      </w:pPr>
    </w:p>
    <w:p w14:paraId="3834547B" w14:textId="77777777" w:rsidR="00B804EC" w:rsidRDefault="00B804EC">
      <w:pPr>
        <w:spacing w:line="360" w:lineRule="auto"/>
        <w:ind w:firstLineChars="200" w:firstLine="420"/>
        <w:rPr>
          <w:rFonts w:ascii="Arial Unicode MS" w:hAnsi="Arial Unicode MS" w:hint="eastAsia"/>
          <w:bCs/>
          <w:szCs w:val="21"/>
        </w:rPr>
      </w:pPr>
    </w:p>
    <w:p w14:paraId="4A99B272" w14:textId="77777777" w:rsidR="00B804EC" w:rsidRDefault="00B804EC">
      <w:pPr>
        <w:spacing w:line="360" w:lineRule="auto"/>
        <w:ind w:firstLineChars="200" w:firstLine="420"/>
        <w:rPr>
          <w:rFonts w:ascii="Arial Unicode MS" w:hAnsi="Arial Unicode MS" w:hint="eastAsia"/>
          <w:bCs/>
          <w:szCs w:val="21"/>
        </w:rPr>
      </w:pPr>
    </w:p>
    <w:p w14:paraId="42D71E22" w14:textId="77777777" w:rsidR="00B804EC" w:rsidRDefault="00B804EC">
      <w:pPr>
        <w:spacing w:line="360" w:lineRule="auto"/>
        <w:ind w:firstLineChars="200" w:firstLine="420"/>
        <w:rPr>
          <w:rFonts w:ascii="Arial Unicode MS" w:hAnsi="Arial Unicode MS" w:hint="eastAsia"/>
          <w:bCs/>
          <w:szCs w:val="21"/>
        </w:rPr>
      </w:pPr>
    </w:p>
    <w:p w14:paraId="51ABE3A7" w14:textId="77777777" w:rsidR="00B804EC" w:rsidRDefault="00B804EC">
      <w:pPr>
        <w:spacing w:line="360" w:lineRule="auto"/>
        <w:ind w:firstLineChars="200" w:firstLine="420"/>
        <w:rPr>
          <w:rFonts w:ascii="Arial Unicode MS" w:hAnsi="Arial Unicode MS" w:hint="eastAsia"/>
          <w:bCs/>
          <w:szCs w:val="21"/>
        </w:rPr>
      </w:pPr>
    </w:p>
    <w:p w14:paraId="4A496DAF" w14:textId="77777777" w:rsidR="00B804EC" w:rsidRDefault="00B804EC">
      <w:pPr>
        <w:spacing w:line="360" w:lineRule="auto"/>
        <w:ind w:firstLineChars="200" w:firstLine="420"/>
        <w:rPr>
          <w:rFonts w:ascii="Arial Unicode MS" w:hAnsi="Arial Unicode MS" w:hint="eastAsia"/>
          <w:bCs/>
          <w:szCs w:val="21"/>
        </w:rPr>
      </w:pPr>
    </w:p>
    <w:p w14:paraId="7E01C19D" w14:textId="77777777" w:rsidR="00B804EC" w:rsidRDefault="00000000">
      <w:pPr>
        <w:widowControl/>
        <w:jc w:val="left"/>
        <w:rPr>
          <w:rFonts w:ascii="Arial Unicode MS" w:hAnsi="Arial Unicode MS" w:hint="eastAsia"/>
          <w:bCs/>
          <w:szCs w:val="21"/>
        </w:rPr>
      </w:pPr>
      <w:r>
        <w:rPr>
          <w:rFonts w:ascii="Arial Unicode MS" w:hAnsi="Arial Unicode MS"/>
          <w:bCs/>
          <w:szCs w:val="21"/>
        </w:rPr>
        <w:br w:type="page"/>
      </w:r>
    </w:p>
    <w:p w14:paraId="246DAB95" w14:textId="77777777" w:rsidR="00B804EC"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90" w:name="_Hlt88827255"/>
      <w:bookmarkStart w:id="91" w:name="_Toc320887653"/>
      <w:bookmarkStart w:id="92" w:name="_Toc63676449"/>
      <w:bookmarkStart w:id="93" w:name="_Toc317088151"/>
      <w:bookmarkStart w:id="94" w:name="_Toc214873603"/>
      <w:bookmarkStart w:id="95" w:name="_Toc335232702"/>
      <w:bookmarkStart w:id="96" w:name="_Toc317088548"/>
      <w:bookmarkEnd w:id="90"/>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四</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基金的会计与审计</w:t>
      </w:r>
      <w:bookmarkEnd w:id="91"/>
      <w:bookmarkEnd w:id="92"/>
      <w:bookmarkEnd w:id="93"/>
      <w:bookmarkEnd w:id="94"/>
      <w:bookmarkEnd w:id="95"/>
      <w:bookmarkEnd w:id="96"/>
    </w:p>
    <w:p w14:paraId="1E5C3D3C" w14:textId="77777777" w:rsidR="00B804EC" w:rsidRDefault="00B804EC"/>
    <w:p w14:paraId="53A5F2EC" w14:textId="77777777" w:rsidR="00B804EC" w:rsidRDefault="00000000">
      <w:pPr>
        <w:spacing w:line="360" w:lineRule="auto"/>
        <w:ind w:firstLineChars="200" w:firstLine="422"/>
        <w:rPr>
          <w:rFonts w:ascii="Arial Unicode MS" w:hAnsi="Arial Unicode MS" w:hint="eastAsia"/>
          <w:b/>
          <w:bCs/>
          <w:szCs w:val="21"/>
        </w:rPr>
      </w:pPr>
      <w:bookmarkStart w:id="97" w:name="_Toc79978642"/>
      <w:bookmarkStart w:id="98" w:name="_Toc214873604"/>
      <w:r>
        <w:rPr>
          <w:rFonts w:ascii="Arial Unicode MS" w:hAnsi="Arial Unicode MS"/>
          <w:b/>
          <w:bCs/>
          <w:szCs w:val="21"/>
        </w:rPr>
        <w:t>一、基金会计政策</w:t>
      </w:r>
    </w:p>
    <w:p w14:paraId="2065368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bCs/>
          <w:szCs w:val="21"/>
        </w:rPr>
        <w:t>、基金管理人为本基金的基金会计责任方；</w:t>
      </w:r>
    </w:p>
    <w:p w14:paraId="65EAB1DC"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bCs/>
          <w:szCs w:val="21"/>
        </w:rPr>
        <w:t>、基金的会计年度为公历年度的</w:t>
      </w:r>
      <w:r>
        <w:rPr>
          <w:rFonts w:ascii="Arial Unicode MS" w:hAnsi="Arial Unicode MS"/>
          <w:bCs/>
          <w:szCs w:val="21"/>
        </w:rPr>
        <w:t>1</w:t>
      </w:r>
      <w:r>
        <w:rPr>
          <w:rFonts w:ascii="Arial Unicode MS" w:hAnsi="Arial Unicode MS"/>
          <w:bCs/>
          <w:szCs w:val="21"/>
        </w:rPr>
        <w:t>月</w:t>
      </w:r>
      <w:r>
        <w:rPr>
          <w:rFonts w:ascii="Arial Unicode MS" w:hAnsi="Arial Unicode MS"/>
          <w:bCs/>
          <w:szCs w:val="21"/>
        </w:rPr>
        <w:t>1</w:t>
      </w:r>
      <w:r>
        <w:rPr>
          <w:rFonts w:ascii="Arial Unicode MS" w:hAnsi="Arial Unicode MS"/>
          <w:bCs/>
          <w:szCs w:val="21"/>
        </w:rPr>
        <w:t>日至</w:t>
      </w:r>
      <w:r>
        <w:rPr>
          <w:rFonts w:ascii="Arial Unicode MS" w:hAnsi="Arial Unicode MS"/>
          <w:bCs/>
          <w:szCs w:val="21"/>
        </w:rPr>
        <w:t>12</w:t>
      </w:r>
      <w:r>
        <w:rPr>
          <w:rFonts w:ascii="Arial Unicode MS" w:hAnsi="Arial Unicode MS"/>
          <w:bCs/>
          <w:szCs w:val="21"/>
        </w:rPr>
        <w:t>月</w:t>
      </w:r>
      <w:r>
        <w:rPr>
          <w:rFonts w:ascii="Arial Unicode MS" w:hAnsi="Arial Unicode MS"/>
          <w:bCs/>
          <w:szCs w:val="21"/>
        </w:rPr>
        <w:t>31</w:t>
      </w:r>
      <w:r>
        <w:rPr>
          <w:rFonts w:ascii="Arial Unicode MS" w:hAnsi="Arial Unicode MS"/>
          <w:bCs/>
          <w:szCs w:val="21"/>
        </w:rPr>
        <w:t>日；基金首次募集的会计年度按如下原则：如果《基金合同》生效少于</w:t>
      </w:r>
      <w:r>
        <w:rPr>
          <w:rFonts w:ascii="Arial Unicode MS" w:hAnsi="Arial Unicode MS"/>
          <w:bCs/>
          <w:szCs w:val="21"/>
        </w:rPr>
        <w:t>2</w:t>
      </w:r>
      <w:r>
        <w:rPr>
          <w:rFonts w:ascii="Arial Unicode MS" w:hAnsi="Arial Unicode MS"/>
          <w:bCs/>
          <w:szCs w:val="21"/>
        </w:rPr>
        <w:t>个月，可以并入下一个会计年度</w:t>
      </w:r>
      <w:r>
        <w:rPr>
          <w:rFonts w:ascii="Arial Unicode MS" w:hAnsi="Arial Unicode MS" w:hint="eastAsia"/>
          <w:bCs/>
          <w:szCs w:val="21"/>
        </w:rPr>
        <w:t>披露</w:t>
      </w:r>
      <w:r>
        <w:rPr>
          <w:rFonts w:ascii="Arial Unicode MS" w:hAnsi="Arial Unicode MS"/>
          <w:bCs/>
          <w:szCs w:val="21"/>
        </w:rPr>
        <w:t>；</w:t>
      </w:r>
    </w:p>
    <w:p w14:paraId="77B641A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bCs/>
          <w:szCs w:val="21"/>
        </w:rPr>
        <w:t>、基金核算以人民币为记账本位币，以人民币元为记账单位；</w:t>
      </w:r>
    </w:p>
    <w:p w14:paraId="2602743F"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4</w:t>
      </w:r>
      <w:r>
        <w:rPr>
          <w:rFonts w:ascii="Arial Unicode MS" w:hAnsi="Arial Unicode MS"/>
          <w:bCs/>
          <w:szCs w:val="21"/>
        </w:rPr>
        <w:t>、会计制度执行国家有关会计制度；</w:t>
      </w:r>
    </w:p>
    <w:p w14:paraId="47326C0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5</w:t>
      </w:r>
      <w:r>
        <w:rPr>
          <w:rFonts w:ascii="Arial Unicode MS" w:hAnsi="Arial Unicode MS"/>
          <w:bCs/>
          <w:szCs w:val="21"/>
        </w:rPr>
        <w:t>、本基金独立建账、独立核算；</w:t>
      </w:r>
    </w:p>
    <w:p w14:paraId="74672BE5"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6</w:t>
      </w:r>
      <w:r>
        <w:rPr>
          <w:rFonts w:ascii="Arial Unicode MS" w:hAnsi="Arial Unicode MS"/>
          <w:bCs/>
          <w:szCs w:val="21"/>
        </w:rPr>
        <w:t>、基金管理人及基金托管人各自保留完整的会计账目、凭证并进行日常的会计核算，按照有关规定编制基金会计报表；</w:t>
      </w:r>
    </w:p>
    <w:p w14:paraId="350BEAD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7</w:t>
      </w:r>
      <w:r>
        <w:rPr>
          <w:rFonts w:ascii="Arial Unicode MS" w:hAnsi="Arial Unicode MS"/>
          <w:bCs/>
          <w:szCs w:val="21"/>
        </w:rPr>
        <w:t>、基金托管人每月与基金管理人就基金的会计核算、报表编制等进行核对并以书面方式确认。</w:t>
      </w:r>
    </w:p>
    <w:p w14:paraId="253D6E03" w14:textId="77777777" w:rsidR="00B804EC"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二、基金的年度审计</w:t>
      </w:r>
    </w:p>
    <w:p w14:paraId="40B2212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bCs/>
          <w:szCs w:val="21"/>
        </w:rPr>
        <w:t>、基金管理人聘请与基金管理人、基金托管人相互独立的</w:t>
      </w:r>
      <w:r>
        <w:rPr>
          <w:rFonts w:ascii="Arial Unicode MS" w:hAnsi="Arial Unicode MS" w:hint="eastAsia"/>
          <w:bCs/>
          <w:szCs w:val="21"/>
        </w:rPr>
        <w:t>符合《中华人民共和国证券法》规定</w:t>
      </w:r>
      <w:r>
        <w:rPr>
          <w:rFonts w:ascii="Arial Unicode MS" w:hAnsi="Arial Unicode MS"/>
          <w:bCs/>
          <w:szCs w:val="21"/>
        </w:rPr>
        <w:t>的会计师事务所及其注册会计师对本基金的年度财务报表进行审计。</w:t>
      </w:r>
    </w:p>
    <w:p w14:paraId="0CAE1076"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bCs/>
          <w:szCs w:val="21"/>
        </w:rPr>
        <w:t>、会计师事务所更换经办注册会计师，应事先征得基金管理人同意。</w:t>
      </w:r>
    </w:p>
    <w:p w14:paraId="0CBA430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bCs/>
          <w:szCs w:val="21"/>
        </w:rPr>
        <w:t>、</w:t>
      </w:r>
      <w:bookmarkStart w:id="99" w:name="_Hlt4221115"/>
      <w:bookmarkEnd w:id="99"/>
      <w:r>
        <w:rPr>
          <w:rFonts w:ascii="Arial Unicode MS" w:hAnsi="Arial Unicode MS"/>
          <w:bCs/>
          <w:szCs w:val="21"/>
        </w:rPr>
        <w:t>基金管理人认为有充足理由更换会计师事务所，须通报基金托管人。更换会计师事务所需在</w:t>
      </w:r>
      <w:r>
        <w:rPr>
          <w:rFonts w:ascii="Arial Unicode MS" w:hAnsi="Arial Unicode MS"/>
          <w:bCs/>
          <w:szCs w:val="21"/>
        </w:rPr>
        <w:t>2</w:t>
      </w:r>
      <w:r>
        <w:rPr>
          <w:rFonts w:ascii="Arial Unicode MS" w:hAnsi="Arial Unicode MS"/>
          <w:bCs/>
          <w:szCs w:val="21"/>
        </w:rPr>
        <w:t>日内在</w:t>
      </w:r>
      <w:r>
        <w:rPr>
          <w:rFonts w:ascii="Arial Unicode MS" w:hAnsi="Arial Unicode MS" w:hint="eastAsia"/>
          <w:bCs/>
          <w:szCs w:val="21"/>
        </w:rPr>
        <w:t>规定媒介</w:t>
      </w:r>
      <w:r>
        <w:rPr>
          <w:rFonts w:ascii="Arial Unicode MS" w:hAnsi="Arial Unicode MS"/>
          <w:bCs/>
          <w:szCs w:val="21"/>
        </w:rPr>
        <w:t>公告。</w:t>
      </w:r>
    </w:p>
    <w:p w14:paraId="60AB2ECD" w14:textId="77777777" w:rsidR="00B804EC" w:rsidRDefault="00B804EC">
      <w:pPr>
        <w:spacing w:line="360" w:lineRule="auto"/>
        <w:ind w:firstLineChars="200" w:firstLine="420"/>
        <w:rPr>
          <w:rFonts w:ascii="Arial Unicode MS" w:hAnsi="Arial Unicode MS" w:hint="eastAsia"/>
          <w:bCs/>
          <w:szCs w:val="21"/>
        </w:rPr>
      </w:pPr>
    </w:p>
    <w:p w14:paraId="222F4996" w14:textId="77777777" w:rsidR="00B804EC" w:rsidRDefault="00B804EC">
      <w:pPr>
        <w:spacing w:line="360" w:lineRule="auto"/>
        <w:ind w:firstLineChars="200" w:firstLine="420"/>
        <w:rPr>
          <w:rFonts w:ascii="Arial Unicode MS" w:hAnsi="Arial Unicode MS" w:hint="eastAsia"/>
          <w:bCs/>
          <w:szCs w:val="21"/>
        </w:rPr>
      </w:pPr>
    </w:p>
    <w:p w14:paraId="0B26D48A" w14:textId="77777777" w:rsidR="00B804EC" w:rsidRDefault="00B804EC">
      <w:pPr>
        <w:spacing w:line="360" w:lineRule="auto"/>
        <w:ind w:firstLineChars="200" w:firstLine="420"/>
        <w:rPr>
          <w:rFonts w:ascii="Arial Unicode MS" w:hAnsi="Arial Unicode MS" w:hint="eastAsia"/>
          <w:bCs/>
          <w:szCs w:val="21"/>
        </w:rPr>
      </w:pPr>
    </w:p>
    <w:p w14:paraId="6BB46BD3" w14:textId="77777777" w:rsidR="00B804EC" w:rsidRDefault="00B804EC">
      <w:pPr>
        <w:spacing w:line="360" w:lineRule="auto"/>
        <w:ind w:firstLineChars="200" w:firstLine="420"/>
        <w:rPr>
          <w:rFonts w:ascii="Arial Unicode MS" w:hAnsi="Arial Unicode MS" w:hint="eastAsia"/>
          <w:bCs/>
          <w:szCs w:val="21"/>
        </w:rPr>
      </w:pPr>
    </w:p>
    <w:p w14:paraId="0399789D" w14:textId="77777777" w:rsidR="00B804EC" w:rsidRDefault="00B804EC">
      <w:pPr>
        <w:spacing w:line="360" w:lineRule="auto"/>
        <w:ind w:firstLineChars="200" w:firstLine="420"/>
        <w:rPr>
          <w:rFonts w:ascii="Arial Unicode MS" w:hAnsi="Arial Unicode MS" w:hint="eastAsia"/>
          <w:bCs/>
          <w:szCs w:val="21"/>
        </w:rPr>
      </w:pPr>
    </w:p>
    <w:p w14:paraId="31B4D55C" w14:textId="77777777" w:rsidR="00B804EC" w:rsidRDefault="00000000">
      <w:pPr>
        <w:widowControl/>
        <w:jc w:val="left"/>
        <w:rPr>
          <w:rFonts w:ascii="Arial Unicode MS" w:hAnsi="Arial Unicode MS" w:hint="eastAsia"/>
          <w:bCs/>
          <w:szCs w:val="21"/>
        </w:rPr>
      </w:pPr>
      <w:r>
        <w:rPr>
          <w:rFonts w:ascii="Arial Unicode MS" w:hAnsi="Arial Unicode MS"/>
          <w:bCs/>
          <w:szCs w:val="21"/>
        </w:rPr>
        <w:br w:type="page"/>
      </w:r>
    </w:p>
    <w:p w14:paraId="0169F85A" w14:textId="77777777" w:rsidR="00B804EC" w:rsidRDefault="00000000">
      <w:pPr>
        <w:pStyle w:val="11"/>
        <w:snapToGrid w:val="0"/>
        <w:spacing w:before="0" w:after="0" w:line="360" w:lineRule="auto"/>
        <w:rPr>
          <w:rFonts w:ascii="Arial Unicode MS" w:eastAsia="宋体" w:hAnsi="Arial Unicode MS" w:hint="eastAsia"/>
          <w:b/>
          <w:sz w:val="28"/>
          <w:szCs w:val="28"/>
        </w:rPr>
      </w:pPr>
      <w:bookmarkStart w:id="100" w:name="_Toc63676450"/>
      <w:bookmarkStart w:id="101" w:name="_Toc320887654"/>
      <w:bookmarkStart w:id="102" w:name="_Toc317088549"/>
      <w:bookmarkStart w:id="103" w:name="_Toc335232703"/>
      <w:bookmarkStart w:id="104" w:name="_Toc317088152"/>
      <w:r>
        <w:rPr>
          <w:rFonts w:ascii="Arial Unicode MS" w:eastAsia="宋体" w:hAnsi="Arial Unicode MS"/>
          <w:b/>
          <w:sz w:val="28"/>
          <w:szCs w:val="28"/>
        </w:rPr>
        <w:lastRenderedPageBreak/>
        <w:t>第十</w:t>
      </w:r>
      <w:r>
        <w:rPr>
          <w:rFonts w:ascii="Arial Unicode MS" w:eastAsia="宋体" w:hAnsi="Arial Unicode MS" w:hint="eastAsia"/>
          <w:b/>
          <w:sz w:val="28"/>
          <w:szCs w:val="28"/>
        </w:rPr>
        <w:t>五</w:t>
      </w:r>
      <w:r>
        <w:rPr>
          <w:rFonts w:ascii="Arial Unicode MS" w:eastAsia="宋体" w:hAnsi="Arial Unicode MS"/>
          <w:b/>
          <w:sz w:val="28"/>
          <w:szCs w:val="28"/>
        </w:rPr>
        <w:t>部分</w:t>
      </w:r>
      <w:r>
        <w:rPr>
          <w:rFonts w:ascii="Arial Unicode MS" w:eastAsia="宋体" w:hAnsi="Arial Unicode MS"/>
          <w:b/>
          <w:sz w:val="28"/>
          <w:szCs w:val="28"/>
        </w:rPr>
        <w:t xml:space="preserve">  </w:t>
      </w:r>
      <w:r>
        <w:rPr>
          <w:rFonts w:ascii="Arial Unicode MS" w:eastAsia="宋体" w:hAnsi="Arial Unicode MS"/>
          <w:b/>
          <w:sz w:val="28"/>
          <w:szCs w:val="28"/>
        </w:rPr>
        <w:t>基金的信息披露</w:t>
      </w:r>
      <w:bookmarkEnd w:id="100"/>
      <w:bookmarkEnd w:id="101"/>
      <w:bookmarkEnd w:id="102"/>
      <w:bookmarkEnd w:id="103"/>
      <w:bookmarkEnd w:id="104"/>
    </w:p>
    <w:p w14:paraId="59694493" w14:textId="77777777" w:rsidR="00B804EC" w:rsidRDefault="00B804EC"/>
    <w:p w14:paraId="367897DE"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一、本基金的信息披露应符合《基金法》、《运作办法》、《信息披露办法》、《基金合同》及其他有关规定。</w:t>
      </w:r>
    </w:p>
    <w:p w14:paraId="4B66E422"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二、信息披露义务人</w:t>
      </w:r>
    </w:p>
    <w:p w14:paraId="454AC6F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本基金信息披露义务人包括基金管理人、基金托管人、召集基金份额持有人大会的基金份额持有人等法律法规和中国证监会规定的自然人、法人和非法人组织。</w:t>
      </w:r>
    </w:p>
    <w:p w14:paraId="60BED62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142B794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2D78495"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三、本基金信息披露义务人承诺公开披露的基金信息，不得有下列行为：</w:t>
      </w:r>
    </w:p>
    <w:p w14:paraId="01063D65"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、虚假记载、误导性陈述或者重大遗漏；</w:t>
      </w:r>
    </w:p>
    <w:p w14:paraId="676E096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、对证券投资业绩进行预测；</w:t>
      </w:r>
    </w:p>
    <w:p w14:paraId="036CB495"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、违规承诺收益或者承担损失；</w:t>
      </w:r>
    </w:p>
    <w:p w14:paraId="7C585B1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、诋毁其他基金管理人、基金托管人或者基金销售机构；</w:t>
      </w:r>
    </w:p>
    <w:p w14:paraId="64AC876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、登载任何自然人、法人或者非法人组织的祝贺性、恭维性或推荐性的文字；</w:t>
      </w:r>
    </w:p>
    <w:p w14:paraId="49D478C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、中国证监会禁止的其他行为。</w:t>
      </w:r>
    </w:p>
    <w:p w14:paraId="772A40C2"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四、本基金公开披露的信息应采用中文文本。如同时采用外文文本的，基金信息披露义务人应保证不同文本的内容一致。不同文本之间发生歧义的，以中文文本为准。</w:t>
      </w:r>
    </w:p>
    <w:p w14:paraId="2B0343D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本基金公开披露的信息采用阿拉伯数字；除特别说明外，货币单位为人民币元。</w:t>
      </w:r>
    </w:p>
    <w:p w14:paraId="374E8891"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五、公开披露的基金信息</w:t>
      </w:r>
    </w:p>
    <w:p w14:paraId="5AD9E70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公开披露的基金信息包括：</w:t>
      </w:r>
    </w:p>
    <w:p w14:paraId="74802AB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（一）基金招募说明书、《基金合同》、基金托管协议、基金产品资料概要</w:t>
      </w:r>
    </w:p>
    <w:p w14:paraId="73F48DE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07F46023"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、基金招募说明书应当最大限度地披露影响基金投资者决策的全部事项，说明基金认</w:t>
      </w:r>
      <w:r>
        <w:rPr>
          <w:rFonts w:ascii="Arial Unicode MS" w:hAnsi="Arial Unicode MS" w:cs="Arial" w:hint="eastAsia"/>
          <w:bCs/>
          <w:szCs w:val="21"/>
        </w:rPr>
        <w:lastRenderedPageBreak/>
        <w:t>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Pr>
          <w:rFonts w:ascii="Arial Unicode MS" w:hAnsi="Arial Unicode MS" w:hint="eastAsia"/>
          <w:bCs/>
          <w:szCs w:val="21"/>
        </w:rPr>
        <w:t>规定</w:t>
      </w:r>
      <w:r>
        <w:rPr>
          <w:rFonts w:ascii="Arial Unicode MS" w:hAnsi="Arial Unicode MS" w:cs="Arial" w:hint="eastAsia"/>
          <w:bCs/>
          <w:szCs w:val="21"/>
        </w:rPr>
        <w:t>网站上；基金招募说明书其他信息发生变更的，基金管理人至少每年更新一次。基金终止运作的，基金管理人不再更新基金招募说明书。</w:t>
      </w:r>
    </w:p>
    <w:p w14:paraId="4518DF6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、基金托管协议是界定基金托管人和基金管理人在基金财产保管及基金运作监督等活动中的权利、义务关系的法律文件。</w:t>
      </w:r>
    </w:p>
    <w:p w14:paraId="663E5CB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ascii="Arial Unicode MS" w:hAnsi="Arial Unicode MS" w:hint="eastAsia"/>
          <w:bCs/>
          <w:szCs w:val="21"/>
        </w:rPr>
        <w:t>规定</w:t>
      </w:r>
      <w:r>
        <w:rPr>
          <w:rFonts w:ascii="Arial Unicode MS" w:hAnsi="Arial Unicode MS" w:cs="Arial" w:hint="eastAsia"/>
          <w:bCs/>
          <w:szCs w:val="21"/>
        </w:rPr>
        <w:t>网站及基金销售机构网站或营业网点；基金产品资料概要其他信息发生变更的，基金管理人至少每年更新一次。基金终止运作的，基金管理人不再更新基金产品资料概要。</w:t>
      </w:r>
    </w:p>
    <w:p w14:paraId="01778F1B"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62B9C23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（二）基金份额发售公告</w:t>
      </w:r>
    </w:p>
    <w:p w14:paraId="0B5DB0A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基金管理人应当就基金份额发售的具体事宜编制基金份额发售公告，并在披露招募说明书的当日登载于指定媒介上。</w:t>
      </w:r>
    </w:p>
    <w:p w14:paraId="244E935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（三）《基金合同》生效公告</w:t>
      </w:r>
    </w:p>
    <w:p w14:paraId="7578466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基金管理人应当在收到中国证监会确认文件的次日在指定媒介上登载《基金合同》生效公告。</w:t>
      </w:r>
    </w:p>
    <w:p w14:paraId="2232B62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（四）基金净值信息</w:t>
      </w:r>
    </w:p>
    <w:p w14:paraId="0E8338C3"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《基金合同》生效后，在开始办理基金份额申购或者赎回前，基金管理人应当至少每周在</w:t>
      </w:r>
      <w:r>
        <w:rPr>
          <w:rFonts w:ascii="Arial Unicode MS" w:hAnsi="Arial Unicode MS" w:hint="eastAsia"/>
          <w:bCs/>
          <w:szCs w:val="21"/>
        </w:rPr>
        <w:t>规定</w:t>
      </w:r>
      <w:r>
        <w:rPr>
          <w:rFonts w:ascii="Arial Unicode MS" w:hAnsi="Arial Unicode MS" w:cs="Arial" w:hint="eastAsia"/>
          <w:bCs/>
          <w:szCs w:val="21"/>
        </w:rPr>
        <w:t>网站披露一次基金份额净值和基金份额累计净值。</w:t>
      </w:r>
    </w:p>
    <w:p w14:paraId="5B253999"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在开始办理基金份额申购或者赎回后，基金管理人应当在不晚于每个开放日的次日，通过其</w:t>
      </w:r>
      <w:r>
        <w:rPr>
          <w:rFonts w:ascii="Arial Unicode MS" w:hAnsi="Arial Unicode MS" w:hint="eastAsia"/>
          <w:bCs/>
          <w:szCs w:val="21"/>
        </w:rPr>
        <w:t>规定</w:t>
      </w:r>
      <w:r>
        <w:rPr>
          <w:rFonts w:ascii="Arial Unicode MS" w:hAnsi="Arial Unicode MS" w:cs="Arial" w:hint="eastAsia"/>
          <w:bCs/>
          <w:szCs w:val="21"/>
        </w:rPr>
        <w:t>网站、基金销售机构网站或营业网点披露开放日的各类基金份额的基金份额净值和基金份额累计净值。</w:t>
      </w:r>
    </w:p>
    <w:p w14:paraId="3E1F9B9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基金管理人应在不晚于半年度和年度最后一日的次日，在</w:t>
      </w:r>
      <w:r>
        <w:rPr>
          <w:rFonts w:ascii="Arial Unicode MS" w:hAnsi="Arial Unicode MS" w:hint="eastAsia"/>
          <w:bCs/>
          <w:szCs w:val="21"/>
        </w:rPr>
        <w:t>规定</w:t>
      </w:r>
      <w:r>
        <w:rPr>
          <w:rFonts w:ascii="Arial Unicode MS" w:hAnsi="Arial Unicode MS" w:cs="Arial" w:hint="eastAsia"/>
          <w:bCs/>
          <w:szCs w:val="21"/>
        </w:rPr>
        <w:t>网站披露半年度和年度最后一日的各类基金份额的基金份额净值和基金份额累计净值。</w:t>
      </w:r>
    </w:p>
    <w:p w14:paraId="5DA0D71B"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（五）基金份额申购、赎回价格</w:t>
      </w:r>
    </w:p>
    <w:p w14:paraId="7E690C2F"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基金管理人应当在《基金合同》、招募说明书等信息披露文件上载明基金份额申购、赎</w:t>
      </w:r>
      <w:r>
        <w:rPr>
          <w:rFonts w:ascii="Arial Unicode MS" w:hAnsi="Arial Unicode MS" w:cs="Arial" w:hint="eastAsia"/>
          <w:bCs/>
          <w:szCs w:val="21"/>
        </w:rPr>
        <w:lastRenderedPageBreak/>
        <w:t>回价格的计算方式及有关申购、赎回费率，并保证投资者能够在基金销售机构网站或营业网点查阅或者复制前述信息库资料。</w:t>
      </w:r>
    </w:p>
    <w:p w14:paraId="1F055E10"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（六）基金定期报告，包括基金年度报告、基金中期报告和基金季度报告</w:t>
      </w:r>
    </w:p>
    <w:p w14:paraId="2BF65060"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基金管理人应当在每年结束之日起三个月内，编制完成基金年度报告，将年度报告登载在</w:t>
      </w:r>
      <w:r>
        <w:rPr>
          <w:rFonts w:ascii="Arial Unicode MS" w:hAnsi="Arial Unicode MS" w:hint="eastAsia"/>
          <w:bCs/>
          <w:szCs w:val="21"/>
        </w:rPr>
        <w:t>规定</w:t>
      </w:r>
      <w:r>
        <w:rPr>
          <w:rFonts w:ascii="Arial Unicode MS" w:hAnsi="Arial Unicode MS" w:cs="Arial" w:hint="eastAsia"/>
          <w:bCs/>
          <w:szCs w:val="21"/>
        </w:rPr>
        <w:t>网站上，将年度报告提示性公告登载在</w:t>
      </w:r>
      <w:r>
        <w:rPr>
          <w:rFonts w:ascii="Arial Unicode MS" w:hAnsi="Arial Unicode MS" w:hint="eastAsia"/>
          <w:bCs/>
          <w:szCs w:val="21"/>
        </w:rPr>
        <w:t>规定</w:t>
      </w:r>
      <w:r>
        <w:rPr>
          <w:rFonts w:ascii="Arial Unicode MS" w:hAnsi="Arial Unicode MS" w:cs="Arial" w:hint="eastAsia"/>
          <w:bCs/>
          <w:szCs w:val="21"/>
        </w:rPr>
        <w:t>报刊上。基金年度报告中的财务会计报告应当经过符合《中华人民共和国证券法》规定的会计师事务所审计。</w:t>
      </w:r>
    </w:p>
    <w:p w14:paraId="23762E1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基金管理人应当在上半年结束之日起两个月内，编制完成基金中期报告，将中期报告登载在</w:t>
      </w:r>
      <w:r>
        <w:rPr>
          <w:rFonts w:ascii="Arial Unicode MS" w:hAnsi="Arial Unicode MS" w:hint="eastAsia"/>
          <w:bCs/>
          <w:szCs w:val="21"/>
        </w:rPr>
        <w:t>规定</w:t>
      </w:r>
      <w:r>
        <w:rPr>
          <w:rFonts w:ascii="Arial Unicode MS" w:hAnsi="Arial Unicode MS" w:cs="Arial" w:hint="eastAsia"/>
          <w:bCs/>
          <w:szCs w:val="21"/>
        </w:rPr>
        <w:t>网站上，并将中期报告提示性公告登载在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07D22F0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基金管理人应当在每个季度结束之日起</w:t>
      </w:r>
      <w:r>
        <w:rPr>
          <w:rFonts w:ascii="Arial Unicode MS" w:hAnsi="Arial Unicode MS" w:cs="Arial" w:hint="eastAsia"/>
          <w:bCs/>
          <w:szCs w:val="21"/>
        </w:rPr>
        <w:t>15</w:t>
      </w:r>
      <w:r>
        <w:rPr>
          <w:rFonts w:ascii="Arial Unicode MS" w:hAnsi="Arial Unicode MS" w:cs="Arial" w:hint="eastAsia"/>
          <w:bCs/>
          <w:szCs w:val="21"/>
        </w:rPr>
        <w:t>个工作日内，编制完成基金季度报告，将季度报告登载在</w:t>
      </w:r>
      <w:r>
        <w:rPr>
          <w:rFonts w:ascii="Arial Unicode MS" w:hAnsi="Arial Unicode MS" w:hint="eastAsia"/>
          <w:bCs/>
          <w:szCs w:val="21"/>
        </w:rPr>
        <w:t>规定</w:t>
      </w:r>
      <w:r>
        <w:rPr>
          <w:rFonts w:ascii="Arial Unicode MS" w:hAnsi="Arial Unicode MS" w:cs="Arial" w:hint="eastAsia"/>
          <w:bCs/>
          <w:szCs w:val="21"/>
        </w:rPr>
        <w:t>网站上，并将季度报告提示性公告登载在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2563B64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《基金合同》生效不足</w:t>
      </w:r>
      <w:r>
        <w:rPr>
          <w:rFonts w:ascii="Arial Unicode MS" w:hAnsi="Arial Unicode MS" w:cs="Arial" w:hint="eastAsia"/>
          <w:bCs/>
          <w:szCs w:val="21"/>
        </w:rPr>
        <w:t>2</w:t>
      </w:r>
      <w:r>
        <w:rPr>
          <w:rFonts w:ascii="Arial Unicode MS" w:hAnsi="Arial Unicode MS" w:cs="Arial" w:hint="eastAsia"/>
          <w:bCs/>
          <w:szCs w:val="21"/>
        </w:rPr>
        <w:t>个月的，基金管理人可以不编制当期季度报告、中期报告或者年度报告。</w:t>
      </w:r>
    </w:p>
    <w:p w14:paraId="7D54903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如报告期内出现单一投资者持有基金份额达到或超过基金总份额</w:t>
      </w:r>
      <w:r>
        <w:rPr>
          <w:rFonts w:ascii="Arial Unicode MS" w:hAnsi="Arial Unicode MS" w:cs="Arial" w:hint="eastAsia"/>
          <w:bCs/>
          <w:szCs w:val="21"/>
        </w:rPr>
        <w:t>20%</w:t>
      </w:r>
      <w:r>
        <w:rPr>
          <w:rFonts w:ascii="Arial Unicode MS" w:hAnsi="Arial Unicode MS" w:cs="Arial" w:hint="eastAsia"/>
          <w:bCs/>
          <w:szCs w:val="21"/>
        </w:rPr>
        <w:t>的情形</w:t>
      </w:r>
      <w:r>
        <w:rPr>
          <w:rFonts w:ascii="Arial Unicode MS" w:hAnsi="Arial Unicode MS" w:cs="Arial" w:hint="eastAsia"/>
          <w:bCs/>
          <w:szCs w:val="21"/>
        </w:rPr>
        <w:t xml:space="preserve">, </w:t>
      </w:r>
      <w:r>
        <w:rPr>
          <w:rFonts w:ascii="Arial Unicode MS" w:hAnsi="Arial Unicode MS" w:cs="Arial" w:hint="eastAsia"/>
          <w:bCs/>
          <w:szCs w:val="21"/>
        </w:rPr>
        <w:t>为保障其他投资者利益</w:t>
      </w:r>
      <w:r>
        <w:rPr>
          <w:rFonts w:ascii="Arial Unicode MS" w:hAnsi="Arial Unicode MS" w:cs="Arial" w:hint="eastAsia"/>
          <w:bCs/>
          <w:szCs w:val="21"/>
        </w:rPr>
        <w:t xml:space="preserve">, </w:t>
      </w:r>
      <w:r>
        <w:rPr>
          <w:rFonts w:ascii="Arial Unicode MS" w:hAnsi="Arial Unicode MS" w:cs="Arial" w:hint="eastAsia"/>
          <w:bCs/>
          <w:szCs w:val="21"/>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302E7B2F"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本基金持续运作过程中，应当在基金年度报告和中期报告中披露基金组合资产情况及其流动性风险分析等。</w:t>
      </w:r>
    </w:p>
    <w:p w14:paraId="023879D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（七）临时报告</w:t>
      </w:r>
    </w:p>
    <w:p w14:paraId="4BA6F6AF"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本基金发生重大事件，有关信息披露义务人应在</w:t>
      </w:r>
      <w:r>
        <w:rPr>
          <w:rFonts w:ascii="Arial Unicode MS" w:hAnsi="Arial Unicode MS" w:cs="Arial" w:hint="eastAsia"/>
          <w:bCs/>
          <w:szCs w:val="21"/>
        </w:rPr>
        <w:t>2</w:t>
      </w:r>
      <w:r>
        <w:rPr>
          <w:rFonts w:ascii="Arial Unicode MS" w:hAnsi="Arial Unicode MS" w:cs="Arial" w:hint="eastAsia"/>
          <w:bCs/>
          <w:szCs w:val="21"/>
        </w:rPr>
        <w:t>日内编制临时报告书，并登载在</w:t>
      </w:r>
      <w:r>
        <w:rPr>
          <w:rFonts w:ascii="Arial Unicode MS" w:hAnsi="Arial Unicode MS" w:hint="eastAsia"/>
          <w:bCs/>
          <w:szCs w:val="21"/>
        </w:rPr>
        <w:t>规定</w:t>
      </w:r>
      <w:r>
        <w:rPr>
          <w:rFonts w:ascii="Arial Unicode MS" w:hAnsi="Arial Unicode MS" w:cs="Arial" w:hint="eastAsia"/>
          <w:bCs/>
          <w:szCs w:val="21"/>
        </w:rPr>
        <w:t>报刊和</w:t>
      </w:r>
      <w:r>
        <w:rPr>
          <w:rFonts w:ascii="Arial Unicode MS" w:hAnsi="Arial Unicode MS" w:hint="eastAsia"/>
          <w:bCs/>
          <w:szCs w:val="21"/>
        </w:rPr>
        <w:t>规定</w:t>
      </w:r>
      <w:r>
        <w:rPr>
          <w:rFonts w:ascii="Arial Unicode MS" w:hAnsi="Arial Unicode MS" w:cs="Arial" w:hint="eastAsia"/>
          <w:bCs/>
          <w:szCs w:val="21"/>
        </w:rPr>
        <w:t>网站上。</w:t>
      </w:r>
    </w:p>
    <w:p w14:paraId="5F527FA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前款所称重大事件，是指可能对基金份额持有人权益或者基金份额的价格产生重大影响的下列事件：</w:t>
      </w:r>
    </w:p>
    <w:p w14:paraId="7AF7FF9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、基金份额持有人大会的召开及决定的事项；</w:t>
      </w:r>
    </w:p>
    <w:p w14:paraId="1715EAA0"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、基金合同终止、基金清算；</w:t>
      </w:r>
    </w:p>
    <w:p w14:paraId="3ED6C5C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、转换基金运作方式、基金合并；</w:t>
      </w:r>
    </w:p>
    <w:p w14:paraId="506E525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、更换基金管理人、基金托管人、基金份额登记机构，基金改聘会计师事务所；</w:t>
      </w:r>
    </w:p>
    <w:p w14:paraId="33598E6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、基金管理人委托基金服务机构代为办理基金的份额登记、核算、估值等事项，基金托管人委托基金服务机构代为办理基金的核算、估值、复核等事项；</w:t>
      </w:r>
    </w:p>
    <w:p w14:paraId="0DB9B5A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、基金管理人、基金托管人的法定名称、住所发生变更；</w:t>
      </w:r>
    </w:p>
    <w:p w14:paraId="2879A6A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7</w:t>
      </w:r>
      <w:r>
        <w:rPr>
          <w:rFonts w:ascii="Arial Unicode MS" w:hAnsi="Arial Unicode MS" w:cs="Arial" w:hint="eastAsia"/>
          <w:bCs/>
          <w:szCs w:val="21"/>
        </w:rPr>
        <w:t>、基金管理人变更持有百分之五以上股权的股东、基金管理人的实际控制人变更；</w:t>
      </w:r>
    </w:p>
    <w:p w14:paraId="5DFAFAE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、基金募集期延长或提前结束募集；</w:t>
      </w:r>
    </w:p>
    <w:p w14:paraId="00777C0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、基金管理人的高级管理人员、基金经理和基金托管人专门基金托管部门负责人发生变动；</w:t>
      </w:r>
    </w:p>
    <w:p w14:paraId="02DD0C4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、基金管理人的董事在最近</w:t>
      </w:r>
      <w:r>
        <w:rPr>
          <w:rFonts w:ascii="Arial Unicode MS" w:hAnsi="Arial Unicode MS" w:cs="Arial" w:hint="eastAsia"/>
          <w:bCs/>
          <w:szCs w:val="21"/>
        </w:rPr>
        <w:t>12</w:t>
      </w:r>
      <w:r>
        <w:rPr>
          <w:rFonts w:ascii="Arial Unicode MS" w:hAnsi="Arial Unicode MS" w:cs="Arial" w:hint="eastAsia"/>
          <w:bCs/>
          <w:szCs w:val="21"/>
        </w:rPr>
        <w:t>个月内变更超过百分之五十，基金管理人、基金托管人专门基金托管部门的主要业务人员在最近</w:t>
      </w:r>
      <w:r>
        <w:rPr>
          <w:rFonts w:ascii="Arial Unicode MS" w:hAnsi="Arial Unicode MS" w:cs="Arial" w:hint="eastAsia"/>
          <w:bCs/>
          <w:szCs w:val="21"/>
        </w:rPr>
        <w:t>12</w:t>
      </w:r>
      <w:r>
        <w:rPr>
          <w:rFonts w:ascii="Arial Unicode MS" w:hAnsi="Arial Unicode MS" w:cs="Arial" w:hint="eastAsia"/>
          <w:bCs/>
          <w:szCs w:val="21"/>
        </w:rPr>
        <w:t>个月内，变动超过百分之三十；</w:t>
      </w:r>
    </w:p>
    <w:p w14:paraId="752CD86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、涉及基金财产、基金管理业务、基金托管业务的诉讼或仲裁；</w:t>
      </w:r>
    </w:p>
    <w:p w14:paraId="5477FB1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19E88E1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99F5E40"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、基金收益分配事项；</w:t>
      </w:r>
    </w:p>
    <w:p w14:paraId="41EF6D9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、管理费、托管费、申购费、赎回费、销售服务费等费用计提标准、计提方式和费率发生变更；</w:t>
      </w:r>
    </w:p>
    <w:p w14:paraId="194BA6A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16</w:t>
      </w:r>
      <w:r>
        <w:rPr>
          <w:rFonts w:ascii="Arial Unicode MS" w:hAnsi="Arial Unicode MS" w:cs="Arial" w:hint="eastAsia"/>
          <w:bCs/>
          <w:szCs w:val="21"/>
        </w:rPr>
        <w:t>、任一类基金份额净值计价错误达到该类基金份额净值百分之零点五；</w:t>
      </w:r>
    </w:p>
    <w:p w14:paraId="0646018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、本基金开始办理申购、赎回；</w:t>
      </w:r>
    </w:p>
    <w:p w14:paraId="46B496B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18</w:t>
      </w:r>
      <w:r>
        <w:rPr>
          <w:rFonts w:ascii="Arial Unicode MS" w:hAnsi="Arial Unicode MS" w:cs="Arial" w:hint="eastAsia"/>
          <w:bCs/>
          <w:szCs w:val="21"/>
        </w:rPr>
        <w:t>、本基金暂定接受申购、赎回申请或重新接受申购、赎回申请；</w:t>
      </w:r>
    </w:p>
    <w:p w14:paraId="1906D70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、调整基金份额类别的设置；</w:t>
      </w:r>
    </w:p>
    <w:p w14:paraId="3674EF2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bCs/>
          <w:szCs w:val="21"/>
        </w:rPr>
        <w:t>0</w:t>
      </w:r>
      <w:r>
        <w:rPr>
          <w:rFonts w:ascii="Arial Unicode MS" w:hAnsi="Arial Unicode MS" w:cs="Arial" w:hint="eastAsia"/>
          <w:bCs/>
          <w:szCs w:val="21"/>
        </w:rPr>
        <w:t>、基金推出新业务或服务；</w:t>
      </w:r>
    </w:p>
    <w:p w14:paraId="3F06A3E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、本基金发生巨额赎回并延期办理；</w:t>
      </w:r>
    </w:p>
    <w:p w14:paraId="7CCB73E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、本基金连续发生巨额赎回并暂停接受赎回申请或延缓支付赎回款项；</w:t>
      </w:r>
    </w:p>
    <w:p w14:paraId="2429E5E5"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bCs/>
          <w:szCs w:val="21"/>
        </w:rPr>
        <w:t>3</w:t>
      </w:r>
      <w:r>
        <w:rPr>
          <w:rFonts w:ascii="Arial Unicode MS" w:hAnsi="Arial Unicode MS" w:cs="Arial" w:hint="eastAsia"/>
          <w:bCs/>
          <w:szCs w:val="21"/>
        </w:rPr>
        <w:t>、基金信息披露义务人认为可能对基金份额持有人权益或者基金份额的价格产生重大影响的其他事项或中国证监会规定的其他事项。</w:t>
      </w:r>
    </w:p>
    <w:p w14:paraId="7665439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（八）澄清公告</w:t>
      </w:r>
    </w:p>
    <w:p w14:paraId="25DF5AB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在基金合同期限内，任何公共媒体中出现的或者在市场上流传的消息可能对基金份额价格产生误导性影响或者引起较大波动，以及可能损害基金份额持有人权益的，相关信息披露</w:t>
      </w:r>
      <w:r>
        <w:rPr>
          <w:rFonts w:ascii="Arial Unicode MS" w:hAnsi="Arial Unicode MS" w:cs="Arial" w:hint="eastAsia"/>
          <w:bCs/>
          <w:szCs w:val="21"/>
        </w:rPr>
        <w:lastRenderedPageBreak/>
        <w:t>义务人知悉后应当立即对该消息进行公开澄清。</w:t>
      </w:r>
    </w:p>
    <w:p w14:paraId="04A8DEC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（九）清算报告</w:t>
      </w:r>
    </w:p>
    <w:p w14:paraId="5D7825A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基金合同终止的，基金管理人应当依法组织基金财产清算小组对基金财产进行清算并作出清算报告。基金财产清算小组应当将清算报告登载在</w:t>
      </w:r>
      <w:r>
        <w:rPr>
          <w:rFonts w:ascii="Arial Unicode MS" w:hAnsi="Arial Unicode MS" w:hint="eastAsia"/>
          <w:bCs/>
          <w:szCs w:val="21"/>
        </w:rPr>
        <w:t>规定</w:t>
      </w:r>
      <w:r>
        <w:rPr>
          <w:rFonts w:ascii="Arial Unicode MS" w:hAnsi="Arial Unicode MS" w:cs="Arial" w:hint="eastAsia"/>
          <w:bCs/>
          <w:szCs w:val="21"/>
        </w:rPr>
        <w:t>网站上，并将清算报告提示性公告登载在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654966EF"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（十）基金份额持有人大会决议</w:t>
      </w:r>
    </w:p>
    <w:p w14:paraId="4BFED4E9"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基金份额持有人大会决定的事项，应当依法报中国证监会备案，并予以公告。</w:t>
      </w:r>
    </w:p>
    <w:p w14:paraId="0A3AD2A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（十一）资产支持证券的投资情况</w:t>
      </w:r>
    </w:p>
    <w:p w14:paraId="0DB0FD2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Arial Unicode MS" w:hAnsi="Arial Unicode MS" w:cs="Arial" w:hint="eastAsia"/>
          <w:bCs/>
          <w:szCs w:val="21"/>
        </w:rPr>
        <w:t>10</w:t>
      </w:r>
      <w:r>
        <w:rPr>
          <w:rFonts w:ascii="Arial Unicode MS" w:hAnsi="Arial Unicode MS" w:cs="Arial" w:hint="eastAsia"/>
          <w:bCs/>
          <w:szCs w:val="21"/>
        </w:rPr>
        <w:t>名资产支持证券明细。</w:t>
      </w:r>
    </w:p>
    <w:p w14:paraId="59EBC35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（十二）实施侧袋机制期间的信息披露</w:t>
      </w:r>
      <w:r>
        <w:rPr>
          <w:rFonts w:ascii="Arial Unicode MS" w:hAnsi="Arial Unicode MS" w:cs="Arial" w:hint="eastAsia"/>
          <w:bCs/>
          <w:szCs w:val="21"/>
        </w:rPr>
        <w:t xml:space="preserve"> </w:t>
      </w:r>
    </w:p>
    <w:p w14:paraId="44B2A199"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本基金实施侧袋机制的，相关信息披露义务人应当根据法律法规、基金合同和招募说明书的规定进行信息披露，详见招募说明书“侧袋机制”部分的规定。</w:t>
      </w:r>
    </w:p>
    <w:p w14:paraId="13EE4A1E"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（十三）中国证监会规定的其他信息。</w:t>
      </w:r>
    </w:p>
    <w:p w14:paraId="379E2B14"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六、信息披露事务管理</w:t>
      </w:r>
    </w:p>
    <w:p w14:paraId="49E7715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基金管理人、基金托管人应当建立健全信息披露管理制度，指定专门部门及高级管理人员负责管理信息披露事务。</w:t>
      </w:r>
    </w:p>
    <w:p w14:paraId="4EF4C11F"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基金信息披露义务人公开披露基金信息，应当符合中国证监会相关基金信息披露内容与格式准则等法规的规定。</w:t>
      </w:r>
    </w:p>
    <w:p w14:paraId="1EA18EE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14:paraId="36F479E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基金管理人、基金托管人应当在</w:t>
      </w:r>
      <w:r>
        <w:rPr>
          <w:rFonts w:ascii="Arial Unicode MS" w:hAnsi="Arial Unicode MS" w:hint="eastAsia"/>
          <w:bCs/>
          <w:szCs w:val="21"/>
        </w:rPr>
        <w:t>规定</w:t>
      </w:r>
      <w:r>
        <w:rPr>
          <w:rFonts w:ascii="Arial Unicode MS" w:hAnsi="Arial Unicode MS" w:cs="Arial" w:hint="eastAsia"/>
          <w:bCs/>
          <w:szCs w:val="21"/>
        </w:rPr>
        <w:t>报刊中选择一家报刊披露本基金信息。基金管理人、基金托管人应当向中国证监会基金电子披露网站报送拟披露的基金信息，并保证相关报送信息的真实、准确、完整、及时。</w:t>
      </w:r>
    </w:p>
    <w:p w14:paraId="5BF4828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基金管理人、基金托管人除依法在</w:t>
      </w:r>
      <w:r>
        <w:rPr>
          <w:rFonts w:ascii="Arial Unicode MS" w:hAnsi="Arial Unicode MS" w:hint="eastAsia"/>
          <w:bCs/>
          <w:szCs w:val="21"/>
        </w:rPr>
        <w:t>规定</w:t>
      </w:r>
      <w:r>
        <w:rPr>
          <w:rFonts w:ascii="Arial Unicode MS" w:hAnsi="Arial Unicode MS" w:cs="Arial" w:hint="eastAsia"/>
          <w:bCs/>
          <w:szCs w:val="21"/>
        </w:rPr>
        <w:t>媒介上披露信息外，还可以根据需要在其他公共媒介披露信息，但是其他公共媒介不得早于</w:t>
      </w:r>
      <w:r>
        <w:rPr>
          <w:rFonts w:ascii="Arial Unicode MS" w:hAnsi="Arial Unicode MS" w:hint="eastAsia"/>
          <w:bCs/>
          <w:szCs w:val="21"/>
        </w:rPr>
        <w:t>规定</w:t>
      </w:r>
      <w:r>
        <w:rPr>
          <w:rFonts w:ascii="Arial Unicode MS" w:hAnsi="Arial Unicode MS" w:cs="Arial" w:hint="eastAsia"/>
          <w:bCs/>
          <w:szCs w:val="21"/>
        </w:rPr>
        <w:t>媒介披露信息，并且在不同媒介上披露同一信息的内容应当一致。</w:t>
      </w:r>
    </w:p>
    <w:p w14:paraId="4E40746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w:t>
      </w:r>
      <w:r>
        <w:rPr>
          <w:rFonts w:ascii="Arial Unicode MS" w:hAnsi="Arial Unicode MS" w:cs="Arial" w:hint="eastAsia"/>
          <w:bCs/>
          <w:szCs w:val="21"/>
        </w:rPr>
        <w:lastRenderedPageBreak/>
        <w:t>前述自主披露如产生信息披露费用，该费用不得从基金财产中列支。</w:t>
      </w:r>
    </w:p>
    <w:p w14:paraId="19BF24F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为基金信息披露义务人公开披露的基金信息出具审计报告、法律意见书的专业机构，应当制作工作底稿，并将相关档案至少保存到《基金合同》终止后</w:t>
      </w:r>
      <w:r>
        <w:rPr>
          <w:rFonts w:ascii="Arial Unicode MS" w:hAnsi="Arial Unicode MS" w:cs="Arial" w:hint="eastAsia"/>
          <w:bCs/>
          <w:szCs w:val="21"/>
        </w:rPr>
        <w:t>10</w:t>
      </w:r>
      <w:r>
        <w:rPr>
          <w:rFonts w:ascii="Arial Unicode MS" w:hAnsi="Arial Unicode MS" w:cs="Arial" w:hint="eastAsia"/>
          <w:bCs/>
          <w:szCs w:val="21"/>
        </w:rPr>
        <w:t>年。</w:t>
      </w:r>
    </w:p>
    <w:p w14:paraId="54FA918A"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七、信息披露文件的存放与查阅</w:t>
      </w:r>
    </w:p>
    <w:p w14:paraId="2BAE4B9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依法必须披露的信息发布后，基金管理人、基金托管人应当按照相关法律法规规定将信息置备于公司住所，供社会公众查阅、复制。</w:t>
      </w:r>
    </w:p>
    <w:p w14:paraId="58971F1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八、暂停或延迟披露基金信息的情形</w:t>
      </w:r>
    </w:p>
    <w:p w14:paraId="388FE45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不可抗力；</w:t>
      </w:r>
    </w:p>
    <w:p w14:paraId="033869B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发生《基金合同》约定的暂停估值的情形；</w:t>
      </w:r>
    </w:p>
    <w:p w14:paraId="263BCE6C"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法律法规、《基金合同》或中国证监会规定的情况。</w:t>
      </w:r>
    </w:p>
    <w:p w14:paraId="5F6AC945" w14:textId="77777777" w:rsidR="00B804EC" w:rsidRDefault="00000000">
      <w:pPr>
        <w:widowControl/>
        <w:jc w:val="left"/>
      </w:pPr>
      <w:bookmarkStart w:id="105" w:name="_Toc147463125"/>
      <w:bookmarkStart w:id="106" w:name="_Toc21073398"/>
      <w:bookmarkStart w:id="107" w:name="_Toc317088550"/>
      <w:bookmarkStart w:id="108" w:name="_Toc320887655"/>
      <w:bookmarkStart w:id="109" w:name="_Toc12357178"/>
      <w:bookmarkStart w:id="110" w:name="_Toc317088153"/>
      <w:bookmarkStart w:id="111" w:name="_Toc214873605"/>
      <w:bookmarkStart w:id="112" w:name="_Toc335232704"/>
      <w:bookmarkEnd w:id="97"/>
      <w:bookmarkEnd w:id="98"/>
      <w:r>
        <w:br w:type="page"/>
      </w:r>
    </w:p>
    <w:p w14:paraId="1EB84A37"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113" w:name="_Toc63676451"/>
      <w:bookmarkStart w:id="114" w:name="_Toc61453056"/>
      <w:r>
        <w:rPr>
          <w:rFonts w:ascii="Arial Unicode MS" w:eastAsia="宋体" w:hAnsi="Arial Unicode MS" w:cs="Arial" w:hint="eastAsia"/>
          <w:b/>
          <w:bCs/>
          <w:sz w:val="28"/>
          <w:szCs w:val="28"/>
        </w:rPr>
        <w:lastRenderedPageBreak/>
        <w:t>第十六部分</w:t>
      </w:r>
      <w:r>
        <w:rPr>
          <w:rFonts w:ascii="Arial Unicode MS" w:eastAsia="宋体" w:hAnsi="Arial Unicode MS" w:cs="Arial" w:hint="eastAsia"/>
          <w:b/>
          <w:bCs/>
          <w:sz w:val="28"/>
          <w:szCs w:val="28"/>
        </w:rPr>
        <w:t xml:space="preserve">  </w:t>
      </w:r>
      <w:r>
        <w:rPr>
          <w:rFonts w:ascii="Arial Unicode MS" w:eastAsia="宋体" w:hAnsi="Arial Unicode MS" w:cs="Arial" w:hint="eastAsia"/>
          <w:b/>
          <w:bCs/>
          <w:sz w:val="28"/>
          <w:szCs w:val="28"/>
        </w:rPr>
        <w:t>侧袋机制</w:t>
      </w:r>
      <w:bookmarkEnd w:id="113"/>
      <w:bookmarkEnd w:id="114"/>
    </w:p>
    <w:p w14:paraId="1F03D3E8" w14:textId="77777777" w:rsidR="00B804EC" w:rsidRDefault="00B804EC"/>
    <w:p w14:paraId="70E54066"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一、侧袋机制的实施条件</w:t>
      </w:r>
    </w:p>
    <w:p w14:paraId="25E47015"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7ACA62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基金管理人应当在启用侧袋机制后及时发布临时公告，并及时聘请侧袋机制启用日发表意见且符合《中华人民共和国证券法》规定的会计师事务所进行审计并披露专项审计意见。</w:t>
      </w:r>
    </w:p>
    <w:p w14:paraId="456FF04D"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二、实施侧袋机制期间基金份额的申购与赎回</w:t>
      </w:r>
    </w:p>
    <w:p w14:paraId="72629FA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C938FCD"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实施侧袋机制期间，基金管理人应对侧袋账户份额实行独立管理，主袋账户沿用原基金代码，侧袋账户使用独立的基金代码。基金管理人不办理侧袋账户份额的申购、赎回和转换；同时，基金管理人按照基金合同和招募说明书的约定办理主袋账户份额的赎回，并根据主袋账户运作情况确定是否暂停申购，具体事项届时将由基金管理人在相关公告中规定。</w:t>
      </w:r>
    </w:p>
    <w:p w14:paraId="540085E9"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基金管理人应按照主袋账户的份额净值办理主袋账户份额的申购和赎回。本招募说明书“基金份额的申购与赎回”部分的申购、赎回规定适用于主袋账户份额。巨额赎回按照单个开放日内主袋账户份额净赎回申请超过前一开放日的主袋账户总份额的</w:t>
      </w:r>
      <w:r>
        <w:rPr>
          <w:rFonts w:ascii="Arial Unicode MS" w:hAnsi="Arial Unicode MS" w:cs="Arial"/>
          <w:bCs/>
          <w:szCs w:val="21"/>
        </w:rPr>
        <w:t>1</w:t>
      </w:r>
      <w:r>
        <w:rPr>
          <w:rFonts w:ascii="Arial Unicode MS" w:hAnsi="Arial Unicode MS" w:cs="Arial" w:hint="eastAsia"/>
          <w:bCs/>
          <w:szCs w:val="21"/>
        </w:rPr>
        <w:t>0%</w:t>
      </w:r>
      <w:r>
        <w:rPr>
          <w:rFonts w:ascii="Arial Unicode MS" w:hAnsi="Arial Unicode MS" w:cs="Arial" w:hint="eastAsia"/>
          <w:bCs/>
          <w:szCs w:val="21"/>
        </w:rPr>
        <w:t>认定。</w:t>
      </w:r>
    </w:p>
    <w:p w14:paraId="331E1EB3"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三、实施侧袋机制期间的基金投资及业绩</w:t>
      </w:r>
    </w:p>
    <w:p w14:paraId="258C97D0"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1DA8D7C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基金管理人原则上应当在侧袋机制启用后</w:t>
      </w:r>
      <w:r>
        <w:rPr>
          <w:rFonts w:ascii="Arial Unicode MS" w:hAnsi="Arial Unicode MS" w:cs="Arial" w:hint="eastAsia"/>
          <w:bCs/>
          <w:szCs w:val="21"/>
        </w:rPr>
        <w:t>20</w:t>
      </w:r>
      <w:r>
        <w:rPr>
          <w:rFonts w:ascii="Arial Unicode MS" w:hAnsi="Arial Unicode MS" w:cs="Arial" w:hint="eastAsia"/>
          <w:bCs/>
          <w:szCs w:val="21"/>
        </w:rPr>
        <w:t>个交易日内完成对主袋账户投资组合的调整，因资产流动性受限等中国证监会规定的情形除外。</w:t>
      </w:r>
    </w:p>
    <w:p w14:paraId="716B0FF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基金管理人不得在侧袋账户中进行除特定资产处置变现以外的其他投资操作。</w:t>
      </w:r>
    </w:p>
    <w:p w14:paraId="3350375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基金管理人、基金服务机构在计算基金业绩相关指标时仅考虑主袋账户资产，分割侧袋账户资产导致的基金净资产减少在计算基金业绩相关指标时按投资损失处理。基金管理人、基金服务机构在展示基金业绩时，应当就前述情况进行充分的解释说明，避免引起投资者误解。</w:t>
      </w:r>
    </w:p>
    <w:p w14:paraId="27670E72"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四、实施侧袋机制期间的基金估值与会计核算</w:t>
      </w:r>
    </w:p>
    <w:p w14:paraId="37A1F41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本基金实施侧袋机制的，基金管理人和基金托管人应对主袋账户资产进行估值并披露主</w:t>
      </w:r>
      <w:r>
        <w:rPr>
          <w:rFonts w:ascii="Arial Unicode MS" w:hAnsi="Arial Unicode MS" w:cs="Arial" w:hint="eastAsia"/>
          <w:bCs/>
          <w:szCs w:val="21"/>
        </w:rPr>
        <w:lastRenderedPageBreak/>
        <w:t>袋账户的基金净值信息，暂停披露侧袋账户的基金净值信息。侧袋机制实施期间，基金管理人应对侧袋账户单独设置账套，实行独立核算。如果本基金同时存在多个侧袋账户，不同侧袋账户应分开进行核算。侧袋账户的会计核算应符合《企业会计准则》的相关要求。</w:t>
      </w:r>
    </w:p>
    <w:p w14:paraId="5B1E1DE6" w14:textId="77777777" w:rsidR="00B804EC" w:rsidRDefault="00000000">
      <w:pPr>
        <w:snapToGrid w:val="0"/>
        <w:spacing w:line="360" w:lineRule="auto"/>
        <w:ind w:firstLineChars="200" w:firstLine="422"/>
        <w:rPr>
          <w:rFonts w:ascii="Arial Unicode MS" w:hAnsi="Arial Unicode MS" w:cs="Arial" w:hint="eastAsia"/>
          <w:bCs/>
          <w:szCs w:val="21"/>
        </w:rPr>
      </w:pPr>
      <w:r>
        <w:rPr>
          <w:rFonts w:ascii="Arial Unicode MS" w:hAnsi="Arial Unicode MS" w:cs="Arial" w:hint="eastAsia"/>
          <w:b/>
          <w:bCs/>
          <w:szCs w:val="21"/>
        </w:rPr>
        <w:t>五、实施侧袋机制期间的基金费用</w:t>
      </w:r>
    </w:p>
    <w:p w14:paraId="2D6DF0F3"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主袋账户的管理费、托管费和销售服务费按主袋账户基金资产净值作为基数计提；与侧袋账户有关的费用可从侧袋账户中列支，但应待侧袋账户资产变现后方可列支，有关费用可酌情收取或减免，但不得收取管理费，其他费用详见相关公告的规定。因启用侧袋机制产生的咨询、审计费用等由基金管理人承担。</w:t>
      </w:r>
    </w:p>
    <w:p w14:paraId="6DC15F6F"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六、侧袋账户中特定资产的处置变现和支付</w:t>
      </w:r>
    </w:p>
    <w:p w14:paraId="2E771844"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特定资产以可出售、可转让、恢复交易等方式恢复流动性后，基金管理人应当按照基金份额持有人利益最大化原则，采取将特定资产予以处置变现等方式，及时向侧袋账户份额持有人支付对应变现款项。</w:t>
      </w:r>
    </w:p>
    <w:p w14:paraId="29EAB4C2"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C2537F7"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侧袋账户资产全部完成变现并终止侧袋机制后，基金管理人应及时聘请符合《中华人民共和国证券法》规定的会计师事务所进行审计并披露专项审计意见。</w:t>
      </w:r>
    </w:p>
    <w:p w14:paraId="2AE0CF2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侧袋账户资产完全清算后，基金管理人应注销侧袋账户。</w:t>
      </w:r>
    </w:p>
    <w:p w14:paraId="0D76FB02"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七、侧袋机制的信息披露</w:t>
      </w:r>
    </w:p>
    <w:p w14:paraId="28884349"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、临时公告</w:t>
      </w:r>
    </w:p>
    <w:p w14:paraId="0E8A0CE8"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在启用侧袋机制、处置特定资产、终止侧袋机制以及发生其他可能对投资者利益产生重大影响的事项后基金管理人应及时发布临时公告。</w:t>
      </w:r>
    </w:p>
    <w:p w14:paraId="611DDB66"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、基金净值信息</w:t>
      </w:r>
    </w:p>
    <w:p w14:paraId="5176BDF5"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按照招募说明书“基金的信息披露”部分规定的基金净值信息披露方式和频率披露主袋账户份额的各类基金份额净值和基金份额累计净值。实施侧袋机制期间，本基金暂停披露侧袋账户的基金净值信息。</w:t>
      </w:r>
    </w:p>
    <w:p w14:paraId="53623B0A"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、定期报告</w:t>
      </w:r>
    </w:p>
    <w:p w14:paraId="7A7FE311" w14:textId="77777777" w:rsidR="00B804EC"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基金管理人应当在基金定期报告中披露报告期内侧袋账户相关信息，基金定期报告中的基金会计报表仅需针对主袋账户进行编制。侧袋账户相关信息在定期报告中单独进行披露。会计师事务所对基金年度报告进行审计时，应对报告期内基金侧袋机制运行相关的会计核算和年度报告披露，执行适当程序并发表审计意见。</w:t>
      </w:r>
    </w:p>
    <w:p w14:paraId="17370DB9" w14:textId="77777777" w:rsidR="00B804EC"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八、本部分关于侧袋机制的相关规定，凡是直接引用法律法规的部分，如将来法律法规修改导致相关内容被取消或变更的，或将来法律法规或监管规则针对侧袋机制的内容有</w:t>
      </w:r>
      <w:r>
        <w:rPr>
          <w:rFonts w:ascii="Arial Unicode MS" w:hAnsi="Arial Unicode MS" w:cs="Arial" w:hint="eastAsia"/>
          <w:b/>
          <w:bCs/>
          <w:szCs w:val="21"/>
        </w:rPr>
        <w:lastRenderedPageBreak/>
        <w:t>进一步规定的，基金管理人经与基金托管人协商一致并履行适当程序后，在对基金份额持有人利益无实质性不利影响的前提下，可直接对本部分内容进行修改和调整，无需召开基金份额持有人大会审议。</w:t>
      </w:r>
    </w:p>
    <w:p w14:paraId="36162024" w14:textId="77777777" w:rsidR="00B804EC" w:rsidRDefault="00B804EC">
      <w:pPr>
        <w:snapToGrid w:val="0"/>
        <w:spacing w:line="360" w:lineRule="auto"/>
        <w:ind w:firstLineChars="200" w:firstLine="420"/>
        <w:rPr>
          <w:rFonts w:ascii="Arial Unicode MS" w:hAnsi="Arial Unicode MS" w:cs="Arial" w:hint="eastAsia"/>
          <w:bCs/>
          <w:szCs w:val="21"/>
        </w:rPr>
      </w:pPr>
    </w:p>
    <w:p w14:paraId="09DBC5D2" w14:textId="77777777" w:rsidR="00B804EC" w:rsidRDefault="00B804EC"/>
    <w:p w14:paraId="4F40BA5E" w14:textId="77777777" w:rsidR="00B804EC" w:rsidRDefault="00B804EC"/>
    <w:p w14:paraId="013A8104" w14:textId="77777777" w:rsidR="00B804EC" w:rsidRDefault="00B804EC"/>
    <w:p w14:paraId="3C743A44" w14:textId="77777777" w:rsidR="00B804EC" w:rsidRDefault="00B804EC"/>
    <w:p w14:paraId="51EC04F1" w14:textId="77777777" w:rsidR="00B804EC" w:rsidRDefault="00B804EC"/>
    <w:p w14:paraId="6686665E" w14:textId="77777777" w:rsidR="00B804EC" w:rsidRDefault="00B804EC"/>
    <w:p w14:paraId="4D1215AA" w14:textId="77777777" w:rsidR="00B804EC" w:rsidRDefault="00B804EC"/>
    <w:p w14:paraId="49D5FBB7" w14:textId="77777777" w:rsidR="00B804EC" w:rsidRDefault="00B804EC"/>
    <w:p w14:paraId="312676F8" w14:textId="77777777" w:rsidR="00B804EC" w:rsidRDefault="00B804EC"/>
    <w:p w14:paraId="2BAED99E" w14:textId="77777777" w:rsidR="00B804EC" w:rsidRDefault="00B804EC"/>
    <w:p w14:paraId="6DDF4DD9" w14:textId="77777777" w:rsidR="00B804EC" w:rsidRDefault="00B804EC"/>
    <w:p w14:paraId="2ABA7AAA" w14:textId="77777777" w:rsidR="00B804EC" w:rsidRDefault="00B804EC"/>
    <w:p w14:paraId="4F0096E9" w14:textId="77777777" w:rsidR="00B804EC" w:rsidRDefault="00B804EC"/>
    <w:p w14:paraId="64AA499A" w14:textId="77777777" w:rsidR="00B804EC" w:rsidRDefault="00B804EC"/>
    <w:p w14:paraId="73D6746E" w14:textId="77777777" w:rsidR="00B804EC" w:rsidRDefault="00B804EC"/>
    <w:p w14:paraId="053D97DA" w14:textId="77777777" w:rsidR="00B804EC" w:rsidRDefault="00B804EC"/>
    <w:p w14:paraId="26F72B49" w14:textId="77777777" w:rsidR="00B804EC" w:rsidRDefault="00B804EC"/>
    <w:p w14:paraId="734465FC" w14:textId="77777777" w:rsidR="00B804EC" w:rsidRDefault="00B804EC"/>
    <w:p w14:paraId="220965EA" w14:textId="77777777" w:rsidR="00B804EC" w:rsidRDefault="00B804EC"/>
    <w:p w14:paraId="5D97951A" w14:textId="77777777" w:rsidR="00B804EC" w:rsidRDefault="00B804EC"/>
    <w:p w14:paraId="1B3FF125" w14:textId="77777777" w:rsidR="00B804EC" w:rsidRDefault="00B804EC"/>
    <w:p w14:paraId="7F12E517" w14:textId="77777777" w:rsidR="00B804EC" w:rsidRDefault="00B804EC"/>
    <w:p w14:paraId="12EB9C98" w14:textId="77777777" w:rsidR="00B804EC" w:rsidRDefault="00B804EC"/>
    <w:p w14:paraId="73E322CC" w14:textId="77777777" w:rsidR="00B804EC" w:rsidRDefault="00B804EC"/>
    <w:p w14:paraId="6BBAD30F" w14:textId="77777777" w:rsidR="00B804EC" w:rsidRDefault="00B804EC"/>
    <w:p w14:paraId="793FD677" w14:textId="77777777" w:rsidR="00B804EC" w:rsidRDefault="00B804EC"/>
    <w:p w14:paraId="2113825A" w14:textId="77777777" w:rsidR="00B804EC" w:rsidRDefault="00B804EC"/>
    <w:p w14:paraId="047C7890" w14:textId="77777777" w:rsidR="00B804EC" w:rsidRDefault="00B804EC"/>
    <w:p w14:paraId="3629D2D4" w14:textId="77777777" w:rsidR="00B804EC" w:rsidRDefault="00B804EC"/>
    <w:p w14:paraId="7D89D06D" w14:textId="77777777" w:rsidR="00B804EC" w:rsidRDefault="00B804EC"/>
    <w:p w14:paraId="2B0DD564" w14:textId="77777777" w:rsidR="00B804EC" w:rsidRDefault="00B804EC"/>
    <w:p w14:paraId="4CC03777" w14:textId="77777777" w:rsidR="00B804EC" w:rsidRDefault="00B804EC"/>
    <w:p w14:paraId="051CBDC8" w14:textId="77777777" w:rsidR="00B804EC" w:rsidRDefault="00B804EC"/>
    <w:p w14:paraId="3AA94433" w14:textId="77777777" w:rsidR="00B804EC" w:rsidRDefault="00B804EC"/>
    <w:p w14:paraId="0AAA2841" w14:textId="77777777" w:rsidR="00B804EC" w:rsidRDefault="00B804EC"/>
    <w:p w14:paraId="3CD70348" w14:textId="77777777" w:rsidR="00B804EC" w:rsidRDefault="00B804EC"/>
    <w:p w14:paraId="1FA5A771" w14:textId="77777777" w:rsidR="00B804EC" w:rsidRDefault="00B804EC"/>
    <w:p w14:paraId="31155C10" w14:textId="77777777" w:rsidR="00B804EC" w:rsidRDefault="00B804EC"/>
    <w:p w14:paraId="1B79ACA1" w14:textId="77777777" w:rsidR="00B804EC" w:rsidRDefault="00B804EC"/>
    <w:p w14:paraId="25E055A9" w14:textId="77777777" w:rsidR="00B804EC" w:rsidRDefault="00000000">
      <w:pPr>
        <w:widowControl/>
        <w:jc w:val="left"/>
      </w:pPr>
      <w:r>
        <w:br w:type="page"/>
      </w:r>
    </w:p>
    <w:p w14:paraId="2A42FE93" w14:textId="77777777" w:rsidR="00B804EC" w:rsidRDefault="00000000">
      <w:pPr>
        <w:pStyle w:val="11"/>
        <w:snapToGrid w:val="0"/>
        <w:spacing w:before="0" w:after="0" w:line="360" w:lineRule="auto"/>
        <w:rPr>
          <w:rFonts w:ascii="Arial Unicode MS" w:eastAsia="宋体" w:hAnsi="Arial Unicode MS" w:hint="eastAsia"/>
          <w:b/>
          <w:sz w:val="28"/>
          <w:szCs w:val="28"/>
        </w:rPr>
      </w:pPr>
      <w:bookmarkStart w:id="115" w:name="_Toc63676452"/>
      <w:r>
        <w:rPr>
          <w:rFonts w:ascii="Arial Unicode MS" w:eastAsia="宋体" w:hAnsi="Arial Unicode MS" w:cs="Arial"/>
          <w:b/>
          <w:bCs/>
          <w:sz w:val="28"/>
          <w:szCs w:val="28"/>
        </w:rPr>
        <w:lastRenderedPageBreak/>
        <w:t>第</w:t>
      </w:r>
      <w:r>
        <w:rPr>
          <w:rFonts w:ascii="Arial Unicode MS" w:eastAsia="宋体" w:hAnsi="Arial Unicode MS"/>
          <w:b/>
          <w:sz w:val="28"/>
          <w:szCs w:val="28"/>
        </w:rPr>
        <w:t>十</w:t>
      </w:r>
      <w:r>
        <w:rPr>
          <w:rFonts w:ascii="Arial Unicode MS" w:eastAsia="宋体" w:hAnsi="Arial Unicode MS" w:hint="eastAsia"/>
          <w:b/>
          <w:sz w:val="28"/>
          <w:szCs w:val="28"/>
        </w:rPr>
        <w:t>七</w:t>
      </w:r>
      <w:r>
        <w:rPr>
          <w:rFonts w:ascii="Arial Unicode MS" w:eastAsia="宋体" w:hAnsi="Arial Unicode MS"/>
          <w:b/>
          <w:sz w:val="28"/>
          <w:szCs w:val="28"/>
        </w:rPr>
        <w:t>部分</w:t>
      </w:r>
      <w:r>
        <w:rPr>
          <w:rFonts w:ascii="Arial Unicode MS" w:eastAsia="宋体" w:hAnsi="Arial Unicode MS"/>
          <w:b/>
          <w:sz w:val="28"/>
          <w:szCs w:val="28"/>
        </w:rPr>
        <w:t xml:space="preserve">  </w:t>
      </w:r>
      <w:r>
        <w:rPr>
          <w:rFonts w:ascii="Arial Unicode MS" w:eastAsia="宋体" w:hAnsi="Arial Unicode MS"/>
          <w:b/>
          <w:sz w:val="28"/>
          <w:szCs w:val="28"/>
        </w:rPr>
        <w:t>风险揭示</w:t>
      </w:r>
      <w:bookmarkEnd w:id="105"/>
      <w:bookmarkEnd w:id="106"/>
      <w:bookmarkEnd w:id="107"/>
      <w:bookmarkEnd w:id="108"/>
      <w:bookmarkEnd w:id="109"/>
      <w:bookmarkEnd w:id="110"/>
      <w:bookmarkEnd w:id="111"/>
      <w:bookmarkEnd w:id="112"/>
      <w:bookmarkEnd w:id="115"/>
    </w:p>
    <w:p w14:paraId="672D207F" w14:textId="77777777" w:rsidR="00B804EC" w:rsidRDefault="00B804EC"/>
    <w:p w14:paraId="494492D6" w14:textId="77777777" w:rsidR="00B804EC"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一、投资于本基金的主要风险</w:t>
      </w:r>
    </w:p>
    <w:p w14:paraId="66C1E86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投资于本基金的主要风险有：</w:t>
      </w:r>
    </w:p>
    <w:p w14:paraId="37FD3D90"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、市场风险</w:t>
      </w:r>
    </w:p>
    <w:p w14:paraId="092F931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证券市场价格受到各种因素的影响，导致基金收益水平变化而产生风险，主要包括：</w:t>
      </w:r>
    </w:p>
    <w:p w14:paraId="012B4BD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）政策风险。因国家宏观政策（如货币政策、财政政策、行业政策、地区发展政策等）发生变化，导致市场价格波动而产生风险。</w:t>
      </w:r>
    </w:p>
    <w:p w14:paraId="7508AF65"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）经济周期风险。随着经济运行的周期性变化，证券市场的收益水平也呈周期性变化。本基金主要投资于债券，收益水平也会随之变化，从而产生风险。</w:t>
      </w:r>
    </w:p>
    <w:p w14:paraId="693DBC69"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）利率风险。金融市场利率的波动会导致证券市场价格和收益率的变动。</w:t>
      </w:r>
    </w:p>
    <w:p w14:paraId="00720428"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）通货膨胀风险。如果发生通货膨胀，基金投资于证券所获得的收益可能会被通货膨胀抵消，从而影响基金资产的保值增值。</w:t>
      </w:r>
    </w:p>
    <w:p w14:paraId="3116173F"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）再投资风险。再投资风险反映了利率下降对固定收益证券利息收入再投资收益的影响，这与利率上升所带来的价格风险（即利率风险）互为消长。</w:t>
      </w:r>
    </w:p>
    <w:p w14:paraId="3786A5E1"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、信用风险</w:t>
      </w:r>
    </w:p>
    <w:p w14:paraId="43966D7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14:paraId="7CF30DCD"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、流动性风险</w:t>
      </w:r>
    </w:p>
    <w:p w14:paraId="136576E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流动性风险是指因证券市场交易量不足，导致证券不能迅速、低成本地变现的风险。流动性风险还包括基金出现巨额赎回，致使没有足够的现金应付赎回支付所引致的风险。</w:t>
      </w:r>
    </w:p>
    <w:p w14:paraId="3690028B" w14:textId="77777777" w:rsidR="00B804EC" w:rsidRDefault="00000000">
      <w:pPr>
        <w:pStyle w:val="afff0"/>
        <w:numPr>
          <w:ilvl w:val="0"/>
          <w:numId w:val="6"/>
        </w:numPr>
        <w:adjustRightInd w:val="0"/>
        <w:snapToGrid w:val="0"/>
        <w:ind w:firstLineChars="0"/>
        <w:rPr>
          <w:rFonts w:ascii="Arial Unicode MS" w:hAnsi="Arial Unicode MS" w:hint="eastAsia"/>
          <w:bCs w:val="0"/>
        </w:rPr>
      </w:pPr>
      <w:r>
        <w:rPr>
          <w:rFonts w:ascii="Arial Unicode MS" w:hAnsi="Arial Unicode MS" w:hint="eastAsia"/>
        </w:rPr>
        <w:t>本基金的申购、赎回安排</w:t>
      </w:r>
    </w:p>
    <w:p w14:paraId="4DBE5AE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投资人具体请参见基金合同“第六部分</w:t>
      </w:r>
      <w:r>
        <w:rPr>
          <w:rFonts w:ascii="Arial Unicode MS" w:hAnsi="Arial Unicode MS" w:cs="Arial" w:hint="eastAsia"/>
          <w:bCs/>
          <w:szCs w:val="21"/>
        </w:rPr>
        <w:t xml:space="preserve"> </w:t>
      </w:r>
      <w:r>
        <w:rPr>
          <w:rFonts w:ascii="Arial Unicode MS" w:hAnsi="Arial Unicode MS" w:cs="Arial" w:hint="eastAsia"/>
          <w:bCs/>
          <w:szCs w:val="21"/>
        </w:rPr>
        <w:t>基金份额的申购与赎回”和本招募说明书“第八部分</w:t>
      </w:r>
      <w:r>
        <w:rPr>
          <w:rFonts w:ascii="Arial Unicode MS" w:hAnsi="Arial Unicode MS" w:cs="Arial" w:hint="eastAsia"/>
          <w:bCs/>
          <w:szCs w:val="21"/>
        </w:rPr>
        <w:t xml:space="preserve"> </w:t>
      </w:r>
      <w:r>
        <w:rPr>
          <w:rFonts w:ascii="Arial Unicode MS" w:hAnsi="Arial Unicode MS" w:cs="Arial" w:hint="eastAsia"/>
          <w:bCs/>
          <w:szCs w:val="21"/>
        </w:rPr>
        <w:t>基金份额的申购与赎回”，详细了解本基金的申购以及赎回安排。</w:t>
      </w:r>
    </w:p>
    <w:p w14:paraId="1AB2F411"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本基金发生流动性风险时，基金管理人可以综合利用备用的流动性风险管理工具以减少或应对基金的流动性风险，投资者可能面临赎回申请被暂停接受或延期办理、赎回款项被延缓支付、被收取短期赎回费、基金估值被暂停、基金采用摆动定价等风险。投资者应该了解自身的流动性偏好，并评估是否与本基金的流动性风险匹配。</w:t>
      </w:r>
    </w:p>
    <w:p w14:paraId="5E49EBF8" w14:textId="77777777" w:rsidR="00B804EC" w:rsidRDefault="00000000">
      <w:pPr>
        <w:pStyle w:val="afff0"/>
        <w:numPr>
          <w:ilvl w:val="0"/>
          <w:numId w:val="6"/>
        </w:numPr>
        <w:adjustRightInd w:val="0"/>
        <w:snapToGrid w:val="0"/>
        <w:ind w:firstLineChars="0"/>
        <w:rPr>
          <w:rFonts w:ascii="Arial Unicode MS" w:hAnsi="Arial Unicode MS" w:hint="eastAsia"/>
          <w:bCs w:val="0"/>
        </w:rPr>
      </w:pPr>
      <w:r>
        <w:rPr>
          <w:rFonts w:ascii="Arial Unicode MS" w:hAnsi="Arial Unicode MS" w:hint="eastAsia"/>
        </w:rPr>
        <w:t>拟投资市场、行业及资产的流动性风险评估</w:t>
      </w:r>
    </w:p>
    <w:p w14:paraId="54EE60F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本基金的投资市场主要为证券交易所、全国银行间债券市场等流动性较好的规范型交易</w:t>
      </w:r>
      <w:r>
        <w:rPr>
          <w:rFonts w:ascii="Arial Unicode MS" w:hAnsi="Arial Unicode MS" w:cs="Arial" w:hint="eastAsia"/>
          <w:bCs/>
          <w:szCs w:val="21"/>
        </w:rPr>
        <w:lastRenderedPageBreak/>
        <w:t>场所，主要投资于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相关规定）。资本市场成交活跃程度、基金持仓资产的变现能力以及投资者的申购</w:t>
      </w:r>
      <w:r>
        <w:rPr>
          <w:rFonts w:ascii="Arial Unicode MS" w:hAnsi="Arial Unicode MS" w:cs="Arial" w:hint="eastAsia"/>
          <w:bCs/>
          <w:szCs w:val="21"/>
        </w:rPr>
        <w:t>/</w:t>
      </w:r>
      <w:r>
        <w:rPr>
          <w:rFonts w:ascii="Arial Unicode MS" w:hAnsi="Arial Unicode MS" w:cs="Arial" w:hint="eastAsia"/>
          <w:bCs/>
          <w:szCs w:val="21"/>
        </w:rPr>
        <w:t>赎回行为将对本基金所面临的流动性风险产生直接影响。资本市场成交量低迷、基金持仓集中度过高、基金资产变现能力下降、单一基金份额持有人持有基金份额比例过高等因素，将使得本基金面临流动性风险在本基金的投资运作过程中，基金管理人将充分评估本基金所面临的流动性风险，并根据基金合同的约定及实际情况，合理采取控制基金份额持有人集中度，审慎确认大额申购申请设定、单一投资者申购金额上限、综合运用延期办理巨额赎回申请等各类流动性风险管理工具、降低基金资产持仓集中度、降低流动受限资产投资比例等措施，有效防范本基金所面临的流动性风险。</w:t>
      </w:r>
    </w:p>
    <w:p w14:paraId="3E578AE6"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）巨额赎回情形下的流动性风险管理措施</w:t>
      </w:r>
      <w:r>
        <w:rPr>
          <w:rFonts w:ascii="Arial Unicode MS" w:hAnsi="Arial Unicode MS" w:cs="Arial" w:hint="eastAsia"/>
          <w:bCs/>
          <w:szCs w:val="21"/>
        </w:rPr>
        <w:t xml:space="preserve"> </w:t>
      </w:r>
    </w:p>
    <w:p w14:paraId="3F78689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出现巨额赎回情形下，基金管理人可以根据基金当时的资产组合状况或巨额赎回份额占比情况决定全额赎回或部分延期赎回。同时，如本基金单个基金份额持有人在单个开放日申请赎回基金份额超过前一开放日基金总份额一定比例以上的，基金管理人有权对其采取延期办理赎回申请的措施。</w:t>
      </w:r>
    </w:p>
    <w:p w14:paraId="0951CDFD"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）实施备用的流动性风险管理工具的情形、程序及对投资者的潜在影响</w:t>
      </w:r>
    </w:p>
    <w:p w14:paraId="225827EC"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暂停基金估值、摆动定价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包括但不限于：</w:t>
      </w:r>
    </w:p>
    <w:p w14:paraId="2B004760"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ab/>
      </w:r>
      <w:r>
        <w:rPr>
          <w:rFonts w:ascii="Arial Unicode MS" w:hAnsi="Arial Unicode MS" w:cs="Arial" w:hint="eastAsia"/>
          <w:bCs/>
          <w:szCs w:val="21"/>
        </w:rPr>
        <w:t>延期办理巨额赎回申请</w:t>
      </w:r>
    </w:p>
    <w:p w14:paraId="44BF0205"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投资人具体请参见本招募说明书“基金份额的申购与赎回”章节中“巨额赎回的情形及处理方式”的相关内容。</w:t>
      </w:r>
    </w:p>
    <w:p w14:paraId="6EBD52F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当本基金出现上述情形时，本基金可能无法及时满足所有投资人的赎回申请，投资人收到赎回款项的时间也可能晚于预期。</w:t>
      </w:r>
    </w:p>
    <w:p w14:paraId="702546DD"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ab/>
      </w:r>
      <w:r>
        <w:rPr>
          <w:rFonts w:ascii="Arial Unicode MS" w:hAnsi="Arial Unicode MS" w:cs="Arial" w:hint="eastAsia"/>
          <w:bCs/>
          <w:szCs w:val="21"/>
        </w:rPr>
        <w:t>暂停接受赎回申请</w:t>
      </w:r>
    </w:p>
    <w:p w14:paraId="611C8AD6"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投资人具体请参见本招募说明书“基金份额的申购与赎回”章节中“暂停赎回申请或延</w:t>
      </w:r>
      <w:r>
        <w:rPr>
          <w:rFonts w:ascii="Arial Unicode MS" w:hAnsi="Arial Unicode MS" w:cs="Arial" w:hint="eastAsia"/>
          <w:bCs/>
          <w:szCs w:val="21"/>
        </w:rPr>
        <w:lastRenderedPageBreak/>
        <w:t>缓支付赎回款项的情形”，详细了解本基金暂停接受赎回申请的情形及程序。</w:t>
      </w:r>
    </w:p>
    <w:p w14:paraId="1F072C01"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在此情形下，投资人的部分或全部赎回申请可能被拒绝，同时投资人完成基金赎回时的基金份额净值可能与其提交赎回申请时的基金份额净值不同。</w:t>
      </w:r>
    </w:p>
    <w:p w14:paraId="712FEA4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ab/>
      </w:r>
      <w:r>
        <w:rPr>
          <w:rFonts w:ascii="Arial Unicode MS" w:hAnsi="Arial Unicode MS" w:cs="Arial" w:hint="eastAsia"/>
          <w:bCs/>
          <w:szCs w:val="21"/>
        </w:rPr>
        <w:t>延缓支付赎回款项</w:t>
      </w:r>
    </w:p>
    <w:p w14:paraId="563C2778"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投资人具体请参见本招募说明书“基金份额的申购与赎回”章节中“暂停赎回申请或延缓支付赎回款项的情形”，和“巨额赎回的情形及处理方式”，详细了解本基金延缓支付赎回款项的情形及程序。</w:t>
      </w:r>
    </w:p>
    <w:p w14:paraId="5CC319E8"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在此情形下，投资人收到赎回款项的时间将可能比一般正常情形下有所延迟。</w:t>
      </w:r>
    </w:p>
    <w:p w14:paraId="43C5C806"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ab/>
      </w:r>
      <w:r>
        <w:rPr>
          <w:rFonts w:ascii="Arial Unicode MS" w:hAnsi="Arial Unicode MS" w:cs="Arial" w:hint="eastAsia"/>
          <w:bCs/>
          <w:szCs w:val="21"/>
        </w:rPr>
        <w:t>收取短期赎回费</w:t>
      </w:r>
    </w:p>
    <w:p w14:paraId="159779D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本基金对持续持有期限少于</w:t>
      </w:r>
      <w:r>
        <w:rPr>
          <w:rFonts w:ascii="Arial Unicode MS" w:hAnsi="Arial Unicode MS" w:cs="Arial" w:hint="eastAsia"/>
          <w:bCs/>
          <w:szCs w:val="21"/>
        </w:rPr>
        <w:t>7</w:t>
      </w:r>
      <w:r>
        <w:rPr>
          <w:rFonts w:ascii="Arial Unicode MS" w:hAnsi="Arial Unicode MS" w:cs="Arial" w:hint="eastAsia"/>
          <w:bCs/>
          <w:szCs w:val="21"/>
        </w:rPr>
        <w:t>天的投资者收取不低于</w:t>
      </w:r>
      <w:r>
        <w:rPr>
          <w:rFonts w:ascii="Arial Unicode MS" w:hAnsi="Arial Unicode MS" w:cs="Arial" w:hint="eastAsia"/>
          <w:bCs/>
          <w:szCs w:val="21"/>
        </w:rPr>
        <w:t>1.5%</w:t>
      </w:r>
      <w:r>
        <w:rPr>
          <w:rFonts w:ascii="Arial Unicode MS" w:hAnsi="Arial Unicode MS" w:cs="Arial" w:hint="eastAsia"/>
          <w:bCs/>
          <w:szCs w:val="21"/>
        </w:rPr>
        <w:t>的赎回费，并将上述赎回费全额计入基金财产。</w:t>
      </w:r>
    </w:p>
    <w:p w14:paraId="6F2A7AB5"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ab/>
      </w:r>
      <w:r>
        <w:rPr>
          <w:rFonts w:ascii="Arial Unicode MS" w:hAnsi="Arial Unicode MS" w:cs="Arial" w:hint="eastAsia"/>
          <w:bCs/>
          <w:szCs w:val="21"/>
        </w:rPr>
        <w:t>暂停基金估值</w:t>
      </w:r>
    </w:p>
    <w:p w14:paraId="4BB25BC7"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资产的估值”章节中“暂停估值的情形”，详细了解本基金暂停估值的情形及程序。在此情形下，投资人没有可供参考的基金份额净值，同时赎回申请可能被延期办理或被暂停接受，或被延缓支付赎回款项。</w:t>
      </w:r>
    </w:p>
    <w:p w14:paraId="1477BC09"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ab/>
      </w:r>
      <w:r>
        <w:rPr>
          <w:rFonts w:ascii="Arial Unicode MS" w:hAnsi="Arial Unicode MS" w:cs="Arial" w:hint="eastAsia"/>
          <w:bCs/>
          <w:szCs w:val="21"/>
        </w:rPr>
        <w:t>摆动定价</w:t>
      </w:r>
    </w:p>
    <w:p w14:paraId="50755779"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8184DFD"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ab/>
      </w:r>
      <w:r>
        <w:rPr>
          <w:rFonts w:ascii="Arial Unicode MS" w:hAnsi="Arial Unicode MS" w:cs="Arial" w:hint="eastAsia"/>
          <w:bCs/>
          <w:szCs w:val="21"/>
        </w:rPr>
        <w:t>法律法规规定、中国证监会认定或基金合同约定的其他措施。</w:t>
      </w:r>
    </w:p>
    <w:p w14:paraId="3774D28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）实施侧袋机制对投资者的影响</w:t>
      </w:r>
    </w:p>
    <w:p w14:paraId="17BCD6E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按规定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28CA080"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w:t>
      </w:r>
      <w:r>
        <w:rPr>
          <w:rFonts w:ascii="Arial Unicode MS" w:hAnsi="Arial Unicode MS" w:cs="Arial" w:hint="eastAsia"/>
          <w:bCs/>
          <w:szCs w:val="21"/>
        </w:rPr>
        <w:lastRenderedPageBreak/>
        <w:t>理人不承担任何保证和承诺的责任。</w:t>
      </w:r>
    </w:p>
    <w:p w14:paraId="27F626C4"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基金管理人将根据主袋账户运作情况合理确定申购政策，因此实施侧袋机制后主袋账户份额存在暂停申购的可能。</w:t>
      </w:r>
    </w:p>
    <w:p w14:paraId="293A05FF"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、操作风险</w:t>
      </w:r>
    </w:p>
    <w:p w14:paraId="3204C47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操作风险是指基金运作过程中，因内部控制存在缺陷或者人为因素造成操作失误或违反操作规程等引致的风险，例如，越权违规交易、会计部门欺诈、交易错误、</w:t>
      </w:r>
      <w:r>
        <w:rPr>
          <w:rFonts w:ascii="Arial Unicode MS" w:hAnsi="Arial Unicode MS" w:cs="Arial" w:hint="eastAsia"/>
          <w:bCs/>
          <w:szCs w:val="21"/>
        </w:rPr>
        <w:t>IT</w:t>
      </w:r>
      <w:r>
        <w:rPr>
          <w:rFonts w:ascii="Arial Unicode MS" w:hAnsi="Arial Unicode MS" w:cs="Arial" w:hint="eastAsia"/>
          <w:bCs/>
          <w:szCs w:val="21"/>
        </w:rPr>
        <w:t>系统故障等风险。</w:t>
      </w:r>
    </w:p>
    <w:p w14:paraId="7BF2690A"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、管理风险</w:t>
      </w:r>
    </w:p>
    <w:p w14:paraId="1DB493FB"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339DB4AA"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、合规风险</w:t>
      </w:r>
    </w:p>
    <w:p w14:paraId="4428A53D"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合规风险指基金管理或运作过程中，违反国家法律、法规的规定，或者违反《基金合同》有关规定的风险。</w:t>
      </w:r>
    </w:p>
    <w:p w14:paraId="6657F9F0"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、本基金的特有风险</w:t>
      </w:r>
    </w:p>
    <w:p w14:paraId="581C51CA" w14:textId="77777777" w:rsidR="00B804EC" w:rsidRDefault="00000000">
      <w:pPr>
        <w:adjustRightInd w:val="0"/>
        <w:snapToGrid w:val="0"/>
        <w:spacing w:line="360" w:lineRule="auto"/>
        <w:ind w:firstLineChars="200" w:firstLine="420"/>
        <w:rPr>
          <w:rFonts w:ascii="Arial Unicode MS" w:hAnsi="Arial Unicode MS" w:hint="eastAsia"/>
          <w:szCs w:val="21"/>
        </w:rPr>
      </w:pPr>
      <w:r>
        <w:rPr>
          <w:rFonts w:ascii="Arial Unicode MS" w:hAnsi="Arial Unicode MS" w:hint="eastAsia"/>
          <w:szCs w:val="21"/>
        </w:rPr>
        <w:t>本基金为债券型基金，债券的投资比例不低于基金资产的</w:t>
      </w:r>
      <w:r>
        <w:rPr>
          <w:rFonts w:ascii="Arial Unicode MS" w:hAnsi="Arial Unicode MS" w:hint="eastAsia"/>
          <w:szCs w:val="21"/>
        </w:rPr>
        <w:t>80</w:t>
      </w:r>
      <w:r>
        <w:rPr>
          <w:rFonts w:ascii="Arial Unicode MS" w:hAnsi="Arial Unicode MS" w:hint="eastAsia"/>
          <w:szCs w:val="21"/>
        </w:rPr>
        <w:t>％，该类债券的特定风险即成为本基金及投资者主要面对的特定投资风险。债券的投资收益会受到宏观经济、政府产业政策、货币政策、市场需求变化、行业波动等因素的影响，可能存在所选投资标的的成长性与市场一致预期不符而造成个券价格表现低于预期的风险。</w:t>
      </w:r>
    </w:p>
    <w:p w14:paraId="517A97E9" w14:textId="77777777" w:rsidR="00B804EC" w:rsidRDefault="00000000">
      <w:pPr>
        <w:adjustRightInd w:val="0"/>
        <w:snapToGrid w:val="0"/>
        <w:spacing w:line="360" w:lineRule="auto"/>
        <w:ind w:firstLineChars="200" w:firstLine="420"/>
        <w:rPr>
          <w:rFonts w:ascii="Arial Unicode MS" w:hAnsi="Arial Unicode MS" w:hint="eastAsia"/>
          <w:szCs w:val="21"/>
        </w:rPr>
      </w:pPr>
      <w:r>
        <w:rPr>
          <w:rFonts w:ascii="Arial Unicode MS" w:hAnsi="Arial Unicode MS" w:hint="eastAsia"/>
          <w:szCs w:val="21"/>
        </w:rPr>
        <w:t>本基金投资资产支持证券，资产支持证券（</w:t>
      </w:r>
      <w:r>
        <w:rPr>
          <w:rFonts w:ascii="Arial Unicode MS" w:hAnsi="Arial Unicode MS" w:hint="eastAsia"/>
          <w:szCs w:val="21"/>
        </w:rPr>
        <w:t>ABS</w:t>
      </w:r>
      <w:r>
        <w:rPr>
          <w:rFonts w:ascii="Arial Unicode MS" w:hAnsi="Arial Unicode MS" w:hint="eastAsia"/>
          <w:szCs w:val="21"/>
        </w:rPr>
        <w:t>）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6722A434" w14:textId="77777777" w:rsidR="00B804EC"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二、声明</w:t>
      </w:r>
    </w:p>
    <w:p w14:paraId="37024192" w14:textId="77777777" w:rsidR="00B804EC"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、投资者投资于本基金，须自行承担投资风险；</w:t>
      </w:r>
    </w:p>
    <w:p w14:paraId="2AB7143B" w14:textId="77777777" w:rsidR="00B804EC" w:rsidRDefault="00000000">
      <w:pPr>
        <w:adjustRightInd w:val="0"/>
        <w:snapToGrid w:val="0"/>
        <w:spacing w:line="360" w:lineRule="auto"/>
        <w:ind w:firstLineChars="200" w:firstLine="420"/>
        <w:rPr>
          <w:rFonts w:ascii="Arial Unicode MS" w:hAnsi="Arial Unicode MS" w:hint="eastAsia"/>
        </w:rPr>
      </w:pPr>
      <w:r>
        <w:rPr>
          <w:rFonts w:ascii="Arial Unicode MS" w:hAnsi="Arial Unicode MS" w:cs="Arial" w:hint="eastAsia"/>
          <w:bCs/>
          <w:szCs w:val="21"/>
        </w:rPr>
        <w:t>2</w:t>
      </w:r>
      <w:r>
        <w:rPr>
          <w:rFonts w:ascii="Arial Unicode MS" w:hAnsi="Arial Unicode MS" w:cs="Arial" w:hint="eastAsia"/>
          <w:bCs/>
          <w:szCs w:val="21"/>
        </w:rPr>
        <w:t>、除基金管理人直接办理本基金的销售外，本基金还可以通过基金代销机构代理销售，基金管理人与基金代销机构都不能保证其收益或本金安全。</w:t>
      </w:r>
      <w:bookmarkStart w:id="116" w:name="_Toc520693803"/>
      <w:bookmarkStart w:id="117" w:name="_Toc454717524"/>
      <w:bookmarkStart w:id="118" w:name="_Toc524923235"/>
      <w:bookmarkStart w:id="119" w:name="_Toc520693901"/>
      <w:bookmarkStart w:id="120" w:name="_Toc317088154"/>
      <w:bookmarkStart w:id="121" w:name="_Toc320887656"/>
      <w:bookmarkStart w:id="122" w:name="_Toc214873606"/>
      <w:bookmarkStart w:id="123" w:name="_Toc317088551"/>
      <w:bookmarkStart w:id="124" w:name="_Toc335232705"/>
    </w:p>
    <w:p w14:paraId="4C8FF38D" w14:textId="77777777" w:rsidR="00B804EC" w:rsidRDefault="00000000">
      <w:pPr>
        <w:widowControl/>
        <w:jc w:val="left"/>
        <w:rPr>
          <w:rFonts w:ascii="Arial Unicode MS" w:hAnsi="Arial Unicode MS" w:hint="eastAsia"/>
        </w:rPr>
      </w:pPr>
      <w:r>
        <w:rPr>
          <w:rFonts w:ascii="Arial Unicode MS" w:hAnsi="Arial Unicode MS"/>
        </w:rPr>
        <w:br w:type="page"/>
      </w:r>
    </w:p>
    <w:p w14:paraId="497F4176"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125" w:name="_Toc63676453"/>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八</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116"/>
      <w:bookmarkEnd w:id="117"/>
      <w:bookmarkEnd w:id="118"/>
      <w:bookmarkEnd w:id="119"/>
      <w:r>
        <w:rPr>
          <w:rFonts w:ascii="Arial Unicode MS" w:eastAsia="宋体" w:hAnsi="Arial Unicode MS" w:cs="Arial"/>
          <w:b/>
          <w:bCs/>
          <w:sz w:val="28"/>
          <w:szCs w:val="28"/>
        </w:rPr>
        <w:t>基金合同的变更、终止与基金财产的清算</w:t>
      </w:r>
      <w:bookmarkEnd w:id="120"/>
      <w:bookmarkEnd w:id="121"/>
      <w:bookmarkEnd w:id="122"/>
      <w:bookmarkEnd w:id="123"/>
      <w:bookmarkEnd w:id="124"/>
      <w:bookmarkEnd w:id="125"/>
    </w:p>
    <w:p w14:paraId="31FF3285" w14:textId="77777777" w:rsidR="00B804EC" w:rsidRDefault="00B804EC"/>
    <w:p w14:paraId="2641EC50" w14:textId="77777777" w:rsidR="00B804EC" w:rsidRDefault="00000000">
      <w:pPr>
        <w:snapToGrid w:val="0"/>
        <w:spacing w:line="360" w:lineRule="auto"/>
        <w:ind w:firstLineChars="200" w:firstLine="422"/>
        <w:rPr>
          <w:rFonts w:ascii="Arial Unicode MS" w:hAnsi="Arial Unicode MS" w:cs="Arial" w:hint="eastAsia"/>
          <w:b/>
          <w:szCs w:val="21"/>
        </w:rPr>
      </w:pPr>
      <w:bookmarkStart w:id="126" w:name="_Toc79392639"/>
      <w:r>
        <w:rPr>
          <w:rFonts w:ascii="Arial Unicode MS" w:hAnsi="Arial Unicode MS" w:cs="Arial" w:hint="eastAsia"/>
          <w:b/>
          <w:szCs w:val="21"/>
        </w:rPr>
        <w:t>一、《基金合同》的变更</w:t>
      </w:r>
    </w:p>
    <w:p w14:paraId="4A13844A"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9C6F2CE"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、关于《基金合同》变更的基金份额持有人大会决议自生效后方可执行，并自决议生效后两日内在规定媒介公告。</w:t>
      </w:r>
    </w:p>
    <w:p w14:paraId="105DC692"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二、《基金合同》的终止事由</w:t>
      </w:r>
    </w:p>
    <w:p w14:paraId="78977A92"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有下列情形之一的，经履行相关程序后，《基金合同》应当终止：</w:t>
      </w:r>
    </w:p>
    <w:p w14:paraId="66462155"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、基金份额持有人大会决定终止的；</w:t>
      </w:r>
    </w:p>
    <w:p w14:paraId="2B79A21B"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、基金管理人、基金托管人职责终止，在</w:t>
      </w:r>
      <w:r>
        <w:rPr>
          <w:rFonts w:ascii="Arial Unicode MS" w:hAnsi="Arial Unicode MS" w:cs="Arial" w:hint="eastAsia"/>
          <w:szCs w:val="21"/>
        </w:rPr>
        <w:t>6</w:t>
      </w:r>
      <w:r>
        <w:rPr>
          <w:rFonts w:ascii="Arial Unicode MS" w:hAnsi="Arial Unicode MS" w:cs="Arial" w:hint="eastAsia"/>
          <w:szCs w:val="21"/>
        </w:rPr>
        <w:t>个月内没有新基金管理人、新基金托管人承接的；</w:t>
      </w:r>
    </w:p>
    <w:p w14:paraId="744CB2AF"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、《基金合同》约定的其他情形；</w:t>
      </w:r>
    </w:p>
    <w:p w14:paraId="3D6FCB5A"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、相关法律法规和中国证监会规定的其他情况。</w:t>
      </w:r>
    </w:p>
    <w:p w14:paraId="04D90534"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三、基金财产的清算</w:t>
      </w:r>
    </w:p>
    <w:p w14:paraId="14A956A3"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、基金财产清算小组：自出现基金合同终止事由之日起</w:t>
      </w:r>
      <w:r>
        <w:rPr>
          <w:rFonts w:ascii="Arial Unicode MS" w:hAnsi="Arial Unicode MS" w:cs="Arial" w:hint="eastAsia"/>
          <w:szCs w:val="21"/>
        </w:rPr>
        <w:t>30</w:t>
      </w:r>
      <w:r>
        <w:rPr>
          <w:rFonts w:ascii="Arial Unicode MS" w:hAnsi="Arial Unicode MS" w:cs="Arial" w:hint="eastAsia"/>
          <w:szCs w:val="21"/>
        </w:rPr>
        <w:t>个工作日内成立清算小组，基金管理人组织基金财产清算小组并在中国证监会的监督下进行基金清算。</w:t>
      </w:r>
    </w:p>
    <w:p w14:paraId="3F6D6E47"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642C6312"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14:paraId="15E19C1B"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、基金财产清算程序：</w:t>
      </w:r>
    </w:p>
    <w:p w14:paraId="0B2E873C"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）《基金合同》终止情形出现时，由基金财产清算小组统一接管基金；</w:t>
      </w:r>
    </w:p>
    <w:p w14:paraId="1306D0F5"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）对基金财产和债权债务进行清理和确认；</w:t>
      </w:r>
    </w:p>
    <w:p w14:paraId="078AF769"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）对基金财产进行估值和变现；</w:t>
      </w:r>
    </w:p>
    <w:p w14:paraId="794237A8"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）制作清算报告；</w:t>
      </w:r>
    </w:p>
    <w:p w14:paraId="7C5E10ED"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5</w:t>
      </w:r>
      <w:r>
        <w:rPr>
          <w:rFonts w:ascii="Arial Unicode MS" w:hAnsi="Arial Unicode MS" w:cs="Arial" w:hint="eastAsia"/>
          <w:szCs w:val="21"/>
        </w:rPr>
        <w:t>）聘请具有证券、期货相关业务资格的会计师事务所对清算报告进行外部审计，聘请律师事务所对清算报告出具法律意见书；</w:t>
      </w:r>
    </w:p>
    <w:p w14:paraId="3FBC5FB0"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）将清算报告报中国证监会备案并公告；</w:t>
      </w:r>
    </w:p>
    <w:p w14:paraId="38AFCC10"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）对基金剩余财产进行分配。</w:t>
      </w:r>
    </w:p>
    <w:p w14:paraId="4B345595"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、基金财产清算的期限为</w:t>
      </w:r>
      <w:r>
        <w:rPr>
          <w:rFonts w:ascii="Arial Unicode MS" w:hAnsi="Arial Unicode MS" w:cs="Arial" w:hint="eastAsia"/>
          <w:szCs w:val="21"/>
        </w:rPr>
        <w:t>6</w:t>
      </w:r>
      <w:r>
        <w:rPr>
          <w:rFonts w:ascii="Arial Unicode MS" w:hAnsi="Arial Unicode MS" w:cs="Arial" w:hint="eastAsia"/>
          <w:szCs w:val="21"/>
        </w:rPr>
        <w:t>个月，但因本基金所持证券的流动性受到限制而不能及时变现的，清算期限相应顺延。</w:t>
      </w:r>
    </w:p>
    <w:p w14:paraId="31C411D1"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四、清算费用</w:t>
      </w:r>
    </w:p>
    <w:p w14:paraId="49EC4CDA"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清算费用是指基金财产清算小组在进行基金清算过程中发生的所有合理费用，清算费用由基金财产清算小组优先从基金财产中支付。</w:t>
      </w:r>
    </w:p>
    <w:p w14:paraId="094D1D71"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五、基金财产清算剩余资产的分配</w:t>
      </w:r>
    </w:p>
    <w:p w14:paraId="6E6F2E26"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A4A4730"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六、基金财产清算的公告</w:t>
      </w:r>
    </w:p>
    <w:p w14:paraId="4E99DF1E"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cs="Arial" w:hint="eastAsia"/>
          <w:szCs w:val="21"/>
        </w:rPr>
        <w:t>5</w:t>
      </w:r>
      <w:r>
        <w:rPr>
          <w:rFonts w:ascii="Arial Unicode MS" w:hAnsi="Arial Unicode MS" w:cs="Arial" w:hint="eastAsia"/>
          <w:szCs w:val="21"/>
        </w:rPr>
        <w:t>个工作日内由基金财产清算小组进行公告，基金财产清算小组应当将清算报告登载在规定网站上，并将清算报告提示性公告登载在规定报刊上。</w:t>
      </w:r>
    </w:p>
    <w:p w14:paraId="00116435" w14:textId="77777777" w:rsidR="00B804EC"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七、基金财产清算账册及文件的保存</w:t>
      </w:r>
    </w:p>
    <w:p w14:paraId="363E04B8" w14:textId="77777777" w:rsidR="00B804EC"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基金财产清算账册及有关文件由基金托管人保存不低于法律法规规定的最低期限。</w:t>
      </w:r>
    </w:p>
    <w:p w14:paraId="0447DAEB" w14:textId="77777777" w:rsidR="00B804EC" w:rsidRDefault="00B804EC">
      <w:pPr>
        <w:snapToGrid w:val="0"/>
        <w:spacing w:line="360" w:lineRule="auto"/>
        <w:ind w:firstLineChars="200" w:firstLine="422"/>
        <w:rPr>
          <w:rFonts w:ascii="Arial Unicode MS" w:hAnsi="Arial Unicode MS" w:cs="Arial" w:hint="eastAsia"/>
          <w:b/>
          <w:szCs w:val="21"/>
        </w:rPr>
      </w:pPr>
    </w:p>
    <w:p w14:paraId="53A622D7" w14:textId="77777777" w:rsidR="00B804EC" w:rsidRDefault="00B804EC">
      <w:pPr>
        <w:snapToGrid w:val="0"/>
        <w:spacing w:line="360" w:lineRule="auto"/>
        <w:ind w:firstLineChars="200" w:firstLine="422"/>
        <w:rPr>
          <w:rFonts w:ascii="Arial Unicode MS" w:hAnsi="Arial Unicode MS" w:cs="Arial" w:hint="eastAsia"/>
          <w:b/>
          <w:szCs w:val="21"/>
        </w:rPr>
      </w:pPr>
    </w:p>
    <w:p w14:paraId="27937829" w14:textId="77777777" w:rsidR="00B804EC" w:rsidRDefault="00B804EC">
      <w:pPr>
        <w:snapToGrid w:val="0"/>
        <w:spacing w:line="360" w:lineRule="auto"/>
        <w:ind w:firstLineChars="200" w:firstLine="422"/>
        <w:rPr>
          <w:rFonts w:ascii="Arial Unicode MS" w:hAnsi="Arial Unicode MS" w:cs="Arial" w:hint="eastAsia"/>
          <w:b/>
          <w:szCs w:val="21"/>
        </w:rPr>
      </w:pPr>
    </w:p>
    <w:p w14:paraId="5F757F81" w14:textId="77777777" w:rsidR="00B804EC" w:rsidRDefault="00B804EC">
      <w:pPr>
        <w:snapToGrid w:val="0"/>
        <w:spacing w:line="360" w:lineRule="auto"/>
        <w:ind w:firstLineChars="200" w:firstLine="422"/>
        <w:rPr>
          <w:rFonts w:ascii="Arial Unicode MS" w:hAnsi="Arial Unicode MS" w:cs="Arial" w:hint="eastAsia"/>
          <w:b/>
          <w:szCs w:val="21"/>
        </w:rPr>
      </w:pPr>
    </w:p>
    <w:p w14:paraId="39A9640F" w14:textId="77777777" w:rsidR="00B804EC" w:rsidRDefault="00B804EC">
      <w:pPr>
        <w:snapToGrid w:val="0"/>
        <w:spacing w:line="360" w:lineRule="auto"/>
        <w:ind w:firstLineChars="200" w:firstLine="422"/>
        <w:rPr>
          <w:rFonts w:ascii="Arial Unicode MS" w:hAnsi="Arial Unicode MS" w:cs="Arial" w:hint="eastAsia"/>
          <w:b/>
          <w:szCs w:val="21"/>
        </w:rPr>
      </w:pPr>
    </w:p>
    <w:p w14:paraId="32707861" w14:textId="77777777" w:rsidR="00B804EC" w:rsidRDefault="00B804EC">
      <w:pPr>
        <w:snapToGrid w:val="0"/>
        <w:spacing w:line="360" w:lineRule="auto"/>
        <w:ind w:firstLineChars="200" w:firstLine="422"/>
        <w:rPr>
          <w:rFonts w:ascii="Arial Unicode MS" w:hAnsi="Arial Unicode MS" w:cs="Arial" w:hint="eastAsia"/>
          <w:b/>
          <w:szCs w:val="21"/>
        </w:rPr>
      </w:pPr>
    </w:p>
    <w:p w14:paraId="1FC6EE6B" w14:textId="77777777" w:rsidR="00B804EC" w:rsidRDefault="00B804EC">
      <w:pPr>
        <w:snapToGrid w:val="0"/>
        <w:spacing w:line="360" w:lineRule="auto"/>
        <w:ind w:firstLineChars="200" w:firstLine="422"/>
        <w:rPr>
          <w:rFonts w:ascii="Arial Unicode MS" w:hAnsi="Arial Unicode MS" w:cs="Arial" w:hint="eastAsia"/>
          <w:b/>
          <w:szCs w:val="21"/>
        </w:rPr>
      </w:pPr>
    </w:p>
    <w:p w14:paraId="2DB535CC" w14:textId="77777777" w:rsidR="00B804EC" w:rsidRDefault="00B804EC">
      <w:pPr>
        <w:snapToGrid w:val="0"/>
        <w:spacing w:line="360" w:lineRule="auto"/>
        <w:ind w:firstLineChars="200" w:firstLine="422"/>
        <w:rPr>
          <w:rFonts w:ascii="Arial Unicode MS" w:hAnsi="Arial Unicode MS" w:cs="Arial" w:hint="eastAsia"/>
          <w:b/>
          <w:szCs w:val="21"/>
        </w:rPr>
      </w:pPr>
    </w:p>
    <w:p w14:paraId="1BDD8C0F" w14:textId="77777777" w:rsidR="00B804EC" w:rsidRDefault="00B804EC">
      <w:pPr>
        <w:snapToGrid w:val="0"/>
        <w:spacing w:line="360" w:lineRule="auto"/>
        <w:ind w:firstLineChars="200" w:firstLine="422"/>
        <w:rPr>
          <w:rFonts w:ascii="Arial Unicode MS" w:hAnsi="Arial Unicode MS" w:cs="Arial" w:hint="eastAsia"/>
          <w:b/>
          <w:szCs w:val="21"/>
        </w:rPr>
      </w:pPr>
    </w:p>
    <w:p w14:paraId="1D52D0BA"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27" w:name="_Toc317088552"/>
      <w:bookmarkStart w:id="128" w:name="_Toc63676454"/>
      <w:bookmarkStart w:id="129" w:name="_Toc320887657"/>
      <w:bookmarkStart w:id="130" w:name="_Toc214873607"/>
      <w:bookmarkStart w:id="131" w:name="_Toc335232706"/>
      <w:bookmarkStart w:id="132" w:name="_Toc317088155"/>
      <w:bookmarkEnd w:id="126"/>
      <w:r>
        <w:rPr>
          <w:rFonts w:ascii="Arial Unicode MS" w:eastAsia="宋体" w:hAnsi="Arial Unicode MS" w:cs="Arial"/>
          <w:b/>
          <w:bCs/>
          <w:sz w:val="28"/>
          <w:szCs w:val="28"/>
        </w:rPr>
        <w:t>第</w:t>
      </w:r>
      <w:r>
        <w:rPr>
          <w:rFonts w:ascii="Arial Unicode MS" w:eastAsia="宋体" w:hAnsi="Arial Unicode MS" w:cs="Arial" w:hint="eastAsia"/>
          <w:b/>
          <w:bCs/>
          <w:sz w:val="28"/>
          <w:szCs w:val="28"/>
        </w:rPr>
        <w:t>十九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基金合同的内容摘要</w:t>
      </w:r>
      <w:bookmarkEnd w:id="127"/>
      <w:bookmarkEnd w:id="128"/>
      <w:bookmarkEnd w:id="129"/>
      <w:bookmarkEnd w:id="130"/>
      <w:bookmarkEnd w:id="131"/>
      <w:bookmarkEnd w:id="132"/>
    </w:p>
    <w:p w14:paraId="0D1E28AB" w14:textId="77777777" w:rsidR="00B804EC" w:rsidRDefault="00B804EC">
      <w:pPr>
        <w:ind w:firstLine="315"/>
      </w:pPr>
    </w:p>
    <w:p w14:paraId="590AEB55" w14:textId="77777777" w:rsidR="00B804EC"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一、基金份额持有人、基金管理人和基金托管人的权利、义务</w:t>
      </w:r>
    </w:p>
    <w:p w14:paraId="12F2F31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（一）基金管理人的权利与义务</w:t>
      </w:r>
    </w:p>
    <w:p w14:paraId="0D64CA0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、根据《基金法》、《运作办法》及其他有关规定，基金管理人的权利包括但不限于：</w:t>
      </w:r>
    </w:p>
    <w:p w14:paraId="6EA7D82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）依法募集资金；</w:t>
      </w:r>
    </w:p>
    <w:p w14:paraId="381CD11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）自《基金合同》生效之日起，根据法律法规和《基金合同》独立运用并管理基金财产；</w:t>
      </w:r>
    </w:p>
    <w:p w14:paraId="448E801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）依照《基金合同》收取基金管理费以及法律法规规定或中国证监会批准的其他费用；</w:t>
      </w:r>
    </w:p>
    <w:p w14:paraId="29D44A7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）销售基金份额；</w:t>
      </w:r>
    </w:p>
    <w:p w14:paraId="503AABB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）按照规定召集基金份额持有人大会；</w:t>
      </w:r>
    </w:p>
    <w:p w14:paraId="75D9C96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3F0FF99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）在基金托管人更换时，提名新的基金托管人；</w:t>
      </w:r>
    </w:p>
    <w:p w14:paraId="62E6DDD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）选择、更换基金销售机构，对基金销售机构的相关行为进行监督和处理；</w:t>
      </w:r>
    </w:p>
    <w:p w14:paraId="4DDA301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）担任或委托其他符合条件的机构担任基金登记机构办理基金登记业务并获得《基金合同》规定的费用；</w:t>
      </w:r>
    </w:p>
    <w:p w14:paraId="4674B7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）依据《基金合同》及有关法律规定决定基金收益的分配方案；</w:t>
      </w:r>
      <w:r>
        <w:rPr>
          <w:rFonts w:ascii="Arial Unicode MS" w:hAnsi="Arial Unicode MS" w:hint="eastAsia"/>
          <w:bCs/>
          <w:szCs w:val="21"/>
        </w:rPr>
        <w:tab/>
      </w:r>
    </w:p>
    <w:p w14:paraId="06B669D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）在《基金合同》约定的范围内，拒绝或暂停受理申购与赎回申请；</w:t>
      </w:r>
    </w:p>
    <w:p w14:paraId="1F06633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）依照法律法规为基金的利益对被投资公司行使股东权利，为基金的利益行使因基金财产投资于证券所产生的权利；</w:t>
      </w:r>
      <w:r>
        <w:rPr>
          <w:rFonts w:ascii="Arial Unicode MS" w:hAnsi="Arial Unicode MS" w:hint="eastAsia"/>
          <w:bCs/>
          <w:szCs w:val="21"/>
        </w:rPr>
        <w:tab/>
      </w:r>
    </w:p>
    <w:p w14:paraId="5318610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）在法律法规允许的前提下，为基金的利益依法为基金进行融资；</w:t>
      </w:r>
    </w:p>
    <w:p w14:paraId="69506BD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）以基金管理人的名义，代表基金份额持有人的利益行使诉讼权利或者实施其他法律行为；</w:t>
      </w:r>
      <w:r>
        <w:rPr>
          <w:rFonts w:ascii="Arial Unicode MS" w:hAnsi="Arial Unicode MS" w:hint="eastAsia"/>
          <w:bCs/>
          <w:szCs w:val="21"/>
        </w:rPr>
        <w:tab/>
      </w:r>
    </w:p>
    <w:p w14:paraId="4D47014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15</w:t>
      </w:r>
      <w:r>
        <w:rPr>
          <w:rFonts w:ascii="Arial Unicode MS" w:hAnsi="Arial Unicode MS" w:hint="eastAsia"/>
          <w:bCs/>
          <w:szCs w:val="21"/>
        </w:rPr>
        <w:t>）选择、更换律师事务所、会计师事务所、证券经纪商或其他为基金提供服务的</w:t>
      </w:r>
      <w:r>
        <w:rPr>
          <w:rFonts w:ascii="Arial Unicode MS" w:hAnsi="Arial Unicode MS" w:hint="eastAsia"/>
          <w:bCs/>
          <w:szCs w:val="21"/>
        </w:rPr>
        <w:lastRenderedPageBreak/>
        <w:t>外部机构；</w:t>
      </w:r>
      <w:r>
        <w:rPr>
          <w:rFonts w:ascii="Arial Unicode MS" w:hAnsi="Arial Unicode MS" w:hint="eastAsia"/>
          <w:bCs/>
          <w:szCs w:val="21"/>
        </w:rPr>
        <w:tab/>
      </w:r>
    </w:p>
    <w:p w14:paraId="380A0F7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）在符合有关法律、法规的前提下，制订和调整有关基金申购、赎回、转换和非交易过户等业务规则；</w:t>
      </w:r>
    </w:p>
    <w:p w14:paraId="7500F57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）法律法规及中国证监会规定的和《基金合同》约定的其他权利。</w:t>
      </w:r>
      <w:r>
        <w:rPr>
          <w:rFonts w:ascii="Arial Unicode MS" w:hAnsi="Arial Unicode MS" w:hint="eastAsia"/>
          <w:bCs/>
          <w:szCs w:val="21"/>
        </w:rPr>
        <w:t>2</w:t>
      </w:r>
      <w:r>
        <w:rPr>
          <w:rFonts w:ascii="Arial Unicode MS" w:hAnsi="Arial Unicode MS" w:hint="eastAsia"/>
          <w:bCs/>
          <w:szCs w:val="21"/>
        </w:rPr>
        <w:t>、根据《基金法》、《运作办法》及其他有关规定，基金管理人的义务包括但不限于：</w:t>
      </w:r>
    </w:p>
    <w:p w14:paraId="40D4D16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）依法募集资金，办理或者委托经中国证监会认定的其他机构代为办理基金份额的申购、赎回和登记事宜；</w:t>
      </w:r>
    </w:p>
    <w:p w14:paraId="3F7174A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）办理基金备案手续；</w:t>
      </w:r>
    </w:p>
    <w:p w14:paraId="7E94A1D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）自《基金合同》生效之日起，以诚实信用、谨慎勤勉的原则管理和运用基金财产；</w:t>
      </w:r>
    </w:p>
    <w:p w14:paraId="27110B3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）配备足够的具有专业资格的人员进行基金投资分析、决策，以专业化的经营方式管理和运作基金财产；</w:t>
      </w:r>
    </w:p>
    <w:p w14:paraId="53E84F0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122C26F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）除依据《基金法》、《基金合同》及其他有关规定外，不得利用基金财产为自己及任何第三人谋取利益，不得委托第三人运作基金财产；</w:t>
      </w:r>
    </w:p>
    <w:p w14:paraId="42DFBBC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）依法接受基金托管人的监督；</w:t>
      </w:r>
    </w:p>
    <w:p w14:paraId="1C32B5C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）采取适当合理的措施使计算基金份额认购、申购、赎回和注销价格的方法符合《基金合同》等法律文件的规定，按有关规定计算并公告基金净值信息，确定基金份额申购、赎回的价格；</w:t>
      </w:r>
    </w:p>
    <w:p w14:paraId="607464E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）进行基金会计核算并编制基金财务会计报告；</w:t>
      </w:r>
    </w:p>
    <w:p w14:paraId="6C4F513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）编制季度报告、中期报告和年度报告；</w:t>
      </w:r>
    </w:p>
    <w:p w14:paraId="39ECD69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）严格按照《基金法》、《基金合同》及其他有关规定，履行信息披露及报告义务；</w:t>
      </w:r>
    </w:p>
    <w:p w14:paraId="4DF1770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）保守基金商业秘密，不泄露基金投资计划、投资意向等。除《基金法》、《基金合同》及其他有关规定另有规定外，在基金信息公开披露前应予保密，不向他人泄露；</w:t>
      </w:r>
    </w:p>
    <w:p w14:paraId="43706AB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）按《基金合同》的约定确定基金收益分配方案，及时向基金份额持有人分配基金收益；</w:t>
      </w:r>
    </w:p>
    <w:p w14:paraId="4ABB9FA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）按规定受理申购与赎回申请，及时、足额支付赎回款项；</w:t>
      </w:r>
    </w:p>
    <w:p w14:paraId="1AE90FC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15</w:t>
      </w:r>
      <w:r>
        <w:rPr>
          <w:rFonts w:ascii="Arial Unicode MS" w:hAnsi="Arial Unicode MS" w:hint="eastAsia"/>
          <w:bCs/>
          <w:szCs w:val="21"/>
        </w:rPr>
        <w:t>）依据《基金法》、《基金合同》及其他有关规定召集基金份额持有人大会或配合基金托管人、基金份额持有人依法召集基金份额持有人大会；</w:t>
      </w:r>
    </w:p>
    <w:p w14:paraId="7A0F290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）按规定保存基金财产管理业务活动的会计账册、报表、记录和其他相关资料</w:t>
      </w:r>
      <w:r>
        <w:rPr>
          <w:rFonts w:ascii="Arial Unicode MS" w:hAnsi="Arial Unicode MS" w:hint="eastAsia"/>
          <w:bCs/>
          <w:szCs w:val="21"/>
        </w:rPr>
        <w:t>15</w:t>
      </w:r>
      <w:r>
        <w:rPr>
          <w:rFonts w:ascii="Arial Unicode MS" w:hAnsi="Arial Unicode MS" w:hint="eastAsia"/>
          <w:bCs/>
          <w:szCs w:val="21"/>
        </w:rPr>
        <w:t>年以上；</w:t>
      </w:r>
    </w:p>
    <w:p w14:paraId="32A59BF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65CB24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18</w:t>
      </w:r>
      <w:r>
        <w:rPr>
          <w:rFonts w:ascii="Arial Unicode MS" w:hAnsi="Arial Unicode MS" w:hint="eastAsia"/>
          <w:bCs/>
          <w:szCs w:val="21"/>
        </w:rPr>
        <w:t>）组织并参加基金财产清算小组，参与基金财产的保管、清理、估价、变现和分配；</w:t>
      </w:r>
    </w:p>
    <w:p w14:paraId="7D3081C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19</w:t>
      </w:r>
      <w:r>
        <w:rPr>
          <w:rFonts w:ascii="Arial Unicode MS" w:hAnsi="Arial Unicode MS" w:hint="eastAsia"/>
          <w:bCs/>
          <w:szCs w:val="21"/>
        </w:rPr>
        <w:t>）面临解散、依法被撤销或者被依法宣告破产时，及时报告中国证监会并通知基金托管人；</w:t>
      </w:r>
    </w:p>
    <w:p w14:paraId="48EF47F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20</w:t>
      </w:r>
      <w:r>
        <w:rPr>
          <w:rFonts w:ascii="Arial Unicode MS" w:hAnsi="Arial Unicode MS" w:hint="eastAsia"/>
          <w:bCs/>
          <w:szCs w:val="21"/>
        </w:rPr>
        <w:t>）因违反《基金合同》导致基金财产的损失或损害基金份额持有人合法权益时，应当承担赔偿责任，其赔偿责任不因其退任而免除；</w:t>
      </w:r>
    </w:p>
    <w:p w14:paraId="1EA7DF9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21</w:t>
      </w:r>
      <w:r>
        <w:rPr>
          <w:rFonts w:ascii="Arial Unicode MS" w:hAnsi="Arial Unicode MS" w:hint="eastAsia"/>
          <w:bCs/>
          <w:szCs w:val="21"/>
        </w:rPr>
        <w:t>）监督基金托管人按法律法规和《基金合同》规定履行自己的义务，基金托管人违反《基金合同》造成基金财产损失时，基金管理人应为基金份额持有人利益向基金托管人追偿；</w:t>
      </w:r>
    </w:p>
    <w:p w14:paraId="293A559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22</w:t>
      </w:r>
      <w:r>
        <w:rPr>
          <w:rFonts w:ascii="Arial Unicode MS" w:hAnsi="Arial Unicode MS" w:hint="eastAsia"/>
          <w:bCs/>
          <w:szCs w:val="21"/>
        </w:rPr>
        <w:t>）当基金管理人将其义务委托第三方处理时，应当对第三方处理有关基金事务的行为承担责任；</w:t>
      </w:r>
    </w:p>
    <w:p w14:paraId="3DF152C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23</w:t>
      </w:r>
      <w:r>
        <w:rPr>
          <w:rFonts w:ascii="Arial Unicode MS" w:hAnsi="Arial Unicode MS" w:hint="eastAsia"/>
          <w:bCs/>
          <w:szCs w:val="21"/>
        </w:rPr>
        <w:t>）以基金管理人名义，代表基金份额持有人利益行使诉讼权利或实施其他法律行为；</w:t>
      </w:r>
      <w:r>
        <w:rPr>
          <w:rFonts w:ascii="Arial Unicode MS" w:hAnsi="Arial Unicode MS" w:hint="eastAsia"/>
          <w:bCs/>
          <w:szCs w:val="21"/>
        </w:rPr>
        <w:tab/>
      </w:r>
    </w:p>
    <w:p w14:paraId="6E0056A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24</w:t>
      </w:r>
      <w:r>
        <w:rPr>
          <w:rFonts w:ascii="Arial Unicode MS" w:hAnsi="Arial Unicode MS" w:hint="eastAsia"/>
          <w:bCs/>
          <w:szCs w:val="21"/>
        </w:rPr>
        <w:t>）基金管理人在募集期间未能达到基金的备案条件，《基金合同》不能生效，基金管理人承担全部募集费用，将已募集资金加计银行同期活期存款利息在基金募集期结束后</w:t>
      </w:r>
      <w:r>
        <w:rPr>
          <w:rFonts w:ascii="Arial Unicode MS" w:hAnsi="Arial Unicode MS" w:hint="eastAsia"/>
          <w:bCs/>
          <w:szCs w:val="21"/>
        </w:rPr>
        <w:t>30</w:t>
      </w:r>
      <w:r>
        <w:rPr>
          <w:rFonts w:ascii="Arial Unicode MS" w:hAnsi="Arial Unicode MS" w:hint="eastAsia"/>
          <w:bCs/>
          <w:szCs w:val="21"/>
        </w:rPr>
        <w:t>日内退还基金认购人；</w:t>
      </w:r>
    </w:p>
    <w:p w14:paraId="1E08584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25</w:t>
      </w:r>
      <w:r>
        <w:rPr>
          <w:rFonts w:ascii="Arial Unicode MS" w:hAnsi="Arial Unicode MS" w:hint="eastAsia"/>
          <w:bCs/>
          <w:szCs w:val="21"/>
        </w:rPr>
        <w:t>）执行生效的基金份额持有人大会的决议；</w:t>
      </w:r>
    </w:p>
    <w:p w14:paraId="412E492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26</w:t>
      </w:r>
      <w:r>
        <w:rPr>
          <w:rFonts w:ascii="Arial Unicode MS" w:hAnsi="Arial Unicode MS" w:hint="eastAsia"/>
          <w:bCs/>
          <w:szCs w:val="21"/>
        </w:rPr>
        <w:t>）建立并保存基金份额持有人名册；</w:t>
      </w:r>
    </w:p>
    <w:p w14:paraId="27B9E01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27</w:t>
      </w:r>
      <w:r>
        <w:rPr>
          <w:rFonts w:ascii="Arial Unicode MS" w:hAnsi="Arial Unicode MS" w:hint="eastAsia"/>
          <w:bCs/>
          <w:szCs w:val="21"/>
        </w:rPr>
        <w:t>）法律法规及中国证监会规定的和《基金合同》约定的其他义务。</w:t>
      </w:r>
    </w:p>
    <w:p w14:paraId="20D7D58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w:t>
      </w:r>
      <w:r>
        <w:rPr>
          <w:rFonts w:ascii="Arial Unicode MS" w:hAnsi="Arial Unicode MS" w:hint="eastAsia"/>
          <w:bCs/>
          <w:szCs w:val="21"/>
        </w:rPr>
        <w:tab/>
      </w:r>
      <w:r>
        <w:rPr>
          <w:rFonts w:ascii="Arial Unicode MS" w:hAnsi="Arial Unicode MS" w:hint="eastAsia"/>
          <w:bCs/>
          <w:szCs w:val="21"/>
        </w:rPr>
        <w:t>基金托管人的权利与义务</w:t>
      </w:r>
    </w:p>
    <w:p w14:paraId="1326CAA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、根据《基金法》、《运作办法》及其他有关规定，基金托管人的权利包括但不限于：</w:t>
      </w:r>
    </w:p>
    <w:p w14:paraId="5239F84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w:t>
      </w:r>
      <w:r>
        <w:rPr>
          <w:rFonts w:ascii="Arial Unicode MS" w:hAnsi="Arial Unicode MS"/>
          <w:bCs/>
          <w:szCs w:val="21"/>
        </w:rPr>
        <w:t>）自《基金合同》生效之日起，依法律法规和《基金合同》的规定安全保管基金财</w:t>
      </w:r>
      <w:r>
        <w:rPr>
          <w:rFonts w:ascii="Arial Unicode MS" w:hAnsi="Arial Unicode MS"/>
          <w:bCs/>
          <w:szCs w:val="21"/>
        </w:rPr>
        <w:lastRenderedPageBreak/>
        <w:t>产；</w:t>
      </w:r>
    </w:p>
    <w:p w14:paraId="14F6CD2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2</w:t>
      </w:r>
      <w:r>
        <w:rPr>
          <w:rFonts w:ascii="Arial Unicode MS" w:hAnsi="Arial Unicode MS"/>
          <w:bCs/>
          <w:szCs w:val="21"/>
        </w:rPr>
        <w:t>）依《基金合同》约定获得基金托管费以及法律法规规定或监管部门批准的其他费用；</w:t>
      </w:r>
    </w:p>
    <w:p w14:paraId="5B2939B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3</w:t>
      </w:r>
      <w:r>
        <w:rPr>
          <w:rFonts w:ascii="Arial Unicode MS" w:hAnsi="Arial Unicode MS"/>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97240D"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4</w:t>
      </w:r>
      <w:r>
        <w:rPr>
          <w:rFonts w:ascii="Arial Unicode MS" w:hAnsi="Arial Unicode MS"/>
          <w:bCs/>
          <w:szCs w:val="21"/>
        </w:rPr>
        <w:t>）根据相关市场规则，为基金开设</w:t>
      </w:r>
      <w:r>
        <w:rPr>
          <w:rFonts w:ascii="Arial Unicode MS" w:hAnsi="Arial Unicode MS" w:hint="eastAsia"/>
          <w:bCs/>
          <w:szCs w:val="21"/>
        </w:rPr>
        <w:t>资金账户、</w:t>
      </w:r>
      <w:r>
        <w:rPr>
          <w:rFonts w:ascii="Arial Unicode MS" w:hAnsi="Arial Unicode MS"/>
          <w:bCs/>
          <w:szCs w:val="21"/>
        </w:rPr>
        <w:t>证券</w:t>
      </w:r>
      <w:r>
        <w:rPr>
          <w:rFonts w:ascii="Arial Unicode MS" w:hAnsi="Arial Unicode MS" w:hint="eastAsia"/>
          <w:bCs/>
          <w:szCs w:val="21"/>
        </w:rPr>
        <w:t>账户等投资所需账户，</w:t>
      </w:r>
      <w:r>
        <w:rPr>
          <w:rFonts w:ascii="Arial Unicode MS" w:hAnsi="Arial Unicode MS"/>
          <w:bCs/>
          <w:szCs w:val="21"/>
        </w:rPr>
        <w:t>为基金办理证券交易资金清算</w:t>
      </w:r>
      <w:r>
        <w:rPr>
          <w:rFonts w:ascii="Arial Unicode MS" w:hAnsi="Arial Unicode MS" w:hint="eastAsia"/>
          <w:bCs/>
          <w:szCs w:val="21"/>
        </w:rPr>
        <w:t>；</w:t>
      </w:r>
    </w:p>
    <w:p w14:paraId="5C4EDE03"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5</w:t>
      </w:r>
      <w:r>
        <w:rPr>
          <w:rFonts w:ascii="Arial Unicode MS" w:hAnsi="Arial Unicode MS"/>
          <w:bCs/>
          <w:szCs w:val="21"/>
        </w:rPr>
        <w:t>）提议召开或召集基金份额持有人大会；</w:t>
      </w:r>
    </w:p>
    <w:p w14:paraId="58A80A61"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6</w:t>
      </w:r>
      <w:r>
        <w:rPr>
          <w:rFonts w:ascii="Arial Unicode MS" w:hAnsi="Arial Unicode MS"/>
          <w:bCs/>
          <w:szCs w:val="21"/>
        </w:rPr>
        <w:t>）在基金管理人更换时，提名新的基金管理人；</w:t>
      </w:r>
    </w:p>
    <w:p w14:paraId="41A31DA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7</w:t>
      </w:r>
      <w:r>
        <w:rPr>
          <w:rFonts w:ascii="Arial Unicode MS" w:hAnsi="Arial Unicode MS"/>
          <w:bCs/>
          <w:szCs w:val="21"/>
        </w:rPr>
        <w:t>）</w:t>
      </w:r>
      <w:r>
        <w:rPr>
          <w:rFonts w:ascii="Arial Unicode MS" w:hAnsi="Arial Unicode MS" w:hint="eastAsia"/>
          <w:bCs/>
          <w:szCs w:val="21"/>
        </w:rPr>
        <w:t>法律法规及中国证监会规定的和《基金合同》约定的其他</w:t>
      </w:r>
      <w:r>
        <w:rPr>
          <w:rFonts w:ascii="Arial Unicode MS" w:hAnsi="Arial Unicode MS"/>
          <w:bCs/>
          <w:szCs w:val="21"/>
        </w:rPr>
        <w:t>权利。</w:t>
      </w:r>
    </w:p>
    <w:p w14:paraId="29B5778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、根据《基金法》、《运作办法》及其他有关规定，基金托管人的义务包括但不限于：</w:t>
      </w:r>
    </w:p>
    <w:p w14:paraId="31B6F9B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）以诚实信用、勤勉尽责的原则持有并安全保管基金财产；</w:t>
      </w:r>
    </w:p>
    <w:p w14:paraId="5396B77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）设立专门的基金托管部门，具有符合要求的营业场所，配备足够的、合格的熟悉基金托管业务的专职人员，负责基金财产托管事宜；</w:t>
      </w:r>
    </w:p>
    <w:p w14:paraId="580A710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A011D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）除依据《基金法》、《基金合同》及其他有关规定外，不得利用基金财产为自己及任何第三人谋取利益，不得委托第三人托管基金财产；</w:t>
      </w:r>
    </w:p>
    <w:p w14:paraId="4ED8F9D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）保管由基金管理人代表基金签订的与基金有关的重大合同及有关凭证；</w:t>
      </w:r>
    </w:p>
    <w:p w14:paraId="74F652D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）按规定开设基金财产的资金账户、证券账户等投资所需账户，按照《基金合同》的约定，根据基金管理人的投资指令，及时办理清算、交割事宜；</w:t>
      </w:r>
    </w:p>
    <w:p w14:paraId="28D443B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）保守基金商业秘密，除《基金法》、《基金合同》及其他有关规定另有规定外，在基金信息公开披露前予以保密，不得向他人泄露；</w:t>
      </w:r>
    </w:p>
    <w:p w14:paraId="7235AB7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）复核、审查基金管理人计算的基金资产净值、各类基金份额净值、基金份额申购、赎回价格；</w:t>
      </w:r>
    </w:p>
    <w:p w14:paraId="0FFF45E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）办理与基金托管业务活动有关的信息披露事项；</w:t>
      </w:r>
    </w:p>
    <w:p w14:paraId="4F2A655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10</w:t>
      </w:r>
      <w:r>
        <w:rPr>
          <w:rFonts w:ascii="Arial Unicode MS" w:hAnsi="Arial Unicode M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87ECF6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）保存基金托管业务活动的记录、账册、报表和其他相关资料不低于法律法规规定的最低期限；</w:t>
      </w:r>
    </w:p>
    <w:p w14:paraId="23E7E54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）建立并保存基金份额持有人名册；</w:t>
      </w:r>
    </w:p>
    <w:p w14:paraId="1254CC5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）按规定制作相关账册并与基金管理人核对；</w:t>
      </w:r>
    </w:p>
    <w:p w14:paraId="5A2FC16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）依据基金管理人的指令或有关规定向基金份额持有人支付基金收益和赎回款项；</w:t>
      </w:r>
    </w:p>
    <w:p w14:paraId="751B752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15</w:t>
      </w:r>
      <w:r>
        <w:rPr>
          <w:rFonts w:ascii="Arial Unicode MS" w:hAnsi="Arial Unicode MS" w:hint="eastAsia"/>
          <w:bCs/>
          <w:szCs w:val="21"/>
        </w:rPr>
        <w:t>）依据《基金法》、《基金合同》及其他有关规定，召集基金份额持有人大会或配合基金管理人、基金份额持有人依法召集基金份额持有人大会；</w:t>
      </w:r>
    </w:p>
    <w:p w14:paraId="396AC9E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）按照法律法规和《基金合同》的规定监督基金管理人的投资运作；</w:t>
      </w:r>
    </w:p>
    <w:p w14:paraId="50D0E10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）参加基金财产清算小组，参与基金财产的保管、清理、估价、变现和分配；</w:t>
      </w:r>
    </w:p>
    <w:p w14:paraId="7855031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18</w:t>
      </w:r>
      <w:r>
        <w:rPr>
          <w:rFonts w:ascii="Arial Unicode MS" w:hAnsi="Arial Unicode MS" w:hint="eastAsia"/>
          <w:bCs/>
          <w:szCs w:val="21"/>
        </w:rPr>
        <w:t>）面临解散、依法被撤销或者被依法宣告破产时，及时报告中国证监会和银行监管机构，并通知基金管理人；</w:t>
      </w:r>
    </w:p>
    <w:p w14:paraId="70652CE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19</w:t>
      </w:r>
      <w:r>
        <w:rPr>
          <w:rFonts w:ascii="Arial Unicode MS" w:hAnsi="Arial Unicode MS" w:hint="eastAsia"/>
          <w:bCs/>
          <w:szCs w:val="21"/>
        </w:rPr>
        <w:t>）因违反《基金合同》导致基金财产损失时，应承担赔偿责任，其赔偿责任不因其退任而免除；</w:t>
      </w:r>
    </w:p>
    <w:p w14:paraId="74786AC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20</w:t>
      </w:r>
      <w:r>
        <w:rPr>
          <w:rFonts w:ascii="Arial Unicode MS" w:hAnsi="Arial Unicode MS" w:hint="eastAsia"/>
          <w:bCs/>
          <w:szCs w:val="21"/>
        </w:rPr>
        <w:t>）监督基金管理人按法律法规和《基金合同》规定履行自己的义务，基金管理人因违反《基金合同》造成基金财产损失时，应为基金份额持有人利益向基金管理人追偿；</w:t>
      </w:r>
    </w:p>
    <w:p w14:paraId="4AA4BAB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21</w:t>
      </w:r>
      <w:r>
        <w:rPr>
          <w:rFonts w:ascii="Arial Unicode MS" w:hAnsi="Arial Unicode MS" w:hint="eastAsia"/>
          <w:bCs/>
          <w:szCs w:val="21"/>
        </w:rPr>
        <w:t>）执行生效的基金份额持有人大会的决议；</w:t>
      </w:r>
    </w:p>
    <w:p w14:paraId="2C9CE74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22</w:t>
      </w:r>
      <w:r>
        <w:rPr>
          <w:rFonts w:ascii="Arial Unicode MS" w:hAnsi="Arial Unicode MS" w:hint="eastAsia"/>
          <w:bCs/>
          <w:szCs w:val="21"/>
        </w:rPr>
        <w:t>）法律法规及中国证监会规定的和《基金合同》约定的其他义务。</w:t>
      </w:r>
    </w:p>
    <w:p w14:paraId="1A60BFD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（三）基金份额持有人的权利和义务</w:t>
      </w:r>
    </w:p>
    <w:p w14:paraId="735BEDE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CABA3E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同一类别每份基金份额具有同等的合法权益。</w:t>
      </w:r>
    </w:p>
    <w:p w14:paraId="2FBB626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、根据《基金法》、《运作办法》及其他有关规定，基金份额持有人的权利包括但不限于：</w:t>
      </w:r>
    </w:p>
    <w:p w14:paraId="42BAFDE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）分享基金财产收益；</w:t>
      </w:r>
    </w:p>
    <w:p w14:paraId="1AAC7E9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2</w:t>
      </w:r>
      <w:r>
        <w:rPr>
          <w:rFonts w:ascii="Arial Unicode MS" w:hAnsi="Arial Unicode MS" w:hint="eastAsia"/>
          <w:bCs/>
          <w:szCs w:val="21"/>
        </w:rPr>
        <w:t>）参与分配清算后的剩余基金财产；</w:t>
      </w:r>
    </w:p>
    <w:p w14:paraId="6681F6C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）依法转让或申请赎回其持有的基金份额；</w:t>
      </w:r>
    </w:p>
    <w:p w14:paraId="22E4C41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）按照规定要求召开基金份额持有人大会或者召集基金份额持有人大会；</w:t>
      </w:r>
    </w:p>
    <w:p w14:paraId="3D42E4F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）出席或者委派代表出席基金份额持有人大会，对基金份额持有人大会审议事项行使表决权；</w:t>
      </w:r>
    </w:p>
    <w:p w14:paraId="4A55DBC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）查阅或者复制公开披露的基金信息资料；</w:t>
      </w:r>
    </w:p>
    <w:p w14:paraId="5ADE10A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）监督基金管理人的投资运作；</w:t>
      </w:r>
    </w:p>
    <w:p w14:paraId="1432A87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）对基金管理人、基金托管人、基金服务机构损害其合法权益的行为依法提起诉讼或仲裁；</w:t>
      </w:r>
    </w:p>
    <w:p w14:paraId="7674F0F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）法律法规及中国证监会规定的和《基金合同》约定的其他权利。</w:t>
      </w:r>
    </w:p>
    <w:p w14:paraId="7F4CD52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、根据《基金法》、《运作办法》及其他有关规定，基金份额持有人的义务包括但不限于：</w:t>
      </w:r>
    </w:p>
    <w:p w14:paraId="4199ED3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）认真阅读并遵守《基金合同》、招募说明书等信息披露文件；</w:t>
      </w:r>
    </w:p>
    <w:p w14:paraId="492F46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）了解所投资基金产品，了解自身风险承受能力，自主判断基金的投资价值，自主做出投资决策，自行承担投资风险；</w:t>
      </w:r>
    </w:p>
    <w:p w14:paraId="35B65A6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）关注基金信息披露，及时行使权利和履行义务；</w:t>
      </w:r>
    </w:p>
    <w:p w14:paraId="2FB7AE5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）缴纳基金认购、申购款项及法律法规和《基金合同》所规定的费用；</w:t>
      </w:r>
    </w:p>
    <w:p w14:paraId="34A7EF9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）在其持有的基金份额范围内，承担基金亏损或者《基金合同》终止的有限责任；</w:t>
      </w:r>
    </w:p>
    <w:p w14:paraId="299E246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）不从事任何有损基金及其他《基金合同》当事人合法权益的活动；</w:t>
      </w:r>
    </w:p>
    <w:p w14:paraId="32E6788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）执行生效的基金份额持有人大会的决议；</w:t>
      </w:r>
    </w:p>
    <w:p w14:paraId="4EA9A97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）返还在基金交易过程中因任何原因获得的不当得利；</w:t>
      </w:r>
    </w:p>
    <w:p w14:paraId="5DD7AB8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）法律法规及中国证监会规定的和《基金合同》约定的其他义务。</w:t>
      </w:r>
    </w:p>
    <w:p w14:paraId="35DB22D8" w14:textId="77777777" w:rsidR="00B804EC"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二、基金份额持有人大会召集、议事及表决的程序和规则</w:t>
      </w:r>
    </w:p>
    <w:p w14:paraId="32D48E0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1F59D9B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本基金份额持有人大会不设日常机构。</w:t>
      </w:r>
    </w:p>
    <w:p w14:paraId="55032C2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（一）召开事由</w:t>
      </w:r>
    </w:p>
    <w:p w14:paraId="75C0F39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、当出现或需要决定下列事由之一的，应当召开基金份额持有人大会：</w:t>
      </w:r>
    </w:p>
    <w:p w14:paraId="064D962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w:t>
      </w:r>
      <w:r>
        <w:rPr>
          <w:rFonts w:ascii="Arial Unicode MS" w:hAnsi="Arial Unicode MS" w:hint="eastAsia"/>
          <w:bCs/>
          <w:szCs w:val="21"/>
        </w:rPr>
        <w:t>）终止《基金合同》；</w:t>
      </w:r>
    </w:p>
    <w:p w14:paraId="6986869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）更换基金管理人；</w:t>
      </w:r>
    </w:p>
    <w:p w14:paraId="68E778E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）更换基金托管人；</w:t>
      </w:r>
    </w:p>
    <w:p w14:paraId="1315E20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）转换基金运作方式；</w:t>
      </w:r>
    </w:p>
    <w:p w14:paraId="498DE60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）调整基金管理人、基金托管人的报酬标准或提高销售服务费，但根据法律法规的要求调整该等报酬标准或提高销售服务费的除外；</w:t>
      </w:r>
    </w:p>
    <w:p w14:paraId="63BED4E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）变更基金类别；</w:t>
      </w:r>
    </w:p>
    <w:p w14:paraId="2AF9FEB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hint="eastAsia"/>
          <w:bCs/>
          <w:szCs w:val="21"/>
        </w:rPr>
        <w:t>7</w:t>
      </w:r>
      <w:r>
        <w:rPr>
          <w:rFonts w:ascii="Arial Unicode MS" w:hAnsi="Arial Unicode MS"/>
          <w:bCs/>
          <w:szCs w:val="21"/>
        </w:rPr>
        <w:t>）本基金与其他基金的合并；</w:t>
      </w:r>
    </w:p>
    <w:p w14:paraId="53AD0AF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8</w:t>
      </w:r>
      <w:r>
        <w:rPr>
          <w:rFonts w:ascii="Arial Unicode MS" w:hAnsi="Arial Unicode MS"/>
          <w:bCs/>
          <w:szCs w:val="21"/>
        </w:rPr>
        <w:t>）变更基金投资目标、范围或策略；</w:t>
      </w:r>
    </w:p>
    <w:p w14:paraId="308B96AE"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9</w:t>
      </w:r>
      <w:r>
        <w:rPr>
          <w:rFonts w:ascii="Arial Unicode MS" w:hAnsi="Arial Unicode MS"/>
          <w:bCs/>
          <w:szCs w:val="21"/>
        </w:rPr>
        <w:t>）变更基金份额持有人大会程序；</w:t>
      </w:r>
    </w:p>
    <w:p w14:paraId="762053F8"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10</w:t>
      </w:r>
      <w:r>
        <w:rPr>
          <w:rFonts w:ascii="Arial Unicode MS" w:hAnsi="Arial Unicode MS"/>
          <w:bCs/>
          <w:szCs w:val="21"/>
        </w:rPr>
        <w:t>）基金管理人或基金托管人要求召开基金份额持有人大会；</w:t>
      </w:r>
    </w:p>
    <w:p w14:paraId="51424B3A"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11</w:t>
      </w:r>
      <w:r>
        <w:rPr>
          <w:rFonts w:ascii="Arial Unicode MS" w:hAnsi="Arial Unicode MS"/>
          <w:bCs/>
          <w:szCs w:val="21"/>
        </w:rPr>
        <w:t>）单独或合计持有本基金总份额</w:t>
      </w:r>
      <w:r>
        <w:rPr>
          <w:rFonts w:ascii="Arial Unicode MS" w:hAnsi="Arial Unicode MS"/>
          <w:bCs/>
          <w:szCs w:val="21"/>
        </w:rPr>
        <w:t>10%</w:t>
      </w:r>
      <w:r>
        <w:rPr>
          <w:rFonts w:ascii="Arial Unicode MS" w:hAnsi="Arial Unicode MS"/>
          <w:bCs/>
          <w:szCs w:val="21"/>
        </w:rPr>
        <w:t>以上（含</w:t>
      </w:r>
      <w:r>
        <w:rPr>
          <w:rFonts w:ascii="Arial Unicode MS" w:hAnsi="Arial Unicode MS"/>
          <w:bCs/>
          <w:szCs w:val="21"/>
        </w:rPr>
        <w:t>10%</w:t>
      </w:r>
      <w:r>
        <w:rPr>
          <w:rFonts w:ascii="Arial Unicode MS" w:hAnsi="Arial Unicode MS"/>
          <w:bCs/>
          <w:szCs w:val="21"/>
        </w:rPr>
        <w:t>）基金份额的基金份额持有人（以基金管理人收到提议当日的基金份额计算，下同）就同一事项书面要求召开基金份额持有人大会；</w:t>
      </w:r>
    </w:p>
    <w:p w14:paraId="774CCCE7"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12</w:t>
      </w:r>
      <w:r>
        <w:rPr>
          <w:rFonts w:ascii="Arial Unicode MS" w:hAnsi="Arial Unicode MS"/>
          <w:bCs/>
          <w:szCs w:val="21"/>
        </w:rPr>
        <w:t>）对基金</w:t>
      </w:r>
      <w:r>
        <w:rPr>
          <w:rFonts w:ascii="Arial Unicode MS" w:hAnsi="Arial Unicode MS" w:hint="eastAsia"/>
          <w:bCs/>
          <w:szCs w:val="21"/>
        </w:rPr>
        <w:t>合同</w:t>
      </w:r>
      <w:r>
        <w:rPr>
          <w:rFonts w:ascii="Arial Unicode MS" w:hAnsi="Arial Unicode MS"/>
          <w:bCs/>
          <w:szCs w:val="21"/>
        </w:rPr>
        <w:t>当事人权利和义务产生重大影响的其他事项；</w:t>
      </w:r>
    </w:p>
    <w:p w14:paraId="585DBC24" w14:textId="77777777" w:rsidR="00B804EC"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13</w:t>
      </w:r>
      <w:r>
        <w:rPr>
          <w:rFonts w:ascii="Arial Unicode MS" w:hAnsi="Arial Unicode MS"/>
          <w:bCs/>
          <w:szCs w:val="21"/>
        </w:rPr>
        <w:t>）法律法规、《基金合同》或中国证监会规定的其他应当召开基金份额持有人大会的事项。</w:t>
      </w:r>
    </w:p>
    <w:p w14:paraId="1F07A59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03687D0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）调低除基金管理费、基金托管费以外的其他应由基金承担的费用；</w:t>
      </w:r>
    </w:p>
    <w:p w14:paraId="5A905F7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）法律法规要求增加的基金费用的收取；</w:t>
      </w:r>
    </w:p>
    <w:p w14:paraId="6FAB125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）在法律法规和《基金合同》规定的范围内调整本基金的申购费率、调低赎回费率、调低销售服务费或在对现有基金份额持有人利益无实质性不利影响的前提下变更收费方式；</w:t>
      </w:r>
    </w:p>
    <w:p w14:paraId="10ECC4E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）因相应的法律法规发生变动而应当对《基金合同》进行修改；</w:t>
      </w:r>
    </w:p>
    <w:p w14:paraId="664B2F5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）对《基金合同》的修改对基金份额持有人利益无实质性不利影响或修改不涉及《基金合同》当事人权利义务关系发生重大变化；</w:t>
      </w:r>
    </w:p>
    <w:p w14:paraId="6D63A00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6</w:t>
      </w:r>
      <w:r>
        <w:rPr>
          <w:rFonts w:ascii="Arial Unicode MS" w:hAnsi="Arial Unicode MS" w:hint="eastAsia"/>
          <w:bCs/>
          <w:szCs w:val="21"/>
        </w:rPr>
        <w:t>）按照法律法规和《基金合同》规定不需召开基金份额持有人大会的以外的其他情形。</w:t>
      </w:r>
    </w:p>
    <w:p w14:paraId="21FFFA3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（二）会议召集人及召集方式</w:t>
      </w:r>
    </w:p>
    <w:p w14:paraId="742E4A8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、除法律法规规定或《基金合同》另有约定外，基金份额持有人大会由基金管理人召集。</w:t>
      </w:r>
    </w:p>
    <w:p w14:paraId="2EEDC1E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、基金管理人未按规定召集或不能召集时，由基金托管人召集。</w:t>
      </w:r>
    </w:p>
    <w:p w14:paraId="7234C93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、基金托管人认为有必要召开基金份额持有人大会的，应当向基金管理人提出书面提议。基金管理人应当自收到书面提议之日起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日内决定是否召集，并书面告知基金托管人。基金管理人决定召集的，应当自出具书面决定之日起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日内召开；基金管理人决定不召集，基金托管人仍认为有必要召开的，应当由基金托管人自行召集，并自出具书面决定之日起</w:t>
      </w:r>
      <w:r>
        <w:rPr>
          <w:rFonts w:ascii="Arial Unicode MS" w:hAnsi="Arial Unicode MS" w:hint="eastAsia"/>
          <w:bCs/>
          <w:szCs w:val="21"/>
        </w:rPr>
        <w:t>60</w:t>
      </w:r>
      <w:r>
        <w:rPr>
          <w:rFonts w:ascii="Arial Unicode MS" w:hAnsi="Arial Unicode MS" w:hint="eastAsia"/>
          <w:bCs/>
          <w:szCs w:val="21"/>
        </w:rPr>
        <w:t>日内召开并告知基金管理人，基金管理人应当配合。</w:t>
      </w:r>
    </w:p>
    <w:p w14:paraId="6E17CD9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）的基金份额持有人就同一事项书面要求召开基金份额持有人大会，应当向基金管理人提出书面提议。基金管理人应当自收到书面提议之日起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日内决定是否召集，并书面告知提出提议的基金份额持有人代表和基金托管人。基金管理人决定召集的，应当自出具书面决定之日起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日内召开；基金管理人决定不召集，代表基金份额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）的基金份额持有人仍认为有必要召开的，应当向基金托管人提出书面提议。基金托管人应当自收到书面提议之日起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日内决定是否召集，并书面告知提出提议的基金份额持有人代表和基金管理人；基金托管人决定召集的，应当自出具书面决定之日起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日内召开并告知基金管理人，基金管理人应当配合。</w:t>
      </w:r>
    </w:p>
    <w:p w14:paraId="22381EC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）的基金份额持有人就同一事项要求召开基金份额持有人大会，而基金管理人、基金托管人都不召集的，单独或合计代表基金份额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）的基金份额持有人有权自行召集，并至少提前</w:t>
      </w:r>
      <w:r>
        <w:rPr>
          <w:rFonts w:ascii="Arial Unicode MS" w:hAnsi="Arial Unicode MS" w:hint="eastAsia"/>
          <w:bCs/>
          <w:szCs w:val="21"/>
        </w:rPr>
        <w:t>30</w:t>
      </w:r>
      <w:r>
        <w:rPr>
          <w:rFonts w:ascii="Arial Unicode MS" w:hAnsi="Arial Unicode MS" w:hint="eastAsia"/>
          <w:bCs/>
          <w:szCs w:val="21"/>
        </w:rPr>
        <w:t>日报中国证监会备案。基金份额持有人依法自行召集基金份额持有人大会的，基金管理人、基金托管人应当配合，不得阻碍、干扰。</w:t>
      </w:r>
    </w:p>
    <w:p w14:paraId="5E02C12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、基金份额持有人会议的召集人负责选择确定开会时间、地点、方式和权益登记日。</w:t>
      </w:r>
    </w:p>
    <w:p w14:paraId="2AB8690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（三）召开基金份额持有人大会的通知时间、通知内容、通知方式</w:t>
      </w:r>
    </w:p>
    <w:p w14:paraId="7FA2216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、召开基金份额持有人大会，召集人应于会议召开前</w:t>
      </w:r>
      <w:r>
        <w:rPr>
          <w:rFonts w:ascii="Arial Unicode MS" w:hAnsi="Arial Unicode MS" w:hint="eastAsia"/>
          <w:bCs/>
          <w:szCs w:val="21"/>
        </w:rPr>
        <w:t>30</w:t>
      </w:r>
      <w:r>
        <w:rPr>
          <w:rFonts w:ascii="Arial Unicode MS" w:hAnsi="Arial Unicode MS" w:hint="eastAsia"/>
          <w:bCs/>
          <w:szCs w:val="21"/>
        </w:rPr>
        <w:t>日，依据有关规定进行公告。基金份额持有人大会通知应至少载明以下内容：</w:t>
      </w:r>
    </w:p>
    <w:p w14:paraId="09E89A4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w:t>
      </w:r>
      <w:r>
        <w:rPr>
          <w:rFonts w:ascii="Arial Unicode MS" w:hAnsi="Arial Unicode MS" w:hint="eastAsia"/>
          <w:bCs/>
          <w:szCs w:val="21"/>
        </w:rPr>
        <w:t>）会议召开的时间、地点和会议形式；</w:t>
      </w:r>
    </w:p>
    <w:p w14:paraId="3B7272A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）会议拟审议的事项、议事程序和表决方式；</w:t>
      </w:r>
    </w:p>
    <w:p w14:paraId="30A6202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）有权出席基金份额持有人大会的基金份额持有人的权益登记日；</w:t>
      </w:r>
    </w:p>
    <w:p w14:paraId="702B5E3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）授权委托证明的内容要求（包括但不限于代理人身份，代理权限和代理有效期限等）、送达时间和地点；</w:t>
      </w:r>
    </w:p>
    <w:p w14:paraId="4AC94D3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）会务常设联系人姓名及联系电话；</w:t>
      </w:r>
    </w:p>
    <w:p w14:paraId="27A4723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）出席会议者必须准备的文件和必须履行的手续；</w:t>
      </w:r>
    </w:p>
    <w:p w14:paraId="6ABEF1D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）召集人需要通知的其他事项。</w:t>
      </w:r>
    </w:p>
    <w:p w14:paraId="3A50859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E22E74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C1033D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（四）基金份额持有人出席会议的方式</w:t>
      </w:r>
    </w:p>
    <w:p w14:paraId="74A181C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基金份额持有人大会可通过现场开会方式、通讯开会方式或法律法规及监管机关允许的其他方式召开，会议的召开方式由会议召集人确定。</w:t>
      </w:r>
    </w:p>
    <w:p w14:paraId="72FD158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2307CB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92E599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w:t>
      </w:r>
      <w:r>
        <w:rPr>
          <w:rFonts w:ascii="Arial Unicode MS" w:hAnsi="Arial Unicode MS" w:hint="eastAsia"/>
          <w:bCs/>
          <w:szCs w:val="21"/>
        </w:rPr>
        <w:lastRenderedPageBreak/>
        <w:t>集基金份额持有人大会。重新召集的基金份额持有人大会到会者在权益登记日代表的有效的基金份额应不少于本基金在权益登记日基金总份额的三分之一（含三分之一）。</w:t>
      </w:r>
    </w:p>
    <w:p w14:paraId="1230DF1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、通讯开会。通讯开会系指基金份额持有人将其对表决事项的投票以书面形式或基金合同约定的其他方式在表决截至日以前送达至召集人指定的地址。通讯开会应以书面方式或基金合同约定的其他方式进行表决。</w:t>
      </w:r>
    </w:p>
    <w:p w14:paraId="77EB1CE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在同时符合以下条件时，通讯开会的方式视为有效：</w:t>
      </w:r>
    </w:p>
    <w:p w14:paraId="11C1399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）会议召集人按《基金合同》约定公布会议通知后，在</w:t>
      </w:r>
      <w:r>
        <w:rPr>
          <w:rFonts w:ascii="Arial Unicode MS" w:hAnsi="Arial Unicode MS" w:hint="eastAsia"/>
          <w:bCs/>
          <w:szCs w:val="21"/>
        </w:rPr>
        <w:t>2</w:t>
      </w:r>
      <w:r>
        <w:rPr>
          <w:rFonts w:ascii="Arial Unicode MS" w:hAnsi="Arial Unicode MS" w:hint="eastAsia"/>
          <w:bCs/>
          <w:szCs w:val="21"/>
        </w:rPr>
        <w:t>个工作日内连续公布相关提示性公告；</w:t>
      </w:r>
    </w:p>
    <w:p w14:paraId="3CCC189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CD77F6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14:paraId="723EFDC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）上述第（</w:t>
      </w:r>
      <w:r>
        <w:rPr>
          <w:rFonts w:ascii="Arial Unicode MS" w:hAnsi="Arial Unicode MS" w:hint="eastAsia"/>
          <w:bCs/>
          <w:szCs w:val="21"/>
        </w:rPr>
        <w:t>3</w:t>
      </w:r>
      <w:r>
        <w:rPr>
          <w:rFonts w:ascii="Arial Unicode MS" w:hAnsi="Arial Unicode M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59BF05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14:paraId="7A6073CD" w14:textId="77777777" w:rsidR="00B804EC" w:rsidRDefault="00000000">
      <w:pPr>
        <w:autoSpaceDE w:val="0"/>
        <w:autoSpaceDN w:val="0"/>
        <w:adjustRightInd w:val="0"/>
        <w:spacing w:line="360" w:lineRule="auto"/>
        <w:ind w:firstLineChars="150" w:firstLine="315"/>
        <w:jc w:val="left"/>
        <w:rPr>
          <w:rFonts w:ascii="Arial Unicode MS" w:hAnsi="Arial Unicode MS" w:hint="eastAsia"/>
          <w:bCs/>
          <w:szCs w:val="21"/>
        </w:rPr>
      </w:pPr>
      <w:r>
        <w:rPr>
          <w:rFonts w:ascii="Arial Unicode MS" w:hAnsi="Arial Unicode MS" w:hint="eastAsia"/>
          <w:bCs/>
          <w:szCs w:val="21"/>
        </w:rPr>
        <w:t>（五）议事内容与程序</w:t>
      </w:r>
    </w:p>
    <w:p w14:paraId="614767D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、议事内容及提案权</w:t>
      </w:r>
    </w:p>
    <w:p w14:paraId="0B67CAB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议事内容为关系基金份额持有人利益的重大事项，如《基金合同》的重大修改、决定终</w:t>
      </w:r>
      <w:r>
        <w:rPr>
          <w:rFonts w:ascii="Arial Unicode MS" w:hAnsi="Arial Unicode MS" w:hint="eastAsia"/>
          <w:bCs/>
          <w:szCs w:val="21"/>
        </w:rPr>
        <w:lastRenderedPageBreak/>
        <w:t>止《基金合同》、更换基金管理人、更换基金托管人、与其他基金合并、法律法规及《基金合同》规定的其他事项以及会议召集人认为需提交基金份额持有人大会讨论的其他事项。</w:t>
      </w:r>
    </w:p>
    <w:p w14:paraId="27D8DB5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基金份额持有人大会的召集人发出召集会议的通知后，对原有提案的修改应当在基金份额持有人大会召开前及时公告。</w:t>
      </w:r>
    </w:p>
    <w:p w14:paraId="4563AB6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基金份额持有人大会不得对未事先公告的议事内容进行表决。</w:t>
      </w:r>
    </w:p>
    <w:p w14:paraId="1BB2EEC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、议事程序</w:t>
      </w:r>
    </w:p>
    <w:p w14:paraId="3A7FEF4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）现场开会</w:t>
      </w:r>
    </w:p>
    <w:p w14:paraId="590BA1E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E4FFC3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4D8B417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）通讯开会</w:t>
      </w:r>
    </w:p>
    <w:p w14:paraId="725A4AC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在通讯开会的情况下，首先由召集人提前</w:t>
      </w:r>
      <w:r>
        <w:rPr>
          <w:rFonts w:ascii="Arial Unicode MS" w:hAnsi="Arial Unicode MS" w:hint="eastAsia"/>
          <w:bCs/>
          <w:szCs w:val="21"/>
        </w:rPr>
        <w:t>30</w:t>
      </w:r>
      <w:r>
        <w:rPr>
          <w:rFonts w:ascii="Arial Unicode MS" w:hAnsi="Arial Unicode MS" w:hint="eastAsia"/>
          <w:bCs/>
          <w:szCs w:val="21"/>
        </w:rPr>
        <w:t>日公布提案，在所通知的表决截止日期后</w:t>
      </w:r>
      <w:r>
        <w:rPr>
          <w:rFonts w:ascii="Arial Unicode MS" w:hAnsi="Arial Unicode MS" w:hint="eastAsia"/>
          <w:bCs/>
          <w:szCs w:val="21"/>
        </w:rPr>
        <w:t>2</w:t>
      </w:r>
      <w:r>
        <w:rPr>
          <w:rFonts w:ascii="Arial Unicode MS" w:hAnsi="Arial Unicode MS" w:hint="eastAsia"/>
          <w:bCs/>
          <w:szCs w:val="21"/>
        </w:rPr>
        <w:t>个工作日内在公证机关监督下由召集人统计全部有效表决，在公证机关监督下形成决议。</w:t>
      </w:r>
    </w:p>
    <w:p w14:paraId="0CF31C5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（六）表决</w:t>
      </w:r>
    </w:p>
    <w:p w14:paraId="6592247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基金份额持有人所持每份基金份额有一票表决权。</w:t>
      </w:r>
    </w:p>
    <w:p w14:paraId="328DEF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基金份额持有人大会决议分为一般决议和特别决议：</w:t>
      </w:r>
    </w:p>
    <w:p w14:paraId="0A2FAE4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、一般决议，一般决议须经参加大会的基金份额持有人或其代理人所持表决权的二分之一以上（含二分之一）通过方为有效；除下列第</w:t>
      </w:r>
      <w:r>
        <w:rPr>
          <w:rFonts w:ascii="Arial Unicode MS" w:hAnsi="Arial Unicode MS" w:hint="eastAsia"/>
          <w:bCs/>
          <w:szCs w:val="21"/>
        </w:rPr>
        <w:t>2</w:t>
      </w:r>
      <w:r>
        <w:rPr>
          <w:rFonts w:ascii="Arial Unicode MS" w:hAnsi="Arial Unicode MS" w:hint="eastAsia"/>
          <w:bCs/>
          <w:szCs w:val="21"/>
        </w:rPr>
        <w:t>项所规定的须以特别决议通过事项以外的其他事项均以一般决议的方式通过。</w:t>
      </w:r>
    </w:p>
    <w:p w14:paraId="623D1CF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5D8C839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基金份额持有人大会决定的事项，应当依法报中国证监会备案，并予以公告。</w:t>
      </w:r>
    </w:p>
    <w:p w14:paraId="72A15EF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基金份额持有人大会采取记名方式进行投票表决。</w:t>
      </w:r>
    </w:p>
    <w:p w14:paraId="33C4460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采取通讯方式进行表决时，除非在计票时监督员及公证机关均认为有充分的相反证据证</w:t>
      </w:r>
      <w:r>
        <w:rPr>
          <w:rFonts w:ascii="Arial Unicode MS" w:hAnsi="Arial Unicode MS" w:hint="eastAsia"/>
          <w:bCs/>
          <w:szCs w:val="21"/>
        </w:rPr>
        <w:lastRenderedPageBreak/>
        <w:t>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BBE50F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基金份额持有人大会的各项提案或同一项提案内并列的各项议题应当分开审议、逐项表决。</w:t>
      </w:r>
    </w:p>
    <w:p w14:paraId="1F35850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（七）计票</w:t>
      </w:r>
    </w:p>
    <w:p w14:paraId="633C265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、现场开会</w:t>
      </w:r>
    </w:p>
    <w:p w14:paraId="1597D38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C9B193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）监票人应当在基金份额持有人表决后立即进行清点并由大会主持人当场公布计票结果。</w:t>
      </w:r>
    </w:p>
    <w:p w14:paraId="65243DA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A5D4F16"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）计票过程应由公证机关予以公证，基金管理人或基金托管人拒不出席大会的，不影响计票的效力。</w:t>
      </w:r>
    </w:p>
    <w:p w14:paraId="28AFD3A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、通讯开会</w:t>
      </w:r>
    </w:p>
    <w:p w14:paraId="7C57DDF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1EB82A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（八）生效与公告</w:t>
      </w:r>
    </w:p>
    <w:p w14:paraId="530041C5"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基金份额持有人大会的决议，召集人应当自通过之日起</w:t>
      </w:r>
      <w:r>
        <w:rPr>
          <w:rFonts w:ascii="Arial Unicode MS" w:hAnsi="Arial Unicode MS" w:hint="eastAsia"/>
          <w:bCs/>
          <w:szCs w:val="21"/>
        </w:rPr>
        <w:t>5</w:t>
      </w:r>
      <w:r>
        <w:rPr>
          <w:rFonts w:ascii="Arial Unicode MS" w:hAnsi="Arial Unicode MS" w:hint="eastAsia"/>
          <w:bCs/>
          <w:szCs w:val="21"/>
        </w:rPr>
        <w:t>日内报中国证监会备案。</w:t>
      </w:r>
    </w:p>
    <w:p w14:paraId="4BE7FB2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基金份额持有人大会的决议自表决通过之日起生效。</w:t>
      </w:r>
    </w:p>
    <w:p w14:paraId="1D9A15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基金份额持有人大会决议自生效之日起</w:t>
      </w:r>
      <w:r>
        <w:rPr>
          <w:rFonts w:ascii="Arial Unicode MS" w:hAnsi="Arial Unicode MS" w:hint="eastAsia"/>
          <w:bCs/>
          <w:szCs w:val="21"/>
        </w:rPr>
        <w:t>2</w:t>
      </w:r>
      <w:r>
        <w:rPr>
          <w:rFonts w:ascii="Arial Unicode MS" w:hAnsi="Arial Unicode MS" w:hint="eastAsia"/>
          <w:bCs/>
          <w:szCs w:val="21"/>
        </w:rPr>
        <w:t>日内在规定媒介上公告。如果采用通讯方式进行表决，在公告基金份额持有人大会决议时，必须将公证书全文、公证机构、公证员姓名等一同公告。</w:t>
      </w:r>
    </w:p>
    <w:p w14:paraId="3B3D7A6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408D162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（九）实施侧袋机制期间基金份额持有人大会的特殊约定</w:t>
      </w:r>
    </w:p>
    <w:p w14:paraId="7F98EA5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8628FE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、基金份额持有人行使提议权、召集权、提名权所需单独或合计代表相关基金份额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w:t>
      </w:r>
    </w:p>
    <w:p w14:paraId="68366BD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、现场开会的到会者在权益登记日代表的基金份额不少于本基金在权益登记日相关基金份额的二分之一（含二分之一）；</w:t>
      </w:r>
    </w:p>
    <w:p w14:paraId="0AD45E1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、通讯开会的直接出具表决意见或授权他人代表出具表决意见的基金份额持有人所持有的基金份额不小于在权益登记日相关基金份额的二分之一（含二分之一）；</w:t>
      </w:r>
    </w:p>
    <w:p w14:paraId="102B692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、在参与基金份额持有人大会投票的基金份额持有人所持有的基金份额小于在权益登记日相关基金份额的二分之一、召集人在原公告的基金份额持有人大会召开时间的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个月以内就原定审议事项重新召集的基金份额持有人大会应当有代表三分之一以上（含三分之一）相关基金份额的持有人参与或授权他人参与基金份额持有人大会投票；</w:t>
      </w:r>
    </w:p>
    <w:p w14:paraId="6C6E0F9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、现场开会由出席大会的基金份额持有人和代理人所持表决权的</w:t>
      </w:r>
      <w:r>
        <w:rPr>
          <w:rFonts w:ascii="Arial Unicode MS" w:hAnsi="Arial Unicode MS" w:hint="eastAsia"/>
          <w:bCs/>
          <w:szCs w:val="21"/>
        </w:rPr>
        <w:t>50%</w:t>
      </w:r>
      <w:r>
        <w:rPr>
          <w:rFonts w:ascii="Arial Unicode MS" w:hAnsi="Arial Unicode MS" w:hint="eastAsia"/>
          <w:bCs/>
          <w:szCs w:val="21"/>
        </w:rPr>
        <w:t>以上（含</w:t>
      </w:r>
      <w:r>
        <w:rPr>
          <w:rFonts w:ascii="Arial Unicode MS" w:hAnsi="Arial Unicode MS" w:hint="eastAsia"/>
          <w:bCs/>
          <w:szCs w:val="21"/>
        </w:rPr>
        <w:t>50%</w:t>
      </w:r>
      <w:r>
        <w:rPr>
          <w:rFonts w:ascii="Arial Unicode MS" w:hAnsi="Arial Unicode MS" w:hint="eastAsia"/>
          <w:bCs/>
          <w:szCs w:val="21"/>
        </w:rPr>
        <w:t>）选举产生一名基金份额持有人作为该次基金份额持有人大会的主持人；</w:t>
      </w:r>
    </w:p>
    <w:p w14:paraId="555877C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、一般决议须经参加大会的基金份额持有人或其代理人所持表决权的二分之一以上（含二分之一）通过；</w:t>
      </w:r>
    </w:p>
    <w:p w14:paraId="3DF722F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、特别决议应当经参加大会的基金份额持有人或其代理人所持表决权的三分之二以上（含三分之二）通过。</w:t>
      </w:r>
    </w:p>
    <w:p w14:paraId="4D05679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同一主侧袋账户内的每份基金份额具有平等的表决权。</w:t>
      </w:r>
    </w:p>
    <w:p w14:paraId="63643AD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十）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7311C6D" w14:textId="77777777" w:rsidR="00B804EC"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三、基金合同解除和终止的事由、程序以及基金财产清算方式</w:t>
      </w:r>
    </w:p>
    <w:p w14:paraId="521C336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（一）《基金合同》的变更</w:t>
      </w:r>
    </w:p>
    <w:p w14:paraId="1EEDAE6C"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F49263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、关于《基金合同》变更的基金份额持有人大会决议自生效后方可执行，并自决议生效后两日内在规定媒介公告。</w:t>
      </w:r>
    </w:p>
    <w:p w14:paraId="544B388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（二）《基金合同》的终止事由</w:t>
      </w:r>
    </w:p>
    <w:p w14:paraId="64C3C61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有下列情形之一的，经履行相关程序后，《基金合同》应当终止：</w:t>
      </w:r>
    </w:p>
    <w:p w14:paraId="45934B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、基金份额持有人大会决定终止的；</w:t>
      </w:r>
    </w:p>
    <w:p w14:paraId="3ECA23B4"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、基金管理人、基金托管人职责终止，在</w:t>
      </w:r>
      <w:r>
        <w:rPr>
          <w:rFonts w:ascii="Arial Unicode MS" w:hAnsi="Arial Unicode MS" w:hint="eastAsia"/>
          <w:bCs/>
          <w:szCs w:val="21"/>
        </w:rPr>
        <w:t>6</w:t>
      </w:r>
      <w:r>
        <w:rPr>
          <w:rFonts w:ascii="Arial Unicode MS" w:hAnsi="Arial Unicode MS" w:hint="eastAsia"/>
          <w:bCs/>
          <w:szCs w:val="21"/>
        </w:rPr>
        <w:t>个月内没有新基金管理人、新基金托管人承接的；</w:t>
      </w:r>
    </w:p>
    <w:p w14:paraId="6BC888A7"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、《基金合同》约定的其他情形；</w:t>
      </w:r>
    </w:p>
    <w:p w14:paraId="072F6DD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、相关法律法规和中国证监会规定的其他情况。</w:t>
      </w:r>
    </w:p>
    <w:p w14:paraId="4194F49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（三）基金财产的清算</w:t>
      </w:r>
    </w:p>
    <w:p w14:paraId="0A77525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、基金财产清算小组：自出现基金合同终止事由之日起</w:t>
      </w:r>
      <w:r>
        <w:rPr>
          <w:rFonts w:ascii="Arial Unicode MS" w:hAnsi="Arial Unicode MS" w:hint="eastAsia"/>
          <w:bCs/>
          <w:szCs w:val="21"/>
        </w:rPr>
        <w:t>30</w:t>
      </w:r>
      <w:r>
        <w:rPr>
          <w:rFonts w:ascii="Arial Unicode MS" w:hAnsi="Arial Unicode MS" w:hint="eastAsia"/>
          <w:bCs/>
          <w:szCs w:val="21"/>
        </w:rPr>
        <w:t>个工作日内成立清算小组，基金管理人组织基金财产清算小组并在中国证监会的监督下进行基金清算。</w:t>
      </w:r>
    </w:p>
    <w:p w14:paraId="1E9FA503"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、基金财产清算小组组成：基金财产清算小组成员由基金管理人、基金托管人、具有证券、</w:t>
      </w:r>
      <w:r>
        <w:rPr>
          <w:rFonts w:ascii="Arial Unicode MS" w:hAnsi="Arial Unicode MS"/>
          <w:bCs/>
          <w:szCs w:val="21"/>
        </w:rPr>
        <w:t>期货</w:t>
      </w:r>
      <w:r>
        <w:rPr>
          <w:rFonts w:ascii="Arial Unicode MS" w:hAnsi="Arial Unicode MS" w:hint="eastAsia"/>
          <w:bCs/>
          <w:szCs w:val="21"/>
        </w:rPr>
        <w:t>相关业务资格的注册会计师、律师以及中国证监会指定的人员组成。基金财产清算小组可以聘用必要的工作人员。</w:t>
      </w:r>
    </w:p>
    <w:p w14:paraId="6D8A14CA"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、基金财产清算小组职责：基金财产清算小组负责基金财产的保管、清理、估价、变现和分配。基金财产清算小组可以依法进行必要的民事活动。</w:t>
      </w:r>
    </w:p>
    <w:p w14:paraId="654C8C2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、基金财产清算程序：</w:t>
      </w:r>
    </w:p>
    <w:p w14:paraId="44A8CCD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）《基金合同》终止情形出现时，由基金财产清算小组统一接管基金；</w:t>
      </w:r>
    </w:p>
    <w:p w14:paraId="1AC741C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）对基金财产和债权债务进行清理和确认；</w:t>
      </w:r>
    </w:p>
    <w:p w14:paraId="69342C5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）对基金财产进行估值和变现；</w:t>
      </w:r>
    </w:p>
    <w:p w14:paraId="1194E6E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）制作清算报告；</w:t>
      </w:r>
    </w:p>
    <w:p w14:paraId="186B371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）聘请具有证券、</w:t>
      </w:r>
      <w:r>
        <w:rPr>
          <w:rFonts w:ascii="Arial Unicode MS" w:hAnsi="Arial Unicode MS"/>
          <w:bCs/>
          <w:szCs w:val="21"/>
        </w:rPr>
        <w:t>期货</w:t>
      </w:r>
      <w:r>
        <w:rPr>
          <w:rFonts w:ascii="Arial Unicode MS" w:hAnsi="Arial Unicode MS" w:hint="eastAsia"/>
          <w:bCs/>
          <w:szCs w:val="21"/>
        </w:rPr>
        <w:t>相关业务资格的会计师事务所对清算报告进行外部审计，聘请律师事务所对清算报告出具法律意见书；</w:t>
      </w:r>
    </w:p>
    <w:p w14:paraId="642C200D"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）将清算报告报中国证监会备案并公告；</w:t>
      </w:r>
    </w:p>
    <w:p w14:paraId="0BD6784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7</w:t>
      </w:r>
      <w:r>
        <w:rPr>
          <w:rFonts w:ascii="Arial Unicode MS" w:hAnsi="Arial Unicode MS" w:hint="eastAsia"/>
          <w:bCs/>
          <w:szCs w:val="21"/>
        </w:rPr>
        <w:t>）对基金剩余财产进行分配。</w:t>
      </w:r>
    </w:p>
    <w:p w14:paraId="3DD00DC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、基金财产清算的期限为</w:t>
      </w:r>
      <w:r>
        <w:rPr>
          <w:rFonts w:ascii="Arial Unicode MS" w:hAnsi="Arial Unicode MS" w:hint="eastAsia"/>
          <w:bCs/>
          <w:szCs w:val="21"/>
        </w:rPr>
        <w:t>6</w:t>
      </w:r>
      <w:r>
        <w:rPr>
          <w:rFonts w:ascii="Arial Unicode MS" w:hAnsi="Arial Unicode MS" w:hint="eastAsia"/>
          <w:bCs/>
          <w:szCs w:val="21"/>
        </w:rPr>
        <w:t>个月，但因本基金所持证券的流动性受到限制而不能及时变现的，清算期限相应顺延。</w:t>
      </w:r>
    </w:p>
    <w:p w14:paraId="71AEA0E1"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（四）清算费用</w:t>
      </w:r>
    </w:p>
    <w:p w14:paraId="535EBA0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清算费用是指基金财产清算小组在进行基金清算过程中发生的所有合理费用，清算费用由基金财产清算小组优先从基金财产中支付。</w:t>
      </w:r>
    </w:p>
    <w:p w14:paraId="74141DD2"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（五）基金财产清算剩余资产的分配</w:t>
      </w:r>
    </w:p>
    <w:p w14:paraId="42C8FBB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36DBA8E"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（六）基金财产清算的公告</w:t>
      </w:r>
    </w:p>
    <w:p w14:paraId="139AA4F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hint="eastAsia"/>
          <w:bCs/>
          <w:szCs w:val="21"/>
        </w:rPr>
        <w:t>5</w:t>
      </w:r>
      <w:r>
        <w:rPr>
          <w:rFonts w:ascii="Arial Unicode MS" w:hAnsi="Arial Unicode MS" w:hint="eastAsia"/>
          <w:bCs/>
          <w:szCs w:val="21"/>
        </w:rPr>
        <w:t>个工作日内由基金财产清算小组进行公告，基金财产清算小组应当将清算报告登载在规定网站上，并将清算报告提示性公告登载在规定报刊上。</w:t>
      </w:r>
    </w:p>
    <w:p w14:paraId="2EB7673B"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（七）基金财产清算账册及文件的保存</w:t>
      </w:r>
    </w:p>
    <w:p w14:paraId="4D00118F"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基金财产清算账册及有关文件由基金托管人保存不低于法律法规规定的最低期限。</w:t>
      </w:r>
    </w:p>
    <w:p w14:paraId="16AE6D99" w14:textId="77777777" w:rsidR="00B804EC"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四、争议解决方式</w:t>
      </w:r>
    </w:p>
    <w:p w14:paraId="3CAF4778"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各方当事人同意，因《基金合同》而产生的或与《基金合同》有关的一切争议，如不愿或者不能通过协商、调解解决的，任何一方均有权将争议提交中国国际经济贸易仲裁委员会，按照该会届时有效的仲裁规则进行仲裁。仲裁地点为北京市。仲裁裁决是终局的，对各方当事人均有约束力。仲裁费用由败诉方承担。</w:t>
      </w:r>
    </w:p>
    <w:p w14:paraId="2B55ABF9"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《基金合同》适用中华人民共和国法律及其解释。</w:t>
      </w:r>
    </w:p>
    <w:p w14:paraId="10B34015" w14:textId="77777777" w:rsidR="00B804EC"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五、基金合同存放地和投资人取得基金合同的方式</w:t>
      </w:r>
    </w:p>
    <w:p w14:paraId="47AE2A30" w14:textId="77777777" w:rsidR="00B804EC"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《基金合同》可印制成册，供投资者在基金管理人、基金托管人、销售机构的办公场所和营业场所查阅。</w:t>
      </w:r>
    </w:p>
    <w:p w14:paraId="7F9554FE" w14:textId="77777777" w:rsidR="00B804EC" w:rsidRDefault="00B804EC">
      <w:pPr>
        <w:autoSpaceDE w:val="0"/>
        <w:autoSpaceDN w:val="0"/>
        <w:adjustRightInd w:val="0"/>
        <w:spacing w:line="360" w:lineRule="auto"/>
        <w:ind w:firstLineChars="200" w:firstLine="480"/>
        <w:jc w:val="right"/>
        <w:rPr>
          <w:rFonts w:ascii="Arial Unicode MS" w:hAnsi="Arial Unicode MS" w:hint="eastAsia"/>
          <w:bCs/>
          <w:sz w:val="24"/>
        </w:rPr>
      </w:pPr>
    </w:p>
    <w:p w14:paraId="1EEA8126" w14:textId="77777777" w:rsidR="00B804EC" w:rsidRDefault="00B804EC">
      <w:pPr>
        <w:autoSpaceDE w:val="0"/>
        <w:autoSpaceDN w:val="0"/>
        <w:adjustRightInd w:val="0"/>
        <w:spacing w:line="360" w:lineRule="auto"/>
        <w:jc w:val="left"/>
        <w:rPr>
          <w:rFonts w:ascii="Arial Unicode MS" w:hAnsi="Arial Unicode MS" w:hint="eastAsia"/>
          <w:bCs/>
        </w:rPr>
      </w:pPr>
    </w:p>
    <w:p w14:paraId="25693F6F" w14:textId="77777777" w:rsidR="00B804EC" w:rsidRDefault="00B804EC">
      <w:pPr>
        <w:pStyle w:val="11"/>
        <w:snapToGrid w:val="0"/>
        <w:spacing w:before="0" w:after="0" w:line="360" w:lineRule="auto"/>
        <w:ind w:firstLineChars="150" w:firstLine="422"/>
        <w:rPr>
          <w:rFonts w:ascii="Arial Unicode MS" w:eastAsia="宋体" w:hAnsi="Arial Unicode MS" w:cs="Arial" w:hint="eastAsia"/>
          <w:b/>
          <w:bCs/>
          <w:sz w:val="28"/>
          <w:szCs w:val="28"/>
        </w:rPr>
        <w:sectPr w:rsidR="00B804EC">
          <w:pgSz w:w="11906" w:h="16838"/>
          <w:pgMar w:top="1440" w:right="1800" w:bottom="1440" w:left="1800" w:header="851" w:footer="992" w:gutter="0"/>
          <w:cols w:space="720"/>
          <w:titlePg/>
          <w:docGrid w:linePitch="312"/>
        </w:sectPr>
      </w:pPr>
      <w:bookmarkStart w:id="133" w:name="_Toc335232707"/>
      <w:bookmarkStart w:id="134" w:name="_Toc214873614"/>
      <w:bookmarkStart w:id="135" w:name="_Toc317088553"/>
      <w:bookmarkStart w:id="136" w:name="_Toc320887658"/>
      <w:bookmarkStart w:id="137" w:name="_Toc317088156"/>
    </w:p>
    <w:p w14:paraId="51B35ABE"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38" w:name="_Toc63676455"/>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二十</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基金托管协议的内容摘要</w:t>
      </w:r>
      <w:bookmarkEnd w:id="133"/>
      <w:bookmarkEnd w:id="134"/>
      <w:bookmarkEnd w:id="135"/>
      <w:bookmarkEnd w:id="136"/>
      <w:bookmarkEnd w:id="137"/>
      <w:bookmarkEnd w:id="138"/>
    </w:p>
    <w:p w14:paraId="68AD078F" w14:textId="77777777" w:rsidR="00B804EC" w:rsidRDefault="00B804EC">
      <w:pPr>
        <w:ind w:firstLine="315"/>
      </w:pPr>
    </w:p>
    <w:p w14:paraId="5107DF4D"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一、托管协议当事人</w:t>
      </w:r>
    </w:p>
    <w:p w14:paraId="360E6B75"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bookmarkStart w:id="139" w:name="_Toc22454433"/>
      <w:bookmarkStart w:id="140" w:name="_Toc77662992"/>
      <w:r>
        <w:rPr>
          <w:rFonts w:ascii="Arial Unicode MS" w:hAnsi="Arial Unicode MS" w:cs="Arial"/>
          <w:kern w:val="0"/>
          <w:szCs w:val="21"/>
        </w:rPr>
        <w:t>（一）基金管理人</w:t>
      </w:r>
      <w:bookmarkEnd w:id="139"/>
      <w:bookmarkEnd w:id="140"/>
    </w:p>
    <w:p w14:paraId="623D433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名称：富荣基金管理有限公司</w:t>
      </w:r>
    </w:p>
    <w:p w14:paraId="63487B6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6EB32A3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365617D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1FDD7C0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设立日期：</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0EEB179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批准设立机关及批准设立文号：中国证监会证监许可</w:t>
      </w:r>
      <w:r>
        <w:rPr>
          <w:rFonts w:ascii="Arial Unicode MS" w:hAnsi="Arial Unicode MS" w:cs="Arial" w:hint="eastAsia"/>
          <w:kern w:val="0"/>
          <w:szCs w:val="21"/>
        </w:rPr>
        <w:t>[2015]3118</w:t>
      </w:r>
      <w:r>
        <w:rPr>
          <w:rFonts w:ascii="Arial Unicode MS" w:hAnsi="Arial Unicode MS" w:cs="Arial" w:hint="eastAsia"/>
          <w:kern w:val="0"/>
          <w:szCs w:val="21"/>
        </w:rPr>
        <w:t>号</w:t>
      </w:r>
    </w:p>
    <w:p w14:paraId="6BF4E4E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组织形式：有限责任公司</w:t>
      </w:r>
    </w:p>
    <w:p w14:paraId="2CFE6516"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 xml:space="preserve"> 2</w:t>
      </w:r>
      <w:r>
        <w:rPr>
          <w:rFonts w:ascii="Arial Unicode MS" w:hAnsi="Arial Unicode MS" w:cs="Arial" w:hint="eastAsia"/>
          <w:kern w:val="0"/>
          <w:szCs w:val="21"/>
        </w:rPr>
        <w:t>亿元人民币</w:t>
      </w:r>
    </w:p>
    <w:p w14:paraId="3678B783"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存续期间：永续经营</w:t>
      </w:r>
    </w:p>
    <w:p w14:paraId="5024F11C"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经营范围：基金募集、基金销售、资产管理、特定客户资产管理和中国证监会许可的其他业务</w:t>
      </w:r>
    </w:p>
    <w:p w14:paraId="344294D1"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bookmarkStart w:id="141" w:name="_Toc22454434"/>
      <w:bookmarkStart w:id="142" w:name="_Toc77662993"/>
      <w:r>
        <w:rPr>
          <w:rFonts w:ascii="Arial Unicode MS" w:hAnsi="Arial Unicode MS" w:cs="Arial"/>
          <w:kern w:val="0"/>
          <w:szCs w:val="21"/>
        </w:rPr>
        <w:t>（二）基金托管人</w:t>
      </w:r>
      <w:bookmarkEnd w:id="141"/>
      <w:bookmarkEnd w:id="142"/>
    </w:p>
    <w:p w14:paraId="7953E100"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名称：中国建设银行股份有限公司</w:t>
      </w:r>
      <w:r>
        <w:rPr>
          <w:rFonts w:ascii="Arial Unicode MS" w:hAnsi="Arial Unicode MS" w:cs="Arial" w:hint="eastAsia"/>
          <w:kern w:val="0"/>
          <w:szCs w:val="21"/>
        </w:rPr>
        <w:t>(</w:t>
      </w:r>
      <w:r>
        <w:rPr>
          <w:rFonts w:ascii="Arial Unicode MS" w:hAnsi="Arial Unicode MS" w:cs="Arial" w:hint="eastAsia"/>
          <w:kern w:val="0"/>
          <w:szCs w:val="21"/>
        </w:rPr>
        <w:t>简称：中国建设银行</w:t>
      </w:r>
      <w:r>
        <w:rPr>
          <w:rFonts w:ascii="Arial Unicode MS" w:hAnsi="Arial Unicode MS" w:cs="Arial" w:hint="eastAsia"/>
          <w:kern w:val="0"/>
          <w:szCs w:val="21"/>
        </w:rPr>
        <w:t>)</w:t>
      </w:r>
    </w:p>
    <w:p w14:paraId="21EBBD5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住所：北京市西城区金融大街</w:t>
      </w:r>
      <w:r>
        <w:rPr>
          <w:rFonts w:ascii="Arial Unicode MS" w:hAnsi="Arial Unicode MS" w:cs="Arial" w:hint="eastAsia"/>
          <w:kern w:val="0"/>
          <w:szCs w:val="21"/>
        </w:rPr>
        <w:t>25</w:t>
      </w:r>
      <w:r>
        <w:rPr>
          <w:rFonts w:ascii="Arial Unicode MS" w:hAnsi="Arial Unicode MS" w:cs="Arial" w:hint="eastAsia"/>
          <w:kern w:val="0"/>
          <w:szCs w:val="21"/>
        </w:rPr>
        <w:t>号</w:t>
      </w:r>
    </w:p>
    <w:p w14:paraId="6BCC0560"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办公地址：北京市西城区闹市口大街</w:t>
      </w:r>
      <w:r>
        <w:rPr>
          <w:rFonts w:ascii="Arial Unicode MS" w:hAnsi="Arial Unicode MS" w:cs="Arial" w:hint="eastAsia"/>
          <w:kern w:val="0"/>
          <w:szCs w:val="21"/>
        </w:rPr>
        <w:t>1</w:t>
      </w:r>
      <w:r>
        <w:rPr>
          <w:rFonts w:ascii="Arial Unicode MS" w:hAnsi="Arial Unicode MS" w:cs="Arial" w:hint="eastAsia"/>
          <w:kern w:val="0"/>
          <w:szCs w:val="21"/>
        </w:rPr>
        <w:t>号院</w:t>
      </w:r>
      <w:r>
        <w:rPr>
          <w:rFonts w:ascii="Arial Unicode MS" w:hAnsi="Arial Unicode MS" w:cs="Arial" w:hint="eastAsia"/>
          <w:kern w:val="0"/>
          <w:szCs w:val="21"/>
        </w:rPr>
        <w:t>1</w:t>
      </w:r>
      <w:r>
        <w:rPr>
          <w:rFonts w:ascii="Arial Unicode MS" w:hAnsi="Arial Unicode MS" w:cs="Arial" w:hint="eastAsia"/>
          <w:kern w:val="0"/>
          <w:szCs w:val="21"/>
        </w:rPr>
        <w:t>号楼</w:t>
      </w:r>
    </w:p>
    <w:p w14:paraId="0CF7325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邮政编码：</w:t>
      </w:r>
      <w:r>
        <w:rPr>
          <w:rFonts w:ascii="Arial Unicode MS" w:hAnsi="Arial Unicode MS" w:cs="Arial" w:hint="eastAsia"/>
          <w:kern w:val="0"/>
          <w:szCs w:val="21"/>
        </w:rPr>
        <w:t>100033</w:t>
      </w:r>
    </w:p>
    <w:p w14:paraId="025397E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法定代表人：张金良</w:t>
      </w:r>
      <w:r>
        <w:rPr>
          <w:rFonts w:ascii="Arial Unicode MS" w:hAnsi="Arial Unicode MS" w:cs="Arial" w:hint="eastAsia"/>
          <w:kern w:val="0"/>
          <w:szCs w:val="21"/>
        </w:rPr>
        <w:t xml:space="preserve"> </w:t>
      </w:r>
    </w:p>
    <w:p w14:paraId="5BF7B11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成立日期：</w:t>
      </w:r>
      <w:r>
        <w:rPr>
          <w:rFonts w:ascii="Arial Unicode MS" w:hAnsi="Arial Unicode MS" w:cs="Arial" w:hint="eastAsia"/>
          <w:kern w:val="0"/>
          <w:szCs w:val="21"/>
        </w:rPr>
        <w:t>2004</w:t>
      </w:r>
      <w:r>
        <w:rPr>
          <w:rFonts w:ascii="Arial Unicode MS" w:hAnsi="Arial Unicode MS" w:cs="Arial" w:hint="eastAsia"/>
          <w:kern w:val="0"/>
          <w:szCs w:val="21"/>
        </w:rPr>
        <w:t>年</w:t>
      </w:r>
      <w:r>
        <w:rPr>
          <w:rFonts w:ascii="Arial Unicode MS" w:hAnsi="Arial Unicode MS" w:cs="Arial" w:hint="eastAsia"/>
          <w:kern w:val="0"/>
          <w:szCs w:val="21"/>
        </w:rPr>
        <w:t>09</w:t>
      </w:r>
      <w:r>
        <w:rPr>
          <w:rFonts w:ascii="Arial Unicode MS" w:hAnsi="Arial Unicode MS" w:cs="Arial" w:hint="eastAsia"/>
          <w:kern w:val="0"/>
          <w:szCs w:val="21"/>
        </w:rPr>
        <w:t>月</w:t>
      </w:r>
      <w:r>
        <w:rPr>
          <w:rFonts w:ascii="Arial Unicode MS" w:hAnsi="Arial Unicode MS" w:cs="Arial" w:hint="eastAsia"/>
          <w:kern w:val="0"/>
          <w:szCs w:val="21"/>
        </w:rPr>
        <w:t>17</w:t>
      </w:r>
      <w:r>
        <w:rPr>
          <w:rFonts w:ascii="Arial Unicode MS" w:hAnsi="Arial Unicode MS" w:cs="Arial" w:hint="eastAsia"/>
          <w:kern w:val="0"/>
          <w:szCs w:val="21"/>
        </w:rPr>
        <w:t>日</w:t>
      </w:r>
    </w:p>
    <w:p w14:paraId="4851AB5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基金托管业务批准文号：中国证监会证监基字</w:t>
      </w:r>
      <w:r>
        <w:rPr>
          <w:rFonts w:ascii="Arial Unicode MS" w:hAnsi="Arial Unicode MS" w:cs="Arial" w:hint="eastAsia"/>
          <w:kern w:val="0"/>
          <w:szCs w:val="21"/>
        </w:rPr>
        <w:t>[1998]12</w:t>
      </w:r>
      <w:r>
        <w:rPr>
          <w:rFonts w:ascii="Arial Unicode MS" w:hAnsi="Arial Unicode MS" w:cs="Arial" w:hint="eastAsia"/>
          <w:kern w:val="0"/>
          <w:szCs w:val="21"/>
        </w:rPr>
        <w:t>号</w:t>
      </w:r>
    </w:p>
    <w:p w14:paraId="00269C8C"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组织形式：股份有限公司</w:t>
      </w:r>
    </w:p>
    <w:p w14:paraId="645050F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注册资本：贰仟伍佰亿壹仟零玖拾柒万柒仟肆佰捌拾陆元整</w:t>
      </w:r>
    </w:p>
    <w:p w14:paraId="783F171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存续期间：持续经营</w:t>
      </w:r>
    </w:p>
    <w:p w14:paraId="2765527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w:t>
      </w:r>
      <w:r>
        <w:rPr>
          <w:rFonts w:ascii="Arial Unicode MS" w:hAnsi="Arial Unicode MS" w:cs="Arial" w:hint="eastAsia"/>
          <w:kern w:val="0"/>
          <w:szCs w:val="21"/>
        </w:rPr>
        <w:lastRenderedPageBreak/>
        <w:t>业务。</w:t>
      </w:r>
    </w:p>
    <w:p w14:paraId="7518ED1A"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二、基金托管人对基金管理人的业务监督和核查</w:t>
      </w:r>
    </w:p>
    <w:p w14:paraId="584CEAC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9D83A6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17452DEE"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本基金不投资于股票和权证，也不投资于可转换债券（可分离交易可转债的纯债部分除外）、可交换债券。</w:t>
      </w:r>
    </w:p>
    <w:p w14:paraId="53FFB2E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基金的投资组合比例为：本基金对债券的投资比例不低于基金资产的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％；本基金持有现金或者到期日在一年以内的政府债券投资比例不低于基金资产净值的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w:t>
      </w:r>
    </w:p>
    <w:p w14:paraId="137EADD9"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如法律法规或监管机构以后允许基金投资的其他品种，基金管理人在履行适当程序后，可以将其纳入投资范围。</w:t>
      </w:r>
    </w:p>
    <w:p w14:paraId="7DE00936"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（二）基金托管人根据有关法律法规的规定及《基金合同》的约定，对基金投资、融资比例进行监督。基金托管人按下述比例和调整期限进行监督：</w:t>
      </w:r>
    </w:p>
    <w:p w14:paraId="16CE635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w:t>
      </w:r>
    </w:p>
    <w:p w14:paraId="06C5CADD"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）本基金持有现金或者到期日在一年以内的政府债券投资比例合计不低于基金资产净值的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w:t>
      </w:r>
    </w:p>
    <w:p w14:paraId="6D0433FC"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）本基金持有一家公司发行的证券，其市值不超过基金资产净值的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554B311F"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）本基金管理人管理且由本基金托管人托管的全部基金持有一家公司发行的证券，不超过该证券的</w:t>
      </w:r>
      <w:r>
        <w:rPr>
          <w:rFonts w:ascii="Arial Unicode MS" w:hAnsi="Arial Unicode MS" w:cs="Arial" w:hint="eastAsia"/>
          <w:kern w:val="0"/>
          <w:szCs w:val="21"/>
        </w:rPr>
        <w:t>10</w:t>
      </w:r>
      <w:r>
        <w:rPr>
          <w:rFonts w:ascii="Arial Unicode MS" w:hAnsi="Arial Unicode MS" w:cs="Arial" w:hint="eastAsia"/>
          <w:kern w:val="0"/>
          <w:szCs w:val="21"/>
        </w:rPr>
        <w:t>％；</w:t>
      </w:r>
    </w:p>
    <w:p w14:paraId="40A865B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）本基金进入全国银行间同业市场进行债券回购的资金余额不得超过基金资产净值的</w:t>
      </w:r>
      <w:r>
        <w:rPr>
          <w:rFonts w:ascii="Arial Unicode MS" w:hAnsi="Arial Unicode MS" w:cs="Arial" w:hint="eastAsia"/>
          <w:kern w:val="0"/>
          <w:szCs w:val="21"/>
        </w:rPr>
        <w:t>40%</w:t>
      </w:r>
      <w:r>
        <w:rPr>
          <w:rFonts w:ascii="Arial Unicode MS" w:hAnsi="Arial Unicode MS" w:cs="Arial" w:hint="eastAsia"/>
          <w:kern w:val="0"/>
          <w:szCs w:val="21"/>
        </w:rPr>
        <w:t>；在全国银行间同业市场中的债券回购最长期限为</w:t>
      </w:r>
      <w:r>
        <w:rPr>
          <w:rFonts w:ascii="Arial Unicode MS" w:hAnsi="Arial Unicode MS" w:cs="Arial" w:hint="eastAsia"/>
          <w:kern w:val="0"/>
          <w:szCs w:val="21"/>
        </w:rPr>
        <w:t>1</w:t>
      </w:r>
      <w:r>
        <w:rPr>
          <w:rFonts w:ascii="Arial Unicode MS" w:hAnsi="Arial Unicode MS" w:cs="Arial" w:hint="eastAsia"/>
          <w:kern w:val="0"/>
          <w:szCs w:val="21"/>
        </w:rPr>
        <w:t>年，债券回购到期后不展期；</w:t>
      </w:r>
    </w:p>
    <w:p w14:paraId="175366E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）本基金投资于同一原始权益人的各类资产支持证券的比例，不得超过基金资产净值的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759EF5E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7</w:t>
      </w:r>
      <w:r>
        <w:rPr>
          <w:rFonts w:ascii="Arial Unicode MS" w:hAnsi="Arial Unicode MS" w:cs="Arial" w:hint="eastAsia"/>
          <w:kern w:val="0"/>
          <w:szCs w:val="21"/>
        </w:rPr>
        <w:t>）本基金持有的全部资产支持证券，其市值不得超过基金资产净值的</w:t>
      </w:r>
      <w:r>
        <w:rPr>
          <w:rFonts w:ascii="Arial Unicode MS" w:hAnsi="Arial Unicode MS" w:cs="Arial" w:hint="eastAsia"/>
          <w:kern w:val="0"/>
          <w:szCs w:val="21"/>
        </w:rPr>
        <w:t>20</w:t>
      </w:r>
      <w:r>
        <w:rPr>
          <w:rFonts w:ascii="Arial Unicode MS" w:hAnsi="Arial Unicode MS" w:cs="Arial" w:hint="eastAsia"/>
          <w:kern w:val="0"/>
          <w:szCs w:val="21"/>
        </w:rPr>
        <w:t>％；</w:t>
      </w:r>
    </w:p>
    <w:p w14:paraId="6E4C2D7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）本基金持有的同一</w:t>
      </w:r>
      <w:r>
        <w:rPr>
          <w:rFonts w:ascii="Arial Unicode MS" w:hAnsi="Arial Unicode MS" w:cs="Arial" w:hint="eastAsia"/>
          <w:kern w:val="0"/>
          <w:szCs w:val="21"/>
        </w:rPr>
        <w:t>(</w:t>
      </w:r>
      <w:r>
        <w:rPr>
          <w:rFonts w:ascii="Arial Unicode MS" w:hAnsi="Arial Unicode MS" w:cs="Arial" w:hint="eastAsia"/>
          <w:kern w:val="0"/>
          <w:szCs w:val="21"/>
        </w:rPr>
        <w:t>指同一信用级别</w:t>
      </w:r>
      <w:r>
        <w:rPr>
          <w:rFonts w:ascii="Arial Unicode MS" w:hAnsi="Arial Unicode MS" w:cs="Arial" w:hint="eastAsia"/>
          <w:kern w:val="0"/>
          <w:szCs w:val="21"/>
        </w:rPr>
        <w:t>)</w:t>
      </w:r>
      <w:r>
        <w:rPr>
          <w:rFonts w:ascii="Arial Unicode MS" w:hAnsi="Arial Unicode MS" w:cs="Arial" w:hint="eastAsia"/>
          <w:kern w:val="0"/>
          <w:szCs w:val="21"/>
        </w:rPr>
        <w:t>资产支持证券的比例，不得超过该资产支持证券规模的</w:t>
      </w:r>
      <w:r>
        <w:rPr>
          <w:rFonts w:ascii="Arial Unicode MS" w:hAnsi="Arial Unicode MS" w:cs="Arial" w:hint="eastAsia"/>
          <w:kern w:val="0"/>
          <w:szCs w:val="21"/>
        </w:rPr>
        <w:t>10</w:t>
      </w:r>
      <w:r>
        <w:rPr>
          <w:rFonts w:ascii="Arial Unicode MS" w:hAnsi="Arial Unicode MS" w:cs="Arial" w:hint="eastAsia"/>
          <w:kern w:val="0"/>
          <w:szCs w:val="21"/>
        </w:rPr>
        <w:t>％；</w:t>
      </w:r>
    </w:p>
    <w:p w14:paraId="7B789E4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）本基金管理人管理且由本基金托管人托管的全部基金投资于同一原始权益人的各类资产支持证券，不得超过其各类资产支持证券合计规模的</w:t>
      </w:r>
      <w:r>
        <w:rPr>
          <w:rFonts w:ascii="Arial Unicode MS" w:hAnsi="Arial Unicode MS" w:cs="Arial" w:hint="eastAsia"/>
          <w:kern w:val="0"/>
          <w:szCs w:val="21"/>
        </w:rPr>
        <w:t>10</w:t>
      </w:r>
      <w:r>
        <w:rPr>
          <w:rFonts w:ascii="Arial Unicode MS" w:hAnsi="Arial Unicode MS" w:cs="Arial" w:hint="eastAsia"/>
          <w:kern w:val="0"/>
          <w:szCs w:val="21"/>
        </w:rPr>
        <w:t>％；</w:t>
      </w:r>
    </w:p>
    <w:p w14:paraId="5D5CA2E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）本基金应投资于信用级别评级为</w:t>
      </w:r>
      <w:r>
        <w:rPr>
          <w:rFonts w:ascii="Arial Unicode MS" w:hAnsi="Arial Unicode MS" w:cs="Arial" w:hint="eastAsia"/>
          <w:kern w:val="0"/>
          <w:szCs w:val="21"/>
        </w:rPr>
        <w:t>BBB</w:t>
      </w:r>
      <w:r>
        <w:rPr>
          <w:rFonts w:ascii="Arial Unicode MS" w:hAnsi="Arial Unicode MS" w:cs="Arial" w:hint="eastAsia"/>
          <w:kern w:val="0"/>
          <w:szCs w:val="21"/>
        </w:rPr>
        <w:t>以上</w:t>
      </w:r>
      <w:r>
        <w:rPr>
          <w:rFonts w:ascii="Arial Unicode MS" w:hAnsi="Arial Unicode MS" w:cs="Arial" w:hint="eastAsia"/>
          <w:kern w:val="0"/>
          <w:szCs w:val="21"/>
        </w:rPr>
        <w:t>(</w:t>
      </w:r>
      <w:r>
        <w:rPr>
          <w:rFonts w:ascii="Arial Unicode MS" w:hAnsi="Arial Unicode MS" w:cs="Arial" w:hint="eastAsia"/>
          <w:kern w:val="0"/>
          <w:szCs w:val="21"/>
        </w:rPr>
        <w:t>含</w:t>
      </w:r>
      <w:r>
        <w:rPr>
          <w:rFonts w:ascii="Arial Unicode MS" w:hAnsi="Arial Unicode MS" w:cs="Arial" w:hint="eastAsia"/>
          <w:kern w:val="0"/>
          <w:szCs w:val="21"/>
        </w:rPr>
        <w:t>BBB)</w:t>
      </w:r>
      <w:r>
        <w:rPr>
          <w:rFonts w:ascii="Arial Unicode MS" w:hAnsi="Arial Unicode MS" w:cs="Arial" w:hint="eastAsia"/>
          <w:kern w:val="0"/>
          <w:szCs w:val="21"/>
        </w:rPr>
        <w:t>的资产支持证券。基金持有资产支持证券期间，如果其信用等级下降、不再符合投资标准，应在评级报告发布之日起</w:t>
      </w:r>
      <w:r>
        <w:rPr>
          <w:rFonts w:ascii="Arial Unicode MS" w:hAnsi="Arial Unicode MS" w:cs="Arial" w:hint="eastAsia"/>
          <w:kern w:val="0"/>
          <w:szCs w:val="21"/>
        </w:rPr>
        <w:t>3</w:t>
      </w:r>
      <w:r>
        <w:rPr>
          <w:rFonts w:ascii="Arial Unicode MS" w:hAnsi="Arial Unicode MS" w:cs="Arial" w:hint="eastAsia"/>
          <w:kern w:val="0"/>
          <w:szCs w:val="21"/>
        </w:rPr>
        <w:t>个月内予以全部卖出；</w:t>
      </w:r>
    </w:p>
    <w:p w14:paraId="45E1FF56"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）基金资产总值不得超过基金资产净值的</w:t>
      </w:r>
      <w:r>
        <w:rPr>
          <w:rFonts w:ascii="Arial Unicode MS" w:hAnsi="Arial Unicode MS" w:cs="Arial" w:hint="eastAsia"/>
          <w:kern w:val="0"/>
          <w:szCs w:val="21"/>
        </w:rPr>
        <w:t>140%</w:t>
      </w:r>
      <w:r>
        <w:rPr>
          <w:rFonts w:ascii="Arial Unicode MS" w:hAnsi="Arial Unicode MS" w:cs="Arial" w:hint="eastAsia"/>
          <w:kern w:val="0"/>
          <w:szCs w:val="21"/>
        </w:rPr>
        <w:t>；</w:t>
      </w:r>
    </w:p>
    <w:p w14:paraId="0A0D5F69"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2</w:t>
      </w:r>
      <w:r>
        <w:rPr>
          <w:rFonts w:ascii="Arial Unicode MS" w:hAnsi="Arial Unicode MS" w:cs="Arial" w:hint="eastAsia"/>
          <w:kern w:val="0"/>
          <w:szCs w:val="21"/>
        </w:rPr>
        <w:t>）本基金主动投资于流动性受限资产的市值合计不得超过基金资产净值的</w:t>
      </w:r>
      <w:r>
        <w:rPr>
          <w:rFonts w:ascii="Arial Unicode MS" w:hAnsi="Arial Unicode MS" w:cs="Arial" w:hint="eastAsia"/>
          <w:kern w:val="0"/>
          <w:szCs w:val="21"/>
        </w:rPr>
        <w:t>15%</w:t>
      </w:r>
      <w:r>
        <w:rPr>
          <w:rFonts w:ascii="Arial Unicode MS" w:hAnsi="Arial Unicode MS" w:cs="Arial" w:hint="eastAsia"/>
          <w:kern w:val="0"/>
          <w:szCs w:val="21"/>
        </w:rPr>
        <w:t>；</w:t>
      </w:r>
    </w:p>
    <w:p w14:paraId="3E11F87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因证券市场波动、基金规模变动等基金管理人之外的因素致使基金不符合前款所规定比例限制的，基金管理人不得主动新增流动性受限资产的投资；</w:t>
      </w:r>
    </w:p>
    <w:p w14:paraId="5275C55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3</w:t>
      </w:r>
      <w:r>
        <w:rPr>
          <w:rFonts w:ascii="Arial Unicode MS" w:hAnsi="Arial Unicode MS" w:cs="Arial" w:hint="eastAsia"/>
          <w:kern w:val="0"/>
          <w:szCs w:val="21"/>
        </w:rPr>
        <w:t>）法律法规及中国证监会规定的和《基金合同》约定的其他投资限制。</w:t>
      </w:r>
    </w:p>
    <w:p w14:paraId="0B20B230"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除上述第（</w:t>
      </w:r>
      <w:r>
        <w:rPr>
          <w:rFonts w:ascii="Arial Unicode MS" w:hAnsi="Arial Unicode MS" w:cs="Arial" w:hint="eastAsia"/>
          <w:kern w:val="0"/>
          <w:szCs w:val="21"/>
        </w:rPr>
        <w:t>2</w:t>
      </w: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2</w:t>
      </w:r>
      <w:r>
        <w:rPr>
          <w:rFonts w:ascii="Arial Unicode MS" w:hAnsi="Arial Unicode MS" w:cs="Arial" w:hint="eastAsia"/>
          <w:kern w:val="0"/>
          <w:szCs w:val="21"/>
        </w:rPr>
        <w:t>）条外，因证券市场波动、证券发行人合并、基金规模变动等基金管理人之外的因素致使基金投资比例不符合上述规定投资比例的，基金管理人应当在</w:t>
      </w:r>
      <w:r>
        <w:rPr>
          <w:rFonts w:ascii="Arial Unicode MS" w:hAnsi="Arial Unicode MS" w:cs="Arial" w:hint="eastAsia"/>
          <w:kern w:val="0"/>
          <w:szCs w:val="21"/>
        </w:rPr>
        <w:t>10</w:t>
      </w:r>
      <w:r>
        <w:rPr>
          <w:rFonts w:ascii="Arial Unicode MS" w:hAnsi="Arial Unicode MS" w:cs="Arial" w:hint="eastAsia"/>
          <w:kern w:val="0"/>
          <w:szCs w:val="21"/>
        </w:rPr>
        <w:t>个交易日内进行调整，但中国证监会规定的特殊情形除外。法律法规或监管机构另有规定的，从其规定。</w:t>
      </w:r>
    </w:p>
    <w:p w14:paraId="0060A08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基金管理人应当自基金合同生效之日起</w:t>
      </w:r>
      <w:r>
        <w:rPr>
          <w:rFonts w:ascii="Arial Unicode MS" w:hAnsi="Arial Unicode MS" w:cs="Arial" w:hint="eastAsia"/>
          <w:kern w:val="0"/>
          <w:szCs w:val="21"/>
        </w:rPr>
        <w:t>6</w:t>
      </w:r>
      <w:r>
        <w:rPr>
          <w:rFonts w:ascii="Arial Unicode MS" w:hAnsi="Arial Unicode MS" w:cs="Arial" w:hint="eastAsia"/>
          <w:kern w:val="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15FAFA4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法律法规或监管部门取消或调整上述限制，如适用于本基金，基金管理人在履行适当程序后，则本基金投资不再受相关限制或按调整后的规定执行。</w:t>
      </w:r>
    </w:p>
    <w:p w14:paraId="5860B8E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（三）基金托管人根据有关法律法规的规定及《基金合同》的约定，对本托管协议第十五条第九款基金投资禁止行为通过事后监督方式进行监督。</w:t>
      </w:r>
    </w:p>
    <w:p w14:paraId="11A28431"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22B604AC"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（四）基金托管人根据有关法律法规的规定及《基金合同》的约定，对基金管理人参与银行间债券市场进行监督。基金管理人应在基金投资运作之前向基金托管人提供符合法律法</w:t>
      </w:r>
      <w:r>
        <w:rPr>
          <w:rFonts w:ascii="Arial Unicode MS" w:hAnsi="Arial Unicode MS" w:cs="Arial" w:hint="eastAsia"/>
          <w:kern w:val="0"/>
          <w:szCs w:val="21"/>
        </w:rPr>
        <w:lastRenderedPageBreak/>
        <w:t>规及行业标准的、经慎重选择的、本基金适用的银行间债券市场交易对手名单，并约定各交易对手所适用的交易结算方式（若管理人未提供交易对手名单，则视同可与所有交易对手进行交易）。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Arial Unicode MS" w:hAnsi="Arial Unicode MS" w:cs="Arial" w:hint="eastAsia"/>
          <w:kern w:val="0"/>
          <w:szCs w:val="21"/>
        </w:rPr>
        <w:t>3</w:t>
      </w:r>
      <w:r>
        <w:rPr>
          <w:rFonts w:ascii="Arial Unicode MS" w:hAnsi="Arial Unicode MS" w:cs="Arial" w:hint="eastAsia"/>
          <w:kern w:val="0"/>
          <w:szCs w:val="21"/>
        </w:rPr>
        <w:t>个工作日内与基金托管人协商解决。</w:t>
      </w:r>
    </w:p>
    <w:p w14:paraId="3BDE0F2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0F82EBF"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14:paraId="5C263E96"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423BDB3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D563F01"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BBB14D"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（九）若基金托管人发现基金管理人依据交易程序已经生效的指令违反法律、行政法规和其他有关规定，或者违反《基金合同》约定的，应当立即通知基金管理人，由此造成的损失由基金管理人承担。</w:t>
      </w:r>
    </w:p>
    <w:p w14:paraId="7B8DA9B1"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4B3D986"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三、基金管理人对基金托管人的业务监督、核查</w:t>
      </w:r>
    </w:p>
    <w:p w14:paraId="02ACA4A7" w14:textId="77777777" w:rsidR="00B804EC"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一）基金管理人对基金托管人履行托管职责情况进行核查，核查事项包括基金托管人安全保管基金财产、开设基金财产的资金账户和证券账户、复核基金管理人计算的基金资产净值和各类基金份额的基金份额净值、根据基金管理人指令办理清算交收、相关信息披露和监督基金投资运作等行为。</w:t>
      </w:r>
    </w:p>
    <w:p w14:paraId="34354C46" w14:textId="77777777" w:rsidR="00B804EC"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BBBD658" w14:textId="77777777" w:rsidR="00B804EC"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01AF8A9"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四、基金财产的保管</w:t>
      </w:r>
      <w:bookmarkStart w:id="143" w:name="_Toc37159173"/>
      <w:bookmarkStart w:id="144" w:name="_Toc77662997"/>
    </w:p>
    <w:p w14:paraId="55C24DA0"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（一）基金财产保管的原则</w:t>
      </w:r>
    </w:p>
    <w:p w14:paraId="1A28D210"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基金财产应独立于基金管理人、基金托管人的固有财产。</w:t>
      </w:r>
    </w:p>
    <w:p w14:paraId="2B0F689C"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基金托管人应安全保管基金财产。</w:t>
      </w:r>
    </w:p>
    <w:p w14:paraId="092CF660"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基金托管人按照规定开设基金财产的资金账户和证券账户。</w:t>
      </w:r>
    </w:p>
    <w:p w14:paraId="1CF48237"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基金托管人对所托管的不同基金财产分别设置账户，确保基金财产的完整与独立。</w:t>
      </w:r>
    </w:p>
    <w:p w14:paraId="6B343A71"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基金托管人按照《基金合同》和本协议的约定保管基金财产，如有特殊情况双方可另行协商解决。基金托管人未经基金管理人的指令，不得自行运用、处分、分配本基金的任何</w:t>
      </w:r>
      <w:r>
        <w:rPr>
          <w:rFonts w:ascii="Arial Unicode MS" w:hAnsi="Arial Unicode MS" w:hint="eastAsia"/>
          <w:bCs/>
          <w:szCs w:val="21"/>
        </w:rPr>
        <w:lastRenderedPageBreak/>
        <w:t>资产（不包含基金托管人依据中国证券登记结算有限责任公司结算数据完成场内交易交收、开户银行或交易</w:t>
      </w:r>
      <w:r>
        <w:rPr>
          <w:rFonts w:ascii="Arial Unicode MS" w:hAnsi="Arial Unicode MS" w:hint="eastAsia"/>
          <w:bCs/>
          <w:szCs w:val="21"/>
        </w:rPr>
        <w:t>/</w:t>
      </w:r>
      <w:r>
        <w:rPr>
          <w:rFonts w:ascii="Arial Unicode MS" w:hAnsi="Arial Unicode MS" w:hint="eastAsia"/>
          <w:bCs/>
          <w:szCs w:val="21"/>
        </w:rPr>
        <w:t>登记结算机构扣收交易费、结算费和账户维护费等费用）。</w:t>
      </w:r>
    </w:p>
    <w:p w14:paraId="4DB2DF4F"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22DC705"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除依据法律法规和《基金合同》的规定外，基金托管人不得委托第三人托管基金财产。</w:t>
      </w:r>
    </w:p>
    <w:p w14:paraId="1138E52F"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（二）基金银行账户的开立和管理</w:t>
      </w:r>
    </w:p>
    <w:p w14:paraId="4EBCF1CC"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基金托管人可以基金的名义在其营业机构开立基金的银行账户，并根据基金管理人合法合规的指令办理资金收付。本基金的银行预留印鉴由基金托管人保管和使用。</w:t>
      </w:r>
    </w:p>
    <w:p w14:paraId="41950204"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0C7B244E"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基金银行账户的开立和管理应符合银行业监督管理机构的有关规定。</w:t>
      </w:r>
    </w:p>
    <w:p w14:paraId="6B2C776F"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在符合法律法规规定的条件下，基金托管人可以通过基金托管人专用账户办理基金资产的支付。</w:t>
      </w:r>
    </w:p>
    <w:p w14:paraId="23EED8E2"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管理人应于托管产品清盘后及时完成收益兑付、费用结清及其他应收应付款项资金划转，在确保后续不再发生款项进出后的</w:t>
      </w:r>
      <w:r>
        <w:rPr>
          <w:rFonts w:ascii="Arial Unicode MS" w:hAnsi="Arial Unicode MS" w:hint="eastAsia"/>
          <w:bCs/>
          <w:szCs w:val="21"/>
        </w:rPr>
        <w:t>10</w:t>
      </w:r>
      <w:r>
        <w:rPr>
          <w:rFonts w:ascii="Arial Unicode MS" w:hAnsi="Arial Unicode MS" w:hint="eastAsia"/>
          <w:bCs/>
          <w:szCs w:val="21"/>
        </w:rPr>
        <w:t>个工作日内向托管人发出销户申请。</w:t>
      </w:r>
    </w:p>
    <w:p w14:paraId="1D031DCF" w14:textId="77777777" w:rsidR="00B804EC" w:rsidRDefault="00B804EC">
      <w:pPr>
        <w:adjustRightInd w:val="0"/>
        <w:snapToGrid w:val="0"/>
        <w:spacing w:line="360" w:lineRule="auto"/>
        <w:ind w:firstLineChars="200" w:firstLine="420"/>
        <w:rPr>
          <w:rFonts w:ascii="Arial Unicode MS" w:hAnsi="Arial Unicode MS" w:hint="eastAsia"/>
          <w:bCs/>
          <w:szCs w:val="21"/>
        </w:rPr>
      </w:pPr>
    </w:p>
    <w:p w14:paraId="1B9B6186"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（三）基金证券账户和结算备付金账户的开立和管理</w:t>
      </w:r>
    </w:p>
    <w:p w14:paraId="32F9048F"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基金托管人在中国证券登记结算有限责任公司为基金开立基金托管人与基金联名的证券账户。</w:t>
      </w:r>
    </w:p>
    <w:p w14:paraId="1630A23E"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2CCD227"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基金证券账户的开立和证券账户卡的保管由基金托管人负责，账户资产的管理和运用由基金管理人负责。</w:t>
      </w:r>
    </w:p>
    <w:p w14:paraId="66A713C2"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证券账户开户费由基金管理人先行垫付</w:t>
      </w:r>
      <w:r>
        <w:rPr>
          <w:rFonts w:ascii="Arial Unicode MS" w:hAnsi="Arial Unicode MS" w:hint="eastAsia"/>
          <w:bCs/>
          <w:szCs w:val="21"/>
        </w:rPr>
        <w:t>,</w:t>
      </w:r>
      <w:r>
        <w:rPr>
          <w:rFonts w:ascii="Arial Unicode MS" w:hAnsi="Arial Unicode MS" w:hint="eastAsia"/>
          <w:bCs/>
          <w:szCs w:val="21"/>
        </w:rPr>
        <w:t>待托管产品启始运营后</w:t>
      </w:r>
      <w:r>
        <w:rPr>
          <w:rFonts w:ascii="Arial Unicode MS" w:hAnsi="Arial Unicode MS" w:hint="eastAsia"/>
          <w:bCs/>
          <w:szCs w:val="21"/>
        </w:rPr>
        <w:t>,</w:t>
      </w:r>
      <w:r>
        <w:rPr>
          <w:rFonts w:ascii="Arial Unicode MS" w:hAnsi="Arial Unicode MS" w:hint="eastAsia"/>
          <w:bCs/>
          <w:szCs w:val="21"/>
        </w:rPr>
        <w:t>基金管理人可向基金托管人发送划款指令</w:t>
      </w:r>
      <w:r>
        <w:rPr>
          <w:rFonts w:ascii="Arial Unicode MS" w:hAnsi="Arial Unicode MS" w:hint="eastAsia"/>
          <w:bCs/>
          <w:szCs w:val="21"/>
        </w:rPr>
        <w:t>,</w:t>
      </w:r>
      <w:r>
        <w:rPr>
          <w:rFonts w:ascii="Arial Unicode MS" w:hAnsi="Arial Unicode MS" w:hint="eastAsia"/>
          <w:bCs/>
          <w:szCs w:val="21"/>
        </w:rPr>
        <w:t>将代垫开户费从本基金托管资金账户中扣还基金管理人。</w:t>
      </w:r>
    </w:p>
    <w:p w14:paraId="32ADE167"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4.</w:t>
      </w:r>
      <w:r>
        <w:rPr>
          <w:rFonts w:ascii="Arial Unicode MS" w:hAnsi="Arial Unicode MS" w:hint="eastAsia"/>
          <w:bCs/>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3AD03C9"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2F7707EB"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14:paraId="04778A4E"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（四）债券托管专户的开设和管理</w:t>
      </w:r>
    </w:p>
    <w:p w14:paraId="79019432"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C9F3567"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（五）其他账户的开立和管理</w:t>
      </w:r>
    </w:p>
    <w:p w14:paraId="12D09859"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7713F55"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法律法规等有关规定对相关账户的开立和管理另有规定的，从其规定办理。</w:t>
      </w:r>
    </w:p>
    <w:p w14:paraId="7E979823"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（六）基金财产投资的有关有价凭证等的保管</w:t>
      </w:r>
    </w:p>
    <w:p w14:paraId="18B46503"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基金财产投资的有关实物证券、银行存款开户证实书等有价凭证由基金托管人存放于基金托管人的保管库，也可存入中央国债登记结算有限责任公司、中国证券登记结算有限责任公司上海分公司</w:t>
      </w:r>
      <w:r>
        <w:rPr>
          <w:rFonts w:ascii="Arial Unicode MS" w:hAnsi="Arial Unicode MS" w:hint="eastAsia"/>
          <w:bCs/>
          <w:szCs w:val="21"/>
        </w:rPr>
        <w:t>/</w:t>
      </w:r>
      <w:r>
        <w:rPr>
          <w:rFonts w:ascii="Arial Unicode MS" w:hAnsi="Arial Unicode MS" w:hint="eastAsia"/>
          <w:bCs/>
          <w:szCs w:val="21"/>
        </w:rPr>
        <w:t>深圳分公司</w:t>
      </w:r>
      <w:r>
        <w:rPr>
          <w:rFonts w:ascii="Arial Unicode MS" w:hAnsi="Arial Unicode MS" w:hint="eastAsia"/>
          <w:bCs/>
          <w:szCs w:val="21"/>
        </w:rPr>
        <w:t>/</w:t>
      </w:r>
      <w:r>
        <w:rPr>
          <w:rFonts w:ascii="Arial Unicode MS" w:hAnsi="Arial Unicode MS" w:hint="eastAsia"/>
          <w:bCs/>
          <w:szCs w:val="21"/>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B93E5F3"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（七）与基金财产有关的重大合同的保管</w:t>
      </w:r>
    </w:p>
    <w:p w14:paraId="53E98E84" w14:textId="77777777" w:rsidR="00B804EC"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与基金财产有关的重大合同的签署，由基金管理人负责。由基金管理人代表基金签署的、</w:t>
      </w:r>
      <w:r>
        <w:rPr>
          <w:rFonts w:ascii="Arial Unicode MS" w:hAnsi="Arial Unicode MS" w:hint="eastAsia"/>
          <w:bCs/>
          <w:szCs w:val="21"/>
        </w:rPr>
        <w:lastRenderedPageBreak/>
        <w:t>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规定的最低期限。</w:t>
      </w:r>
    </w:p>
    <w:bookmarkEnd w:id="143"/>
    <w:bookmarkEnd w:id="144"/>
    <w:p w14:paraId="420D45BB"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五、</w:t>
      </w:r>
      <w:r>
        <w:rPr>
          <w:rFonts w:ascii="Arial Unicode MS" w:hAnsi="Arial Unicode MS" w:cs="Arial" w:hint="eastAsia"/>
          <w:b/>
          <w:szCs w:val="21"/>
        </w:rPr>
        <w:t>基金资产净值计算和会计核算</w:t>
      </w:r>
      <w:bookmarkStart w:id="145" w:name="_Toc77663017"/>
    </w:p>
    <w:bookmarkEnd w:id="145"/>
    <w:p w14:paraId="1238E05E"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（一）基金资产净值的计算、复核与完成的时间及程序</w:t>
      </w:r>
    </w:p>
    <w:p w14:paraId="2B0429ED"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基金资产净值是指基金资产总值减去基金负债后的金额。各类基金份额的基金份额净值是按照每个交易日闭市后，各类基金资产净值除以当日该类基金份额的余额数量计算，均精确到</w:t>
      </w:r>
      <w:r>
        <w:rPr>
          <w:rFonts w:ascii="Arial Unicode MS" w:hAnsi="Arial Unicode MS" w:cs="Arial" w:hint="eastAsia"/>
          <w:szCs w:val="21"/>
        </w:rPr>
        <w:t>0.0001</w:t>
      </w:r>
      <w:r>
        <w:rPr>
          <w:rFonts w:ascii="Arial Unicode MS" w:hAnsi="Arial Unicode MS" w:cs="Arial" w:hint="eastAsia"/>
          <w:szCs w:val="21"/>
        </w:rPr>
        <w:t>元，小数点后第五位四舍五入。基金管理人可以设立大额赎回情形下的净值精度应急调整机制。国家另有规定的，从其规定。</w:t>
      </w:r>
    </w:p>
    <w:p w14:paraId="59C9304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每个交易日计算基金资产净值及各类基金份额的基金份额净值，并按规定公告。</w:t>
      </w:r>
    </w:p>
    <w:p w14:paraId="164E031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14:paraId="49D84C8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（二）基金资产估值方法和特殊情形的处理</w:t>
      </w:r>
    </w:p>
    <w:p w14:paraId="09FD07CD"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估值对象</w:t>
      </w:r>
    </w:p>
    <w:p w14:paraId="4B2109C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基金所拥有的债券和银行存款本息、应收款项及其它投资等资产及负债。</w:t>
      </w:r>
    </w:p>
    <w:p w14:paraId="4D80197D"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估值方法</w:t>
      </w:r>
    </w:p>
    <w:p w14:paraId="465EAB3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）证券交易所上市的有价证券的估值</w:t>
      </w:r>
    </w:p>
    <w:p w14:paraId="46B9793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）交易所上市交易或挂牌转让的不含权固定收益品种，选取估值日第三方估值基准服务机构提供的相应品种当日的估值全价进行估值；</w:t>
      </w:r>
    </w:p>
    <w:p w14:paraId="546D3D6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）交易所上市交易或挂牌转让的含权固定收益品种，选取估值日第三方估值基准服务机构提供的相应品种当日的唯一估值全价或推荐估值全价进行估值；</w:t>
      </w:r>
    </w:p>
    <w:p w14:paraId="7DD9783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AE7154E"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）交易所市场上市交易的公开发行的可转换债券等有活跃市场的含转股权的债券，实行全价交易的债券选取估值日收盘价作为估值全价；实行净价交易的债券选取估值日收盘价</w:t>
      </w:r>
      <w:r>
        <w:rPr>
          <w:rFonts w:ascii="Arial Unicode MS" w:hAnsi="Arial Unicode MS" w:cs="Arial" w:hint="eastAsia"/>
          <w:szCs w:val="21"/>
        </w:rPr>
        <w:lastRenderedPageBreak/>
        <w:t>并加计每百元税前应计利息作为估值全价；</w:t>
      </w:r>
    </w:p>
    <w:p w14:paraId="2E29141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）交易所上市不存在活跃市场的有价证券，采用估值技术确定公允价值。</w:t>
      </w:r>
    </w:p>
    <w:p w14:paraId="78F4D6D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）首次公开发行未上市的债券，采用估值技术确定公允价值。</w:t>
      </w:r>
    </w:p>
    <w:p w14:paraId="2CB7F80A"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回售登记期截止日（含当日）后未行使回售权的按照长待偿期所对应的价格进行估值。对银行间市场未上市，且第三方估值基准服务机构未提供估值价格的债券，采用估值技术确定公允价值。</w:t>
      </w:r>
    </w:p>
    <w:p w14:paraId="28B36A8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）同一债券同时在两个或两个以上市场交易的，按债券所处的市场分别估值。</w:t>
      </w:r>
    </w:p>
    <w:p w14:paraId="0609ACA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）当发生大额申购或赎回情形时，基金管理人可以采用摆动定价机制，以确保基金估值的公平性。</w:t>
      </w:r>
    </w:p>
    <w:p w14:paraId="3C31820C"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）如有确凿证据表明按上述方法进行估值不能客观反映其公允价值的，基金管理人可根据具体情况与基金托管人商定后，按最能反映公允价值的价格估值。</w:t>
      </w:r>
    </w:p>
    <w:p w14:paraId="5256D81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）相关法律法规以及监管部门有强制规定的，从其规定。如有新增事项，按国家最新规定估值。</w:t>
      </w:r>
    </w:p>
    <w:p w14:paraId="68AD642A"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EE88FB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14:paraId="1ADE9EB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特殊情形的处理</w:t>
      </w:r>
    </w:p>
    <w:p w14:paraId="697B017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基金管理人、基金托管人按估值方法的第</w:t>
      </w:r>
      <w:r>
        <w:rPr>
          <w:rFonts w:ascii="Arial Unicode MS" w:hAnsi="Arial Unicode MS" w:cs="Arial" w:hint="eastAsia"/>
          <w:szCs w:val="21"/>
        </w:rPr>
        <w:t>(6)</w:t>
      </w:r>
      <w:r>
        <w:rPr>
          <w:rFonts w:ascii="Arial Unicode MS" w:hAnsi="Arial Unicode MS" w:cs="Arial" w:hint="eastAsia"/>
          <w:szCs w:val="21"/>
        </w:rPr>
        <w:t>项进行估值时，所造成的误差不作为基金份额净值错误处理。</w:t>
      </w:r>
    </w:p>
    <w:p w14:paraId="2EF4BE5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（三）基金份额净值错误的处理方式</w:t>
      </w:r>
    </w:p>
    <w:p w14:paraId="7E364C8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当任一类基金份额净值小数点后</w:t>
      </w:r>
      <w:r>
        <w:rPr>
          <w:rFonts w:ascii="Arial Unicode MS" w:hAnsi="Arial Unicode MS" w:cs="Arial" w:hint="eastAsia"/>
          <w:szCs w:val="21"/>
        </w:rPr>
        <w:t>4</w:t>
      </w:r>
      <w:r>
        <w:rPr>
          <w:rFonts w:ascii="Arial Unicode MS" w:hAnsi="Arial Unicode MS" w:cs="Arial" w:hint="eastAsia"/>
          <w:szCs w:val="21"/>
        </w:rPr>
        <w:t>位以内</w:t>
      </w:r>
      <w:r>
        <w:rPr>
          <w:rFonts w:ascii="Arial Unicode MS" w:hAnsi="Arial Unicode MS" w:cs="Arial" w:hint="eastAsia"/>
          <w:szCs w:val="21"/>
        </w:rPr>
        <w:t>(</w:t>
      </w:r>
      <w:r>
        <w:rPr>
          <w:rFonts w:ascii="Arial Unicode MS" w:hAnsi="Arial Unicode MS" w:cs="Arial" w:hint="eastAsia"/>
          <w:szCs w:val="21"/>
        </w:rPr>
        <w:t>含第</w:t>
      </w:r>
      <w:r>
        <w:rPr>
          <w:rFonts w:ascii="Arial Unicode MS" w:hAnsi="Arial Unicode MS" w:cs="Arial" w:hint="eastAsia"/>
          <w:szCs w:val="21"/>
        </w:rPr>
        <w:t>4</w:t>
      </w:r>
      <w:r>
        <w:rPr>
          <w:rFonts w:ascii="Arial Unicode MS" w:hAnsi="Arial Unicode MS" w:cs="Arial" w:hint="eastAsia"/>
          <w:szCs w:val="21"/>
        </w:rPr>
        <w:t>位</w:t>
      </w:r>
      <w:r>
        <w:rPr>
          <w:rFonts w:ascii="Arial Unicode MS" w:hAnsi="Arial Unicode MS" w:cs="Arial" w:hint="eastAsia"/>
          <w:szCs w:val="21"/>
        </w:rPr>
        <w:t>)</w:t>
      </w:r>
      <w:r>
        <w:rPr>
          <w:rFonts w:ascii="Arial Unicode MS" w:hAnsi="Arial Unicode MS" w:cs="Arial" w:hint="eastAsia"/>
          <w:szCs w:val="21"/>
        </w:rPr>
        <w:t>发生差错时，视为该类基金份额净值错误；基金份额净值出现错误时，基金管理人应当立即予以纠正，通报基金托管人，并采取合理的措施防止损失进一步扩大；错误偏差达到该类基金份额净值的</w:t>
      </w:r>
      <w:r>
        <w:rPr>
          <w:rFonts w:ascii="Arial Unicode MS" w:hAnsi="Arial Unicode MS" w:cs="Arial" w:hint="eastAsia"/>
          <w:szCs w:val="21"/>
        </w:rPr>
        <w:t>0.25%</w:t>
      </w:r>
      <w:r>
        <w:rPr>
          <w:rFonts w:ascii="Arial Unicode MS" w:hAnsi="Arial Unicode MS" w:cs="Arial" w:hint="eastAsia"/>
          <w:szCs w:val="21"/>
        </w:rPr>
        <w:t>时，基金</w:t>
      </w:r>
      <w:r>
        <w:rPr>
          <w:rFonts w:ascii="Arial Unicode MS" w:hAnsi="Arial Unicode MS" w:cs="Arial" w:hint="eastAsia"/>
          <w:szCs w:val="21"/>
        </w:rPr>
        <w:lastRenderedPageBreak/>
        <w:t>管理人应当通报基金托管人并报中国证监会备案；错误偏差达到该类基金份额净值的</w:t>
      </w:r>
      <w:r>
        <w:rPr>
          <w:rFonts w:ascii="Arial Unicode MS" w:hAnsi="Arial Unicode MS" w:cs="Arial" w:hint="eastAsia"/>
          <w:szCs w:val="21"/>
        </w:rPr>
        <w:t>0.5%</w:t>
      </w:r>
      <w:r>
        <w:rPr>
          <w:rFonts w:ascii="Arial Unicode MS" w:hAnsi="Arial Unicode MS" w:cs="Arial" w:hint="eastAsia"/>
          <w:szCs w:val="21"/>
        </w:rPr>
        <w:t>时，基金管理人应当公告；当发生净值计算错误时，由基金管理人负责处理，由此给基金份额持有人和基金造成损失的，应由基金管理人先行赔付，基金管理人按差错情形，有权向其他当事人追偿。</w:t>
      </w:r>
    </w:p>
    <w:p w14:paraId="04235AE6"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当基金份额净值计算差错给基金和基金份额持有人造成损失需要进行赔偿时，基金管理人和基金托管人应根据实际情况界定双方承担的责任，经确认后按以下条款进行赔偿：</w:t>
      </w:r>
    </w:p>
    <w:p w14:paraId="5B62DA55"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A5ED23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比例各自承担相应的责任。</w:t>
      </w:r>
    </w:p>
    <w:p w14:paraId="22B41C18"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72A6858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由于基金管理人提供的信息错误（包括但不限于基金申购或赎回金额等），进而导致基金份额净值计算错误而引起的基金份额持有人和基金财产的损失，由基金管理人负责赔付。</w:t>
      </w:r>
    </w:p>
    <w:p w14:paraId="795D90D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158976AC"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基金管理人和基金托管人由于各自技术系统设置而产生的净值计算尾差，以基金管理人计算结果为准。</w:t>
      </w:r>
    </w:p>
    <w:p w14:paraId="559A68BE"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前述内容如法律法规或者监管部门另有规定的，从其规定。如果行业另有通行做法，双方当事人应本着平等和保护基金份额持有人利益的原则进行协商。</w:t>
      </w:r>
    </w:p>
    <w:p w14:paraId="1FB12D1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（四）暂停估值与公告基金份额净值的情形</w:t>
      </w:r>
    </w:p>
    <w:p w14:paraId="6B1AE28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基金投资所涉及的证券交易市场遇法定节假日或因其他原因暂停营业时；</w:t>
      </w:r>
    </w:p>
    <w:p w14:paraId="017150D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因不可抗力致使基金管理人、基金托管人无法准确评估基金资产价值时；</w:t>
      </w:r>
    </w:p>
    <w:p w14:paraId="73368B3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3</w:t>
      </w:r>
      <w:r>
        <w:rPr>
          <w:rFonts w:ascii="Arial Unicode MS" w:hAnsi="Arial Unicode MS" w:cs="Arial" w:hint="eastAsia"/>
          <w:szCs w:val="21"/>
        </w:rPr>
        <w:t xml:space="preserve">. </w:t>
      </w:r>
      <w:r>
        <w:rPr>
          <w:rFonts w:ascii="Arial Unicode MS" w:hAnsi="Arial Unicode MS" w:cs="Arial" w:hint="eastAsia"/>
          <w:szCs w:val="21"/>
        </w:rPr>
        <w:t>当特定资产占前一估值日基金资产净值</w:t>
      </w:r>
      <w:r>
        <w:rPr>
          <w:rFonts w:ascii="Arial Unicode MS" w:hAnsi="Arial Unicode MS" w:cs="Arial" w:hint="eastAsia"/>
          <w:szCs w:val="21"/>
        </w:rPr>
        <w:t>50%</w:t>
      </w:r>
      <w:r>
        <w:rPr>
          <w:rFonts w:ascii="Arial Unicode MS" w:hAnsi="Arial Unicode MS" w:cs="Arial" w:hint="eastAsia"/>
          <w:szCs w:val="21"/>
        </w:rPr>
        <w:t>以上的，经与基金托管人协商确认后，</w:t>
      </w:r>
      <w:r>
        <w:rPr>
          <w:rFonts w:ascii="Arial Unicode MS" w:hAnsi="Arial Unicode MS" w:cs="Arial" w:hint="eastAsia"/>
          <w:szCs w:val="21"/>
        </w:rPr>
        <w:lastRenderedPageBreak/>
        <w:t>基金管理人应当暂停接受基金申购申请；</w:t>
      </w:r>
    </w:p>
    <w:p w14:paraId="0E8696C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hint="eastAsia"/>
          <w:szCs w:val="21"/>
        </w:rPr>
        <w:t>中国证监会和《基金合同》认定的其他情形。</w:t>
      </w:r>
    </w:p>
    <w:p w14:paraId="5C53AD68"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（五）实施侧袋机制期间的基金资产估值</w:t>
      </w:r>
    </w:p>
    <w:p w14:paraId="1130497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本基金实施侧袋机制的，应根据本部分的约定对主袋账户资产进行估值并披露主袋账户的基金净值信息，暂停披露侧袋账户份额净值。</w:t>
      </w:r>
    </w:p>
    <w:p w14:paraId="047E6C0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（五）基金会计制度</w:t>
      </w:r>
    </w:p>
    <w:p w14:paraId="0102818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按国家有关部门规定的会计制度执行。</w:t>
      </w:r>
    </w:p>
    <w:p w14:paraId="582F50E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（六）基金账册的建立</w:t>
      </w:r>
    </w:p>
    <w:p w14:paraId="2A40D29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3DADFA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（七）基金财务报表与报告的编制和复核</w:t>
      </w:r>
    </w:p>
    <w:p w14:paraId="4EC25DA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财务报表的编制</w:t>
      </w:r>
    </w:p>
    <w:p w14:paraId="1190EAE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基金财务报表由基金管理人编制，基金托管人复核。</w:t>
      </w:r>
    </w:p>
    <w:p w14:paraId="7F8F673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报表复核</w:t>
      </w:r>
    </w:p>
    <w:p w14:paraId="3B77B30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基金托管人在收到基金管理人编制的基金财务报表后，进行独立的复核。核对不符时，应及时通知基金管理人共同查出原因，进行调整，直至双方数据完全一致。</w:t>
      </w:r>
    </w:p>
    <w:p w14:paraId="7A1AD0F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财务报表的编制与复核时间安排</w:t>
      </w:r>
    </w:p>
    <w:p w14:paraId="71CF053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报表的编制</w:t>
      </w:r>
    </w:p>
    <w:p w14:paraId="2E07200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基金管理人应当在每月结束后</w:t>
      </w:r>
      <w:r>
        <w:rPr>
          <w:rFonts w:ascii="Arial Unicode MS" w:hAnsi="Arial Unicode MS" w:cs="Arial" w:hint="eastAsia"/>
          <w:szCs w:val="21"/>
        </w:rPr>
        <w:t>5</w:t>
      </w:r>
      <w:r>
        <w:rPr>
          <w:rFonts w:ascii="Arial Unicode MS" w:hAnsi="Arial Unicode MS" w:cs="Arial" w:hint="eastAsia"/>
          <w:szCs w:val="21"/>
        </w:rPr>
        <w:t>个工作日内完成月度报表的编制；在每个季度结束之日起</w:t>
      </w:r>
      <w:r>
        <w:rPr>
          <w:rFonts w:ascii="Arial Unicode MS" w:hAnsi="Arial Unicode MS" w:cs="Arial" w:hint="eastAsia"/>
          <w:szCs w:val="21"/>
        </w:rPr>
        <w:t>15</w:t>
      </w:r>
      <w:r>
        <w:rPr>
          <w:rFonts w:ascii="Arial Unicode MS" w:hAnsi="Arial Unicode MS" w:cs="Arial" w:hint="eastAsia"/>
          <w:szCs w:val="21"/>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6263ECA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报表的复核</w:t>
      </w:r>
    </w:p>
    <w:p w14:paraId="2E79B8A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EADA22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基金管理人应留足充分的时间，便于基金托管人复核相关报表及报告。</w:t>
      </w:r>
    </w:p>
    <w:p w14:paraId="36338B7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（八）基金管理人应在编制季度报告、中期报告或者年度报告之前及时向基金托管人提</w:t>
      </w:r>
      <w:r>
        <w:rPr>
          <w:rFonts w:ascii="Arial Unicode MS" w:hAnsi="Arial Unicode MS" w:cs="Arial" w:hint="eastAsia"/>
          <w:szCs w:val="21"/>
        </w:rPr>
        <w:lastRenderedPageBreak/>
        <w:t>供基金业绩比较基准的基础数据和编制结果。</w:t>
      </w:r>
    </w:p>
    <w:p w14:paraId="72792186"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六、基金份额持有人名册的保管</w:t>
      </w:r>
    </w:p>
    <w:p w14:paraId="2C0809B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4B698B05"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2B071AFB"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七、争议解决方式</w:t>
      </w:r>
    </w:p>
    <w:p w14:paraId="4AA2D2B2"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379C36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争议处理期间，双方当事人应恪守基金管理人和基金托管人职责，各自继续忠实、勤勉、尽责地履行《基金合同》和本托管协议规定的义务，维护基金份额持有人的合法权益。</w:t>
      </w:r>
    </w:p>
    <w:p w14:paraId="5149AD2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本协议受中国法律管辖。</w:t>
      </w:r>
    </w:p>
    <w:p w14:paraId="12851C4C" w14:textId="77777777" w:rsidR="00B804EC"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八、托管协议的</w:t>
      </w:r>
      <w:r>
        <w:rPr>
          <w:rFonts w:ascii="Arial Unicode MS" w:hAnsi="Arial Unicode MS" w:cs="Arial" w:hint="eastAsia"/>
          <w:b/>
          <w:szCs w:val="21"/>
        </w:rPr>
        <w:t>变更、</w:t>
      </w:r>
      <w:r>
        <w:rPr>
          <w:rFonts w:ascii="Arial Unicode MS" w:hAnsi="Arial Unicode MS" w:cs="Arial"/>
          <w:b/>
          <w:szCs w:val="21"/>
        </w:rPr>
        <w:t>终止</w:t>
      </w:r>
      <w:r>
        <w:rPr>
          <w:rFonts w:ascii="Arial Unicode MS" w:hAnsi="Arial Unicode MS" w:cs="Arial" w:hint="eastAsia"/>
          <w:b/>
          <w:szCs w:val="21"/>
        </w:rPr>
        <w:t>与基金财产的清算</w:t>
      </w:r>
    </w:p>
    <w:p w14:paraId="179B42A3" w14:textId="77777777" w:rsidR="00B804EC" w:rsidRDefault="00000000">
      <w:pPr>
        <w:adjustRightInd w:val="0"/>
        <w:snapToGrid w:val="0"/>
        <w:spacing w:line="360" w:lineRule="auto"/>
        <w:ind w:firstLineChars="200" w:firstLine="420"/>
        <w:rPr>
          <w:rFonts w:ascii="Arial Unicode MS" w:hAnsi="Arial Unicode MS" w:cs="Arial" w:hint="eastAsia"/>
          <w:szCs w:val="21"/>
        </w:rPr>
      </w:pPr>
      <w:bookmarkStart w:id="146" w:name="_Toc510842757"/>
      <w:r>
        <w:rPr>
          <w:rFonts w:ascii="Arial Unicode MS" w:hAnsi="Arial Unicode MS" w:cs="Arial" w:hint="eastAsia"/>
          <w:szCs w:val="21"/>
        </w:rPr>
        <w:t>（一）托管协议的变更程序</w:t>
      </w:r>
    </w:p>
    <w:p w14:paraId="3A58357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本协议双方当事人经协商一致，可以对协议进行修改。修改后的新协议，其内容不得与《基金合同》的规定有任何冲突。基金托管协议的变更报中国证监会备案后生效。</w:t>
      </w:r>
    </w:p>
    <w:p w14:paraId="6506FBCD"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（二）托管协议终止的情形</w:t>
      </w:r>
    </w:p>
    <w:p w14:paraId="57F6D9D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《基金合同》终止；</w:t>
      </w:r>
    </w:p>
    <w:p w14:paraId="340EE172"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基金托管人解散、依法被撤销、破产或由其他基金托管人接管基金资产；</w:t>
      </w:r>
    </w:p>
    <w:p w14:paraId="39EBA6E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基金管理人解散、依法被撤销、破产或由其他基金管理人接管基金管理权；</w:t>
      </w:r>
    </w:p>
    <w:p w14:paraId="206FF478"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发生法律法规或《基金合同》规定的终止事项。</w:t>
      </w:r>
    </w:p>
    <w:p w14:paraId="02026AAD"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（三）基金财产的清算</w:t>
      </w:r>
    </w:p>
    <w:p w14:paraId="31C3227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基金财产清算小组：自出现《基金合同》终止事由之日起</w:t>
      </w:r>
      <w:r>
        <w:rPr>
          <w:rFonts w:ascii="Arial Unicode MS" w:hAnsi="Arial Unicode MS" w:cs="Arial" w:hint="eastAsia"/>
          <w:szCs w:val="21"/>
        </w:rPr>
        <w:t>30</w:t>
      </w:r>
      <w:r>
        <w:rPr>
          <w:rFonts w:ascii="Arial Unicode MS" w:hAnsi="Arial Unicode MS" w:cs="Arial" w:hint="eastAsia"/>
          <w:szCs w:val="21"/>
        </w:rPr>
        <w:t>个工作日内成立清算小组，基金管理人组织基金财产清算小组并在中国证监会的监督下进行基金清算。</w:t>
      </w:r>
    </w:p>
    <w:p w14:paraId="260E5B92"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FDBB1D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3.</w:t>
      </w:r>
      <w:r>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14:paraId="7A41D7EC"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基金财产清算程序：</w:t>
      </w:r>
    </w:p>
    <w:p w14:paraId="4B0564A1"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《基金合同》终止情形出现时，由基金财产清算小组统一接管基金；</w:t>
      </w:r>
    </w:p>
    <w:p w14:paraId="28F263E9"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对基金财产和债权债务进行清理和确认；</w:t>
      </w:r>
    </w:p>
    <w:p w14:paraId="75EF98F0"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对基金财产进行估值和变现；</w:t>
      </w:r>
    </w:p>
    <w:p w14:paraId="03CB3158"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制作清算报告；</w:t>
      </w:r>
    </w:p>
    <w:p w14:paraId="25309DB7"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聘请会计师事务所对清算报告进行外部审计，聘请律师事务所对清算报告出具法律意见书；</w:t>
      </w:r>
    </w:p>
    <w:p w14:paraId="551F376B"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将清算报告报中国证监会备案并公告；</w:t>
      </w:r>
    </w:p>
    <w:p w14:paraId="299DD7B8"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对基金剩余财产进行分配。</w:t>
      </w:r>
    </w:p>
    <w:p w14:paraId="27696B23"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基金财产清算的期限为</w:t>
      </w:r>
      <w:r>
        <w:rPr>
          <w:rFonts w:ascii="Arial Unicode MS" w:hAnsi="Arial Unicode MS" w:cs="Arial" w:hint="eastAsia"/>
          <w:szCs w:val="21"/>
        </w:rPr>
        <w:t xml:space="preserve"> 6 </w:t>
      </w:r>
      <w:r>
        <w:rPr>
          <w:rFonts w:ascii="Arial Unicode MS" w:hAnsi="Arial Unicode MS" w:cs="Arial" w:hint="eastAsia"/>
          <w:szCs w:val="21"/>
        </w:rPr>
        <w:t>个月，但因本基金所持证券的流动性受到限制而不能及时变现的，清算期限相应顺延。</w:t>
      </w:r>
    </w:p>
    <w:p w14:paraId="123FE786"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清算费用</w:t>
      </w:r>
    </w:p>
    <w:p w14:paraId="38A1AFE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清算费用是指基金财产清算小组在进行基金清算过程中发生的所有合理费用，清算费用由基金财产清算小组优先从基金财产中支付。</w:t>
      </w:r>
    </w:p>
    <w:p w14:paraId="2DE73CC4"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基金财产清算剩余资产的分配：</w:t>
      </w:r>
    </w:p>
    <w:p w14:paraId="1B12F5FC"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417382AA"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8.</w:t>
      </w:r>
      <w:r>
        <w:rPr>
          <w:rFonts w:ascii="Arial Unicode MS" w:hAnsi="Arial Unicode MS" w:cs="Arial" w:hint="eastAsia"/>
          <w:szCs w:val="21"/>
        </w:rPr>
        <w:t>基金财产清算的公告</w:t>
      </w:r>
    </w:p>
    <w:p w14:paraId="07687D7E"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cs="Arial" w:hint="eastAsia"/>
          <w:szCs w:val="21"/>
        </w:rPr>
        <w:t xml:space="preserve">  5 </w:t>
      </w:r>
      <w:r>
        <w:rPr>
          <w:rFonts w:ascii="Arial Unicode MS" w:hAnsi="Arial Unicode MS" w:cs="Arial" w:hint="eastAsia"/>
          <w:szCs w:val="21"/>
        </w:rPr>
        <w:t>个工作日内由基金财产清算小组进行公告，基金财产清算小组应当将清算报告登载在规定网站上，并将清算报告提示性公告登载在规定报刊上。</w:t>
      </w:r>
    </w:p>
    <w:p w14:paraId="4EA2F40F"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9.</w:t>
      </w:r>
      <w:r>
        <w:rPr>
          <w:rFonts w:ascii="Arial Unicode MS" w:hAnsi="Arial Unicode MS" w:cs="Arial" w:hint="eastAsia"/>
          <w:szCs w:val="21"/>
        </w:rPr>
        <w:t>基金财产清算账册及文件的保存</w:t>
      </w:r>
    </w:p>
    <w:p w14:paraId="45DB2BFE" w14:textId="77777777" w:rsidR="00B804EC"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基金财产清算账册及有关文件由基金托管人保存不低于法律法规规定的最低期限。</w:t>
      </w:r>
      <w:r>
        <w:rPr>
          <w:rFonts w:ascii="Arial Unicode MS" w:hAnsi="Arial Unicode MS" w:cs="Arial"/>
          <w:szCs w:val="21"/>
        </w:rPr>
        <w:br w:type="page"/>
      </w:r>
    </w:p>
    <w:p w14:paraId="04339747"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147" w:name="_Toc147463123"/>
      <w:bookmarkStart w:id="148" w:name="_Toc12357176"/>
      <w:bookmarkStart w:id="149" w:name="_Toc21073396"/>
      <w:bookmarkStart w:id="150" w:name="_Toc63676456"/>
      <w:bookmarkStart w:id="151" w:name="_Toc317088165"/>
      <w:bookmarkStart w:id="152" w:name="_Toc317088554"/>
      <w:bookmarkStart w:id="153" w:name="_Toc335232708"/>
      <w:bookmarkStart w:id="154" w:name="_Toc214873621"/>
      <w:bookmarkStart w:id="155" w:name="_Toc320887659"/>
      <w:bookmarkEnd w:id="146"/>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一</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147"/>
      <w:bookmarkEnd w:id="148"/>
      <w:bookmarkEnd w:id="149"/>
      <w:r>
        <w:rPr>
          <w:rFonts w:ascii="Arial Unicode MS" w:eastAsia="宋体" w:hAnsi="Arial Unicode MS" w:cs="Arial"/>
          <w:b/>
          <w:bCs/>
          <w:sz w:val="28"/>
          <w:szCs w:val="28"/>
        </w:rPr>
        <w:t>对基金份额持有人的服务</w:t>
      </w:r>
      <w:bookmarkEnd w:id="150"/>
      <w:bookmarkEnd w:id="151"/>
      <w:bookmarkEnd w:id="152"/>
      <w:bookmarkEnd w:id="153"/>
      <w:bookmarkEnd w:id="154"/>
      <w:bookmarkEnd w:id="155"/>
    </w:p>
    <w:p w14:paraId="4A3F36C4" w14:textId="77777777" w:rsidR="00B804EC" w:rsidRDefault="00B804EC"/>
    <w:p w14:paraId="0383ED7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基金管理人承诺为基金份额持有人提供一系列服务，基金管理人根据基金份额持有人的需要和市场的变化，有权增加或变更服务项目。主要服务内容如下：</w:t>
      </w:r>
    </w:p>
    <w:p w14:paraId="7739B92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（一）电话人工咨询服务</w:t>
      </w:r>
    </w:p>
    <w:p w14:paraId="7C8125F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投资者可以通过拨打基金管理人客服热线转人工坐席，进行基金业务的相关咨询，人工坐席服务时间为每周一至周五上午</w:t>
      </w:r>
      <w:r>
        <w:rPr>
          <w:rFonts w:ascii="Arial Unicode MS" w:hAnsi="Arial Unicode MS" w:cs="Arial" w:hint="eastAsia"/>
          <w:kern w:val="0"/>
          <w:szCs w:val="21"/>
        </w:rPr>
        <w:t>9:00-11:30</w:t>
      </w:r>
      <w:r>
        <w:rPr>
          <w:rFonts w:ascii="Arial Unicode MS" w:hAnsi="Arial Unicode MS" w:cs="Arial" w:hint="eastAsia"/>
          <w:kern w:val="0"/>
          <w:szCs w:val="21"/>
        </w:rPr>
        <w:t>，下午</w:t>
      </w:r>
      <w:r>
        <w:rPr>
          <w:rFonts w:ascii="Arial Unicode MS" w:hAnsi="Arial Unicode MS" w:cs="Arial" w:hint="eastAsia"/>
          <w:kern w:val="0"/>
          <w:szCs w:val="21"/>
        </w:rPr>
        <w:t>13:00-17:00</w:t>
      </w:r>
      <w:r>
        <w:rPr>
          <w:rFonts w:ascii="Arial Unicode MS" w:hAnsi="Arial Unicode MS" w:cs="Arial" w:hint="eastAsia"/>
          <w:kern w:val="0"/>
          <w:szCs w:val="21"/>
        </w:rPr>
        <w:t>（法定节假日及因此导致的证券交易所休市日除外）。针对非人工服务时间内的电话留言，基金管理人将设有专员进行及时回复。</w:t>
      </w:r>
    </w:p>
    <w:p w14:paraId="01999CD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（二）自助查询服务</w:t>
      </w:r>
    </w:p>
    <w:p w14:paraId="7D22BB8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投资者可通过基金管理人呼叫中心自动语音系统、基金管理人网上账户查询系统进行账户余额、交易情况、基金净值等信息查询。</w:t>
      </w:r>
    </w:p>
    <w:p w14:paraId="3881C2B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（三）邮件咨询服务</w:t>
      </w:r>
    </w:p>
    <w:p w14:paraId="651828E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投资者可通过电子邮件的形式向基金管理人提出疑问，针对投资者的问题，基金管理人将设有专员进行及时回复。</w:t>
      </w:r>
    </w:p>
    <w:p w14:paraId="6AE6A6E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（四）免费信息订阅服务</w:t>
      </w:r>
    </w:p>
    <w:p w14:paraId="2D9E86A0"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359F6857"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（五）客户投诉受理服务</w:t>
      </w:r>
    </w:p>
    <w:p w14:paraId="3F729EA2"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投资人可以通过客服热线、书信、电子邮件等渠道，对基金管理人和销售机构所提供的服务进行投诉。基金管理人承诺在</w:t>
      </w:r>
      <w:r>
        <w:rPr>
          <w:rFonts w:ascii="Arial Unicode MS" w:hAnsi="Arial Unicode MS" w:cs="Arial" w:hint="eastAsia"/>
          <w:kern w:val="0"/>
          <w:szCs w:val="21"/>
        </w:rPr>
        <w:t xml:space="preserve"> </w:t>
      </w:r>
      <w:r>
        <w:rPr>
          <w:rFonts w:ascii="Arial Unicode MS" w:hAnsi="Arial Unicode MS" w:cs="Arial"/>
          <w:kern w:val="0"/>
          <w:szCs w:val="21"/>
        </w:rPr>
        <w:t>20</w:t>
      </w:r>
      <w:r>
        <w:rPr>
          <w:rFonts w:ascii="Arial Unicode MS" w:hAnsi="Arial Unicode MS" w:cs="Arial" w:hint="eastAsia"/>
          <w:kern w:val="0"/>
          <w:szCs w:val="21"/>
        </w:rPr>
        <w:t>个工作日之内对基金投资人的投诉做出回复。</w:t>
      </w:r>
    </w:p>
    <w:p w14:paraId="2B3C7C3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（六）基金管理人联系方式</w:t>
      </w:r>
      <w:r>
        <w:rPr>
          <w:rFonts w:ascii="Arial Unicode MS" w:hAnsi="Arial Unicode MS" w:cs="Arial" w:hint="eastAsia"/>
          <w:kern w:val="0"/>
          <w:szCs w:val="21"/>
        </w:rPr>
        <w:t xml:space="preserve"> </w:t>
      </w:r>
    </w:p>
    <w:p w14:paraId="4A759814"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基金管理人网址：</w:t>
      </w:r>
      <w:r>
        <w:rPr>
          <w:rFonts w:ascii="Arial Unicode MS" w:hAnsi="Arial Unicode MS" w:cs="Arial" w:hint="eastAsia"/>
          <w:kern w:val="0"/>
          <w:szCs w:val="21"/>
        </w:rPr>
        <w:t xml:space="preserve"> www.furamc.com.cn</w:t>
      </w:r>
    </w:p>
    <w:p w14:paraId="1C581228"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电子信箱：</w:t>
      </w:r>
      <w:r>
        <w:rPr>
          <w:rFonts w:ascii="Arial Unicode MS" w:hAnsi="Arial Unicode MS" w:cs="Arial" w:hint="eastAsia"/>
          <w:kern w:val="0"/>
          <w:szCs w:val="21"/>
        </w:rPr>
        <w:t>service@furamc.com.cn</w:t>
      </w:r>
    </w:p>
    <w:p w14:paraId="79BD48A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客服热线：</w:t>
      </w:r>
      <w:r>
        <w:rPr>
          <w:rFonts w:ascii="Arial Unicode MS" w:hAnsi="Arial Unicode MS" w:cs="Arial" w:hint="eastAsia"/>
          <w:kern w:val="0"/>
          <w:szCs w:val="21"/>
        </w:rPr>
        <w:t>4006855600</w:t>
      </w:r>
    </w:p>
    <w:p w14:paraId="6D99B48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客户服务部门地址：深圳市福田区八卦四路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层，富荣基金管理有限公司客户服务部门（收）</w:t>
      </w:r>
    </w:p>
    <w:p w14:paraId="3CB00C0B"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邮编：</w:t>
      </w:r>
      <w:r>
        <w:rPr>
          <w:rFonts w:ascii="Arial Unicode MS" w:hAnsi="Arial Unicode MS" w:cs="Arial" w:hint="eastAsia"/>
          <w:kern w:val="0"/>
          <w:szCs w:val="21"/>
        </w:rPr>
        <w:t>518038</w:t>
      </w:r>
    </w:p>
    <w:p w14:paraId="48CAC9DA" w14:textId="77777777" w:rsidR="00B804EC" w:rsidRDefault="00000000">
      <w:pPr>
        <w:adjustRightInd w:val="0"/>
        <w:snapToGrid w:val="0"/>
        <w:spacing w:line="360" w:lineRule="auto"/>
        <w:ind w:firstLineChars="200" w:firstLine="420"/>
        <w:rPr>
          <w:rFonts w:ascii="Arial Unicode MS" w:hAnsi="Arial Unicode MS" w:cs="Arial" w:hint="eastAsia"/>
          <w:kern w:val="0"/>
          <w:szCs w:val="21"/>
        </w:rPr>
        <w:sectPr w:rsidR="00B804EC">
          <w:pgSz w:w="11906" w:h="16838"/>
          <w:pgMar w:top="1440" w:right="1800" w:bottom="1440" w:left="1800" w:header="851" w:footer="992" w:gutter="0"/>
          <w:pgNumType w:chapStyle="1"/>
          <w:cols w:space="720"/>
          <w:docGrid w:type="lines" w:linePitch="312"/>
        </w:sectPr>
      </w:pPr>
      <w:r>
        <w:rPr>
          <w:rFonts w:ascii="Arial Unicode MS" w:hAnsi="Arial Unicode MS" w:cs="Arial" w:hint="eastAsia"/>
          <w:kern w:val="0"/>
          <w:szCs w:val="21"/>
        </w:rPr>
        <w:lastRenderedPageBreak/>
        <w:t>（七）如本招募说明书存在任何您</w:t>
      </w:r>
      <w:r>
        <w:rPr>
          <w:rFonts w:ascii="Arial Unicode MS" w:hAnsi="Arial Unicode MS" w:cs="Arial" w:hint="eastAsia"/>
          <w:kern w:val="0"/>
          <w:szCs w:val="21"/>
        </w:rPr>
        <w:t>/</w:t>
      </w:r>
      <w:r>
        <w:rPr>
          <w:rFonts w:ascii="Arial Unicode MS" w:hAnsi="Arial Unicode MS" w:cs="Arial" w:hint="eastAsia"/>
          <w:kern w:val="0"/>
          <w:szCs w:val="21"/>
        </w:rPr>
        <w:t>贵机构无法理解的内容，请通过上述联系方式联系基金管理人。请确保投资前，您</w:t>
      </w:r>
      <w:r>
        <w:rPr>
          <w:rFonts w:ascii="Arial Unicode MS" w:hAnsi="Arial Unicode MS" w:cs="Arial" w:hint="eastAsia"/>
          <w:kern w:val="0"/>
          <w:szCs w:val="21"/>
        </w:rPr>
        <w:t>/</w:t>
      </w:r>
      <w:r>
        <w:rPr>
          <w:rFonts w:ascii="Arial Unicode MS" w:hAnsi="Arial Unicode MS" w:cs="Arial" w:hint="eastAsia"/>
          <w:kern w:val="0"/>
          <w:szCs w:val="21"/>
        </w:rPr>
        <w:t>贵机构已经全面理解了本招募说明书</w:t>
      </w:r>
      <w:r>
        <w:rPr>
          <w:rFonts w:ascii="Arial Unicode MS" w:hAnsi="Arial Unicode MS" w:cs="Arial"/>
          <w:kern w:val="0"/>
          <w:szCs w:val="21"/>
        </w:rPr>
        <w:t>。</w:t>
      </w:r>
    </w:p>
    <w:p w14:paraId="3F3ED9EF" w14:textId="77777777" w:rsidR="00B804EC" w:rsidRDefault="00000000">
      <w:pPr>
        <w:pStyle w:val="11"/>
        <w:spacing w:beforeLines="50" w:before="120" w:after="0" w:line="360" w:lineRule="auto"/>
        <w:ind w:firstLine="420"/>
        <w:rPr>
          <w:rStyle w:val="affc"/>
          <w:rFonts w:eastAsia="宋体" w:hAnsi="宋体" w:hint="eastAsia"/>
          <w:b/>
          <w:kern w:val="2"/>
          <w:sz w:val="28"/>
          <w:szCs w:val="28"/>
        </w:rPr>
      </w:pPr>
      <w:bookmarkStart w:id="156" w:name="_Toc256666929"/>
      <w:bookmarkStart w:id="157" w:name="_Toc256666809"/>
      <w:bookmarkStart w:id="158" w:name="_Toc63676457"/>
      <w:bookmarkStart w:id="159" w:name="_Toc30359"/>
      <w:bookmarkStart w:id="160" w:name="_Toc482624810"/>
      <w:bookmarkStart w:id="161" w:name="_Toc214873622"/>
      <w:bookmarkStart w:id="162" w:name="_Toc320887660"/>
      <w:bookmarkStart w:id="163" w:name="_Toc317088166"/>
      <w:bookmarkStart w:id="164" w:name="_Toc530223198"/>
      <w:bookmarkStart w:id="165" w:name="_Toc317088555"/>
      <w:bookmarkStart w:id="166" w:name="_Toc335232709"/>
      <w:bookmarkStart w:id="167" w:name="_Toc484165614"/>
      <w:r>
        <w:rPr>
          <w:rFonts w:eastAsia="宋体" w:hAnsi="宋体" w:hint="eastAsia"/>
          <w:b/>
          <w:color w:val="000000"/>
          <w:sz w:val="28"/>
          <w:szCs w:val="28"/>
        </w:rPr>
        <w:lastRenderedPageBreak/>
        <w:t>第二十二部分  其他应披露事项</w:t>
      </w:r>
      <w:bookmarkEnd w:id="156"/>
      <w:bookmarkEnd w:id="157"/>
      <w:bookmarkEnd w:id="158"/>
      <w:bookmarkEnd w:id="159"/>
      <w:bookmarkEnd w:id="160"/>
    </w:p>
    <w:tbl>
      <w:tblPr>
        <w:tblW w:w="83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02"/>
        <w:gridCol w:w="6287"/>
        <w:gridCol w:w="1369"/>
        <w:gridCol w:w="30"/>
      </w:tblGrid>
      <w:tr w:rsidR="00B804EC" w14:paraId="6F2130BD"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93B6A88" w14:textId="77777777" w:rsidR="00B804EC" w:rsidRDefault="00000000">
            <w:pPr>
              <w:jc w:val="left"/>
              <w:rPr>
                <w:szCs w:val="21"/>
              </w:rPr>
            </w:pPr>
            <w:r>
              <w:rPr>
                <w:rFonts w:hint="eastAsia"/>
                <w:szCs w:val="21"/>
              </w:rPr>
              <w:t>序号</w:t>
            </w:r>
          </w:p>
        </w:tc>
        <w:tc>
          <w:tcPr>
            <w:tcW w:w="6287" w:type="dxa"/>
            <w:tcBorders>
              <w:top w:val="single" w:sz="4" w:space="0" w:color="auto"/>
              <w:left w:val="single" w:sz="4" w:space="0" w:color="auto"/>
              <w:bottom w:val="single" w:sz="4" w:space="0" w:color="auto"/>
              <w:right w:val="single" w:sz="4" w:space="0" w:color="auto"/>
            </w:tcBorders>
          </w:tcPr>
          <w:p w14:paraId="2772D2E7" w14:textId="77777777" w:rsidR="00B804EC" w:rsidRDefault="00000000">
            <w:pPr>
              <w:jc w:val="left"/>
              <w:rPr>
                <w:szCs w:val="21"/>
              </w:rPr>
            </w:pPr>
            <w:r>
              <w:rPr>
                <w:rFonts w:hint="eastAsia"/>
                <w:szCs w:val="21"/>
              </w:rPr>
              <w:t>公告事项</w:t>
            </w:r>
          </w:p>
        </w:tc>
        <w:tc>
          <w:tcPr>
            <w:tcW w:w="1399" w:type="dxa"/>
            <w:gridSpan w:val="2"/>
            <w:tcBorders>
              <w:top w:val="single" w:sz="4" w:space="0" w:color="auto"/>
              <w:left w:val="single" w:sz="4" w:space="0" w:color="auto"/>
              <w:bottom w:val="single" w:sz="4" w:space="0" w:color="auto"/>
              <w:right w:val="single" w:sz="4" w:space="0" w:color="auto"/>
            </w:tcBorders>
          </w:tcPr>
          <w:p w14:paraId="7B11A62E" w14:textId="77777777" w:rsidR="00B804EC" w:rsidRDefault="00000000">
            <w:pPr>
              <w:jc w:val="left"/>
              <w:rPr>
                <w:szCs w:val="21"/>
              </w:rPr>
            </w:pPr>
            <w:r>
              <w:rPr>
                <w:rFonts w:hint="eastAsia"/>
                <w:szCs w:val="21"/>
              </w:rPr>
              <w:t>披露日期</w:t>
            </w:r>
          </w:p>
        </w:tc>
      </w:tr>
      <w:tr w:rsidR="00B804EC" w14:paraId="2CD1AA55"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757B094" w14:textId="3CBEA391" w:rsidR="00B804EC" w:rsidRDefault="00000000">
            <w:pPr>
              <w:jc w:val="left"/>
              <w:rPr>
                <w:szCs w:val="21"/>
              </w:rPr>
            </w:pPr>
            <w:r>
              <w:rPr>
                <w:color w:val="000000"/>
                <w:sz w:val="22"/>
                <w:szCs w:val="22"/>
              </w:rPr>
              <w:t>1</w:t>
            </w:r>
          </w:p>
        </w:tc>
        <w:tc>
          <w:tcPr>
            <w:tcW w:w="6287" w:type="dxa"/>
            <w:tcBorders>
              <w:top w:val="single" w:sz="4" w:space="0" w:color="auto"/>
              <w:left w:val="single" w:sz="4" w:space="0" w:color="auto"/>
              <w:bottom w:val="single" w:sz="4" w:space="0" w:color="auto"/>
              <w:right w:val="single" w:sz="4" w:space="0" w:color="auto"/>
            </w:tcBorders>
            <w:vAlign w:val="bottom"/>
          </w:tcPr>
          <w:p w14:paraId="2A1E0997" w14:textId="7895BC73" w:rsidR="00B804EC" w:rsidRDefault="00000000">
            <w:pPr>
              <w:jc w:val="left"/>
              <w:rPr>
                <w:color w:val="000000"/>
                <w:sz w:val="22"/>
                <w:szCs w:val="22"/>
              </w:rPr>
            </w:pPr>
            <w:r>
              <w:rPr>
                <w:rFonts w:hint="eastAsia"/>
                <w:lang w:bidi="ar"/>
              </w:rPr>
              <w:t>富荣基金管理有限公司关于旗下部分基金新增国泰君安证券股份有限公司为销售机构、开通基金定期定额投资业务和基金转换业务并参加申购及定期定额投资申购费率优惠活动的公告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D62A7F1" w14:textId="236B929F" w:rsidR="00B804EC" w:rsidRDefault="00000000">
            <w:pPr>
              <w:jc w:val="left"/>
              <w:rPr>
                <w:color w:val="000000"/>
                <w:sz w:val="22"/>
                <w:szCs w:val="22"/>
              </w:rPr>
            </w:pPr>
            <w:r>
              <w:rPr>
                <w:rFonts w:hint="eastAsia"/>
                <w:lang w:bidi="ar"/>
              </w:rPr>
              <w:t>2025-03-17</w:t>
            </w:r>
          </w:p>
        </w:tc>
      </w:tr>
      <w:tr w:rsidR="00B804EC" w14:paraId="2CE96275"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02805A4C" w14:textId="70E4A790" w:rsidR="00B804EC" w:rsidRDefault="00000000">
            <w:pPr>
              <w:jc w:val="left"/>
              <w:rPr>
                <w:szCs w:val="21"/>
              </w:rPr>
            </w:pPr>
            <w:r>
              <w:rPr>
                <w:color w:val="000000"/>
                <w:sz w:val="22"/>
                <w:szCs w:val="22"/>
              </w:rPr>
              <w:t>2</w:t>
            </w:r>
          </w:p>
        </w:tc>
        <w:tc>
          <w:tcPr>
            <w:tcW w:w="6287" w:type="dxa"/>
            <w:tcBorders>
              <w:top w:val="single" w:sz="4" w:space="0" w:color="auto"/>
              <w:left w:val="single" w:sz="4" w:space="0" w:color="auto"/>
              <w:bottom w:val="single" w:sz="4" w:space="0" w:color="auto"/>
              <w:right w:val="single" w:sz="4" w:space="0" w:color="auto"/>
            </w:tcBorders>
            <w:vAlign w:val="bottom"/>
          </w:tcPr>
          <w:p w14:paraId="1114B9CE" w14:textId="0EFD3C4C" w:rsidR="00B804EC" w:rsidRDefault="00000000">
            <w:pPr>
              <w:jc w:val="left"/>
              <w:rPr>
                <w:color w:val="000000"/>
                <w:sz w:val="22"/>
                <w:szCs w:val="22"/>
              </w:rPr>
            </w:pPr>
            <w:r>
              <w:rPr>
                <w:rFonts w:hint="eastAsia"/>
                <w:lang w:bidi="ar"/>
              </w:rPr>
              <w:t>富荣基金管理有限公司关于旗下部分公开募集证券投资基金更新招募说明书及产品资料概要的提示性公告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6328BD0C" w14:textId="23FEE230" w:rsidR="00B804EC" w:rsidRDefault="00000000">
            <w:pPr>
              <w:jc w:val="left"/>
              <w:rPr>
                <w:color w:val="000000"/>
                <w:sz w:val="22"/>
                <w:szCs w:val="22"/>
              </w:rPr>
            </w:pPr>
            <w:r>
              <w:rPr>
                <w:rFonts w:hint="eastAsia"/>
                <w:lang w:bidi="ar"/>
              </w:rPr>
              <w:t>2025-03-18</w:t>
            </w:r>
          </w:p>
        </w:tc>
      </w:tr>
      <w:tr w:rsidR="00B804EC" w14:paraId="1903B22B"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072E7F7" w14:textId="04381638" w:rsidR="00B804EC" w:rsidRDefault="00000000">
            <w:pPr>
              <w:jc w:val="left"/>
              <w:rPr>
                <w:szCs w:val="21"/>
              </w:rPr>
            </w:pPr>
            <w:r>
              <w:rPr>
                <w:color w:val="000000"/>
                <w:sz w:val="22"/>
                <w:szCs w:val="22"/>
              </w:rPr>
              <w:t>3</w:t>
            </w:r>
          </w:p>
        </w:tc>
        <w:tc>
          <w:tcPr>
            <w:tcW w:w="6287" w:type="dxa"/>
            <w:tcBorders>
              <w:top w:val="single" w:sz="4" w:space="0" w:color="auto"/>
              <w:left w:val="single" w:sz="4" w:space="0" w:color="auto"/>
              <w:bottom w:val="single" w:sz="4" w:space="0" w:color="auto"/>
              <w:right w:val="single" w:sz="4" w:space="0" w:color="auto"/>
            </w:tcBorders>
            <w:vAlign w:val="bottom"/>
          </w:tcPr>
          <w:p w14:paraId="2339B0D2" w14:textId="76B92075" w:rsidR="00B804EC" w:rsidRDefault="00000000">
            <w:pPr>
              <w:jc w:val="left"/>
              <w:rPr>
                <w:color w:val="000000"/>
                <w:sz w:val="22"/>
                <w:szCs w:val="22"/>
              </w:rPr>
            </w:pPr>
            <w:r>
              <w:rPr>
                <w:rFonts w:hint="eastAsia"/>
                <w:lang w:bidi="ar"/>
              </w:rPr>
              <w:t>富荣基金管理有限公司关于恢复上海国信嘉利基金销售有限公司为销售机构并参加销售机构申购及定期定额投资申购费率优惠活动的公告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74123B4" w14:textId="371F1899" w:rsidR="00B804EC" w:rsidRDefault="00000000">
            <w:pPr>
              <w:jc w:val="left"/>
              <w:rPr>
                <w:color w:val="000000"/>
                <w:sz w:val="22"/>
                <w:szCs w:val="22"/>
              </w:rPr>
            </w:pPr>
            <w:r>
              <w:rPr>
                <w:rFonts w:hint="eastAsia"/>
                <w:lang w:bidi="ar"/>
              </w:rPr>
              <w:t>2025-03-26</w:t>
            </w:r>
          </w:p>
        </w:tc>
      </w:tr>
      <w:tr w:rsidR="00B804EC" w14:paraId="32964D9E"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DD6E62D" w14:textId="3EFF753B" w:rsidR="00B804EC" w:rsidRDefault="00000000">
            <w:pPr>
              <w:jc w:val="left"/>
              <w:rPr>
                <w:szCs w:val="21"/>
              </w:rPr>
            </w:pPr>
            <w:r>
              <w:rPr>
                <w:color w:val="000000"/>
                <w:sz w:val="22"/>
                <w:szCs w:val="22"/>
              </w:rPr>
              <w:t>4</w:t>
            </w:r>
          </w:p>
        </w:tc>
        <w:tc>
          <w:tcPr>
            <w:tcW w:w="6287" w:type="dxa"/>
            <w:tcBorders>
              <w:top w:val="single" w:sz="4" w:space="0" w:color="auto"/>
              <w:left w:val="single" w:sz="4" w:space="0" w:color="auto"/>
              <w:bottom w:val="single" w:sz="4" w:space="0" w:color="auto"/>
              <w:right w:val="single" w:sz="4" w:space="0" w:color="auto"/>
            </w:tcBorders>
            <w:vAlign w:val="bottom"/>
          </w:tcPr>
          <w:p w14:paraId="78491BEB" w14:textId="6941357E" w:rsidR="00B804EC" w:rsidRDefault="00000000">
            <w:pPr>
              <w:jc w:val="left"/>
              <w:rPr>
                <w:color w:val="000000"/>
                <w:sz w:val="22"/>
                <w:szCs w:val="22"/>
              </w:rPr>
            </w:pPr>
            <w:r>
              <w:rPr>
                <w:rFonts w:hint="eastAsia"/>
                <w:lang w:bidi="ar"/>
              </w:rPr>
              <w:t>富荣基金管理有限公司旗下全部基金</w:t>
            </w:r>
            <w:r>
              <w:rPr>
                <w:rFonts w:hint="eastAsia"/>
                <w:lang w:bidi="ar"/>
              </w:rPr>
              <w:t>2024</w:t>
            </w:r>
            <w:r>
              <w:rPr>
                <w:rFonts w:hint="eastAsia"/>
                <w:lang w:bidi="ar"/>
              </w:rPr>
              <w:t>年年度报告提示性公告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7C102D4" w14:textId="05AE138B" w:rsidR="00B804EC" w:rsidRDefault="00000000">
            <w:pPr>
              <w:jc w:val="left"/>
              <w:rPr>
                <w:color w:val="000000"/>
                <w:sz w:val="22"/>
                <w:szCs w:val="22"/>
              </w:rPr>
            </w:pPr>
            <w:r>
              <w:rPr>
                <w:rFonts w:hint="eastAsia"/>
                <w:lang w:bidi="ar"/>
              </w:rPr>
              <w:t>2025-03-31</w:t>
            </w:r>
          </w:p>
        </w:tc>
      </w:tr>
      <w:tr w:rsidR="00B804EC" w14:paraId="1974C525"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4B2C6EA1" w14:textId="02307D23" w:rsidR="00B804EC" w:rsidRDefault="00000000">
            <w:pPr>
              <w:jc w:val="left"/>
              <w:rPr>
                <w:szCs w:val="21"/>
              </w:rPr>
            </w:pPr>
            <w:r>
              <w:rPr>
                <w:color w:val="000000"/>
                <w:sz w:val="22"/>
                <w:szCs w:val="22"/>
              </w:rPr>
              <w:t>5</w:t>
            </w:r>
          </w:p>
        </w:tc>
        <w:tc>
          <w:tcPr>
            <w:tcW w:w="6287" w:type="dxa"/>
            <w:tcBorders>
              <w:top w:val="single" w:sz="4" w:space="0" w:color="auto"/>
              <w:left w:val="single" w:sz="4" w:space="0" w:color="auto"/>
              <w:bottom w:val="single" w:sz="4" w:space="0" w:color="auto"/>
              <w:right w:val="single" w:sz="4" w:space="0" w:color="auto"/>
            </w:tcBorders>
            <w:vAlign w:val="bottom"/>
          </w:tcPr>
          <w:p w14:paraId="029CF43A" w14:textId="4A643BCA" w:rsidR="00B804EC" w:rsidRDefault="00000000">
            <w:pPr>
              <w:jc w:val="left"/>
              <w:rPr>
                <w:color w:val="000000"/>
                <w:sz w:val="22"/>
                <w:szCs w:val="22"/>
              </w:rPr>
            </w:pPr>
            <w:r>
              <w:rPr>
                <w:rFonts w:hint="eastAsia"/>
                <w:lang w:bidi="ar"/>
              </w:rPr>
              <w:t>富荣基金管理有限公司基金行业高级管理人员变更公告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A521176" w14:textId="02569006" w:rsidR="00B804EC" w:rsidRDefault="00000000">
            <w:pPr>
              <w:jc w:val="left"/>
              <w:rPr>
                <w:color w:val="000000"/>
                <w:sz w:val="22"/>
                <w:szCs w:val="22"/>
              </w:rPr>
            </w:pPr>
            <w:r>
              <w:rPr>
                <w:rFonts w:hint="eastAsia"/>
                <w:lang w:bidi="ar"/>
              </w:rPr>
              <w:t>2025-04-04</w:t>
            </w:r>
          </w:p>
        </w:tc>
      </w:tr>
      <w:tr w:rsidR="00B804EC" w14:paraId="30C9F6BB"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2FBBEECA" w14:textId="4DDFEF46" w:rsidR="00B804EC" w:rsidRDefault="00000000">
            <w:pPr>
              <w:jc w:val="left"/>
              <w:rPr>
                <w:szCs w:val="21"/>
              </w:rPr>
            </w:pPr>
            <w:r>
              <w:rPr>
                <w:color w:val="000000"/>
                <w:sz w:val="22"/>
                <w:szCs w:val="22"/>
              </w:rPr>
              <w:t>6</w:t>
            </w:r>
          </w:p>
        </w:tc>
        <w:tc>
          <w:tcPr>
            <w:tcW w:w="6287" w:type="dxa"/>
            <w:tcBorders>
              <w:top w:val="single" w:sz="4" w:space="0" w:color="auto"/>
              <w:left w:val="single" w:sz="4" w:space="0" w:color="auto"/>
              <w:bottom w:val="single" w:sz="4" w:space="0" w:color="auto"/>
              <w:right w:val="single" w:sz="4" w:space="0" w:color="auto"/>
            </w:tcBorders>
            <w:vAlign w:val="bottom"/>
          </w:tcPr>
          <w:p w14:paraId="57C486C2" w14:textId="07E86DC6" w:rsidR="00B804EC" w:rsidRDefault="00000000">
            <w:pPr>
              <w:jc w:val="left"/>
              <w:rPr>
                <w:color w:val="000000"/>
                <w:sz w:val="22"/>
                <w:szCs w:val="22"/>
              </w:rPr>
            </w:pPr>
            <w:r>
              <w:rPr>
                <w:rFonts w:hint="eastAsia"/>
                <w:lang w:bidi="ar"/>
              </w:rPr>
              <w:t>富荣基金管理有限公司关于旗下部分基金新增销售机构、开通基金定期定额投资和基金转换业务并参加销售机构申购及定期定额投资申购费率优惠活动的公告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972B657" w14:textId="7AC7EB84" w:rsidR="00B804EC" w:rsidRDefault="00000000">
            <w:pPr>
              <w:jc w:val="left"/>
              <w:rPr>
                <w:color w:val="000000"/>
                <w:sz w:val="22"/>
                <w:szCs w:val="22"/>
              </w:rPr>
            </w:pPr>
            <w:r>
              <w:rPr>
                <w:rFonts w:hint="eastAsia"/>
                <w:lang w:bidi="ar"/>
              </w:rPr>
              <w:t>2025-04-10</w:t>
            </w:r>
          </w:p>
        </w:tc>
      </w:tr>
      <w:tr w:rsidR="00B804EC" w14:paraId="1F3C0D14"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4F0B3694" w14:textId="62A315B2" w:rsidR="00B804EC" w:rsidRDefault="00000000">
            <w:pPr>
              <w:jc w:val="left"/>
              <w:rPr>
                <w:szCs w:val="21"/>
              </w:rPr>
            </w:pPr>
            <w:r>
              <w:rPr>
                <w:color w:val="000000"/>
                <w:sz w:val="22"/>
                <w:szCs w:val="22"/>
              </w:rPr>
              <w:t>7</w:t>
            </w:r>
          </w:p>
        </w:tc>
        <w:tc>
          <w:tcPr>
            <w:tcW w:w="6287" w:type="dxa"/>
            <w:tcBorders>
              <w:top w:val="single" w:sz="4" w:space="0" w:color="auto"/>
              <w:left w:val="single" w:sz="4" w:space="0" w:color="auto"/>
              <w:bottom w:val="single" w:sz="4" w:space="0" w:color="auto"/>
              <w:right w:val="single" w:sz="4" w:space="0" w:color="auto"/>
            </w:tcBorders>
            <w:vAlign w:val="bottom"/>
          </w:tcPr>
          <w:p w14:paraId="7C39B303" w14:textId="2584397D" w:rsidR="00B804EC" w:rsidRDefault="00000000">
            <w:pPr>
              <w:jc w:val="left"/>
              <w:rPr>
                <w:color w:val="000000"/>
                <w:sz w:val="22"/>
                <w:szCs w:val="22"/>
              </w:rPr>
            </w:pPr>
            <w:r>
              <w:rPr>
                <w:rFonts w:hint="eastAsia"/>
                <w:lang w:bidi="ar"/>
              </w:rPr>
              <w:t>关于富荣富兴纯债债券型证券投资基金调整业绩比较基准并修订基金合同的公告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C9585D5" w14:textId="5C9E327F" w:rsidR="00B804EC" w:rsidRDefault="00000000">
            <w:pPr>
              <w:jc w:val="left"/>
              <w:rPr>
                <w:color w:val="000000"/>
                <w:sz w:val="22"/>
                <w:szCs w:val="22"/>
              </w:rPr>
            </w:pPr>
            <w:r>
              <w:rPr>
                <w:rFonts w:hint="eastAsia"/>
                <w:lang w:bidi="ar"/>
              </w:rPr>
              <w:t>2025-04-18</w:t>
            </w:r>
          </w:p>
        </w:tc>
      </w:tr>
      <w:tr w:rsidR="00B804EC" w14:paraId="47AC5766"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5DCE83CB" w14:textId="3C0413EB" w:rsidR="00B804EC" w:rsidRDefault="00000000">
            <w:pPr>
              <w:jc w:val="left"/>
              <w:rPr>
                <w:szCs w:val="21"/>
              </w:rPr>
            </w:pPr>
            <w:r>
              <w:rPr>
                <w:color w:val="000000"/>
                <w:sz w:val="22"/>
                <w:szCs w:val="22"/>
              </w:rPr>
              <w:t>8</w:t>
            </w:r>
          </w:p>
        </w:tc>
        <w:tc>
          <w:tcPr>
            <w:tcW w:w="6287" w:type="dxa"/>
            <w:tcBorders>
              <w:top w:val="single" w:sz="4" w:space="0" w:color="auto"/>
              <w:left w:val="single" w:sz="4" w:space="0" w:color="auto"/>
              <w:bottom w:val="single" w:sz="4" w:space="0" w:color="auto"/>
              <w:right w:val="single" w:sz="4" w:space="0" w:color="auto"/>
            </w:tcBorders>
            <w:vAlign w:val="bottom"/>
          </w:tcPr>
          <w:p w14:paraId="56A2E02E" w14:textId="037CF9CA" w:rsidR="00B804EC"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1</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17F31F5" w14:textId="6C875E92" w:rsidR="00B804EC" w:rsidRDefault="00000000">
            <w:pPr>
              <w:jc w:val="left"/>
              <w:rPr>
                <w:color w:val="000000"/>
                <w:sz w:val="22"/>
                <w:szCs w:val="22"/>
              </w:rPr>
            </w:pPr>
            <w:r>
              <w:rPr>
                <w:rFonts w:hint="eastAsia"/>
                <w:lang w:bidi="ar"/>
              </w:rPr>
              <w:t>2025-04-22</w:t>
            </w:r>
          </w:p>
        </w:tc>
      </w:tr>
      <w:tr w:rsidR="00B804EC" w14:paraId="2AC67A4F"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9A1C443" w14:textId="2043FCFA" w:rsidR="00B804EC" w:rsidRDefault="00000000">
            <w:pPr>
              <w:jc w:val="left"/>
              <w:rPr>
                <w:szCs w:val="21"/>
              </w:rPr>
            </w:pPr>
            <w:r>
              <w:rPr>
                <w:color w:val="000000"/>
                <w:sz w:val="22"/>
                <w:szCs w:val="22"/>
              </w:rPr>
              <w:t>9</w:t>
            </w:r>
          </w:p>
        </w:tc>
        <w:tc>
          <w:tcPr>
            <w:tcW w:w="6287" w:type="dxa"/>
            <w:tcBorders>
              <w:top w:val="single" w:sz="4" w:space="0" w:color="auto"/>
              <w:left w:val="single" w:sz="4" w:space="0" w:color="auto"/>
              <w:bottom w:val="single" w:sz="4" w:space="0" w:color="auto"/>
              <w:right w:val="single" w:sz="4" w:space="0" w:color="auto"/>
            </w:tcBorders>
            <w:vAlign w:val="bottom"/>
          </w:tcPr>
          <w:p w14:paraId="0DF320E0" w14:textId="6B4CD90F" w:rsidR="00B804EC" w:rsidRDefault="00000000">
            <w:pPr>
              <w:jc w:val="left"/>
              <w:rPr>
                <w:color w:val="000000"/>
                <w:sz w:val="22"/>
                <w:szCs w:val="22"/>
              </w:rPr>
            </w:pPr>
            <w:r>
              <w:rPr>
                <w:rFonts w:hint="eastAsia"/>
                <w:lang w:bidi="ar"/>
              </w:rPr>
              <w:t>富荣基金管理有限公司关于提醒投资者防范不法分子假冒本公司名义从事诈骗活动的公告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340DF62" w14:textId="7E301745" w:rsidR="00B804EC" w:rsidRDefault="00000000">
            <w:pPr>
              <w:jc w:val="left"/>
              <w:rPr>
                <w:color w:val="000000"/>
                <w:sz w:val="22"/>
                <w:szCs w:val="22"/>
              </w:rPr>
            </w:pPr>
            <w:r>
              <w:rPr>
                <w:rFonts w:hint="eastAsia"/>
                <w:lang w:bidi="ar"/>
              </w:rPr>
              <w:t>2025-05-06</w:t>
            </w:r>
          </w:p>
        </w:tc>
      </w:tr>
      <w:tr w:rsidR="00B804EC" w14:paraId="0982D6A9"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B4EFC06" w14:textId="15F9B7F7" w:rsidR="00B804EC" w:rsidRDefault="00000000">
            <w:pPr>
              <w:jc w:val="left"/>
              <w:rPr>
                <w:szCs w:val="21"/>
              </w:rPr>
            </w:pPr>
            <w:r>
              <w:rPr>
                <w:color w:val="000000"/>
                <w:sz w:val="22"/>
                <w:szCs w:val="22"/>
              </w:rPr>
              <w:t>10</w:t>
            </w:r>
          </w:p>
        </w:tc>
        <w:tc>
          <w:tcPr>
            <w:tcW w:w="6287" w:type="dxa"/>
            <w:tcBorders>
              <w:top w:val="single" w:sz="4" w:space="0" w:color="auto"/>
              <w:left w:val="single" w:sz="4" w:space="0" w:color="auto"/>
              <w:bottom w:val="single" w:sz="4" w:space="0" w:color="auto"/>
              <w:right w:val="single" w:sz="4" w:space="0" w:color="auto"/>
            </w:tcBorders>
            <w:vAlign w:val="bottom"/>
          </w:tcPr>
          <w:p w14:paraId="4027250E" w14:textId="49535F24" w:rsidR="00B804EC" w:rsidRDefault="00000000">
            <w:pPr>
              <w:jc w:val="left"/>
              <w:rPr>
                <w:color w:val="000000"/>
                <w:sz w:val="22"/>
                <w:szCs w:val="22"/>
              </w:rPr>
            </w:pPr>
            <w:r>
              <w:rPr>
                <w:rFonts w:hint="eastAsia"/>
                <w:lang w:bidi="ar"/>
              </w:rPr>
              <w:t>富荣基金管理有限公司关于旗下部分基金新增麦高证券有限责任公司为销售机构、开通基金定期定额投资业务和基金转换业务并参加申购及定期定额投资申购费率优惠活动的公告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8C570BD" w14:textId="1E75CFA2" w:rsidR="00B804EC" w:rsidRDefault="00000000">
            <w:pPr>
              <w:jc w:val="left"/>
              <w:rPr>
                <w:color w:val="000000"/>
                <w:sz w:val="22"/>
                <w:szCs w:val="22"/>
              </w:rPr>
            </w:pPr>
            <w:r>
              <w:rPr>
                <w:rFonts w:hint="eastAsia"/>
                <w:lang w:bidi="ar"/>
              </w:rPr>
              <w:t>2025-05-15</w:t>
            </w:r>
          </w:p>
        </w:tc>
      </w:tr>
      <w:tr w:rsidR="00B804EC" w14:paraId="55E31449"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B71B642" w14:textId="28AB2E61" w:rsidR="00B804EC" w:rsidRDefault="00000000">
            <w:pPr>
              <w:jc w:val="left"/>
              <w:rPr>
                <w:szCs w:val="21"/>
              </w:rPr>
            </w:pPr>
            <w:r>
              <w:rPr>
                <w:color w:val="000000"/>
                <w:sz w:val="22"/>
                <w:szCs w:val="22"/>
              </w:rPr>
              <w:t>11</w:t>
            </w:r>
          </w:p>
        </w:tc>
        <w:tc>
          <w:tcPr>
            <w:tcW w:w="6287" w:type="dxa"/>
            <w:tcBorders>
              <w:top w:val="single" w:sz="4" w:space="0" w:color="auto"/>
              <w:left w:val="single" w:sz="4" w:space="0" w:color="auto"/>
              <w:bottom w:val="single" w:sz="4" w:space="0" w:color="auto"/>
              <w:right w:val="single" w:sz="4" w:space="0" w:color="auto"/>
            </w:tcBorders>
            <w:vAlign w:val="bottom"/>
          </w:tcPr>
          <w:p w14:paraId="5469E9E7" w14:textId="4A1EFF60" w:rsidR="00B804EC" w:rsidRDefault="00000000">
            <w:pPr>
              <w:jc w:val="left"/>
              <w:rPr>
                <w:color w:val="000000"/>
                <w:sz w:val="22"/>
                <w:szCs w:val="22"/>
              </w:rPr>
            </w:pPr>
            <w:r>
              <w:rPr>
                <w:rFonts w:hint="eastAsia"/>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E3F1A5B" w14:textId="2237F24C" w:rsidR="00B804EC" w:rsidRDefault="00000000">
            <w:pPr>
              <w:jc w:val="left"/>
              <w:rPr>
                <w:color w:val="000000"/>
                <w:sz w:val="22"/>
                <w:szCs w:val="22"/>
              </w:rPr>
            </w:pPr>
            <w:r>
              <w:rPr>
                <w:rFonts w:hint="eastAsia"/>
                <w:lang w:bidi="ar"/>
              </w:rPr>
              <w:t>2025-05-23</w:t>
            </w:r>
          </w:p>
        </w:tc>
      </w:tr>
      <w:tr w:rsidR="00B804EC" w14:paraId="5E945014"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038E1ED9" w14:textId="57572114" w:rsidR="00B804EC" w:rsidRDefault="00000000">
            <w:pPr>
              <w:jc w:val="left"/>
              <w:rPr>
                <w:szCs w:val="21"/>
              </w:rPr>
            </w:pPr>
            <w:r>
              <w:rPr>
                <w:color w:val="000000"/>
                <w:sz w:val="22"/>
                <w:szCs w:val="22"/>
              </w:rPr>
              <w:t>12</w:t>
            </w:r>
          </w:p>
        </w:tc>
        <w:tc>
          <w:tcPr>
            <w:tcW w:w="6287" w:type="dxa"/>
            <w:tcBorders>
              <w:top w:val="single" w:sz="4" w:space="0" w:color="auto"/>
              <w:left w:val="single" w:sz="4" w:space="0" w:color="auto"/>
              <w:bottom w:val="single" w:sz="4" w:space="0" w:color="auto"/>
              <w:right w:val="single" w:sz="4" w:space="0" w:color="auto"/>
            </w:tcBorders>
            <w:vAlign w:val="bottom"/>
          </w:tcPr>
          <w:p w14:paraId="7E4214A3" w14:textId="7125379C" w:rsidR="00B804EC" w:rsidRDefault="00000000">
            <w:pPr>
              <w:jc w:val="left"/>
              <w:rPr>
                <w:color w:val="000000"/>
                <w:sz w:val="22"/>
                <w:szCs w:val="22"/>
              </w:rPr>
            </w:pPr>
            <w:r>
              <w:rPr>
                <w:rFonts w:hint="eastAsia"/>
                <w:lang w:bidi="ar"/>
              </w:rPr>
              <w:t>富荣基金管理有限公司关于终止民商基金销售（上海）有限公司办理旗下基金相关销售业务的公告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81EBF0E" w14:textId="3BD34638" w:rsidR="00B804EC" w:rsidRDefault="00000000">
            <w:pPr>
              <w:jc w:val="left"/>
              <w:rPr>
                <w:color w:val="000000"/>
                <w:sz w:val="22"/>
                <w:szCs w:val="22"/>
              </w:rPr>
            </w:pPr>
            <w:r>
              <w:rPr>
                <w:rFonts w:hint="eastAsia"/>
                <w:lang w:bidi="ar"/>
              </w:rPr>
              <w:t>2025-06-10</w:t>
            </w:r>
          </w:p>
        </w:tc>
      </w:tr>
      <w:tr w:rsidR="00B804EC" w14:paraId="6D221146"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AD100DB" w14:textId="3339B793" w:rsidR="00B804EC" w:rsidRDefault="00000000">
            <w:pPr>
              <w:jc w:val="left"/>
              <w:rPr>
                <w:szCs w:val="21"/>
              </w:rPr>
            </w:pPr>
            <w:r>
              <w:rPr>
                <w:color w:val="000000"/>
                <w:sz w:val="22"/>
                <w:szCs w:val="22"/>
              </w:rPr>
              <w:t>13</w:t>
            </w:r>
          </w:p>
        </w:tc>
        <w:tc>
          <w:tcPr>
            <w:tcW w:w="6287" w:type="dxa"/>
            <w:tcBorders>
              <w:top w:val="single" w:sz="4" w:space="0" w:color="auto"/>
              <w:left w:val="single" w:sz="4" w:space="0" w:color="auto"/>
              <w:bottom w:val="single" w:sz="4" w:space="0" w:color="auto"/>
              <w:right w:val="single" w:sz="4" w:space="0" w:color="auto"/>
            </w:tcBorders>
            <w:vAlign w:val="bottom"/>
          </w:tcPr>
          <w:p w14:paraId="3F1AB97C" w14:textId="78DEEF56" w:rsidR="00B804EC" w:rsidRDefault="00000000">
            <w:pPr>
              <w:jc w:val="left"/>
              <w:rPr>
                <w:color w:val="000000"/>
                <w:sz w:val="22"/>
                <w:szCs w:val="22"/>
              </w:rPr>
            </w:pPr>
            <w:r>
              <w:rPr>
                <w:rFonts w:hint="eastAsia"/>
                <w:lang w:bidi="ar"/>
              </w:rPr>
              <w:t>富荣基金管理有限公司关于提醒投资者持续完善身份信息资料的公告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F4AA17C" w14:textId="1B90AA29" w:rsidR="00B804EC" w:rsidRDefault="00000000">
            <w:pPr>
              <w:jc w:val="left"/>
              <w:rPr>
                <w:color w:val="000000"/>
                <w:sz w:val="22"/>
                <w:szCs w:val="22"/>
              </w:rPr>
            </w:pPr>
            <w:r>
              <w:rPr>
                <w:rFonts w:hint="eastAsia"/>
                <w:lang w:bidi="ar"/>
              </w:rPr>
              <w:t>2025-06-24</w:t>
            </w:r>
          </w:p>
        </w:tc>
      </w:tr>
      <w:tr w:rsidR="00B804EC" w14:paraId="75310F98"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4EFD94C1" w14:textId="17DC9A60" w:rsidR="00B804EC" w:rsidRDefault="00000000">
            <w:pPr>
              <w:jc w:val="left"/>
              <w:rPr>
                <w:szCs w:val="21"/>
              </w:rPr>
            </w:pPr>
            <w:r>
              <w:rPr>
                <w:color w:val="000000"/>
                <w:sz w:val="22"/>
                <w:szCs w:val="22"/>
              </w:rPr>
              <w:t>14</w:t>
            </w:r>
          </w:p>
        </w:tc>
        <w:tc>
          <w:tcPr>
            <w:tcW w:w="6287" w:type="dxa"/>
            <w:tcBorders>
              <w:top w:val="single" w:sz="4" w:space="0" w:color="auto"/>
              <w:left w:val="single" w:sz="4" w:space="0" w:color="auto"/>
              <w:bottom w:val="single" w:sz="4" w:space="0" w:color="auto"/>
              <w:right w:val="single" w:sz="4" w:space="0" w:color="auto"/>
            </w:tcBorders>
            <w:vAlign w:val="bottom"/>
          </w:tcPr>
          <w:p w14:paraId="7140805C" w14:textId="051B0030" w:rsidR="00B804EC"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2</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28937DE" w14:textId="77E2E476" w:rsidR="00B804EC" w:rsidRDefault="00000000">
            <w:pPr>
              <w:jc w:val="left"/>
              <w:rPr>
                <w:color w:val="000000"/>
                <w:sz w:val="22"/>
                <w:szCs w:val="22"/>
              </w:rPr>
            </w:pPr>
            <w:r>
              <w:rPr>
                <w:rFonts w:hint="eastAsia"/>
                <w:lang w:bidi="ar"/>
              </w:rPr>
              <w:t>2025-07-21</w:t>
            </w:r>
          </w:p>
        </w:tc>
      </w:tr>
      <w:tr w:rsidR="00B804EC" w14:paraId="266C0FB2"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6303326" w14:textId="56637774" w:rsidR="00B804EC" w:rsidRDefault="00000000">
            <w:pPr>
              <w:jc w:val="left"/>
              <w:rPr>
                <w:szCs w:val="21"/>
              </w:rPr>
            </w:pPr>
            <w:r>
              <w:rPr>
                <w:color w:val="000000"/>
                <w:sz w:val="22"/>
                <w:szCs w:val="22"/>
              </w:rPr>
              <w:t>15</w:t>
            </w:r>
          </w:p>
        </w:tc>
        <w:tc>
          <w:tcPr>
            <w:tcW w:w="6287" w:type="dxa"/>
            <w:tcBorders>
              <w:top w:val="single" w:sz="4" w:space="0" w:color="auto"/>
              <w:left w:val="single" w:sz="4" w:space="0" w:color="auto"/>
              <w:bottom w:val="single" w:sz="4" w:space="0" w:color="auto"/>
              <w:right w:val="single" w:sz="4" w:space="0" w:color="auto"/>
            </w:tcBorders>
            <w:vAlign w:val="bottom"/>
          </w:tcPr>
          <w:p w14:paraId="32273F9A" w14:textId="40EA8F42" w:rsidR="00B804EC" w:rsidRDefault="00000000">
            <w:pPr>
              <w:jc w:val="left"/>
              <w:rPr>
                <w:color w:val="000000"/>
                <w:sz w:val="22"/>
                <w:szCs w:val="22"/>
              </w:rPr>
            </w:pPr>
            <w:r>
              <w:rPr>
                <w:rFonts w:hint="eastAsia"/>
                <w:lang w:bidi="ar"/>
              </w:rPr>
              <w:t>富荣富兴纯债债券型证券投资基金基金经理变更公告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6BFC818" w14:textId="0186A2F5" w:rsidR="00B804EC" w:rsidRDefault="00000000">
            <w:pPr>
              <w:jc w:val="left"/>
              <w:rPr>
                <w:color w:val="000000"/>
                <w:sz w:val="22"/>
                <w:szCs w:val="22"/>
              </w:rPr>
            </w:pPr>
            <w:r>
              <w:rPr>
                <w:rFonts w:hint="eastAsia"/>
                <w:lang w:bidi="ar"/>
              </w:rPr>
              <w:t>2025-07-23</w:t>
            </w:r>
          </w:p>
        </w:tc>
      </w:tr>
      <w:tr w:rsidR="00B804EC" w14:paraId="3D8B8A04"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AA2E460" w14:textId="25264B86" w:rsidR="00B804EC" w:rsidRDefault="00000000">
            <w:pPr>
              <w:jc w:val="left"/>
              <w:rPr>
                <w:szCs w:val="21"/>
              </w:rPr>
            </w:pPr>
            <w:r>
              <w:rPr>
                <w:color w:val="000000"/>
                <w:sz w:val="22"/>
                <w:szCs w:val="22"/>
              </w:rPr>
              <w:t>16</w:t>
            </w:r>
          </w:p>
        </w:tc>
        <w:tc>
          <w:tcPr>
            <w:tcW w:w="6287" w:type="dxa"/>
            <w:tcBorders>
              <w:top w:val="single" w:sz="4" w:space="0" w:color="auto"/>
              <w:left w:val="single" w:sz="4" w:space="0" w:color="auto"/>
              <w:bottom w:val="single" w:sz="4" w:space="0" w:color="auto"/>
              <w:right w:val="single" w:sz="4" w:space="0" w:color="auto"/>
            </w:tcBorders>
            <w:vAlign w:val="bottom"/>
          </w:tcPr>
          <w:p w14:paraId="76200001" w14:textId="492C2833" w:rsidR="00B804EC" w:rsidRDefault="00000000">
            <w:pPr>
              <w:jc w:val="left"/>
              <w:rPr>
                <w:color w:val="000000"/>
                <w:sz w:val="22"/>
                <w:szCs w:val="22"/>
              </w:rPr>
            </w:pPr>
            <w:r>
              <w:rPr>
                <w:rFonts w:hint="eastAsia"/>
                <w:lang w:bidi="ar"/>
              </w:rPr>
              <w:t>富荣富兴纯债债券型证券投资基金招募说明书更新及产品资料概要更新的提示性公告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4AD0AFE" w14:textId="3E0F0DAC" w:rsidR="00B804EC" w:rsidRDefault="00000000">
            <w:pPr>
              <w:jc w:val="left"/>
              <w:rPr>
                <w:color w:val="000000"/>
                <w:sz w:val="22"/>
                <w:szCs w:val="22"/>
              </w:rPr>
            </w:pPr>
            <w:r>
              <w:rPr>
                <w:rFonts w:hint="eastAsia"/>
                <w:lang w:bidi="ar"/>
              </w:rPr>
              <w:t>2025-07-28</w:t>
            </w:r>
          </w:p>
        </w:tc>
      </w:tr>
      <w:tr w:rsidR="00B804EC" w14:paraId="1529CF0B"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2D3A89D4" w14:textId="628C593F" w:rsidR="00B804EC" w:rsidRDefault="00000000">
            <w:pPr>
              <w:jc w:val="left"/>
              <w:rPr>
                <w:szCs w:val="21"/>
              </w:rPr>
            </w:pPr>
            <w:r>
              <w:rPr>
                <w:color w:val="000000"/>
                <w:sz w:val="22"/>
                <w:szCs w:val="22"/>
              </w:rPr>
              <w:t>17</w:t>
            </w:r>
          </w:p>
        </w:tc>
        <w:tc>
          <w:tcPr>
            <w:tcW w:w="6287" w:type="dxa"/>
            <w:tcBorders>
              <w:top w:val="single" w:sz="4" w:space="0" w:color="auto"/>
              <w:left w:val="single" w:sz="4" w:space="0" w:color="auto"/>
              <w:bottom w:val="single" w:sz="4" w:space="0" w:color="auto"/>
              <w:right w:val="single" w:sz="4" w:space="0" w:color="auto"/>
            </w:tcBorders>
            <w:vAlign w:val="bottom"/>
          </w:tcPr>
          <w:p w14:paraId="39C663B5" w14:textId="3D48B6F4" w:rsidR="00B804EC" w:rsidRDefault="00000000">
            <w:pPr>
              <w:jc w:val="left"/>
              <w:rPr>
                <w:color w:val="000000"/>
                <w:sz w:val="22"/>
                <w:szCs w:val="22"/>
              </w:rPr>
            </w:pPr>
            <w:r>
              <w:rPr>
                <w:rFonts w:hint="eastAsia"/>
                <w:lang w:bidi="ar"/>
              </w:rPr>
              <w:t>富荣富兴纯债债券型证券投资基金基金经理变更公告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0AEBDA7E" w14:textId="299F8C27" w:rsidR="00B804EC" w:rsidRDefault="00000000">
            <w:pPr>
              <w:jc w:val="left"/>
              <w:rPr>
                <w:color w:val="000000"/>
                <w:sz w:val="22"/>
                <w:szCs w:val="22"/>
              </w:rPr>
            </w:pPr>
            <w:r>
              <w:rPr>
                <w:rFonts w:hint="eastAsia"/>
                <w:lang w:bidi="ar"/>
              </w:rPr>
              <w:t>2025-08-05</w:t>
            </w:r>
          </w:p>
        </w:tc>
      </w:tr>
      <w:tr w:rsidR="00B804EC" w14:paraId="6FF51831"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FF8A678" w14:textId="68D08204" w:rsidR="00B804EC" w:rsidRDefault="00000000">
            <w:pPr>
              <w:jc w:val="left"/>
              <w:rPr>
                <w:szCs w:val="21"/>
              </w:rPr>
            </w:pPr>
            <w:r>
              <w:rPr>
                <w:color w:val="000000"/>
                <w:sz w:val="22"/>
                <w:szCs w:val="22"/>
              </w:rPr>
              <w:t>18</w:t>
            </w:r>
          </w:p>
        </w:tc>
        <w:tc>
          <w:tcPr>
            <w:tcW w:w="6287" w:type="dxa"/>
            <w:tcBorders>
              <w:top w:val="single" w:sz="4" w:space="0" w:color="auto"/>
              <w:left w:val="single" w:sz="4" w:space="0" w:color="auto"/>
              <w:bottom w:val="single" w:sz="4" w:space="0" w:color="auto"/>
              <w:right w:val="single" w:sz="4" w:space="0" w:color="auto"/>
            </w:tcBorders>
            <w:vAlign w:val="bottom"/>
          </w:tcPr>
          <w:p w14:paraId="011742C2" w14:textId="2218C918" w:rsidR="00B804EC" w:rsidRDefault="00000000">
            <w:pPr>
              <w:jc w:val="left"/>
              <w:rPr>
                <w:color w:val="000000"/>
                <w:sz w:val="22"/>
                <w:szCs w:val="22"/>
              </w:rPr>
            </w:pPr>
            <w:r>
              <w:rPr>
                <w:rFonts w:hint="eastAsia"/>
                <w:lang w:bidi="ar"/>
              </w:rPr>
              <w:t>富荣富兴纯债债券型证券投资基金招募说明书更新及产品资料概要更新的提示性公告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468B503" w14:textId="2BE757F1" w:rsidR="00B804EC" w:rsidRDefault="00000000">
            <w:pPr>
              <w:jc w:val="left"/>
              <w:rPr>
                <w:color w:val="000000"/>
                <w:sz w:val="22"/>
                <w:szCs w:val="22"/>
              </w:rPr>
            </w:pPr>
            <w:r>
              <w:rPr>
                <w:rFonts w:hint="eastAsia"/>
                <w:lang w:bidi="ar"/>
              </w:rPr>
              <w:t>2025-08-07</w:t>
            </w:r>
          </w:p>
        </w:tc>
      </w:tr>
      <w:tr w:rsidR="00B804EC" w14:paraId="1B015AAD"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28AE0EF5" w14:textId="65257132" w:rsidR="00B804EC" w:rsidRDefault="00000000">
            <w:pPr>
              <w:jc w:val="left"/>
              <w:rPr>
                <w:szCs w:val="21"/>
              </w:rPr>
            </w:pPr>
            <w:r>
              <w:rPr>
                <w:color w:val="000000"/>
                <w:sz w:val="22"/>
                <w:szCs w:val="22"/>
              </w:rPr>
              <w:t>19</w:t>
            </w:r>
          </w:p>
        </w:tc>
        <w:tc>
          <w:tcPr>
            <w:tcW w:w="6287" w:type="dxa"/>
            <w:tcBorders>
              <w:top w:val="single" w:sz="4" w:space="0" w:color="auto"/>
              <w:left w:val="single" w:sz="4" w:space="0" w:color="auto"/>
              <w:bottom w:val="single" w:sz="4" w:space="0" w:color="auto"/>
              <w:right w:val="single" w:sz="4" w:space="0" w:color="auto"/>
            </w:tcBorders>
            <w:vAlign w:val="bottom"/>
          </w:tcPr>
          <w:p w14:paraId="388089EC" w14:textId="6874714A" w:rsidR="00B804EC"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年中期报告提示性公告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637F010" w14:textId="562B13D3" w:rsidR="00B804EC" w:rsidRDefault="00000000">
            <w:pPr>
              <w:jc w:val="left"/>
              <w:rPr>
                <w:color w:val="000000"/>
                <w:sz w:val="22"/>
                <w:szCs w:val="22"/>
              </w:rPr>
            </w:pPr>
            <w:r>
              <w:rPr>
                <w:rFonts w:hint="eastAsia"/>
                <w:lang w:bidi="ar"/>
              </w:rPr>
              <w:t>2025-08-30</w:t>
            </w:r>
          </w:p>
        </w:tc>
      </w:tr>
      <w:tr w:rsidR="00B804EC" w14:paraId="70E117B7"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E004F8E" w14:textId="4DA46DBA" w:rsidR="00B804EC" w:rsidRDefault="00000000">
            <w:pPr>
              <w:jc w:val="left"/>
              <w:rPr>
                <w:szCs w:val="21"/>
              </w:rPr>
            </w:pPr>
            <w:r>
              <w:rPr>
                <w:color w:val="000000"/>
                <w:sz w:val="22"/>
                <w:szCs w:val="22"/>
              </w:rPr>
              <w:t>20</w:t>
            </w:r>
          </w:p>
        </w:tc>
        <w:tc>
          <w:tcPr>
            <w:tcW w:w="6287" w:type="dxa"/>
            <w:tcBorders>
              <w:top w:val="single" w:sz="4" w:space="0" w:color="auto"/>
              <w:left w:val="single" w:sz="4" w:space="0" w:color="auto"/>
              <w:bottom w:val="single" w:sz="4" w:space="0" w:color="auto"/>
              <w:right w:val="single" w:sz="4" w:space="0" w:color="auto"/>
            </w:tcBorders>
            <w:vAlign w:val="bottom"/>
          </w:tcPr>
          <w:p w14:paraId="0CF8B09D" w14:textId="547B0F96" w:rsidR="00B804EC" w:rsidRDefault="00000000">
            <w:pPr>
              <w:jc w:val="left"/>
              <w:rPr>
                <w:color w:val="000000"/>
                <w:sz w:val="22"/>
                <w:szCs w:val="22"/>
              </w:rPr>
            </w:pPr>
            <w:r>
              <w:rPr>
                <w:rFonts w:hint="eastAsia"/>
                <w:lang w:bidi="ar"/>
              </w:rPr>
              <w:t>富荣基金管理有限公司关于旗下部分基金新增国泰海通证券股份有限公司为销售机构、开通基金定期定额投资业务和基金转换业务并参加申购及定期定额投资申购费率优惠活动的公告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B9C2916" w14:textId="1011CEAD" w:rsidR="00B804EC" w:rsidRDefault="00000000">
            <w:pPr>
              <w:jc w:val="left"/>
              <w:rPr>
                <w:color w:val="000000"/>
                <w:sz w:val="22"/>
                <w:szCs w:val="22"/>
              </w:rPr>
            </w:pPr>
            <w:r>
              <w:rPr>
                <w:rFonts w:hint="eastAsia"/>
                <w:lang w:bidi="ar"/>
              </w:rPr>
              <w:t>2025-09-12</w:t>
            </w:r>
          </w:p>
        </w:tc>
      </w:tr>
      <w:tr w:rsidR="00B804EC" w14:paraId="612760FD"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0657C8D0" w14:textId="16328CE1" w:rsidR="00B804EC" w:rsidRDefault="00000000">
            <w:pPr>
              <w:jc w:val="left"/>
              <w:rPr>
                <w:szCs w:val="21"/>
              </w:rPr>
            </w:pPr>
            <w:r>
              <w:rPr>
                <w:color w:val="000000"/>
                <w:sz w:val="22"/>
                <w:szCs w:val="22"/>
              </w:rPr>
              <w:t>21</w:t>
            </w:r>
          </w:p>
        </w:tc>
        <w:tc>
          <w:tcPr>
            <w:tcW w:w="6287" w:type="dxa"/>
            <w:tcBorders>
              <w:top w:val="single" w:sz="4" w:space="0" w:color="auto"/>
              <w:left w:val="single" w:sz="4" w:space="0" w:color="auto"/>
              <w:bottom w:val="single" w:sz="4" w:space="0" w:color="auto"/>
              <w:right w:val="single" w:sz="4" w:space="0" w:color="auto"/>
            </w:tcBorders>
            <w:vAlign w:val="bottom"/>
          </w:tcPr>
          <w:p w14:paraId="70BF7474" w14:textId="189F1EB0" w:rsidR="00B804EC" w:rsidRDefault="00000000">
            <w:pPr>
              <w:jc w:val="left"/>
              <w:rPr>
                <w:color w:val="000000"/>
                <w:sz w:val="22"/>
                <w:szCs w:val="22"/>
              </w:rPr>
            </w:pPr>
            <w:r>
              <w:rPr>
                <w:rFonts w:hint="eastAsia"/>
                <w:lang w:bidi="ar"/>
              </w:rPr>
              <w:t>富荣富兴纯债债券型证券投资基金暂停及恢复大额申购（含转换转入、定期定额投资）公告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BE37C60" w14:textId="2B68F4D8" w:rsidR="00B804EC" w:rsidRDefault="00000000">
            <w:pPr>
              <w:jc w:val="left"/>
              <w:rPr>
                <w:color w:val="000000"/>
                <w:sz w:val="22"/>
                <w:szCs w:val="22"/>
              </w:rPr>
            </w:pPr>
            <w:r>
              <w:rPr>
                <w:rFonts w:hint="eastAsia"/>
                <w:lang w:bidi="ar"/>
              </w:rPr>
              <w:t>2025-09-22</w:t>
            </w:r>
          </w:p>
        </w:tc>
      </w:tr>
      <w:tr w:rsidR="00B804EC" w14:paraId="40E530DC"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EC0BC53" w14:textId="7485D111" w:rsidR="00B804EC" w:rsidRDefault="00000000">
            <w:pPr>
              <w:jc w:val="left"/>
              <w:rPr>
                <w:szCs w:val="21"/>
              </w:rPr>
            </w:pPr>
            <w:r>
              <w:rPr>
                <w:color w:val="000000"/>
                <w:sz w:val="22"/>
                <w:szCs w:val="22"/>
              </w:rPr>
              <w:t>22</w:t>
            </w:r>
          </w:p>
        </w:tc>
        <w:tc>
          <w:tcPr>
            <w:tcW w:w="6287" w:type="dxa"/>
            <w:tcBorders>
              <w:top w:val="single" w:sz="4" w:space="0" w:color="auto"/>
              <w:left w:val="single" w:sz="4" w:space="0" w:color="auto"/>
              <w:bottom w:val="single" w:sz="4" w:space="0" w:color="auto"/>
              <w:right w:val="single" w:sz="4" w:space="0" w:color="auto"/>
            </w:tcBorders>
            <w:vAlign w:val="bottom"/>
          </w:tcPr>
          <w:p w14:paraId="0305A402" w14:textId="4CB267C5" w:rsidR="00B804EC" w:rsidRDefault="00000000">
            <w:pPr>
              <w:jc w:val="left"/>
              <w:rPr>
                <w:color w:val="000000"/>
                <w:sz w:val="22"/>
                <w:szCs w:val="22"/>
              </w:rPr>
            </w:pPr>
            <w:r>
              <w:rPr>
                <w:rFonts w:hint="eastAsia"/>
                <w:lang w:bidi="ar"/>
              </w:rPr>
              <w:t>富荣富兴纯债债券型证券投资基金基金分红公告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0A718AC4" w14:textId="7343CE4D" w:rsidR="00B804EC" w:rsidRDefault="00000000">
            <w:pPr>
              <w:jc w:val="left"/>
              <w:rPr>
                <w:color w:val="000000"/>
                <w:sz w:val="22"/>
                <w:szCs w:val="22"/>
              </w:rPr>
            </w:pPr>
            <w:r>
              <w:rPr>
                <w:rFonts w:hint="eastAsia"/>
                <w:lang w:bidi="ar"/>
              </w:rPr>
              <w:t>2025-09-25</w:t>
            </w:r>
          </w:p>
        </w:tc>
      </w:tr>
      <w:tr w:rsidR="00B804EC" w14:paraId="391BA773"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3904679" w14:textId="0B4E42BB" w:rsidR="00B804EC" w:rsidRDefault="00000000">
            <w:pPr>
              <w:jc w:val="left"/>
              <w:rPr>
                <w:szCs w:val="21"/>
              </w:rPr>
            </w:pPr>
            <w:r>
              <w:rPr>
                <w:color w:val="000000"/>
                <w:sz w:val="22"/>
                <w:szCs w:val="22"/>
              </w:rPr>
              <w:lastRenderedPageBreak/>
              <w:t>23</w:t>
            </w:r>
          </w:p>
        </w:tc>
        <w:tc>
          <w:tcPr>
            <w:tcW w:w="6287" w:type="dxa"/>
            <w:tcBorders>
              <w:top w:val="single" w:sz="4" w:space="0" w:color="auto"/>
              <w:left w:val="single" w:sz="4" w:space="0" w:color="auto"/>
              <w:bottom w:val="single" w:sz="4" w:space="0" w:color="auto"/>
              <w:right w:val="single" w:sz="4" w:space="0" w:color="auto"/>
            </w:tcBorders>
            <w:vAlign w:val="bottom"/>
          </w:tcPr>
          <w:p w14:paraId="40EC635A" w14:textId="5462C2FE" w:rsidR="00B804EC"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3</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7AC53E7" w14:textId="6BDF79EA" w:rsidR="00B804EC" w:rsidRDefault="00000000">
            <w:pPr>
              <w:jc w:val="left"/>
              <w:rPr>
                <w:color w:val="000000"/>
                <w:sz w:val="22"/>
                <w:szCs w:val="22"/>
              </w:rPr>
            </w:pPr>
            <w:r>
              <w:rPr>
                <w:rFonts w:hint="eastAsia"/>
                <w:lang w:bidi="ar"/>
              </w:rPr>
              <w:t>2025-10-28</w:t>
            </w:r>
          </w:p>
        </w:tc>
      </w:tr>
      <w:tr w:rsidR="00B804EC" w14:paraId="46E56FC1" w14:textId="77777777" w:rsidTr="0021714D">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4F3BB25" w14:textId="7754F892" w:rsidR="00B804EC" w:rsidRDefault="00000000">
            <w:pPr>
              <w:jc w:val="left"/>
              <w:rPr>
                <w:szCs w:val="21"/>
              </w:rPr>
            </w:pPr>
            <w:r>
              <w:rPr>
                <w:color w:val="000000"/>
                <w:sz w:val="22"/>
                <w:szCs w:val="22"/>
              </w:rPr>
              <w:t>24</w:t>
            </w:r>
          </w:p>
        </w:tc>
        <w:tc>
          <w:tcPr>
            <w:tcW w:w="6287" w:type="dxa"/>
            <w:tcBorders>
              <w:top w:val="single" w:sz="4" w:space="0" w:color="auto"/>
              <w:left w:val="single" w:sz="4" w:space="0" w:color="auto"/>
              <w:bottom w:val="single" w:sz="4" w:space="0" w:color="auto"/>
              <w:right w:val="single" w:sz="4" w:space="0" w:color="auto"/>
            </w:tcBorders>
            <w:vAlign w:val="bottom"/>
          </w:tcPr>
          <w:p w14:paraId="455F6883" w14:textId="11D0EEE8" w:rsidR="00B804EC" w:rsidRDefault="00000000">
            <w:pPr>
              <w:jc w:val="left"/>
              <w:rPr>
                <w:color w:val="000000"/>
                <w:sz w:val="22"/>
                <w:szCs w:val="22"/>
              </w:rPr>
            </w:pPr>
            <w:r>
              <w:rPr>
                <w:rFonts w:hint="eastAsia"/>
                <w:lang w:bidi="ar"/>
              </w:rPr>
              <w:t>富荣基金管理有限公司关于旗下部分基金新增中信银行股份有限公司为销售机构、开通基金定期定额投资业务和基金转换业务并参加申购及定期定额投资申购费率优惠活动的公告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8393CFB" w14:textId="1769E31F" w:rsidR="00B804EC" w:rsidRDefault="00000000">
            <w:pPr>
              <w:jc w:val="left"/>
              <w:rPr>
                <w:color w:val="000000"/>
                <w:sz w:val="22"/>
                <w:szCs w:val="22"/>
              </w:rPr>
            </w:pPr>
            <w:r>
              <w:rPr>
                <w:rFonts w:hint="eastAsia"/>
                <w:lang w:bidi="ar"/>
              </w:rPr>
              <w:t>2025-11-05</w:t>
            </w:r>
          </w:p>
        </w:tc>
      </w:tr>
      <w:tr w:rsidR="00B804EC" w14:paraId="79678224" w14:textId="77777777" w:rsidTr="0021714D">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0D200602" w14:textId="543ACF83" w:rsidR="00B804EC" w:rsidRDefault="00000000">
            <w:pPr>
              <w:jc w:val="left"/>
              <w:rPr>
                <w:color w:val="000000"/>
                <w:sz w:val="22"/>
                <w:szCs w:val="22"/>
              </w:rPr>
            </w:pPr>
            <w:r>
              <w:rPr>
                <w:color w:val="000000"/>
                <w:sz w:val="22"/>
                <w:szCs w:val="22"/>
              </w:rPr>
              <w:t>25</w:t>
            </w:r>
          </w:p>
        </w:tc>
        <w:tc>
          <w:tcPr>
            <w:tcW w:w="6287" w:type="dxa"/>
            <w:tcBorders>
              <w:top w:val="single" w:sz="4" w:space="0" w:color="auto"/>
              <w:left w:val="single" w:sz="4" w:space="0" w:color="auto"/>
              <w:bottom w:val="single" w:sz="4" w:space="0" w:color="auto"/>
              <w:right w:val="single" w:sz="4" w:space="0" w:color="auto"/>
            </w:tcBorders>
            <w:vAlign w:val="bottom"/>
          </w:tcPr>
          <w:p w14:paraId="2093377F" w14:textId="6F37B7B8" w:rsidR="00B804EC" w:rsidRDefault="00000000">
            <w:pPr>
              <w:jc w:val="left"/>
            </w:pPr>
            <w:r>
              <w:rPr>
                <w:rFonts w:hint="eastAsia"/>
                <w:lang w:bidi="ar"/>
              </w:rPr>
              <w:t>富荣基金管理有限公司关于提醒投资者持续完善身份信息资料的公告</w:t>
            </w:r>
          </w:p>
        </w:tc>
        <w:tc>
          <w:tcPr>
            <w:tcW w:w="1369" w:type="dxa"/>
            <w:tcBorders>
              <w:top w:val="single" w:sz="4" w:space="0" w:color="auto"/>
              <w:left w:val="single" w:sz="4" w:space="0" w:color="auto"/>
              <w:bottom w:val="single" w:sz="4" w:space="0" w:color="auto"/>
              <w:right w:val="single" w:sz="4" w:space="0" w:color="auto"/>
            </w:tcBorders>
            <w:vAlign w:val="center"/>
          </w:tcPr>
          <w:p w14:paraId="4AC4C287" w14:textId="478FF399" w:rsidR="00B804EC" w:rsidRDefault="00000000">
            <w:pPr>
              <w:jc w:val="left"/>
            </w:pPr>
            <w:r>
              <w:rPr>
                <w:rFonts w:hint="eastAsia"/>
                <w:lang w:bidi="ar"/>
              </w:rPr>
              <w:t>2025-12-24</w:t>
            </w:r>
          </w:p>
        </w:tc>
      </w:tr>
      <w:tr w:rsidR="00B804EC" w14:paraId="4845774A" w14:textId="77777777" w:rsidTr="0021714D">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0E7CC920" w14:textId="788101D4" w:rsidR="00B804EC" w:rsidRDefault="00000000">
            <w:pPr>
              <w:jc w:val="left"/>
              <w:rPr>
                <w:color w:val="000000"/>
                <w:sz w:val="22"/>
                <w:szCs w:val="22"/>
              </w:rPr>
            </w:pPr>
            <w:r>
              <w:rPr>
                <w:color w:val="000000"/>
                <w:sz w:val="22"/>
                <w:szCs w:val="22"/>
              </w:rPr>
              <w:t>26</w:t>
            </w:r>
          </w:p>
        </w:tc>
        <w:tc>
          <w:tcPr>
            <w:tcW w:w="6287" w:type="dxa"/>
            <w:tcBorders>
              <w:top w:val="single" w:sz="4" w:space="0" w:color="auto"/>
              <w:left w:val="single" w:sz="4" w:space="0" w:color="auto"/>
              <w:bottom w:val="single" w:sz="4" w:space="0" w:color="auto"/>
              <w:right w:val="single" w:sz="4" w:space="0" w:color="auto"/>
            </w:tcBorders>
            <w:vAlign w:val="bottom"/>
          </w:tcPr>
          <w:p w14:paraId="643C8419" w14:textId="7052571C" w:rsidR="00B804EC" w:rsidRDefault="00000000">
            <w:pPr>
              <w:jc w:val="left"/>
            </w:pPr>
            <w:r>
              <w:rPr>
                <w:rFonts w:hint="eastAsia"/>
                <w:lang w:bidi="ar"/>
              </w:rPr>
              <w:t>富荣基金管理有限公司关于提高富荣富兴纯债债券型证券投资基金净值精度的公告</w:t>
            </w:r>
          </w:p>
        </w:tc>
        <w:tc>
          <w:tcPr>
            <w:tcW w:w="1369" w:type="dxa"/>
            <w:tcBorders>
              <w:top w:val="single" w:sz="4" w:space="0" w:color="auto"/>
              <w:left w:val="single" w:sz="4" w:space="0" w:color="auto"/>
              <w:bottom w:val="single" w:sz="4" w:space="0" w:color="auto"/>
              <w:right w:val="single" w:sz="4" w:space="0" w:color="auto"/>
            </w:tcBorders>
            <w:vAlign w:val="center"/>
          </w:tcPr>
          <w:p w14:paraId="00A4AB1F" w14:textId="21E4C595" w:rsidR="00B804EC" w:rsidRDefault="00000000">
            <w:pPr>
              <w:jc w:val="left"/>
            </w:pPr>
            <w:r>
              <w:rPr>
                <w:rFonts w:hint="eastAsia"/>
                <w:lang w:bidi="ar"/>
              </w:rPr>
              <w:t>2026-01-21</w:t>
            </w:r>
          </w:p>
        </w:tc>
      </w:tr>
      <w:tr w:rsidR="00B804EC" w14:paraId="137F3CE0" w14:textId="77777777" w:rsidTr="0021714D">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47FA0FF3" w14:textId="77777777" w:rsidR="00B804EC" w:rsidRDefault="00000000">
            <w:pPr>
              <w:jc w:val="left"/>
              <w:rPr>
                <w:color w:val="000000"/>
                <w:sz w:val="22"/>
                <w:szCs w:val="22"/>
              </w:rPr>
            </w:pPr>
            <w:r>
              <w:rPr>
                <w:color w:val="000000"/>
                <w:sz w:val="22"/>
                <w:szCs w:val="22"/>
              </w:rPr>
              <w:t>27</w:t>
            </w:r>
          </w:p>
        </w:tc>
        <w:tc>
          <w:tcPr>
            <w:tcW w:w="6287" w:type="dxa"/>
            <w:tcBorders>
              <w:top w:val="single" w:sz="4" w:space="0" w:color="auto"/>
              <w:left w:val="single" w:sz="4" w:space="0" w:color="auto"/>
              <w:bottom w:val="single" w:sz="4" w:space="0" w:color="auto"/>
              <w:right w:val="single" w:sz="4" w:space="0" w:color="auto"/>
            </w:tcBorders>
            <w:vAlign w:val="bottom"/>
          </w:tcPr>
          <w:p w14:paraId="5F42C534" w14:textId="77777777" w:rsidR="00B804EC" w:rsidRDefault="00000000">
            <w:pPr>
              <w:jc w:val="left"/>
            </w:pPr>
            <w:r>
              <w:rPr>
                <w:rFonts w:hint="eastAsia"/>
                <w:lang w:bidi="ar"/>
              </w:rPr>
              <w:t>富荣基金管理有限公司旗下基金</w:t>
            </w:r>
            <w:r>
              <w:rPr>
                <w:rFonts w:hint="eastAsia"/>
                <w:lang w:bidi="ar"/>
              </w:rPr>
              <w:t>2025</w:t>
            </w:r>
            <w:r>
              <w:rPr>
                <w:rFonts w:hint="eastAsia"/>
                <w:lang w:bidi="ar"/>
              </w:rPr>
              <w:t>年第</w:t>
            </w:r>
            <w:r>
              <w:rPr>
                <w:rFonts w:hint="eastAsia"/>
                <w:lang w:bidi="ar"/>
              </w:rPr>
              <w:t>4</w:t>
            </w:r>
            <w:r>
              <w:rPr>
                <w:rFonts w:hint="eastAsia"/>
                <w:lang w:bidi="ar"/>
              </w:rPr>
              <w:t>季度报告提示性公告</w:t>
            </w:r>
          </w:p>
        </w:tc>
        <w:tc>
          <w:tcPr>
            <w:tcW w:w="1369" w:type="dxa"/>
            <w:tcBorders>
              <w:top w:val="single" w:sz="4" w:space="0" w:color="auto"/>
              <w:left w:val="single" w:sz="4" w:space="0" w:color="auto"/>
              <w:bottom w:val="single" w:sz="4" w:space="0" w:color="auto"/>
              <w:right w:val="single" w:sz="4" w:space="0" w:color="auto"/>
            </w:tcBorders>
            <w:vAlign w:val="center"/>
          </w:tcPr>
          <w:p w14:paraId="1F943342" w14:textId="77777777" w:rsidR="00B804EC" w:rsidRDefault="00000000">
            <w:pPr>
              <w:jc w:val="left"/>
            </w:pPr>
            <w:r>
              <w:rPr>
                <w:rFonts w:hint="eastAsia"/>
                <w:lang w:bidi="ar"/>
              </w:rPr>
              <w:t>2026-01-22</w:t>
            </w:r>
          </w:p>
        </w:tc>
      </w:tr>
    </w:tbl>
    <w:p w14:paraId="43A1DF73" w14:textId="77777777" w:rsidR="00B804EC" w:rsidRDefault="00B804EC">
      <w:pPr>
        <w:ind w:firstLine="484"/>
        <w:jc w:val="left"/>
        <w:rPr>
          <w:b/>
          <w:bCs/>
          <w:kern w:val="44"/>
          <w:sz w:val="24"/>
          <w:szCs w:val="44"/>
        </w:rPr>
        <w:sectPr w:rsidR="00B804EC">
          <w:pgSz w:w="11906" w:h="16838"/>
          <w:pgMar w:top="1440" w:right="1800" w:bottom="1440" w:left="1800" w:header="851" w:footer="992" w:gutter="0"/>
          <w:cols w:space="720"/>
          <w:titlePg/>
          <w:docGrid w:linePitch="312"/>
        </w:sectPr>
      </w:pPr>
    </w:p>
    <w:p w14:paraId="340616E5" w14:textId="77777777" w:rsidR="00B804EC" w:rsidRDefault="00000000">
      <w:pPr>
        <w:pStyle w:val="11"/>
        <w:snapToGrid w:val="0"/>
        <w:spacing w:before="0" w:after="0" w:line="360" w:lineRule="auto"/>
        <w:rPr>
          <w:rFonts w:ascii="Arial Unicode MS" w:eastAsia="宋体" w:hAnsi="Arial Unicode MS" w:cs="Arial" w:hint="eastAsia"/>
          <w:b/>
          <w:bCs/>
          <w:sz w:val="28"/>
          <w:szCs w:val="28"/>
        </w:rPr>
      </w:pPr>
      <w:bookmarkStart w:id="168" w:name="_Toc63676458"/>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三</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招募说明书</w:t>
      </w:r>
      <w:r>
        <w:rPr>
          <w:rFonts w:ascii="Arial Unicode MS" w:eastAsia="宋体" w:hAnsi="Arial Unicode MS" w:cs="Arial" w:hint="eastAsia"/>
          <w:b/>
          <w:bCs/>
          <w:sz w:val="28"/>
          <w:szCs w:val="28"/>
        </w:rPr>
        <w:t>的</w:t>
      </w:r>
      <w:r>
        <w:rPr>
          <w:rFonts w:ascii="Arial Unicode MS" w:eastAsia="宋体" w:hAnsi="Arial Unicode MS" w:cs="Arial"/>
          <w:b/>
          <w:bCs/>
          <w:sz w:val="28"/>
          <w:szCs w:val="28"/>
        </w:rPr>
        <w:t>存放及查阅方式</w:t>
      </w:r>
      <w:bookmarkEnd w:id="161"/>
      <w:bookmarkEnd w:id="162"/>
      <w:bookmarkEnd w:id="163"/>
      <w:bookmarkEnd w:id="164"/>
      <w:bookmarkEnd w:id="165"/>
      <w:bookmarkEnd w:id="166"/>
      <w:bookmarkEnd w:id="168"/>
    </w:p>
    <w:p w14:paraId="68A91A0B" w14:textId="77777777" w:rsidR="00B804EC" w:rsidRDefault="00B804EC"/>
    <w:p w14:paraId="3A590372" w14:textId="77777777" w:rsidR="00B804EC" w:rsidRDefault="00000000">
      <w:pPr>
        <w:widowControl/>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依法必须披露的信息发布后，基金管理人、基金托管人应当按照相关法律法规规定将信息置备于公司住所，供社会公众查阅、复制</w:t>
      </w:r>
      <w:r>
        <w:rPr>
          <w:rFonts w:ascii="Arial Unicode MS" w:hAnsi="Arial Unicode MS" w:cs="Arial"/>
          <w:kern w:val="0"/>
          <w:szCs w:val="21"/>
        </w:rPr>
        <w:t>；投资人在支付工本费后，可在合理时间内取得上述文件复制件或复印件。对投资人按此种方式所获得的文件及其复印件，基金管理人保证文本的内容与所公告的内容完全一致。</w:t>
      </w:r>
    </w:p>
    <w:p w14:paraId="03E5F207" w14:textId="77777777" w:rsidR="00B804EC" w:rsidRDefault="00000000">
      <w:pPr>
        <w:widowControl/>
        <w:snapToGrid w:val="0"/>
        <w:spacing w:line="360" w:lineRule="auto"/>
        <w:ind w:firstLineChars="200" w:firstLine="420"/>
        <w:rPr>
          <w:rFonts w:ascii="Arial Unicode MS" w:hAnsi="Arial Unicode MS" w:cs="Arial" w:hint="eastAsia"/>
          <w:kern w:val="0"/>
          <w:szCs w:val="21"/>
        </w:rPr>
        <w:sectPr w:rsidR="00B804EC">
          <w:pgSz w:w="11906" w:h="16838"/>
          <w:pgMar w:top="1440" w:right="1800" w:bottom="1440" w:left="1800" w:header="851" w:footer="992" w:gutter="0"/>
          <w:cols w:space="720"/>
          <w:titlePg/>
          <w:docGrid w:linePitch="312"/>
        </w:sectPr>
      </w:pPr>
      <w:r>
        <w:rPr>
          <w:rFonts w:ascii="Arial Unicode MS" w:hAnsi="Arial Unicode MS" w:cs="Arial"/>
          <w:kern w:val="0"/>
          <w:szCs w:val="21"/>
        </w:rPr>
        <w:t>投资人还可以直接登录基金管理人的网站（</w:t>
      </w:r>
      <w:r>
        <w:rPr>
          <w:rFonts w:ascii="Arial Unicode MS" w:hAnsi="Arial Unicode MS" w:cs="Arial"/>
          <w:kern w:val="0"/>
          <w:szCs w:val="21"/>
        </w:rPr>
        <w:t>www.furamc.com.cn</w:t>
      </w:r>
      <w:r>
        <w:rPr>
          <w:rFonts w:ascii="Arial Unicode MS" w:hAnsi="Arial Unicode MS" w:cs="Arial"/>
          <w:kern w:val="0"/>
          <w:szCs w:val="21"/>
        </w:rPr>
        <w:t>）查阅和下载招募说明书。</w:t>
      </w:r>
    </w:p>
    <w:p w14:paraId="2782A034" w14:textId="77777777" w:rsidR="00B804EC"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69" w:name="_Toc335232710"/>
      <w:bookmarkStart w:id="170" w:name="_Toc63676459"/>
      <w:bookmarkStart w:id="171" w:name="_Toc530223199"/>
      <w:bookmarkStart w:id="172" w:name="_Toc320887661"/>
      <w:bookmarkStart w:id="173" w:name="_Toc214873623"/>
      <w:bookmarkStart w:id="174" w:name="_Toc317088556"/>
      <w:bookmarkStart w:id="175" w:name="_Toc317088167"/>
      <w:bookmarkEnd w:id="167"/>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四</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备查文件</w:t>
      </w:r>
      <w:bookmarkEnd w:id="169"/>
      <w:bookmarkEnd w:id="170"/>
      <w:bookmarkEnd w:id="171"/>
      <w:bookmarkEnd w:id="172"/>
      <w:bookmarkEnd w:id="173"/>
      <w:bookmarkEnd w:id="174"/>
      <w:bookmarkEnd w:id="175"/>
    </w:p>
    <w:p w14:paraId="5948C46E" w14:textId="77777777" w:rsidR="00B804EC" w:rsidRDefault="00B804EC">
      <w:pPr>
        <w:ind w:firstLine="315"/>
      </w:pPr>
    </w:p>
    <w:p w14:paraId="57A48C1F"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以下备查文件存放在基金管理人的办公场所，在办公时间可供免费查阅。</w:t>
      </w:r>
    </w:p>
    <w:p w14:paraId="5EA06B22"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（一）中国证监会</w:t>
      </w:r>
      <w:r>
        <w:rPr>
          <w:rFonts w:ascii="Arial Unicode MS" w:hAnsi="Arial Unicode MS" w:cs="Arial" w:hint="eastAsia"/>
          <w:szCs w:val="21"/>
        </w:rPr>
        <w:t>准予</w:t>
      </w:r>
      <w:r>
        <w:rPr>
          <w:rFonts w:ascii="Arial Unicode MS" w:hAnsi="Arial Unicode MS" w:cs="Arial"/>
          <w:szCs w:val="21"/>
        </w:rPr>
        <w:t>富荣富兴纯债债券型证券投资基金</w:t>
      </w:r>
      <w:r>
        <w:rPr>
          <w:rFonts w:ascii="Arial Unicode MS" w:hAnsi="Arial Unicode MS" w:cs="Arial" w:hint="eastAsia"/>
          <w:szCs w:val="21"/>
        </w:rPr>
        <w:t>变更注册</w:t>
      </w:r>
      <w:r>
        <w:rPr>
          <w:rFonts w:ascii="Arial Unicode MS" w:hAnsi="Arial Unicode MS" w:cs="Arial"/>
          <w:szCs w:val="21"/>
        </w:rPr>
        <w:t>的文件</w:t>
      </w:r>
    </w:p>
    <w:p w14:paraId="4B3AEA7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（二）《富荣富兴纯债债券型证券投资基金基金合同》</w:t>
      </w:r>
    </w:p>
    <w:p w14:paraId="2E40CAE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三</w:t>
      </w:r>
      <w:r>
        <w:rPr>
          <w:rFonts w:ascii="Arial Unicode MS" w:hAnsi="Arial Unicode MS" w:cs="Arial"/>
          <w:szCs w:val="21"/>
        </w:rPr>
        <w:t>）《富荣富兴纯债债券型证券投资基金托管协议》</w:t>
      </w:r>
    </w:p>
    <w:p w14:paraId="06B45E81"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四</w:t>
      </w:r>
      <w:r>
        <w:rPr>
          <w:rFonts w:ascii="Arial Unicode MS" w:hAnsi="Arial Unicode MS" w:cs="Arial"/>
          <w:szCs w:val="21"/>
        </w:rPr>
        <w:t>）基金管理人业务资格批件、营业执照</w:t>
      </w:r>
    </w:p>
    <w:p w14:paraId="509A2DE4"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五</w:t>
      </w:r>
      <w:r>
        <w:rPr>
          <w:rFonts w:ascii="Arial Unicode MS" w:hAnsi="Arial Unicode MS" w:cs="Arial"/>
          <w:szCs w:val="21"/>
        </w:rPr>
        <w:t>）基金托管人业务资格批件、营业执照</w:t>
      </w:r>
    </w:p>
    <w:p w14:paraId="45DF520E"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六</w:t>
      </w:r>
      <w:r>
        <w:rPr>
          <w:rFonts w:ascii="Arial Unicode MS" w:hAnsi="Arial Unicode MS" w:cs="Arial"/>
          <w:szCs w:val="21"/>
        </w:rPr>
        <w:t>）关于申请富荣富兴纯债债券型证券投资基金</w:t>
      </w:r>
      <w:r>
        <w:rPr>
          <w:rFonts w:ascii="Arial Unicode MS" w:hAnsi="Arial Unicode MS" w:cs="Arial" w:hint="eastAsia"/>
          <w:szCs w:val="21"/>
        </w:rPr>
        <w:t>变更注册</w:t>
      </w:r>
      <w:r>
        <w:rPr>
          <w:rFonts w:ascii="Arial Unicode MS" w:hAnsi="Arial Unicode MS" w:cs="Arial"/>
          <w:szCs w:val="21"/>
        </w:rPr>
        <w:t>之法律意见书</w:t>
      </w:r>
    </w:p>
    <w:p w14:paraId="235BAED7"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（七）中国证监会要求的其他文件</w:t>
      </w:r>
    </w:p>
    <w:p w14:paraId="0F4F3A16" w14:textId="77777777" w:rsidR="00B804EC" w:rsidRDefault="00000000">
      <w:pPr>
        <w:autoSpaceDE w:val="0"/>
        <w:autoSpaceDN w:val="0"/>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szCs w:val="21"/>
        </w:rPr>
        <w:t>查阅方式：投资者可在营业时间免费查阅，也可按工本费购买复印件。</w:t>
      </w:r>
    </w:p>
    <w:p w14:paraId="6D741882" w14:textId="77777777" w:rsidR="00B804EC" w:rsidRDefault="00B804EC">
      <w:pPr>
        <w:spacing w:line="360" w:lineRule="auto"/>
        <w:jc w:val="right"/>
        <w:rPr>
          <w:rFonts w:ascii="Arial Unicode MS" w:hAnsi="Arial Unicode MS" w:cs="Arial" w:hint="eastAsia"/>
          <w:b/>
          <w:szCs w:val="21"/>
        </w:rPr>
      </w:pPr>
    </w:p>
    <w:p w14:paraId="19DD2E1D" w14:textId="77777777" w:rsidR="00B804EC" w:rsidRDefault="00B804EC">
      <w:pPr>
        <w:spacing w:line="360" w:lineRule="auto"/>
        <w:jc w:val="right"/>
        <w:rPr>
          <w:rFonts w:ascii="Arial Unicode MS" w:hAnsi="Arial Unicode MS" w:cs="Arial" w:hint="eastAsia"/>
          <w:b/>
          <w:szCs w:val="21"/>
        </w:rPr>
      </w:pPr>
    </w:p>
    <w:p w14:paraId="553EBDD0" w14:textId="77777777" w:rsidR="00B804EC" w:rsidRDefault="00B804EC">
      <w:pPr>
        <w:rPr>
          <w:rFonts w:ascii="Arial Unicode MS" w:hAnsi="Arial Unicode MS" w:cs="Arial" w:hint="eastAsia"/>
          <w:szCs w:val="21"/>
        </w:rPr>
      </w:pPr>
    </w:p>
    <w:p w14:paraId="6304C601" w14:textId="77777777" w:rsidR="00B804EC" w:rsidRDefault="00B804EC">
      <w:pPr>
        <w:rPr>
          <w:rFonts w:ascii="Arial Unicode MS" w:hAnsi="Arial Unicode MS" w:cs="Arial" w:hint="eastAsia"/>
          <w:szCs w:val="21"/>
        </w:rPr>
      </w:pPr>
    </w:p>
    <w:p w14:paraId="492CEE5A" w14:textId="77777777" w:rsidR="00B804EC" w:rsidRDefault="00B804EC">
      <w:pPr>
        <w:rPr>
          <w:rFonts w:ascii="Arial Unicode MS" w:hAnsi="Arial Unicode MS" w:cs="Arial" w:hint="eastAsia"/>
          <w:szCs w:val="21"/>
        </w:rPr>
      </w:pPr>
    </w:p>
    <w:p w14:paraId="5BC0D24D" w14:textId="77777777" w:rsidR="00B804EC" w:rsidRDefault="00000000">
      <w:pPr>
        <w:tabs>
          <w:tab w:val="left" w:pos="5760"/>
        </w:tabs>
        <w:rPr>
          <w:rFonts w:ascii="宋体" w:hAnsi="宋体" w:cs="Arial" w:hint="eastAsia"/>
          <w:szCs w:val="21"/>
        </w:rPr>
      </w:pPr>
      <w:r>
        <w:rPr>
          <w:rFonts w:ascii="Arial Unicode MS" w:hAnsi="Arial Unicode MS" w:cs="Arial"/>
          <w:szCs w:val="21"/>
        </w:rPr>
        <w:tab/>
      </w:r>
      <w:r>
        <w:rPr>
          <w:rFonts w:ascii="宋体" w:hAnsi="宋体" w:cs="Arial" w:hint="eastAsia"/>
          <w:szCs w:val="21"/>
        </w:rPr>
        <w:t>富荣基金管理有限公司</w:t>
      </w:r>
    </w:p>
    <w:p w14:paraId="0F50CB7D" w14:textId="77777777" w:rsidR="00B804EC" w:rsidRDefault="00B804EC">
      <w:pPr>
        <w:tabs>
          <w:tab w:val="left" w:pos="5760"/>
        </w:tabs>
        <w:rPr>
          <w:rFonts w:ascii="宋体" w:hAnsi="宋体" w:cs="Arial" w:hint="eastAsia"/>
          <w:szCs w:val="21"/>
        </w:rPr>
      </w:pPr>
    </w:p>
    <w:p w14:paraId="299B2306" w14:textId="0DE4F23D" w:rsidR="00B804EC" w:rsidRDefault="00000000">
      <w:pPr>
        <w:tabs>
          <w:tab w:val="left" w:pos="6045"/>
        </w:tabs>
        <w:ind w:firstLineChars="2850" w:firstLine="5985"/>
        <w:jc w:val="left"/>
        <w:rPr>
          <w:rFonts w:ascii="宋体" w:hAnsi="宋体" w:cs="Arial" w:hint="eastAsia"/>
          <w:szCs w:val="21"/>
        </w:rPr>
      </w:pPr>
      <w:r>
        <w:rPr>
          <w:rFonts w:ascii="宋体" w:hAnsi="宋体" w:cs="Arial" w:hint="eastAsia"/>
          <w:szCs w:val="21"/>
        </w:rPr>
        <w:t>20</w:t>
      </w:r>
      <w:r>
        <w:rPr>
          <w:rFonts w:ascii="宋体" w:hAnsi="宋体" w:cs="Arial"/>
          <w:szCs w:val="21"/>
        </w:rPr>
        <w:t>2</w:t>
      </w:r>
      <w:r>
        <w:rPr>
          <w:rFonts w:ascii="宋体" w:hAnsi="宋体" w:cs="Arial" w:hint="eastAsia"/>
          <w:szCs w:val="21"/>
        </w:rPr>
        <w:t>6年3月</w:t>
      </w:r>
      <w:r w:rsidR="00846174">
        <w:rPr>
          <w:rFonts w:ascii="宋体" w:hAnsi="宋体" w:cs="Arial" w:hint="eastAsia"/>
          <w:szCs w:val="21"/>
        </w:rPr>
        <w:t>20</w:t>
      </w:r>
      <w:r>
        <w:rPr>
          <w:rFonts w:ascii="宋体" w:hAnsi="宋体" w:cs="Arial" w:hint="eastAsia"/>
          <w:szCs w:val="21"/>
        </w:rPr>
        <w:t>日</w:t>
      </w:r>
    </w:p>
    <w:sectPr w:rsidR="00B804EC">
      <w:pgSz w:w="11906" w:h="16838"/>
      <w:pgMar w:top="1440" w:right="1800" w:bottom="1440" w:left="1800"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4E43" w14:textId="77777777" w:rsidR="00434B25" w:rsidRDefault="00434B25">
      <w:r>
        <w:separator/>
      </w:r>
    </w:p>
  </w:endnote>
  <w:endnote w:type="continuationSeparator" w:id="0">
    <w:p w14:paraId="7CFB312D" w14:textId="77777777" w:rsidR="00434B25" w:rsidRDefault="0043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楷体_GB2312">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default"/>
    <w:sig w:usb0="A00006FF" w:usb1="4000205B" w:usb2="00000010" w:usb3="00000000" w:csb0="2000019F" w:csb1="00000000"/>
  </w:font>
  <w:font w:name="ˎ̥">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60AB" w14:textId="77777777" w:rsidR="00B804EC" w:rsidRDefault="00B804EC">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E259" w14:textId="77777777" w:rsidR="00B804EC" w:rsidRDefault="00000000">
    <w:pPr>
      <w:pStyle w:val="af7"/>
      <w:jc w:val="center"/>
    </w:pPr>
    <w:r>
      <w:fldChar w:fldCharType="begin"/>
    </w:r>
    <w:r>
      <w:instrText>PAGE   \* MERGEFORMAT</w:instrText>
    </w:r>
    <w:r>
      <w:fldChar w:fldCharType="separate"/>
    </w:r>
    <w:r>
      <w:rPr>
        <w:lang w:val="zh-CN"/>
      </w:rPr>
      <w:t>11</w:t>
    </w:r>
    <w:r>
      <w:rPr>
        <w:lang w:val="zh-CN"/>
      </w:rPr>
      <w:t>5</w:t>
    </w:r>
    <w:r>
      <w:fldChar w:fldCharType="end"/>
    </w:r>
  </w:p>
  <w:p w14:paraId="0A016F1D" w14:textId="77777777" w:rsidR="00B804EC" w:rsidRDefault="00B804E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322" w14:textId="77777777" w:rsidR="00B804EC" w:rsidRDefault="00B804EC">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FDDA" w14:textId="77777777" w:rsidR="00B804EC" w:rsidRDefault="00B804EC">
    <w:pPr>
      <w:pStyle w:val="af7"/>
      <w:jc w:val="center"/>
      <w:rPr>
        <w:rFonts w:ascii="Arial" w:hAnsi="Arial" w:cs="Arial"/>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7C1A" w14:textId="77777777" w:rsidR="00B804EC" w:rsidRDefault="00000000">
    <w:pPr>
      <w:pStyle w:val="af7"/>
      <w:jc w:val="center"/>
    </w:pPr>
    <w:r>
      <w:fldChar w:fldCharType="begin"/>
    </w:r>
    <w:r>
      <w:instrText xml:space="preserve"> PAGE   \* MERGEFORMAT </w:instrText>
    </w:r>
    <w:r>
      <w:fldChar w:fldCharType="separate"/>
    </w:r>
    <w:r>
      <w:rPr>
        <w:lang w:val="zh-CN"/>
      </w:rPr>
      <w:t>3</w:t>
    </w:r>
    <w:r>
      <w:fldChar w:fldCharType="end"/>
    </w:r>
  </w:p>
  <w:p w14:paraId="7C7CB9E6" w14:textId="77777777" w:rsidR="00B804EC" w:rsidRDefault="00B804EC">
    <w:pPr>
      <w:pStyle w:val="af7"/>
      <w:jc w:val="center"/>
      <w:rPr>
        <w:rFonts w:ascii="Arial" w:hAnsi="Arial" w:cs="Arial"/>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1B2" w14:textId="77777777" w:rsidR="00B804EC" w:rsidRDefault="00000000">
    <w:pPr>
      <w:pStyle w:val="af7"/>
      <w:jc w:val="center"/>
    </w:pPr>
    <w:r>
      <w:fldChar w:fldCharType="begin"/>
    </w:r>
    <w:r>
      <w:instrText xml:space="preserve"> PAGE   \* MERGEFORMAT </w:instrText>
    </w:r>
    <w:r>
      <w:fldChar w:fldCharType="separate"/>
    </w:r>
    <w:r>
      <w:rPr>
        <w:lang w:val="zh-CN"/>
      </w:rPr>
      <w:t>1</w:t>
    </w:r>
    <w:r>
      <w:fldChar w:fldCharType="end"/>
    </w:r>
  </w:p>
  <w:p w14:paraId="048EBD48" w14:textId="77777777" w:rsidR="00B804EC" w:rsidRDefault="00B804EC">
    <w:pPr>
      <w:pStyle w:val="af7"/>
      <w:jc w:val="center"/>
      <w:rPr>
        <w:rFonts w:ascii="Arial" w:hAnsi="Arial" w:cs="Arial"/>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748B" w14:textId="77777777" w:rsidR="00B804EC" w:rsidRDefault="00000000">
    <w:pPr>
      <w:pStyle w:val="af7"/>
      <w:jc w:val="center"/>
    </w:pPr>
    <w:r>
      <w:fldChar w:fldCharType="begin"/>
    </w:r>
    <w:r>
      <w:instrText xml:space="preserve"> PAGE   \* MERGEFORMAT </w:instrText>
    </w:r>
    <w:r>
      <w:fldChar w:fldCharType="separate"/>
    </w:r>
    <w:r>
      <w:rPr>
        <w:lang w:val="zh-CN"/>
      </w:rPr>
      <w:t>1</w:t>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F8D1" w14:textId="77777777" w:rsidR="00B804EC" w:rsidRDefault="00000000">
    <w:pPr>
      <w:pStyle w:val="af7"/>
      <w:jc w:val="center"/>
      <w:rPr>
        <w:rFonts w:ascii="Arial" w:hAnsi="Arial" w:cs="Arial"/>
        <w:sz w:val="21"/>
        <w:szCs w:val="21"/>
      </w:rPr>
    </w:pPr>
    <w:r>
      <w:rPr>
        <w:rStyle w:val="aff8"/>
        <w:rFonts w:ascii="Arial" w:hAnsi="Arial" w:cs="Arial"/>
        <w:sz w:val="21"/>
        <w:szCs w:val="21"/>
      </w:rPr>
      <w:fldChar w:fldCharType="begin"/>
    </w:r>
    <w:r>
      <w:rPr>
        <w:rStyle w:val="aff8"/>
        <w:rFonts w:ascii="Arial" w:hAnsi="Arial" w:cs="Arial"/>
        <w:sz w:val="21"/>
        <w:szCs w:val="21"/>
      </w:rPr>
      <w:instrText xml:space="preserve"> PAGE </w:instrText>
    </w:r>
    <w:r>
      <w:rPr>
        <w:rStyle w:val="aff8"/>
        <w:rFonts w:ascii="Arial" w:hAnsi="Arial" w:cs="Arial"/>
        <w:sz w:val="21"/>
        <w:szCs w:val="21"/>
      </w:rPr>
      <w:fldChar w:fldCharType="separate"/>
    </w:r>
    <w:r>
      <w:rPr>
        <w:rStyle w:val="aff8"/>
        <w:rFonts w:ascii="Arial" w:hAnsi="Arial" w:cs="Arial"/>
        <w:sz w:val="21"/>
        <w:szCs w:val="21"/>
      </w:rPr>
      <w:t>89</w:t>
    </w:r>
    <w:r>
      <w:rPr>
        <w:rStyle w:val="aff8"/>
        <w:rFonts w:ascii="Arial" w:hAnsi="Arial" w:cs="Arial"/>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5542" w14:textId="77777777" w:rsidR="00B804EC" w:rsidRDefault="00000000">
    <w:pPr>
      <w:pStyle w:val="af7"/>
      <w:jc w:val="center"/>
    </w:pPr>
    <w:r>
      <w:fldChar w:fldCharType="begin"/>
    </w:r>
    <w:r>
      <w:instrText xml:space="preserve"> PAGE   \* MERGEFORMAT </w:instrText>
    </w:r>
    <w:r>
      <w:fldChar w:fldCharType="separate"/>
    </w:r>
    <w:r>
      <w:rPr>
        <w:lang w:val="zh-CN"/>
      </w:rPr>
      <w:t>4</w:t>
    </w:r>
    <w:r>
      <w:fldChar w:fldCharType="end"/>
    </w:r>
  </w:p>
  <w:p w14:paraId="0B4C7ADB" w14:textId="77777777" w:rsidR="00B804EC" w:rsidRDefault="00B804EC">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075" w14:textId="77777777" w:rsidR="00B804EC" w:rsidRDefault="00000000">
    <w:pPr>
      <w:pStyle w:val="af7"/>
      <w:jc w:val="center"/>
    </w:pPr>
    <w:r>
      <w:fldChar w:fldCharType="begin"/>
    </w:r>
    <w:r>
      <w:instrText xml:space="preserve"> PAGE   \* MERGEFORMAT </w:instrText>
    </w:r>
    <w:r>
      <w:fldChar w:fldCharType="separate"/>
    </w:r>
    <w:r>
      <w:rPr>
        <w:lang w:val="zh-CN"/>
      </w:rPr>
      <w:t>113</w:t>
    </w:r>
    <w:r>
      <w:fldChar w:fldCharType="end"/>
    </w:r>
  </w:p>
  <w:p w14:paraId="6DEC3C5A" w14:textId="77777777" w:rsidR="00B804EC" w:rsidRDefault="00B804E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57F2" w14:textId="77777777" w:rsidR="00434B25" w:rsidRDefault="00434B25">
      <w:r>
        <w:separator/>
      </w:r>
    </w:p>
  </w:footnote>
  <w:footnote w:type="continuationSeparator" w:id="0">
    <w:p w14:paraId="104FC985" w14:textId="77777777" w:rsidR="00434B25" w:rsidRDefault="0043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C3C6" w14:textId="77777777" w:rsidR="00B804EC" w:rsidRDefault="00B804EC">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1913" w14:textId="2FAC21E5" w:rsidR="00B804EC" w:rsidRDefault="00000000">
    <w:pPr>
      <w:pStyle w:val="af9"/>
      <w:jc w:val="both"/>
    </w:pPr>
    <w:r>
      <w:rPr>
        <w:rFonts w:hint="eastAsia"/>
      </w:rPr>
      <w:t>富荣富兴纯债债券型证券投资基金更新的招募说明书（</w:t>
    </w:r>
    <w:r>
      <w:rPr>
        <w:rFonts w:hint="eastAsia"/>
      </w:rPr>
      <w:t>2026</w:t>
    </w:r>
    <w:r>
      <w:rPr>
        <w:rFonts w:hint="eastAsia"/>
      </w:rPr>
      <w:t>年第</w:t>
    </w:r>
    <w:r>
      <w:rPr>
        <w:rFonts w:hint="eastAsia"/>
      </w:rPr>
      <w:t>1</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79C3" w14:textId="77777777" w:rsidR="00B804EC" w:rsidRDefault="00B804EC">
    <w:pPr>
      <w:pStyle w:val="af9"/>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17B4" w14:textId="199D548B" w:rsidR="00B804EC" w:rsidRDefault="00000000">
    <w:pPr>
      <w:pStyle w:val="af9"/>
      <w:jc w:val="left"/>
    </w:pPr>
    <w:r>
      <w:rPr>
        <w:rFonts w:hint="eastAsia"/>
      </w:rPr>
      <w:t>富荣富兴纯债债券型证券投资基金更新的招募说明书（</w:t>
    </w:r>
    <w:r>
      <w:rPr>
        <w:rFonts w:hint="eastAsia"/>
      </w:rPr>
      <w:t>2026</w:t>
    </w:r>
    <w:r>
      <w:rPr>
        <w:rFonts w:hint="eastAsia"/>
      </w:rPr>
      <w:t>年第</w:t>
    </w:r>
    <w:r>
      <w:rPr>
        <w:rFonts w:hint="eastAsia"/>
      </w:rPr>
      <w:t>1</w:t>
    </w:r>
    <w:r>
      <w:rPr>
        <w:rFonts w:hint="eastAsia"/>
      </w:rPr>
      <w:t>号）</w:t>
    </w:r>
    <w:r>
      <w:rPr>
        <w:rFonts w:hint="eastAsia"/>
      </w:rPr>
      <w:t xml:space="preserve">             </w:t>
    </w:r>
    <w:r>
      <w:t xml:space="preserve">                              </w:t>
    </w:r>
  </w:p>
  <w:p w14:paraId="3F764CBA" w14:textId="77777777" w:rsidR="00B804EC" w:rsidRDefault="00B80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5C354"/>
    <w:multiLevelType w:val="singleLevel"/>
    <w:tmpl w:val="ECD5C354"/>
    <w:lvl w:ilvl="0">
      <w:start w:val="3"/>
      <w:numFmt w:val="chineseCounting"/>
      <w:suff w:val="nothing"/>
      <w:lvlText w:val="%1、"/>
      <w:lvlJc w:val="left"/>
      <w:rPr>
        <w:rFonts w:hint="eastAsia"/>
      </w:rPr>
    </w:lvl>
  </w:abstractNum>
  <w:abstractNum w:abstractNumId="1"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4"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7F215802"/>
    <w:multiLevelType w:val="multilevel"/>
    <w:tmpl w:val="7F21580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68433284">
    <w:abstractNumId w:val="3"/>
  </w:num>
  <w:num w:numId="2" w16cid:durableId="586112423">
    <w:abstractNumId w:val="1"/>
  </w:num>
  <w:num w:numId="3" w16cid:durableId="19627017">
    <w:abstractNumId w:val="2"/>
  </w:num>
  <w:num w:numId="4" w16cid:durableId="438643942">
    <w:abstractNumId w:val="4"/>
  </w:num>
  <w:num w:numId="5" w16cid:durableId="1352414255">
    <w:abstractNumId w:val="0"/>
  </w:num>
  <w:num w:numId="6" w16cid:durableId="1478035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E9"/>
    <w:rsid w:val="000009A3"/>
    <w:rsid w:val="00001115"/>
    <w:rsid w:val="000011E4"/>
    <w:rsid w:val="00002979"/>
    <w:rsid w:val="00004804"/>
    <w:rsid w:val="00005B19"/>
    <w:rsid w:val="00005F84"/>
    <w:rsid w:val="00005F8E"/>
    <w:rsid w:val="0000670B"/>
    <w:rsid w:val="00007741"/>
    <w:rsid w:val="00010FF4"/>
    <w:rsid w:val="000118B7"/>
    <w:rsid w:val="000124E4"/>
    <w:rsid w:val="00012F8D"/>
    <w:rsid w:val="00014B1E"/>
    <w:rsid w:val="00015648"/>
    <w:rsid w:val="00016241"/>
    <w:rsid w:val="00016968"/>
    <w:rsid w:val="00017120"/>
    <w:rsid w:val="00017691"/>
    <w:rsid w:val="000177F3"/>
    <w:rsid w:val="00017A0C"/>
    <w:rsid w:val="00020CDF"/>
    <w:rsid w:val="00021549"/>
    <w:rsid w:val="0002185B"/>
    <w:rsid w:val="00022621"/>
    <w:rsid w:val="000230D8"/>
    <w:rsid w:val="00023946"/>
    <w:rsid w:val="000248F5"/>
    <w:rsid w:val="00024A03"/>
    <w:rsid w:val="00025436"/>
    <w:rsid w:val="00025B1A"/>
    <w:rsid w:val="00025B55"/>
    <w:rsid w:val="000269B7"/>
    <w:rsid w:val="000275A0"/>
    <w:rsid w:val="00027E1B"/>
    <w:rsid w:val="00030B33"/>
    <w:rsid w:val="00034BDA"/>
    <w:rsid w:val="00035603"/>
    <w:rsid w:val="0004048E"/>
    <w:rsid w:val="000410B3"/>
    <w:rsid w:val="00041294"/>
    <w:rsid w:val="00042559"/>
    <w:rsid w:val="0004334D"/>
    <w:rsid w:val="00044F2F"/>
    <w:rsid w:val="00045C27"/>
    <w:rsid w:val="00047255"/>
    <w:rsid w:val="00047BCA"/>
    <w:rsid w:val="0005060B"/>
    <w:rsid w:val="0005125E"/>
    <w:rsid w:val="00052318"/>
    <w:rsid w:val="000530C8"/>
    <w:rsid w:val="000565D7"/>
    <w:rsid w:val="000574F9"/>
    <w:rsid w:val="00057908"/>
    <w:rsid w:val="00057A8C"/>
    <w:rsid w:val="00060B21"/>
    <w:rsid w:val="00060F29"/>
    <w:rsid w:val="00061060"/>
    <w:rsid w:val="000613B4"/>
    <w:rsid w:val="00062602"/>
    <w:rsid w:val="0006296A"/>
    <w:rsid w:val="000635C2"/>
    <w:rsid w:val="000647BF"/>
    <w:rsid w:val="00064807"/>
    <w:rsid w:val="000649CA"/>
    <w:rsid w:val="0006518B"/>
    <w:rsid w:val="000653BA"/>
    <w:rsid w:val="000656E0"/>
    <w:rsid w:val="00066148"/>
    <w:rsid w:val="00066685"/>
    <w:rsid w:val="00070220"/>
    <w:rsid w:val="00070311"/>
    <w:rsid w:val="00071D4E"/>
    <w:rsid w:val="000724FF"/>
    <w:rsid w:val="000726D5"/>
    <w:rsid w:val="00072C64"/>
    <w:rsid w:val="000739FF"/>
    <w:rsid w:val="000767A0"/>
    <w:rsid w:val="00076FB8"/>
    <w:rsid w:val="00081796"/>
    <w:rsid w:val="0008195C"/>
    <w:rsid w:val="00082203"/>
    <w:rsid w:val="000823B6"/>
    <w:rsid w:val="00082507"/>
    <w:rsid w:val="00082F38"/>
    <w:rsid w:val="000863CC"/>
    <w:rsid w:val="00086635"/>
    <w:rsid w:val="00086A37"/>
    <w:rsid w:val="00086E93"/>
    <w:rsid w:val="00090DEF"/>
    <w:rsid w:val="0009161B"/>
    <w:rsid w:val="0009175C"/>
    <w:rsid w:val="000925A8"/>
    <w:rsid w:val="0009270F"/>
    <w:rsid w:val="000945FF"/>
    <w:rsid w:val="000959CB"/>
    <w:rsid w:val="0009624C"/>
    <w:rsid w:val="0009748F"/>
    <w:rsid w:val="0009794A"/>
    <w:rsid w:val="00097DFC"/>
    <w:rsid w:val="000A11E3"/>
    <w:rsid w:val="000A1224"/>
    <w:rsid w:val="000A13D2"/>
    <w:rsid w:val="000A19F0"/>
    <w:rsid w:val="000A26E3"/>
    <w:rsid w:val="000A27DB"/>
    <w:rsid w:val="000A2C3D"/>
    <w:rsid w:val="000A49CB"/>
    <w:rsid w:val="000A5C0A"/>
    <w:rsid w:val="000A62A4"/>
    <w:rsid w:val="000A688D"/>
    <w:rsid w:val="000A6EDE"/>
    <w:rsid w:val="000A7748"/>
    <w:rsid w:val="000A7D4A"/>
    <w:rsid w:val="000B00C6"/>
    <w:rsid w:val="000B0134"/>
    <w:rsid w:val="000B0408"/>
    <w:rsid w:val="000B0E60"/>
    <w:rsid w:val="000B1D0F"/>
    <w:rsid w:val="000B26DB"/>
    <w:rsid w:val="000B3BBB"/>
    <w:rsid w:val="000B4FF9"/>
    <w:rsid w:val="000B5BAA"/>
    <w:rsid w:val="000B699E"/>
    <w:rsid w:val="000B69B6"/>
    <w:rsid w:val="000B741C"/>
    <w:rsid w:val="000B743E"/>
    <w:rsid w:val="000B7ACD"/>
    <w:rsid w:val="000B7D56"/>
    <w:rsid w:val="000C3479"/>
    <w:rsid w:val="000C35FD"/>
    <w:rsid w:val="000C361C"/>
    <w:rsid w:val="000C376A"/>
    <w:rsid w:val="000C4279"/>
    <w:rsid w:val="000C46DF"/>
    <w:rsid w:val="000C4BFD"/>
    <w:rsid w:val="000C5118"/>
    <w:rsid w:val="000C59F0"/>
    <w:rsid w:val="000C78B5"/>
    <w:rsid w:val="000C7A58"/>
    <w:rsid w:val="000C7A9E"/>
    <w:rsid w:val="000C7BA8"/>
    <w:rsid w:val="000D0203"/>
    <w:rsid w:val="000D087F"/>
    <w:rsid w:val="000D0CF9"/>
    <w:rsid w:val="000D1F2C"/>
    <w:rsid w:val="000D27C6"/>
    <w:rsid w:val="000D3394"/>
    <w:rsid w:val="000D40D0"/>
    <w:rsid w:val="000D4F6A"/>
    <w:rsid w:val="000D53EF"/>
    <w:rsid w:val="000D5DC2"/>
    <w:rsid w:val="000D71DD"/>
    <w:rsid w:val="000D78D8"/>
    <w:rsid w:val="000E0060"/>
    <w:rsid w:val="000E05FF"/>
    <w:rsid w:val="000E1483"/>
    <w:rsid w:val="000E1A26"/>
    <w:rsid w:val="000E1DDF"/>
    <w:rsid w:val="000E2A1B"/>
    <w:rsid w:val="000E5258"/>
    <w:rsid w:val="000E6432"/>
    <w:rsid w:val="000E77F9"/>
    <w:rsid w:val="000E7D2F"/>
    <w:rsid w:val="000E7F29"/>
    <w:rsid w:val="000F0451"/>
    <w:rsid w:val="000F160B"/>
    <w:rsid w:val="000F1AB6"/>
    <w:rsid w:val="000F2902"/>
    <w:rsid w:val="000F4C02"/>
    <w:rsid w:val="000F552B"/>
    <w:rsid w:val="000F56D9"/>
    <w:rsid w:val="000F5AB5"/>
    <w:rsid w:val="000F62DC"/>
    <w:rsid w:val="00100D10"/>
    <w:rsid w:val="001013DC"/>
    <w:rsid w:val="001019E8"/>
    <w:rsid w:val="001028C0"/>
    <w:rsid w:val="001034FE"/>
    <w:rsid w:val="00103958"/>
    <w:rsid w:val="00105770"/>
    <w:rsid w:val="00105ACE"/>
    <w:rsid w:val="00105E5F"/>
    <w:rsid w:val="00105EA2"/>
    <w:rsid w:val="00106937"/>
    <w:rsid w:val="00106A07"/>
    <w:rsid w:val="00107608"/>
    <w:rsid w:val="0010793C"/>
    <w:rsid w:val="00110203"/>
    <w:rsid w:val="00110F71"/>
    <w:rsid w:val="0011138F"/>
    <w:rsid w:val="001113D8"/>
    <w:rsid w:val="00111506"/>
    <w:rsid w:val="00111C83"/>
    <w:rsid w:val="001126F5"/>
    <w:rsid w:val="00112F53"/>
    <w:rsid w:val="001145B4"/>
    <w:rsid w:val="001159F7"/>
    <w:rsid w:val="00120785"/>
    <w:rsid w:val="00121044"/>
    <w:rsid w:val="00121A24"/>
    <w:rsid w:val="00121C44"/>
    <w:rsid w:val="00122F78"/>
    <w:rsid w:val="00124B39"/>
    <w:rsid w:val="001250EA"/>
    <w:rsid w:val="00125CEE"/>
    <w:rsid w:val="001267BA"/>
    <w:rsid w:val="00126C62"/>
    <w:rsid w:val="001278E3"/>
    <w:rsid w:val="001305DF"/>
    <w:rsid w:val="00130A47"/>
    <w:rsid w:val="00130A79"/>
    <w:rsid w:val="0013242A"/>
    <w:rsid w:val="001333C0"/>
    <w:rsid w:val="001348B3"/>
    <w:rsid w:val="00134BB3"/>
    <w:rsid w:val="00135E0F"/>
    <w:rsid w:val="00136938"/>
    <w:rsid w:val="001400DB"/>
    <w:rsid w:val="00143E61"/>
    <w:rsid w:val="00145579"/>
    <w:rsid w:val="00145BD4"/>
    <w:rsid w:val="00146396"/>
    <w:rsid w:val="001500AE"/>
    <w:rsid w:val="001509AB"/>
    <w:rsid w:val="001509C3"/>
    <w:rsid w:val="0015142D"/>
    <w:rsid w:val="00152669"/>
    <w:rsid w:val="00152D78"/>
    <w:rsid w:val="0015364F"/>
    <w:rsid w:val="00154735"/>
    <w:rsid w:val="00154E5B"/>
    <w:rsid w:val="00157188"/>
    <w:rsid w:val="001628AF"/>
    <w:rsid w:val="00162F00"/>
    <w:rsid w:val="0016439E"/>
    <w:rsid w:val="001648B4"/>
    <w:rsid w:val="0016630D"/>
    <w:rsid w:val="001665C7"/>
    <w:rsid w:val="00166609"/>
    <w:rsid w:val="00167621"/>
    <w:rsid w:val="00170A4E"/>
    <w:rsid w:val="00170CE8"/>
    <w:rsid w:val="00171C95"/>
    <w:rsid w:val="00171D69"/>
    <w:rsid w:val="00172158"/>
    <w:rsid w:val="0017297B"/>
    <w:rsid w:val="00173541"/>
    <w:rsid w:val="001737A0"/>
    <w:rsid w:val="00173F90"/>
    <w:rsid w:val="001754BD"/>
    <w:rsid w:val="001768E4"/>
    <w:rsid w:val="00176AED"/>
    <w:rsid w:val="001773BF"/>
    <w:rsid w:val="001774EC"/>
    <w:rsid w:val="00180E22"/>
    <w:rsid w:val="00180EA6"/>
    <w:rsid w:val="00181904"/>
    <w:rsid w:val="00182843"/>
    <w:rsid w:val="0018336E"/>
    <w:rsid w:val="00183E84"/>
    <w:rsid w:val="0018538D"/>
    <w:rsid w:val="00185B77"/>
    <w:rsid w:val="0018604F"/>
    <w:rsid w:val="0018608E"/>
    <w:rsid w:val="001860B7"/>
    <w:rsid w:val="00186FFC"/>
    <w:rsid w:val="00187EE2"/>
    <w:rsid w:val="0019005D"/>
    <w:rsid w:val="0019075E"/>
    <w:rsid w:val="001911A9"/>
    <w:rsid w:val="001913E3"/>
    <w:rsid w:val="0019160C"/>
    <w:rsid w:val="00191655"/>
    <w:rsid w:val="0019397A"/>
    <w:rsid w:val="001939F8"/>
    <w:rsid w:val="001949EB"/>
    <w:rsid w:val="00195224"/>
    <w:rsid w:val="00195511"/>
    <w:rsid w:val="00196047"/>
    <w:rsid w:val="001962FF"/>
    <w:rsid w:val="0019671E"/>
    <w:rsid w:val="00196FBE"/>
    <w:rsid w:val="00197064"/>
    <w:rsid w:val="001975F2"/>
    <w:rsid w:val="001A0310"/>
    <w:rsid w:val="001A047C"/>
    <w:rsid w:val="001A0A48"/>
    <w:rsid w:val="001A158D"/>
    <w:rsid w:val="001A2001"/>
    <w:rsid w:val="001A2B0D"/>
    <w:rsid w:val="001A2C46"/>
    <w:rsid w:val="001A3320"/>
    <w:rsid w:val="001A3560"/>
    <w:rsid w:val="001A3E92"/>
    <w:rsid w:val="001A4BB2"/>
    <w:rsid w:val="001A5B53"/>
    <w:rsid w:val="001A5B67"/>
    <w:rsid w:val="001A5BF5"/>
    <w:rsid w:val="001A5D8E"/>
    <w:rsid w:val="001A728B"/>
    <w:rsid w:val="001A7ED4"/>
    <w:rsid w:val="001B18A6"/>
    <w:rsid w:val="001B1AFD"/>
    <w:rsid w:val="001B1B39"/>
    <w:rsid w:val="001B2BE1"/>
    <w:rsid w:val="001B4541"/>
    <w:rsid w:val="001B4FAD"/>
    <w:rsid w:val="001B5077"/>
    <w:rsid w:val="001B54E7"/>
    <w:rsid w:val="001B6291"/>
    <w:rsid w:val="001C2E5E"/>
    <w:rsid w:val="001C4B8E"/>
    <w:rsid w:val="001C4D51"/>
    <w:rsid w:val="001C54B9"/>
    <w:rsid w:val="001C553B"/>
    <w:rsid w:val="001C634E"/>
    <w:rsid w:val="001C6D1C"/>
    <w:rsid w:val="001C71C1"/>
    <w:rsid w:val="001C71C9"/>
    <w:rsid w:val="001C797A"/>
    <w:rsid w:val="001D083D"/>
    <w:rsid w:val="001D099C"/>
    <w:rsid w:val="001D0B03"/>
    <w:rsid w:val="001D10F2"/>
    <w:rsid w:val="001D1997"/>
    <w:rsid w:val="001D1D1E"/>
    <w:rsid w:val="001D24D8"/>
    <w:rsid w:val="001D2FAD"/>
    <w:rsid w:val="001D4C4A"/>
    <w:rsid w:val="001D6C21"/>
    <w:rsid w:val="001E1153"/>
    <w:rsid w:val="001E1F17"/>
    <w:rsid w:val="001E22A5"/>
    <w:rsid w:val="001F0179"/>
    <w:rsid w:val="001F07FE"/>
    <w:rsid w:val="001F2467"/>
    <w:rsid w:val="001F2953"/>
    <w:rsid w:val="001F37C4"/>
    <w:rsid w:val="001F4103"/>
    <w:rsid w:val="001F56C7"/>
    <w:rsid w:val="001F6342"/>
    <w:rsid w:val="001F65D7"/>
    <w:rsid w:val="001F7E62"/>
    <w:rsid w:val="002009EC"/>
    <w:rsid w:val="002020EF"/>
    <w:rsid w:val="002021A7"/>
    <w:rsid w:val="00202250"/>
    <w:rsid w:val="002026FF"/>
    <w:rsid w:val="00202F67"/>
    <w:rsid w:val="00205673"/>
    <w:rsid w:val="002056FC"/>
    <w:rsid w:val="00205BE3"/>
    <w:rsid w:val="00210173"/>
    <w:rsid w:val="00212051"/>
    <w:rsid w:val="002125BF"/>
    <w:rsid w:val="0021267F"/>
    <w:rsid w:val="00212BCA"/>
    <w:rsid w:val="0021351B"/>
    <w:rsid w:val="00213977"/>
    <w:rsid w:val="00215426"/>
    <w:rsid w:val="00215434"/>
    <w:rsid w:val="00216E00"/>
    <w:rsid w:val="0021714D"/>
    <w:rsid w:val="00217DB3"/>
    <w:rsid w:val="00217ED0"/>
    <w:rsid w:val="00220DC5"/>
    <w:rsid w:val="002214FF"/>
    <w:rsid w:val="00221B33"/>
    <w:rsid w:val="00223D50"/>
    <w:rsid w:val="00223DCB"/>
    <w:rsid w:val="002246BF"/>
    <w:rsid w:val="00224E6D"/>
    <w:rsid w:val="00225865"/>
    <w:rsid w:val="00225CD1"/>
    <w:rsid w:val="002264B9"/>
    <w:rsid w:val="00226DBA"/>
    <w:rsid w:val="00232621"/>
    <w:rsid w:val="002330BB"/>
    <w:rsid w:val="002349AC"/>
    <w:rsid w:val="00235796"/>
    <w:rsid w:val="002357EB"/>
    <w:rsid w:val="00236A5F"/>
    <w:rsid w:val="00237009"/>
    <w:rsid w:val="002376B3"/>
    <w:rsid w:val="00240D4C"/>
    <w:rsid w:val="00240E81"/>
    <w:rsid w:val="00241335"/>
    <w:rsid w:val="00241612"/>
    <w:rsid w:val="00243B12"/>
    <w:rsid w:val="00245246"/>
    <w:rsid w:val="0024541D"/>
    <w:rsid w:val="00245B4A"/>
    <w:rsid w:val="002463A3"/>
    <w:rsid w:val="002471FB"/>
    <w:rsid w:val="00247477"/>
    <w:rsid w:val="00247D49"/>
    <w:rsid w:val="00250769"/>
    <w:rsid w:val="0025087F"/>
    <w:rsid w:val="00250A4F"/>
    <w:rsid w:val="00251860"/>
    <w:rsid w:val="00251C22"/>
    <w:rsid w:val="00251D29"/>
    <w:rsid w:val="00253DBB"/>
    <w:rsid w:val="00253FB9"/>
    <w:rsid w:val="0025462E"/>
    <w:rsid w:val="00254671"/>
    <w:rsid w:val="00254C0F"/>
    <w:rsid w:val="002550DF"/>
    <w:rsid w:val="002552BC"/>
    <w:rsid w:val="002552CB"/>
    <w:rsid w:val="00255E4D"/>
    <w:rsid w:val="00256CE7"/>
    <w:rsid w:val="0026104F"/>
    <w:rsid w:val="002627F4"/>
    <w:rsid w:val="00262BB6"/>
    <w:rsid w:val="00263479"/>
    <w:rsid w:val="00263902"/>
    <w:rsid w:val="002642F6"/>
    <w:rsid w:val="002644DA"/>
    <w:rsid w:val="00264CE3"/>
    <w:rsid w:val="00264E0A"/>
    <w:rsid w:val="0026571B"/>
    <w:rsid w:val="00265E3D"/>
    <w:rsid w:val="00266799"/>
    <w:rsid w:val="0026714D"/>
    <w:rsid w:val="00267198"/>
    <w:rsid w:val="00270BD0"/>
    <w:rsid w:val="00270D38"/>
    <w:rsid w:val="0027208E"/>
    <w:rsid w:val="0027331C"/>
    <w:rsid w:val="0027449D"/>
    <w:rsid w:val="00274699"/>
    <w:rsid w:val="00274F0D"/>
    <w:rsid w:val="00275F1E"/>
    <w:rsid w:val="0028018C"/>
    <w:rsid w:val="002803F7"/>
    <w:rsid w:val="00282C9A"/>
    <w:rsid w:val="00283202"/>
    <w:rsid w:val="00283552"/>
    <w:rsid w:val="00283E47"/>
    <w:rsid w:val="002840C3"/>
    <w:rsid w:val="00284369"/>
    <w:rsid w:val="002846D1"/>
    <w:rsid w:val="0028799D"/>
    <w:rsid w:val="00287B75"/>
    <w:rsid w:val="00290C74"/>
    <w:rsid w:val="00290FAA"/>
    <w:rsid w:val="00293F5B"/>
    <w:rsid w:val="00294301"/>
    <w:rsid w:val="002946EC"/>
    <w:rsid w:val="002950D6"/>
    <w:rsid w:val="0029529E"/>
    <w:rsid w:val="00295DCD"/>
    <w:rsid w:val="00296F3D"/>
    <w:rsid w:val="002978B9"/>
    <w:rsid w:val="00297916"/>
    <w:rsid w:val="00297BCB"/>
    <w:rsid w:val="002A1933"/>
    <w:rsid w:val="002A2EFD"/>
    <w:rsid w:val="002A32B6"/>
    <w:rsid w:val="002A39A3"/>
    <w:rsid w:val="002A4740"/>
    <w:rsid w:val="002A5D85"/>
    <w:rsid w:val="002A774A"/>
    <w:rsid w:val="002B0449"/>
    <w:rsid w:val="002B0463"/>
    <w:rsid w:val="002B070C"/>
    <w:rsid w:val="002B246B"/>
    <w:rsid w:val="002B258E"/>
    <w:rsid w:val="002B3E37"/>
    <w:rsid w:val="002B3F8C"/>
    <w:rsid w:val="002B4C0E"/>
    <w:rsid w:val="002B4D2F"/>
    <w:rsid w:val="002B5171"/>
    <w:rsid w:val="002B58EC"/>
    <w:rsid w:val="002B5FD1"/>
    <w:rsid w:val="002B68D4"/>
    <w:rsid w:val="002B75F2"/>
    <w:rsid w:val="002C0710"/>
    <w:rsid w:val="002C2B2E"/>
    <w:rsid w:val="002C3097"/>
    <w:rsid w:val="002C5822"/>
    <w:rsid w:val="002C63C9"/>
    <w:rsid w:val="002C6AB4"/>
    <w:rsid w:val="002C6DAB"/>
    <w:rsid w:val="002D0B16"/>
    <w:rsid w:val="002D0DC4"/>
    <w:rsid w:val="002D11EA"/>
    <w:rsid w:val="002D1F8B"/>
    <w:rsid w:val="002D4342"/>
    <w:rsid w:val="002D534E"/>
    <w:rsid w:val="002D53B4"/>
    <w:rsid w:val="002D53E4"/>
    <w:rsid w:val="002D553A"/>
    <w:rsid w:val="002E0549"/>
    <w:rsid w:val="002E10E4"/>
    <w:rsid w:val="002E39AF"/>
    <w:rsid w:val="002E49AC"/>
    <w:rsid w:val="002E4FBA"/>
    <w:rsid w:val="002E53F9"/>
    <w:rsid w:val="002E5BE6"/>
    <w:rsid w:val="002E6630"/>
    <w:rsid w:val="002E7B9F"/>
    <w:rsid w:val="002F0AAC"/>
    <w:rsid w:val="002F207D"/>
    <w:rsid w:val="002F2488"/>
    <w:rsid w:val="002F38F8"/>
    <w:rsid w:val="002F46BA"/>
    <w:rsid w:val="002F630F"/>
    <w:rsid w:val="002F6CD1"/>
    <w:rsid w:val="002F7487"/>
    <w:rsid w:val="002F771F"/>
    <w:rsid w:val="00302C06"/>
    <w:rsid w:val="00304633"/>
    <w:rsid w:val="00304714"/>
    <w:rsid w:val="00306F17"/>
    <w:rsid w:val="003070EF"/>
    <w:rsid w:val="0031017E"/>
    <w:rsid w:val="003105BD"/>
    <w:rsid w:val="0031377C"/>
    <w:rsid w:val="00316126"/>
    <w:rsid w:val="00316539"/>
    <w:rsid w:val="00317B96"/>
    <w:rsid w:val="00321B3D"/>
    <w:rsid w:val="00322AC5"/>
    <w:rsid w:val="00322E78"/>
    <w:rsid w:val="00323478"/>
    <w:rsid w:val="00323965"/>
    <w:rsid w:val="003244D4"/>
    <w:rsid w:val="003245C1"/>
    <w:rsid w:val="00325CA3"/>
    <w:rsid w:val="00326E24"/>
    <w:rsid w:val="00327166"/>
    <w:rsid w:val="0033084F"/>
    <w:rsid w:val="0033116B"/>
    <w:rsid w:val="00331A4D"/>
    <w:rsid w:val="00332CF5"/>
    <w:rsid w:val="0033359F"/>
    <w:rsid w:val="003339E1"/>
    <w:rsid w:val="00333C4B"/>
    <w:rsid w:val="00336BC6"/>
    <w:rsid w:val="00337E3D"/>
    <w:rsid w:val="003407D1"/>
    <w:rsid w:val="00340B29"/>
    <w:rsid w:val="00341DA2"/>
    <w:rsid w:val="003455CF"/>
    <w:rsid w:val="003464D7"/>
    <w:rsid w:val="003469A9"/>
    <w:rsid w:val="00347BC6"/>
    <w:rsid w:val="00350153"/>
    <w:rsid w:val="00350C38"/>
    <w:rsid w:val="00350F96"/>
    <w:rsid w:val="00351124"/>
    <w:rsid w:val="00351DB0"/>
    <w:rsid w:val="00353399"/>
    <w:rsid w:val="00357495"/>
    <w:rsid w:val="003578C4"/>
    <w:rsid w:val="00360141"/>
    <w:rsid w:val="003606BC"/>
    <w:rsid w:val="00360E8F"/>
    <w:rsid w:val="0036178E"/>
    <w:rsid w:val="00361BE5"/>
    <w:rsid w:val="003620A3"/>
    <w:rsid w:val="00362599"/>
    <w:rsid w:val="00363733"/>
    <w:rsid w:val="00364072"/>
    <w:rsid w:val="00364DE9"/>
    <w:rsid w:val="00365165"/>
    <w:rsid w:val="00366928"/>
    <w:rsid w:val="00367CBC"/>
    <w:rsid w:val="00371647"/>
    <w:rsid w:val="003720E3"/>
    <w:rsid w:val="003727FC"/>
    <w:rsid w:val="00372F95"/>
    <w:rsid w:val="00373467"/>
    <w:rsid w:val="003748C8"/>
    <w:rsid w:val="003748E6"/>
    <w:rsid w:val="00374F0E"/>
    <w:rsid w:val="00375262"/>
    <w:rsid w:val="00377F3F"/>
    <w:rsid w:val="00381328"/>
    <w:rsid w:val="00381786"/>
    <w:rsid w:val="00381D0B"/>
    <w:rsid w:val="00382EEF"/>
    <w:rsid w:val="00384A5F"/>
    <w:rsid w:val="003851B3"/>
    <w:rsid w:val="00385444"/>
    <w:rsid w:val="003874AC"/>
    <w:rsid w:val="00387B0C"/>
    <w:rsid w:val="003901AA"/>
    <w:rsid w:val="003909C4"/>
    <w:rsid w:val="00390C99"/>
    <w:rsid w:val="0039278F"/>
    <w:rsid w:val="00393395"/>
    <w:rsid w:val="00393F7D"/>
    <w:rsid w:val="00393F8E"/>
    <w:rsid w:val="003945A2"/>
    <w:rsid w:val="00395461"/>
    <w:rsid w:val="00395DCF"/>
    <w:rsid w:val="003A111B"/>
    <w:rsid w:val="003A11B8"/>
    <w:rsid w:val="003A22CC"/>
    <w:rsid w:val="003A2D38"/>
    <w:rsid w:val="003A2F65"/>
    <w:rsid w:val="003A373F"/>
    <w:rsid w:val="003A4942"/>
    <w:rsid w:val="003A4A82"/>
    <w:rsid w:val="003A4CEC"/>
    <w:rsid w:val="003A51F6"/>
    <w:rsid w:val="003A5364"/>
    <w:rsid w:val="003A564C"/>
    <w:rsid w:val="003A72E2"/>
    <w:rsid w:val="003B0189"/>
    <w:rsid w:val="003B01A4"/>
    <w:rsid w:val="003B08AF"/>
    <w:rsid w:val="003B0D9E"/>
    <w:rsid w:val="003B11CE"/>
    <w:rsid w:val="003B166B"/>
    <w:rsid w:val="003B2190"/>
    <w:rsid w:val="003B330F"/>
    <w:rsid w:val="003B34A5"/>
    <w:rsid w:val="003B5571"/>
    <w:rsid w:val="003B5B6A"/>
    <w:rsid w:val="003B67E5"/>
    <w:rsid w:val="003B748B"/>
    <w:rsid w:val="003B752E"/>
    <w:rsid w:val="003B75A5"/>
    <w:rsid w:val="003C0123"/>
    <w:rsid w:val="003C0526"/>
    <w:rsid w:val="003C07D1"/>
    <w:rsid w:val="003C0C7C"/>
    <w:rsid w:val="003C185C"/>
    <w:rsid w:val="003C3DE8"/>
    <w:rsid w:val="003C3FCC"/>
    <w:rsid w:val="003C4396"/>
    <w:rsid w:val="003C4743"/>
    <w:rsid w:val="003C5C83"/>
    <w:rsid w:val="003C62EB"/>
    <w:rsid w:val="003D059F"/>
    <w:rsid w:val="003D06F8"/>
    <w:rsid w:val="003D0F11"/>
    <w:rsid w:val="003D768C"/>
    <w:rsid w:val="003E15B1"/>
    <w:rsid w:val="003E1E24"/>
    <w:rsid w:val="003E395F"/>
    <w:rsid w:val="003E3A93"/>
    <w:rsid w:val="003E4D43"/>
    <w:rsid w:val="003E604C"/>
    <w:rsid w:val="003F0026"/>
    <w:rsid w:val="003F0B41"/>
    <w:rsid w:val="003F2662"/>
    <w:rsid w:val="003F3947"/>
    <w:rsid w:val="003F7B71"/>
    <w:rsid w:val="00401D72"/>
    <w:rsid w:val="00403304"/>
    <w:rsid w:val="00405290"/>
    <w:rsid w:val="00407594"/>
    <w:rsid w:val="004077A8"/>
    <w:rsid w:val="004078AC"/>
    <w:rsid w:val="00407A0E"/>
    <w:rsid w:val="00411A60"/>
    <w:rsid w:val="004120C0"/>
    <w:rsid w:val="00412CEC"/>
    <w:rsid w:val="00413D7E"/>
    <w:rsid w:val="0041532B"/>
    <w:rsid w:val="00415424"/>
    <w:rsid w:val="004155D6"/>
    <w:rsid w:val="004158F4"/>
    <w:rsid w:val="004168BA"/>
    <w:rsid w:val="00417173"/>
    <w:rsid w:val="0041786D"/>
    <w:rsid w:val="0042027C"/>
    <w:rsid w:val="0042072A"/>
    <w:rsid w:val="0042095D"/>
    <w:rsid w:val="00420982"/>
    <w:rsid w:val="0042228E"/>
    <w:rsid w:val="004225D1"/>
    <w:rsid w:val="00423361"/>
    <w:rsid w:val="00424E70"/>
    <w:rsid w:val="00425B70"/>
    <w:rsid w:val="00425E89"/>
    <w:rsid w:val="004272A0"/>
    <w:rsid w:val="00427335"/>
    <w:rsid w:val="00427AA6"/>
    <w:rsid w:val="004304EC"/>
    <w:rsid w:val="00432314"/>
    <w:rsid w:val="0043413E"/>
    <w:rsid w:val="00434B25"/>
    <w:rsid w:val="0043510F"/>
    <w:rsid w:val="00436B26"/>
    <w:rsid w:val="00437238"/>
    <w:rsid w:val="004376C3"/>
    <w:rsid w:val="004404D5"/>
    <w:rsid w:val="004409C4"/>
    <w:rsid w:val="00440AC3"/>
    <w:rsid w:val="00440CD3"/>
    <w:rsid w:val="00443034"/>
    <w:rsid w:val="00443B4B"/>
    <w:rsid w:val="00443EF7"/>
    <w:rsid w:val="00445271"/>
    <w:rsid w:val="0044730D"/>
    <w:rsid w:val="004508AF"/>
    <w:rsid w:val="00450DA3"/>
    <w:rsid w:val="004511C2"/>
    <w:rsid w:val="00451FDC"/>
    <w:rsid w:val="004527DF"/>
    <w:rsid w:val="00453113"/>
    <w:rsid w:val="0045344B"/>
    <w:rsid w:val="00456225"/>
    <w:rsid w:val="004567D9"/>
    <w:rsid w:val="00457FC1"/>
    <w:rsid w:val="00460ACC"/>
    <w:rsid w:val="004628CF"/>
    <w:rsid w:val="00462C61"/>
    <w:rsid w:val="00462DE1"/>
    <w:rsid w:val="00464147"/>
    <w:rsid w:val="004645F4"/>
    <w:rsid w:val="004648A3"/>
    <w:rsid w:val="00464C7A"/>
    <w:rsid w:val="0046658A"/>
    <w:rsid w:val="00467037"/>
    <w:rsid w:val="004676ED"/>
    <w:rsid w:val="004717DC"/>
    <w:rsid w:val="00476567"/>
    <w:rsid w:val="004772D0"/>
    <w:rsid w:val="00477523"/>
    <w:rsid w:val="00481D46"/>
    <w:rsid w:val="00484811"/>
    <w:rsid w:val="00484CD7"/>
    <w:rsid w:val="004861B4"/>
    <w:rsid w:val="00487B59"/>
    <w:rsid w:val="00491305"/>
    <w:rsid w:val="00491F2E"/>
    <w:rsid w:val="00492608"/>
    <w:rsid w:val="00494084"/>
    <w:rsid w:val="00494834"/>
    <w:rsid w:val="004950AA"/>
    <w:rsid w:val="00496C01"/>
    <w:rsid w:val="004A37D9"/>
    <w:rsid w:val="004A4092"/>
    <w:rsid w:val="004A41F4"/>
    <w:rsid w:val="004A4EB2"/>
    <w:rsid w:val="004A54C0"/>
    <w:rsid w:val="004B2132"/>
    <w:rsid w:val="004B4490"/>
    <w:rsid w:val="004B50B2"/>
    <w:rsid w:val="004B5154"/>
    <w:rsid w:val="004B5BB5"/>
    <w:rsid w:val="004B6450"/>
    <w:rsid w:val="004B7E6C"/>
    <w:rsid w:val="004B7EC2"/>
    <w:rsid w:val="004B7FC8"/>
    <w:rsid w:val="004C1520"/>
    <w:rsid w:val="004C22FD"/>
    <w:rsid w:val="004C266C"/>
    <w:rsid w:val="004C3E36"/>
    <w:rsid w:val="004C4ED8"/>
    <w:rsid w:val="004C5082"/>
    <w:rsid w:val="004C6474"/>
    <w:rsid w:val="004C70C9"/>
    <w:rsid w:val="004C71F7"/>
    <w:rsid w:val="004C795C"/>
    <w:rsid w:val="004C7C8A"/>
    <w:rsid w:val="004D101D"/>
    <w:rsid w:val="004D1FB8"/>
    <w:rsid w:val="004D236C"/>
    <w:rsid w:val="004D26D5"/>
    <w:rsid w:val="004D378B"/>
    <w:rsid w:val="004D6DD0"/>
    <w:rsid w:val="004E0A8B"/>
    <w:rsid w:val="004E15CD"/>
    <w:rsid w:val="004E1FBF"/>
    <w:rsid w:val="004E32A4"/>
    <w:rsid w:val="004E350F"/>
    <w:rsid w:val="004E5D54"/>
    <w:rsid w:val="004E5EB1"/>
    <w:rsid w:val="004E6C04"/>
    <w:rsid w:val="004E7060"/>
    <w:rsid w:val="004F004F"/>
    <w:rsid w:val="004F05E2"/>
    <w:rsid w:val="004F1824"/>
    <w:rsid w:val="004F1D8D"/>
    <w:rsid w:val="004F2450"/>
    <w:rsid w:val="004F3C21"/>
    <w:rsid w:val="004F432D"/>
    <w:rsid w:val="004F437B"/>
    <w:rsid w:val="004F4750"/>
    <w:rsid w:val="004F5102"/>
    <w:rsid w:val="004F5EFA"/>
    <w:rsid w:val="004F6180"/>
    <w:rsid w:val="004F6665"/>
    <w:rsid w:val="004F6E5F"/>
    <w:rsid w:val="004F6EBB"/>
    <w:rsid w:val="004F768E"/>
    <w:rsid w:val="00501959"/>
    <w:rsid w:val="0050198D"/>
    <w:rsid w:val="00502F3F"/>
    <w:rsid w:val="00505125"/>
    <w:rsid w:val="00505440"/>
    <w:rsid w:val="0050592E"/>
    <w:rsid w:val="0050769F"/>
    <w:rsid w:val="005078EF"/>
    <w:rsid w:val="00510F8F"/>
    <w:rsid w:val="00511122"/>
    <w:rsid w:val="00512653"/>
    <w:rsid w:val="00512AF1"/>
    <w:rsid w:val="0051310F"/>
    <w:rsid w:val="0051350C"/>
    <w:rsid w:val="00513FE8"/>
    <w:rsid w:val="0051457F"/>
    <w:rsid w:val="00514876"/>
    <w:rsid w:val="00515F2D"/>
    <w:rsid w:val="00517897"/>
    <w:rsid w:val="00520D5E"/>
    <w:rsid w:val="0052250D"/>
    <w:rsid w:val="00522BBC"/>
    <w:rsid w:val="0052367D"/>
    <w:rsid w:val="005243E7"/>
    <w:rsid w:val="00524472"/>
    <w:rsid w:val="0052461E"/>
    <w:rsid w:val="00525F31"/>
    <w:rsid w:val="0052680A"/>
    <w:rsid w:val="005268DB"/>
    <w:rsid w:val="00527261"/>
    <w:rsid w:val="00530190"/>
    <w:rsid w:val="005315C9"/>
    <w:rsid w:val="00532E9B"/>
    <w:rsid w:val="00533C7B"/>
    <w:rsid w:val="0053490B"/>
    <w:rsid w:val="00537EF8"/>
    <w:rsid w:val="0054176B"/>
    <w:rsid w:val="00542F8B"/>
    <w:rsid w:val="00543D73"/>
    <w:rsid w:val="00543ED8"/>
    <w:rsid w:val="0054420E"/>
    <w:rsid w:val="00545203"/>
    <w:rsid w:val="00546B4F"/>
    <w:rsid w:val="00546F04"/>
    <w:rsid w:val="00547D1F"/>
    <w:rsid w:val="005529CC"/>
    <w:rsid w:val="00552E0F"/>
    <w:rsid w:val="00554138"/>
    <w:rsid w:val="00555263"/>
    <w:rsid w:val="00555F1A"/>
    <w:rsid w:val="005560E0"/>
    <w:rsid w:val="005563FD"/>
    <w:rsid w:val="00556F24"/>
    <w:rsid w:val="00560746"/>
    <w:rsid w:val="00560E93"/>
    <w:rsid w:val="0056112F"/>
    <w:rsid w:val="005617DF"/>
    <w:rsid w:val="00561CBE"/>
    <w:rsid w:val="00562072"/>
    <w:rsid w:val="00563C23"/>
    <w:rsid w:val="00564445"/>
    <w:rsid w:val="00564E5F"/>
    <w:rsid w:val="00566295"/>
    <w:rsid w:val="00566FBA"/>
    <w:rsid w:val="0056754C"/>
    <w:rsid w:val="00567A20"/>
    <w:rsid w:val="005706C1"/>
    <w:rsid w:val="00570AA4"/>
    <w:rsid w:val="00572C6E"/>
    <w:rsid w:val="00572EF8"/>
    <w:rsid w:val="0057361D"/>
    <w:rsid w:val="00574A0E"/>
    <w:rsid w:val="0057565A"/>
    <w:rsid w:val="00575AB2"/>
    <w:rsid w:val="00575ADA"/>
    <w:rsid w:val="0057731C"/>
    <w:rsid w:val="00577A88"/>
    <w:rsid w:val="005800FB"/>
    <w:rsid w:val="00580D74"/>
    <w:rsid w:val="00580E4D"/>
    <w:rsid w:val="00582714"/>
    <w:rsid w:val="005827B9"/>
    <w:rsid w:val="0058368D"/>
    <w:rsid w:val="00584756"/>
    <w:rsid w:val="005849BB"/>
    <w:rsid w:val="005852CE"/>
    <w:rsid w:val="00590470"/>
    <w:rsid w:val="005906BA"/>
    <w:rsid w:val="00591268"/>
    <w:rsid w:val="00591B7D"/>
    <w:rsid w:val="005926DC"/>
    <w:rsid w:val="00596F98"/>
    <w:rsid w:val="005A0911"/>
    <w:rsid w:val="005A0BD1"/>
    <w:rsid w:val="005A1AF6"/>
    <w:rsid w:val="005A4801"/>
    <w:rsid w:val="005A525D"/>
    <w:rsid w:val="005A5F8B"/>
    <w:rsid w:val="005A618A"/>
    <w:rsid w:val="005A66AB"/>
    <w:rsid w:val="005A6969"/>
    <w:rsid w:val="005A6C81"/>
    <w:rsid w:val="005A77E9"/>
    <w:rsid w:val="005A7918"/>
    <w:rsid w:val="005B0385"/>
    <w:rsid w:val="005B1CCC"/>
    <w:rsid w:val="005B2501"/>
    <w:rsid w:val="005B3325"/>
    <w:rsid w:val="005B5BA1"/>
    <w:rsid w:val="005B70B3"/>
    <w:rsid w:val="005B7730"/>
    <w:rsid w:val="005C0338"/>
    <w:rsid w:val="005C12F1"/>
    <w:rsid w:val="005C1985"/>
    <w:rsid w:val="005C2A9A"/>
    <w:rsid w:val="005C2EF6"/>
    <w:rsid w:val="005C4D83"/>
    <w:rsid w:val="005C6C38"/>
    <w:rsid w:val="005C7472"/>
    <w:rsid w:val="005C7637"/>
    <w:rsid w:val="005C7CD8"/>
    <w:rsid w:val="005D1600"/>
    <w:rsid w:val="005D250A"/>
    <w:rsid w:val="005D4272"/>
    <w:rsid w:val="005D4375"/>
    <w:rsid w:val="005D581C"/>
    <w:rsid w:val="005D6DD6"/>
    <w:rsid w:val="005D7D14"/>
    <w:rsid w:val="005E105C"/>
    <w:rsid w:val="005E1AB8"/>
    <w:rsid w:val="005E3972"/>
    <w:rsid w:val="005E3A0C"/>
    <w:rsid w:val="005E43CE"/>
    <w:rsid w:val="005E52CE"/>
    <w:rsid w:val="005E560D"/>
    <w:rsid w:val="005E5737"/>
    <w:rsid w:val="005E6930"/>
    <w:rsid w:val="005E7DBF"/>
    <w:rsid w:val="005F0AE6"/>
    <w:rsid w:val="005F1C46"/>
    <w:rsid w:val="005F48BA"/>
    <w:rsid w:val="005F4903"/>
    <w:rsid w:val="005F5483"/>
    <w:rsid w:val="005F60E5"/>
    <w:rsid w:val="005F76A6"/>
    <w:rsid w:val="005F7E1C"/>
    <w:rsid w:val="00600149"/>
    <w:rsid w:val="0060057A"/>
    <w:rsid w:val="00601AAE"/>
    <w:rsid w:val="00603847"/>
    <w:rsid w:val="0060626F"/>
    <w:rsid w:val="006063AF"/>
    <w:rsid w:val="00606F94"/>
    <w:rsid w:val="00607458"/>
    <w:rsid w:val="00610687"/>
    <w:rsid w:val="00611642"/>
    <w:rsid w:val="006116E5"/>
    <w:rsid w:val="0061312B"/>
    <w:rsid w:val="00613600"/>
    <w:rsid w:val="006138A2"/>
    <w:rsid w:val="00613C83"/>
    <w:rsid w:val="00616063"/>
    <w:rsid w:val="00616D38"/>
    <w:rsid w:val="00617907"/>
    <w:rsid w:val="006204FA"/>
    <w:rsid w:val="00622A51"/>
    <w:rsid w:val="00622BD5"/>
    <w:rsid w:val="006234FB"/>
    <w:rsid w:val="00624576"/>
    <w:rsid w:val="006245EA"/>
    <w:rsid w:val="006261B2"/>
    <w:rsid w:val="00627020"/>
    <w:rsid w:val="00627BAC"/>
    <w:rsid w:val="00630EAE"/>
    <w:rsid w:val="00631D96"/>
    <w:rsid w:val="00633597"/>
    <w:rsid w:val="006359C2"/>
    <w:rsid w:val="00636906"/>
    <w:rsid w:val="00637644"/>
    <w:rsid w:val="0064004E"/>
    <w:rsid w:val="006410D4"/>
    <w:rsid w:val="006412AE"/>
    <w:rsid w:val="0064141B"/>
    <w:rsid w:val="006415F1"/>
    <w:rsid w:val="00641A8F"/>
    <w:rsid w:val="00642BEA"/>
    <w:rsid w:val="0064435C"/>
    <w:rsid w:val="006446B6"/>
    <w:rsid w:val="00645764"/>
    <w:rsid w:val="00646533"/>
    <w:rsid w:val="006470CD"/>
    <w:rsid w:val="0064732A"/>
    <w:rsid w:val="006476E1"/>
    <w:rsid w:val="00647F4B"/>
    <w:rsid w:val="00650490"/>
    <w:rsid w:val="00650522"/>
    <w:rsid w:val="006510F3"/>
    <w:rsid w:val="00651534"/>
    <w:rsid w:val="00651788"/>
    <w:rsid w:val="00651D2F"/>
    <w:rsid w:val="00654415"/>
    <w:rsid w:val="0065445E"/>
    <w:rsid w:val="0065449A"/>
    <w:rsid w:val="00654A27"/>
    <w:rsid w:val="00654D40"/>
    <w:rsid w:val="006554D7"/>
    <w:rsid w:val="00655C59"/>
    <w:rsid w:val="00655D42"/>
    <w:rsid w:val="006560A9"/>
    <w:rsid w:val="00660241"/>
    <w:rsid w:val="0066148F"/>
    <w:rsid w:val="00662937"/>
    <w:rsid w:val="00662940"/>
    <w:rsid w:val="00662B09"/>
    <w:rsid w:val="006637FB"/>
    <w:rsid w:val="00663F9F"/>
    <w:rsid w:val="00664B8D"/>
    <w:rsid w:val="006650B7"/>
    <w:rsid w:val="006650DC"/>
    <w:rsid w:val="00667995"/>
    <w:rsid w:val="00670187"/>
    <w:rsid w:val="00670566"/>
    <w:rsid w:val="00671A71"/>
    <w:rsid w:val="00672D0A"/>
    <w:rsid w:val="00674843"/>
    <w:rsid w:val="00675743"/>
    <w:rsid w:val="006759CA"/>
    <w:rsid w:val="00676461"/>
    <w:rsid w:val="00676D3F"/>
    <w:rsid w:val="006802F6"/>
    <w:rsid w:val="0068067F"/>
    <w:rsid w:val="00681309"/>
    <w:rsid w:val="006816AB"/>
    <w:rsid w:val="00681A31"/>
    <w:rsid w:val="00684442"/>
    <w:rsid w:val="00685AA5"/>
    <w:rsid w:val="00686D94"/>
    <w:rsid w:val="0068763B"/>
    <w:rsid w:val="00687E87"/>
    <w:rsid w:val="00687FC1"/>
    <w:rsid w:val="00691EE9"/>
    <w:rsid w:val="006920EC"/>
    <w:rsid w:val="00693364"/>
    <w:rsid w:val="0069394C"/>
    <w:rsid w:val="006954C0"/>
    <w:rsid w:val="00695754"/>
    <w:rsid w:val="0069645B"/>
    <w:rsid w:val="0069694C"/>
    <w:rsid w:val="0069736B"/>
    <w:rsid w:val="006A043A"/>
    <w:rsid w:val="006A1B31"/>
    <w:rsid w:val="006A2360"/>
    <w:rsid w:val="006A457C"/>
    <w:rsid w:val="006A75BF"/>
    <w:rsid w:val="006A792A"/>
    <w:rsid w:val="006B1D92"/>
    <w:rsid w:val="006B2775"/>
    <w:rsid w:val="006B2E9C"/>
    <w:rsid w:val="006B518D"/>
    <w:rsid w:val="006B5B80"/>
    <w:rsid w:val="006B7087"/>
    <w:rsid w:val="006B7907"/>
    <w:rsid w:val="006C03CA"/>
    <w:rsid w:val="006C0490"/>
    <w:rsid w:val="006C1C9C"/>
    <w:rsid w:val="006C2532"/>
    <w:rsid w:val="006C2CA0"/>
    <w:rsid w:val="006C2E1F"/>
    <w:rsid w:val="006C31C1"/>
    <w:rsid w:val="006C4271"/>
    <w:rsid w:val="006C5E7C"/>
    <w:rsid w:val="006D236F"/>
    <w:rsid w:val="006D4311"/>
    <w:rsid w:val="006D56A2"/>
    <w:rsid w:val="006D632C"/>
    <w:rsid w:val="006D7F11"/>
    <w:rsid w:val="006E0F70"/>
    <w:rsid w:val="006E1DCB"/>
    <w:rsid w:val="006E3DF3"/>
    <w:rsid w:val="006E3E3D"/>
    <w:rsid w:val="006E3E3E"/>
    <w:rsid w:val="006E4CA3"/>
    <w:rsid w:val="006E57B2"/>
    <w:rsid w:val="006E6711"/>
    <w:rsid w:val="006E6C26"/>
    <w:rsid w:val="006E755D"/>
    <w:rsid w:val="006E766F"/>
    <w:rsid w:val="006F130A"/>
    <w:rsid w:val="006F16A7"/>
    <w:rsid w:val="006F179D"/>
    <w:rsid w:val="006F1B5E"/>
    <w:rsid w:val="006F215F"/>
    <w:rsid w:val="006F2515"/>
    <w:rsid w:val="006F3104"/>
    <w:rsid w:val="006F7163"/>
    <w:rsid w:val="006F77A1"/>
    <w:rsid w:val="006F7F3B"/>
    <w:rsid w:val="00700BFB"/>
    <w:rsid w:val="00701F43"/>
    <w:rsid w:val="00702D8E"/>
    <w:rsid w:val="007036BC"/>
    <w:rsid w:val="00703730"/>
    <w:rsid w:val="007057C5"/>
    <w:rsid w:val="007057DF"/>
    <w:rsid w:val="00705F8E"/>
    <w:rsid w:val="007065AB"/>
    <w:rsid w:val="0070670E"/>
    <w:rsid w:val="00706E86"/>
    <w:rsid w:val="0070710D"/>
    <w:rsid w:val="0071132D"/>
    <w:rsid w:val="0071165D"/>
    <w:rsid w:val="007117B6"/>
    <w:rsid w:val="00711BD9"/>
    <w:rsid w:val="00711F19"/>
    <w:rsid w:val="00712D5B"/>
    <w:rsid w:val="00712E3A"/>
    <w:rsid w:val="00713B0C"/>
    <w:rsid w:val="007144E3"/>
    <w:rsid w:val="00714D72"/>
    <w:rsid w:val="0072239C"/>
    <w:rsid w:val="00722C4E"/>
    <w:rsid w:val="007246C3"/>
    <w:rsid w:val="007257EE"/>
    <w:rsid w:val="0072582D"/>
    <w:rsid w:val="007258CF"/>
    <w:rsid w:val="00726199"/>
    <w:rsid w:val="00726520"/>
    <w:rsid w:val="0072708B"/>
    <w:rsid w:val="007301B9"/>
    <w:rsid w:val="00730FE0"/>
    <w:rsid w:val="00731226"/>
    <w:rsid w:val="007314EC"/>
    <w:rsid w:val="00731E96"/>
    <w:rsid w:val="00731F99"/>
    <w:rsid w:val="007320DC"/>
    <w:rsid w:val="0073303E"/>
    <w:rsid w:val="007347C0"/>
    <w:rsid w:val="0073504C"/>
    <w:rsid w:val="00735E81"/>
    <w:rsid w:val="007369FF"/>
    <w:rsid w:val="00736C96"/>
    <w:rsid w:val="00737BD0"/>
    <w:rsid w:val="00737EA8"/>
    <w:rsid w:val="00740225"/>
    <w:rsid w:val="00741079"/>
    <w:rsid w:val="00741DAC"/>
    <w:rsid w:val="007430E4"/>
    <w:rsid w:val="007437D2"/>
    <w:rsid w:val="00744BBC"/>
    <w:rsid w:val="00746633"/>
    <w:rsid w:val="0074676B"/>
    <w:rsid w:val="00746D4D"/>
    <w:rsid w:val="007473AE"/>
    <w:rsid w:val="0074742D"/>
    <w:rsid w:val="00747D8C"/>
    <w:rsid w:val="0075017C"/>
    <w:rsid w:val="00750C91"/>
    <w:rsid w:val="00751805"/>
    <w:rsid w:val="00751CE2"/>
    <w:rsid w:val="00751D96"/>
    <w:rsid w:val="00753778"/>
    <w:rsid w:val="00754C20"/>
    <w:rsid w:val="007552D4"/>
    <w:rsid w:val="00755FB1"/>
    <w:rsid w:val="00756648"/>
    <w:rsid w:val="0075683C"/>
    <w:rsid w:val="00756C2F"/>
    <w:rsid w:val="0075793D"/>
    <w:rsid w:val="007618B7"/>
    <w:rsid w:val="00762A01"/>
    <w:rsid w:val="007646FA"/>
    <w:rsid w:val="00765CEC"/>
    <w:rsid w:val="00765D11"/>
    <w:rsid w:val="00766295"/>
    <w:rsid w:val="00766598"/>
    <w:rsid w:val="00773F45"/>
    <w:rsid w:val="00774A7C"/>
    <w:rsid w:val="00774B11"/>
    <w:rsid w:val="00776C92"/>
    <w:rsid w:val="007776EB"/>
    <w:rsid w:val="00777F22"/>
    <w:rsid w:val="007804FD"/>
    <w:rsid w:val="00780AF1"/>
    <w:rsid w:val="007815B9"/>
    <w:rsid w:val="007825A3"/>
    <w:rsid w:val="00782726"/>
    <w:rsid w:val="00782AC1"/>
    <w:rsid w:val="00782D06"/>
    <w:rsid w:val="00782F98"/>
    <w:rsid w:val="007830F2"/>
    <w:rsid w:val="00783804"/>
    <w:rsid w:val="00783B2A"/>
    <w:rsid w:val="00785003"/>
    <w:rsid w:val="007851C3"/>
    <w:rsid w:val="007854E9"/>
    <w:rsid w:val="0078565F"/>
    <w:rsid w:val="00787740"/>
    <w:rsid w:val="007902B6"/>
    <w:rsid w:val="007908E9"/>
    <w:rsid w:val="0079168E"/>
    <w:rsid w:val="00792F0D"/>
    <w:rsid w:val="00793716"/>
    <w:rsid w:val="00793917"/>
    <w:rsid w:val="00794E8C"/>
    <w:rsid w:val="007951C3"/>
    <w:rsid w:val="00795BB8"/>
    <w:rsid w:val="0079693A"/>
    <w:rsid w:val="00796CB0"/>
    <w:rsid w:val="00796D36"/>
    <w:rsid w:val="007A2638"/>
    <w:rsid w:val="007A27B1"/>
    <w:rsid w:val="007A2BE9"/>
    <w:rsid w:val="007A3F97"/>
    <w:rsid w:val="007A401C"/>
    <w:rsid w:val="007A4C93"/>
    <w:rsid w:val="007A4DC9"/>
    <w:rsid w:val="007A4FBE"/>
    <w:rsid w:val="007A54EE"/>
    <w:rsid w:val="007A5BC8"/>
    <w:rsid w:val="007A668A"/>
    <w:rsid w:val="007B0F93"/>
    <w:rsid w:val="007B1673"/>
    <w:rsid w:val="007B1922"/>
    <w:rsid w:val="007B1AD2"/>
    <w:rsid w:val="007B1C48"/>
    <w:rsid w:val="007B1C62"/>
    <w:rsid w:val="007B2745"/>
    <w:rsid w:val="007B2913"/>
    <w:rsid w:val="007B2973"/>
    <w:rsid w:val="007B37E0"/>
    <w:rsid w:val="007B3C6C"/>
    <w:rsid w:val="007B4526"/>
    <w:rsid w:val="007B48DC"/>
    <w:rsid w:val="007B58A1"/>
    <w:rsid w:val="007B6A02"/>
    <w:rsid w:val="007B6C1F"/>
    <w:rsid w:val="007B71E3"/>
    <w:rsid w:val="007C1232"/>
    <w:rsid w:val="007C3E13"/>
    <w:rsid w:val="007C5745"/>
    <w:rsid w:val="007C5CFB"/>
    <w:rsid w:val="007C6448"/>
    <w:rsid w:val="007C72B5"/>
    <w:rsid w:val="007D0270"/>
    <w:rsid w:val="007D20FF"/>
    <w:rsid w:val="007D26D7"/>
    <w:rsid w:val="007D4099"/>
    <w:rsid w:val="007D428C"/>
    <w:rsid w:val="007D5E6B"/>
    <w:rsid w:val="007D6B9A"/>
    <w:rsid w:val="007D6C8C"/>
    <w:rsid w:val="007D73DD"/>
    <w:rsid w:val="007D7AAB"/>
    <w:rsid w:val="007E0316"/>
    <w:rsid w:val="007E1220"/>
    <w:rsid w:val="007E3D6A"/>
    <w:rsid w:val="007E44BA"/>
    <w:rsid w:val="007E5F81"/>
    <w:rsid w:val="007E6B98"/>
    <w:rsid w:val="007F0055"/>
    <w:rsid w:val="007F0063"/>
    <w:rsid w:val="007F0E57"/>
    <w:rsid w:val="007F15CB"/>
    <w:rsid w:val="007F18B1"/>
    <w:rsid w:val="007F1E7B"/>
    <w:rsid w:val="007F355C"/>
    <w:rsid w:val="007F35E5"/>
    <w:rsid w:val="007F38F5"/>
    <w:rsid w:val="007F3CED"/>
    <w:rsid w:val="007F49AB"/>
    <w:rsid w:val="007F51D6"/>
    <w:rsid w:val="007F52C0"/>
    <w:rsid w:val="007F58D6"/>
    <w:rsid w:val="007F6471"/>
    <w:rsid w:val="007F67E4"/>
    <w:rsid w:val="007F7C2A"/>
    <w:rsid w:val="008000C2"/>
    <w:rsid w:val="00800277"/>
    <w:rsid w:val="00800754"/>
    <w:rsid w:val="00800A3D"/>
    <w:rsid w:val="00800B32"/>
    <w:rsid w:val="00800C75"/>
    <w:rsid w:val="00802EB9"/>
    <w:rsid w:val="00802EF3"/>
    <w:rsid w:val="00805B51"/>
    <w:rsid w:val="00805F4E"/>
    <w:rsid w:val="00807548"/>
    <w:rsid w:val="008078B5"/>
    <w:rsid w:val="00810AA3"/>
    <w:rsid w:val="008111E8"/>
    <w:rsid w:val="00811931"/>
    <w:rsid w:val="00812613"/>
    <w:rsid w:val="008145C8"/>
    <w:rsid w:val="00814A07"/>
    <w:rsid w:val="0081515A"/>
    <w:rsid w:val="008166F2"/>
    <w:rsid w:val="008219B1"/>
    <w:rsid w:val="00823D82"/>
    <w:rsid w:val="00823EFF"/>
    <w:rsid w:val="00824432"/>
    <w:rsid w:val="008245BA"/>
    <w:rsid w:val="008262B9"/>
    <w:rsid w:val="00830547"/>
    <w:rsid w:val="00832D4E"/>
    <w:rsid w:val="00833B7B"/>
    <w:rsid w:val="00834169"/>
    <w:rsid w:val="0083480D"/>
    <w:rsid w:val="00834EC2"/>
    <w:rsid w:val="00836195"/>
    <w:rsid w:val="008407DA"/>
    <w:rsid w:val="00840938"/>
    <w:rsid w:val="00840DFA"/>
    <w:rsid w:val="00841BAB"/>
    <w:rsid w:val="00844C0D"/>
    <w:rsid w:val="00845BEC"/>
    <w:rsid w:val="00846174"/>
    <w:rsid w:val="008463ED"/>
    <w:rsid w:val="00846A44"/>
    <w:rsid w:val="00846B97"/>
    <w:rsid w:val="00846DCD"/>
    <w:rsid w:val="00846E3A"/>
    <w:rsid w:val="00846E52"/>
    <w:rsid w:val="008477D7"/>
    <w:rsid w:val="0085160F"/>
    <w:rsid w:val="00852C23"/>
    <w:rsid w:val="00856CB7"/>
    <w:rsid w:val="00857A66"/>
    <w:rsid w:val="00857B6B"/>
    <w:rsid w:val="0086002D"/>
    <w:rsid w:val="008624ED"/>
    <w:rsid w:val="008625F2"/>
    <w:rsid w:val="00863E7D"/>
    <w:rsid w:val="00866B20"/>
    <w:rsid w:val="0086761C"/>
    <w:rsid w:val="008679A0"/>
    <w:rsid w:val="00871EB4"/>
    <w:rsid w:val="00873618"/>
    <w:rsid w:val="0087368E"/>
    <w:rsid w:val="00874191"/>
    <w:rsid w:val="008749D8"/>
    <w:rsid w:val="00874B94"/>
    <w:rsid w:val="00874E7F"/>
    <w:rsid w:val="008754E6"/>
    <w:rsid w:val="00876B28"/>
    <w:rsid w:val="00877445"/>
    <w:rsid w:val="00880FDD"/>
    <w:rsid w:val="0088109E"/>
    <w:rsid w:val="00882ECA"/>
    <w:rsid w:val="00882F12"/>
    <w:rsid w:val="00883215"/>
    <w:rsid w:val="00883B57"/>
    <w:rsid w:val="008849CD"/>
    <w:rsid w:val="00886B20"/>
    <w:rsid w:val="00886B73"/>
    <w:rsid w:val="00887A3D"/>
    <w:rsid w:val="008900A9"/>
    <w:rsid w:val="00890807"/>
    <w:rsid w:val="00893604"/>
    <w:rsid w:val="008957A7"/>
    <w:rsid w:val="00895EA3"/>
    <w:rsid w:val="00896239"/>
    <w:rsid w:val="0089775D"/>
    <w:rsid w:val="008979BF"/>
    <w:rsid w:val="00897D29"/>
    <w:rsid w:val="008A004A"/>
    <w:rsid w:val="008A0242"/>
    <w:rsid w:val="008A4351"/>
    <w:rsid w:val="008A44B7"/>
    <w:rsid w:val="008A533B"/>
    <w:rsid w:val="008A579D"/>
    <w:rsid w:val="008A6261"/>
    <w:rsid w:val="008A6289"/>
    <w:rsid w:val="008A7021"/>
    <w:rsid w:val="008A7BBE"/>
    <w:rsid w:val="008B029F"/>
    <w:rsid w:val="008B0BF0"/>
    <w:rsid w:val="008B347C"/>
    <w:rsid w:val="008B4208"/>
    <w:rsid w:val="008B577A"/>
    <w:rsid w:val="008B7A0D"/>
    <w:rsid w:val="008B7D69"/>
    <w:rsid w:val="008C01BD"/>
    <w:rsid w:val="008C2EBF"/>
    <w:rsid w:val="008C35BF"/>
    <w:rsid w:val="008C55FB"/>
    <w:rsid w:val="008C6195"/>
    <w:rsid w:val="008C6812"/>
    <w:rsid w:val="008C7734"/>
    <w:rsid w:val="008D0A33"/>
    <w:rsid w:val="008D11EF"/>
    <w:rsid w:val="008D1D2E"/>
    <w:rsid w:val="008D3435"/>
    <w:rsid w:val="008D4E5C"/>
    <w:rsid w:val="008D5931"/>
    <w:rsid w:val="008D7539"/>
    <w:rsid w:val="008E0618"/>
    <w:rsid w:val="008E073C"/>
    <w:rsid w:val="008E491E"/>
    <w:rsid w:val="008E527A"/>
    <w:rsid w:val="008E5F33"/>
    <w:rsid w:val="008E7728"/>
    <w:rsid w:val="008F0FC8"/>
    <w:rsid w:val="008F1BD4"/>
    <w:rsid w:val="008F25C3"/>
    <w:rsid w:val="008F2CF1"/>
    <w:rsid w:val="008F36FC"/>
    <w:rsid w:val="008F3C26"/>
    <w:rsid w:val="008F425C"/>
    <w:rsid w:val="008F557A"/>
    <w:rsid w:val="008F6DC6"/>
    <w:rsid w:val="008F740F"/>
    <w:rsid w:val="00900647"/>
    <w:rsid w:val="00901244"/>
    <w:rsid w:val="0090435D"/>
    <w:rsid w:val="009045FD"/>
    <w:rsid w:val="00904918"/>
    <w:rsid w:val="00904BD0"/>
    <w:rsid w:val="009060AB"/>
    <w:rsid w:val="0090649B"/>
    <w:rsid w:val="00906EC5"/>
    <w:rsid w:val="00907434"/>
    <w:rsid w:val="009076E3"/>
    <w:rsid w:val="00910886"/>
    <w:rsid w:val="00911DD9"/>
    <w:rsid w:val="00912E51"/>
    <w:rsid w:val="00913175"/>
    <w:rsid w:val="009131FF"/>
    <w:rsid w:val="009137F7"/>
    <w:rsid w:val="0091383B"/>
    <w:rsid w:val="00915564"/>
    <w:rsid w:val="00916A83"/>
    <w:rsid w:val="00920350"/>
    <w:rsid w:val="00920874"/>
    <w:rsid w:val="00920C7B"/>
    <w:rsid w:val="009222B2"/>
    <w:rsid w:val="0092268D"/>
    <w:rsid w:val="009226FB"/>
    <w:rsid w:val="009235BC"/>
    <w:rsid w:val="00923943"/>
    <w:rsid w:val="00923B1C"/>
    <w:rsid w:val="00923B6D"/>
    <w:rsid w:val="0092551C"/>
    <w:rsid w:val="00926F3D"/>
    <w:rsid w:val="00930634"/>
    <w:rsid w:val="00931E3C"/>
    <w:rsid w:val="00932572"/>
    <w:rsid w:val="00932612"/>
    <w:rsid w:val="0093341A"/>
    <w:rsid w:val="009355F1"/>
    <w:rsid w:val="00935959"/>
    <w:rsid w:val="009360A4"/>
    <w:rsid w:val="00940691"/>
    <w:rsid w:val="00940F0F"/>
    <w:rsid w:val="00941F56"/>
    <w:rsid w:val="00943CD7"/>
    <w:rsid w:val="00943FD1"/>
    <w:rsid w:val="0094421B"/>
    <w:rsid w:val="009464F5"/>
    <w:rsid w:val="009465EB"/>
    <w:rsid w:val="0094663D"/>
    <w:rsid w:val="00946E44"/>
    <w:rsid w:val="009513CF"/>
    <w:rsid w:val="009546D1"/>
    <w:rsid w:val="009547BA"/>
    <w:rsid w:val="00955621"/>
    <w:rsid w:val="00956674"/>
    <w:rsid w:val="0095668A"/>
    <w:rsid w:val="009575A6"/>
    <w:rsid w:val="00957650"/>
    <w:rsid w:val="00957658"/>
    <w:rsid w:val="00960B96"/>
    <w:rsid w:val="00961EC0"/>
    <w:rsid w:val="00962187"/>
    <w:rsid w:val="00962658"/>
    <w:rsid w:val="009629A2"/>
    <w:rsid w:val="0096318E"/>
    <w:rsid w:val="00963924"/>
    <w:rsid w:val="009639D2"/>
    <w:rsid w:val="00964604"/>
    <w:rsid w:val="009649CB"/>
    <w:rsid w:val="00970C42"/>
    <w:rsid w:val="00971660"/>
    <w:rsid w:val="0097180B"/>
    <w:rsid w:val="00972A7A"/>
    <w:rsid w:val="009744C8"/>
    <w:rsid w:val="00975F1C"/>
    <w:rsid w:val="00977079"/>
    <w:rsid w:val="00980698"/>
    <w:rsid w:val="00981B98"/>
    <w:rsid w:val="0098201B"/>
    <w:rsid w:val="00982F57"/>
    <w:rsid w:val="009830B4"/>
    <w:rsid w:val="00984A20"/>
    <w:rsid w:val="00984A3A"/>
    <w:rsid w:val="009862C7"/>
    <w:rsid w:val="00986847"/>
    <w:rsid w:val="00986C67"/>
    <w:rsid w:val="009875A4"/>
    <w:rsid w:val="00987CA1"/>
    <w:rsid w:val="00990F7B"/>
    <w:rsid w:val="00990F95"/>
    <w:rsid w:val="00991EC0"/>
    <w:rsid w:val="00992154"/>
    <w:rsid w:val="00993F74"/>
    <w:rsid w:val="00994CDE"/>
    <w:rsid w:val="009951EE"/>
    <w:rsid w:val="0099579D"/>
    <w:rsid w:val="009964E3"/>
    <w:rsid w:val="009969AD"/>
    <w:rsid w:val="00997D1D"/>
    <w:rsid w:val="00997E4E"/>
    <w:rsid w:val="009A00D4"/>
    <w:rsid w:val="009A027B"/>
    <w:rsid w:val="009A2D57"/>
    <w:rsid w:val="009A2F4A"/>
    <w:rsid w:val="009A30B1"/>
    <w:rsid w:val="009A349F"/>
    <w:rsid w:val="009A4346"/>
    <w:rsid w:val="009A4E46"/>
    <w:rsid w:val="009A4ED4"/>
    <w:rsid w:val="009A549A"/>
    <w:rsid w:val="009A593B"/>
    <w:rsid w:val="009A5CFE"/>
    <w:rsid w:val="009A5FDE"/>
    <w:rsid w:val="009A63D9"/>
    <w:rsid w:val="009A7A16"/>
    <w:rsid w:val="009A7A59"/>
    <w:rsid w:val="009B0A40"/>
    <w:rsid w:val="009B106D"/>
    <w:rsid w:val="009B1812"/>
    <w:rsid w:val="009B1CA4"/>
    <w:rsid w:val="009B2463"/>
    <w:rsid w:val="009B2DF8"/>
    <w:rsid w:val="009B3B51"/>
    <w:rsid w:val="009B436D"/>
    <w:rsid w:val="009B5657"/>
    <w:rsid w:val="009B72CE"/>
    <w:rsid w:val="009B79AA"/>
    <w:rsid w:val="009C0580"/>
    <w:rsid w:val="009C25D7"/>
    <w:rsid w:val="009C3853"/>
    <w:rsid w:val="009C3D94"/>
    <w:rsid w:val="009C55DF"/>
    <w:rsid w:val="009C5E8A"/>
    <w:rsid w:val="009C66BE"/>
    <w:rsid w:val="009C6C09"/>
    <w:rsid w:val="009D0CE5"/>
    <w:rsid w:val="009D0D39"/>
    <w:rsid w:val="009D1098"/>
    <w:rsid w:val="009D2473"/>
    <w:rsid w:val="009D3AE8"/>
    <w:rsid w:val="009D3F89"/>
    <w:rsid w:val="009D55A1"/>
    <w:rsid w:val="009D6EC0"/>
    <w:rsid w:val="009D7218"/>
    <w:rsid w:val="009E00F5"/>
    <w:rsid w:val="009E10FA"/>
    <w:rsid w:val="009E2912"/>
    <w:rsid w:val="009E37B5"/>
    <w:rsid w:val="009E449C"/>
    <w:rsid w:val="009E64D1"/>
    <w:rsid w:val="009E702D"/>
    <w:rsid w:val="009F033C"/>
    <w:rsid w:val="009F17D3"/>
    <w:rsid w:val="009F1DA1"/>
    <w:rsid w:val="009F26D8"/>
    <w:rsid w:val="009F4135"/>
    <w:rsid w:val="009F5A23"/>
    <w:rsid w:val="009F6138"/>
    <w:rsid w:val="009F677C"/>
    <w:rsid w:val="009F76C0"/>
    <w:rsid w:val="009F76F3"/>
    <w:rsid w:val="00A003D2"/>
    <w:rsid w:val="00A00E22"/>
    <w:rsid w:val="00A01050"/>
    <w:rsid w:val="00A025D8"/>
    <w:rsid w:val="00A02EF9"/>
    <w:rsid w:val="00A03175"/>
    <w:rsid w:val="00A03BD7"/>
    <w:rsid w:val="00A03C23"/>
    <w:rsid w:val="00A06211"/>
    <w:rsid w:val="00A06EFA"/>
    <w:rsid w:val="00A070A4"/>
    <w:rsid w:val="00A1072F"/>
    <w:rsid w:val="00A12A29"/>
    <w:rsid w:val="00A12DB8"/>
    <w:rsid w:val="00A166E6"/>
    <w:rsid w:val="00A1717F"/>
    <w:rsid w:val="00A201E1"/>
    <w:rsid w:val="00A21490"/>
    <w:rsid w:val="00A2192E"/>
    <w:rsid w:val="00A23400"/>
    <w:rsid w:val="00A23B5F"/>
    <w:rsid w:val="00A23D7E"/>
    <w:rsid w:val="00A2416A"/>
    <w:rsid w:val="00A26D1A"/>
    <w:rsid w:val="00A26FAE"/>
    <w:rsid w:val="00A304EF"/>
    <w:rsid w:val="00A310A3"/>
    <w:rsid w:val="00A31433"/>
    <w:rsid w:val="00A31B4E"/>
    <w:rsid w:val="00A33EE1"/>
    <w:rsid w:val="00A34AAD"/>
    <w:rsid w:val="00A352E5"/>
    <w:rsid w:val="00A35D56"/>
    <w:rsid w:val="00A36433"/>
    <w:rsid w:val="00A36AD7"/>
    <w:rsid w:val="00A4036B"/>
    <w:rsid w:val="00A40836"/>
    <w:rsid w:val="00A40964"/>
    <w:rsid w:val="00A4140B"/>
    <w:rsid w:val="00A417E3"/>
    <w:rsid w:val="00A418D1"/>
    <w:rsid w:val="00A43F68"/>
    <w:rsid w:val="00A45294"/>
    <w:rsid w:val="00A464F4"/>
    <w:rsid w:val="00A46BDF"/>
    <w:rsid w:val="00A47350"/>
    <w:rsid w:val="00A47581"/>
    <w:rsid w:val="00A501D9"/>
    <w:rsid w:val="00A502B6"/>
    <w:rsid w:val="00A51CAF"/>
    <w:rsid w:val="00A51F43"/>
    <w:rsid w:val="00A52480"/>
    <w:rsid w:val="00A5376B"/>
    <w:rsid w:val="00A54C46"/>
    <w:rsid w:val="00A553F2"/>
    <w:rsid w:val="00A560B1"/>
    <w:rsid w:val="00A566F4"/>
    <w:rsid w:val="00A56AB9"/>
    <w:rsid w:val="00A56B67"/>
    <w:rsid w:val="00A6116C"/>
    <w:rsid w:val="00A61E73"/>
    <w:rsid w:val="00A62264"/>
    <w:rsid w:val="00A62DA3"/>
    <w:rsid w:val="00A64A8A"/>
    <w:rsid w:val="00A64F64"/>
    <w:rsid w:val="00A64F7C"/>
    <w:rsid w:val="00A65428"/>
    <w:rsid w:val="00A6605D"/>
    <w:rsid w:val="00A669AA"/>
    <w:rsid w:val="00A67312"/>
    <w:rsid w:val="00A67B88"/>
    <w:rsid w:val="00A70611"/>
    <w:rsid w:val="00A7181D"/>
    <w:rsid w:val="00A725C1"/>
    <w:rsid w:val="00A7264B"/>
    <w:rsid w:val="00A73D4F"/>
    <w:rsid w:val="00A741E7"/>
    <w:rsid w:val="00A75BDF"/>
    <w:rsid w:val="00A75CEC"/>
    <w:rsid w:val="00A7610B"/>
    <w:rsid w:val="00A7640C"/>
    <w:rsid w:val="00A7760D"/>
    <w:rsid w:val="00A77C50"/>
    <w:rsid w:val="00A77D9D"/>
    <w:rsid w:val="00A81CCE"/>
    <w:rsid w:val="00A83B38"/>
    <w:rsid w:val="00A85495"/>
    <w:rsid w:val="00A8576C"/>
    <w:rsid w:val="00A859AF"/>
    <w:rsid w:val="00A86C5B"/>
    <w:rsid w:val="00A86DE3"/>
    <w:rsid w:val="00A9029A"/>
    <w:rsid w:val="00A90C0D"/>
    <w:rsid w:val="00A92D8C"/>
    <w:rsid w:val="00A92F1B"/>
    <w:rsid w:val="00A934A5"/>
    <w:rsid w:val="00A95573"/>
    <w:rsid w:val="00A95F30"/>
    <w:rsid w:val="00A96139"/>
    <w:rsid w:val="00A9680F"/>
    <w:rsid w:val="00A96BD9"/>
    <w:rsid w:val="00A97ED3"/>
    <w:rsid w:val="00AA0B2B"/>
    <w:rsid w:val="00AA1774"/>
    <w:rsid w:val="00AA1F8E"/>
    <w:rsid w:val="00AA208C"/>
    <w:rsid w:val="00AA2462"/>
    <w:rsid w:val="00AA25E7"/>
    <w:rsid w:val="00AA2EFF"/>
    <w:rsid w:val="00AA3652"/>
    <w:rsid w:val="00AA3F28"/>
    <w:rsid w:val="00AA51CC"/>
    <w:rsid w:val="00AA56EB"/>
    <w:rsid w:val="00AA5AD2"/>
    <w:rsid w:val="00AA5D91"/>
    <w:rsid w:val="00AA6948"/>
    <w:rsid w:val="00AA6C33"/>
    <w:rsid w:val="00AA7511"/>
    <w:rsid w:val="00AA7603"/>
    <w:rsid w:val="00AB0928"/>
    <w:rsid w:val="00AB1187"/>
    <w:rsid w:val="00AB127D"/>
    <w:rsid w:val="00AB1D12"/>
    <w:rsid w:val="00AB2458"/>
    <w:rsid w:val="00AB29C7"/>
    <w:rsid w:val="00AB3DAE"/>
    <w:rsid w:val="00AB4B1A"/>
    <w:rsid w:val="00AB4BB3"/>
    <w:rsid w:val="00AB4E43"/>
    <w:rsid w:val="00AB5472"/>
    <w:rsid w:val="00AB5748"/>
    <w:rsid w:val="00AB789F"/>
    <w:rsid w:val="00AC051B"/>
    <w:rsid w:val="00AC09F5"/>
    <w:rsid w:val="00AC0C60"/>
    <w:rsid w:val="00AC13F8"/>
    <w:rsid w:val="00AC225F"/>
    <w:rsid w:val="00AC31EC"/>
    <w:rsid w:val="00AC4F67"/>
    <w:rsid w:val="00AC51BF"/>
    <w:rsid w:val="00AC5278"/>
    <w:rsid w:val="00AC7D3E"/>
    <w:rsid w:val="00AD0931"/>
    <w:rsid w:val="00AD175D"/>
    <w:rsid w:val="00AD17BA"/>
    <w:rsid w:val="00AD219E"/>
    <w:rsid w:val="00AD4F9D"/>
    <w:rsid w:val="00AD5D81"/>
    <w:rsid w:val="00AD5ECF"/>
    <w:rsid w:val="00AD5F74"/>
    <w:rsid w:val="00AD6B25"/>
    <w:rsid w:val="00AD7B66"/>
    <w:rsid w:val="00AE3FE5"/>
    <w:rsid w:val="00AE4124"/>
    <w:rsid w:val="00AE4C2A"/>
    <w:rsid w:val="00AE5706"/>
    <w:rsid w:val="00AE61C3"/>
    <w:rsid w:val="00AE6F73"/>
    <w:rsid w:val="00AE73C2"/>
    <w:rsid w:val="00AE77D9"/>
    <w:rsid w:val="00AE7F31"/>
    <w:rsid w:val="00AF06E5"/>
    <w:rsid w:val="00AF0CF8"/>
    <w:rsid w:val="00AF0E0F"/>
    <w:rsid w:val="00AF1938"/>
    <w:rsid w:val="00AF25F4"/>
    <w:rsid w:val="00AF2738"/>
    <w:rsid w:val="00AF2819"/>
    <w:rsid w:val="00AF57FB"/>
    <w:rsid w:val="00AF5C50"/>
    <w:rsid w:val="00AF621B"/>
    <w:rsid w:val="00AF6922"/>
    <w:rsid w:val="00B00F02"/>
    <w:rsid w:val="00B00F36"/>
    <w:rsid w:val="00B01BBE"/>
    <w:rsid w:val="00B01D70"/>
    <w:rsid w:val="00B02B78"/>
    <w:rsid w:val="00B02D6B"/>
    <w:rsid w:val="00B07CA4"/>
    <w:rsid w:val="00B102E8"/>
    <w:rsid w:val="00B12FED"/>
    <w:rsid w:val="00B13C1F"/>
    <w:rsid w:val="00B146DC"/>
    <w:rsid w:val="00B149C3"/>
    <w:rsid w:val="00B14C44"/>
    <w:rsid w:val="00B14FD9"/>
    <w:rsid w:val="00B16DB9"/>
    <w:rsid w:val="00B170A4"/>
    <w:rsid w:val="00B17232"/>
    <w:rsid w:val="00B17497"/>
    <w:rsid w:val="00B17638"/>
    <w:rsid w:val="00B1768D"/>
    <w:rsid w:val="00B20E19"/>
    <w:rsid w:val="00B20F1A"/>
    <w:rsid w:val="00B21BD1"/>
    <w:rsid w:val="00B225A9"/>
    <w:rsid w:val="00B231CC"/>
    <w:rsid w:val="00B237E6"/>
    <w:rsid w:val="00B24877"/>
    <w:rsid w:val="00B249F4"/>
    <w:rsid w:val="00B25766"/>
    <w:rsid w:val="00B26ADA"/>
    <w:rsid w:val="00B274F5"/>
    <w:rsid w:val="00B3070F"/>
    <w:rsid w:val="00B30811"/>
    <w:rsid w:val="00B324ED"/>
    <w:rsid w:val="00B35885"/>
    <w:rsid w:val="00B35E82"/>
    <w:rsid w:val="00B36404"/>
    <w:rsid w:val="00B364D1"/>
    <w:rsid w:val="00B36827"/>
    <w:rsid w:val="00B3769A"/>
    <w:rsid w:val="00B3792D"/>
    <w:rsid w:val="00B40E79"/>
    <w:rsid w:val="00B41E5A"/>
    <w:rsid w:val="00B41F5A"/>
    <w:rsid w:val="00B4217C"/>
    <w:rsid w:val="00B42A97"/>
    <w:rsid w:val="00B43269"/>
    <w:rsid w:val="00B46191"/>
    <w:rsid w:val="00B4775B"/>
    <w:rsid w:val="00B47762"/>
    <w:rsid w:val="00B54B0D"/>
    <w:rsid w:val="00B56854"/>
    <w:rsid w:val="00B57F00"/>
    <w:rsid w:val="00B6009F"/>
    <w:rsid w:val="00B6477D"/>
    <w:rsid w:val="00B65FF2"/>
    <w:rsid w:val="00B675DD"/>
    <w:rsid w:val="00B67BA2"/>
    <w:rsid w:val="00B67F5C"/>
    <w:rsid w:val="00B703C3"/>
    <w:rsid w:val="00B70E81"/>
    <w:rsid w:val="00B71203"/>
    <w:rsid w:val="00B7225C"/>
    <w:rsid w:val="00B73216"/>
    <w:rsid w:val="00B7424B"/>
    <w:rsid w:val="00B74A8D"/>
    <w:rsid w:val="00B74ABD"/>
    <w:rsid w:val="00B754FE"/>
    <w:rsid w:val="00B75D33"/>
    <w:rsid w:val="00B76180"/>
    <w:rsid w:val="00B76341"/>
    <w:rsid w:val="00B77298"/>
    <w:rsid w:val="00B77F1E"/>
    <w:rsid w:val="00B77FAA"/>
    <w:rsid w:val="00B804EC"/>
    <w:rsid w:val="00B81292"/>
    <w:rsid w:val="00B824D2"/>
    <w:rsid w:val="00B826AB"/>
    <w:rsid w:val="00B8276E"/>
    <w:rsid w:val="00B83096"/>
    <w:rsid w:val="00B83F19"/>
    <w:rsid w:val="00B8450C"/>
    <w:rsid w:val="00B87CC6"/>
    <w:rsid w:val="00B91455"/>
    <w:rsid w:val="00B91B67"/>
    <w:rsid w:val="00B9218E"/>
    <w:rsid w:val="00B944EF"/>
    <w:rsid w:val="00B94EA0"/>
    <w:rsid w:val="00B97216"/>
    <w:rsid w:val="00B9796F"/>
    <w:rsid w:val="00BA01CD"/>
    <w:rsid w:val="00BA0520"/>
    <w:rsid w:val="00BA2D7F"/>
    <w:rsid w:val="00BA36EF"/>
    <w:rsid w:val="00BA43FB"/>
    <w:rsid w:val="00BA642D"/>
    <w:rsid w:val="00BB07A9"/>
    <w:rsid w:val="00BB086F"/>
    <w:rsid w:val="00BB149D"/>
    <w:rsid w:val="00BB31F9"/>
    <w:rsid w:val="00BB3B37"/>
    <w:rsid w:val="00BB48BB"/>
    <w:rsid w:val="00BB4A73"/>
    <w:rsid w:val="00BB4F95"/>
    <w:rsid w:val="00BB6D06"/>
    <w:rsid w:val="00BB7B2D"/>
    <w:rsid w:val="00BC0AD3"/>
    <w:rsid w:val="00BC1694"/>
    <w:rsid w:val="00BC2134"/>
    <w:rsid w:val="00BC2B83"/>
    <w:rsid w:val="00BC3073"/>
    <w:rsid w:val="00BC332F"/>
    <w:rsid w:val="00BC34E4"/>
    <w:rsid w:val="00BC3D82"/>
    <w:rsid w:val="00BC3ECE"/>
    <w:rsid w:val="00BC5563"/>
    <w:rsid w:val="00BC578C"/>
    <w:rsid w:val="00BC5AB2"/>
    <w:rsid w:val="00BC6003"/>
    <w:rsid w:val="00BC6FD4"/>
    <w:rsid w:val="00BC75F6"/>
    <w:rsid w:val="00BD0436"/>
    <w:rsid w:val="00BD0731"/>
    <w:rsid w:val="00BD597E"/>
    <w:rsid w:val="00BE21AC"/>
    <w:rsid w:val="00BE3173"/>
    <w:rsid w:val="00BE3A3B"/>
    <w:rsid w:val="00BE4DA4"/>
    <w:rsid w:val="00BE5FBF"/>
    <w:rsid w:val="00BE6733"/>
    <w:rsid w:val="00BE71DA"/>
    <w:rsid w:val="00BE71F3"/>
    <w:rsid w:val="00BE774A"/>
    <w:rsid w:val="00BE7B78"/>
    <w:rsid w:val="00BE7C89"/>
    <w:rsid w:val="00BF04F7"/>
    <w:rsid w:val="00BF0641"/>
    <w:rsid w:val="00BF1431"/>
    <w:rsid w:val="00BF37A8"/>
    <w:rsid w:val="00BF4B52"/>
    <w:rsid w:val="00BF5B4A"/>
    <w:rsid w:val="00BF67FD"/>
    <w:rsid w:val="00C00D52"/>
    <w:rsid w:val="00C01142"/>
    <w:rsid w:val="00C0162A"/>
    <w:rsid w:val="00C01A9C"/>
    <w:rsid w:val="00C01FBA"/>
    <w:rsid w:val="00C01FE7"/>
    <w:rsid w:val="00C02B69"/>
    <w:rsid w:val="00C034E4"/>
    <w:rsid w:val="00C03902"/>
    <w:rsid w:val="00C03F94"/>
    <w:rsid w:val="00C05F18"/>
    <w:rsid w:val="00C066E2"/>
    <w:rsid w:val="00C07799"/>
    <w:rsid w:val="00C10A47"/>
    <w:rsid w:val="00C10A9C"/>
    <w:rsid w:val="00C1108C"/>
    <w:rsid w:val="00C12814"/>
    <w:rsid w:val="00C14120"/>
    <w:rsid w:val="00C1427D"/>
    <w:rsid w:val="00C15F0E"/>
    <w:rsid w:val="00C16611"/>
    <w:rsid w:val="00C166CB"/>
    <w:rsid w:val="00C1693A"/>
    <w:rsid w:val="00C20167"/>
    <w:rsid w:val="00C20DB5"/>
    <w:rsid w:val="00C23E3F"/>
    <w:rsid w:val="00C25490"/>
    <w:rsid w:val="00C2553C"/>
    <w:rsid w:val="00C25573"/>
    <w:rsid w:val="00C255E5"/>
    <w:rsid w:val="00C27548"/>
    <w:rsid w:val="00C276B4"/>
    <w:rsid w:val="00C302AF"/>
    <w:rsid w:val="00C309FE"/>
    <w:rsid w:val="00C30C47"/>
    <w:rsid w:val="00C30CCD"/>
    <w:rsid w:val="00C3148D"/>
    <w:rsid w:val="00C32082"/>
    <w:rsid w:val="00C32BD7"/>
    <w:rsid w:val="00C330A1"/>
    <w:rsid w:val="00C33ADB"/>
    <w:rsid w:val="00C33BB9"/>
    <w:rsid w:val="00C3426E"/>
    <w:rsid w:val="00C34C17"/>
    <w:rsid w:val="00C34E3A"/>
    <w:rsid w:val="00C35C5B"/>
    <w:rsid w:val="00C362C2"/>
    <w:rsid w:val="00C37EAA"/>
    <w:rsid w:val="00C403B9"/>
    <w:rsid w:val="00C41690"/>
    <w:rsid w:val="00C41EAA"/>
    <w:rsid w:val="00C448A7"/>
    <w:rsid w:val="00C46065"/>
    <w:rsid w:val="00C4692F"/>
    <w:rsid w:val="00C47473"/>
    <w:rsid w:val="00C474B4"/>
    <w:rsid w:val="00C519A1"/>
    <w:rsid w:val="00C5377F"/>
    <w:rsid w:val="00C53DFF"/>
    <w:rsid w:val="00C53FC5"/>
    <w:rsid w:val="00C55CC1"/>
    <w:rsid w:val="00C56103"/>
    <w:rsid w:val="00C57906"/>
    <w:rsid w:val="00C6074F"/>
    <w:rsid w:val="00C609E6"/>
    <w:rsid w:val="00C61C1C"/>
    <w:rsid w:val="00C62562"/>
    <w:rsid w:val="00C6412E"/>
    <w:rsid w:val="00C644FE"/>
    <w:rsid w:val="00C64F22"/>
    <w:rsid w:val="00C6540E"/>
    <w:rsid w:val="00C65E4E"/>
    <w:rsid w:val="00C65EAC"/>
    <w:rsid w:val="00C673CC"/>
    <w:rsid w:val="00C70302"/>
    <w:rsid w:val="00C70493"/>
    <w:rsid w:val="00C71E0E"/>
    <w:rsid w:val="00C720F8"/>
    <w:rsid w:val="00C766FF"/>
    <w:rsid w:val="00C771E0"/>
    <w:rsid w:val="00C771FD"/>
    <w:rsid w:val="00C772A3"/>
    <w:rsid w:val="00C773CB"/>
    <w:rsid w:val="00C80B18"/>
    <w:rsid w:val="00C81570"/>
    <w:rsid w:val="00C81792"/>
    <w:rsid w:val="00C817F5"/>
    <w:rsid w:val="00C81800"/>
    <w:rsid w:val="00C824FB"/>
    <w:rsid w:val="00C8421A"/>
    <w:rsid w:val="00C84ED4"/>
    <w:rsid w:val="00C85B68"/>
    <w:rsid w:val="00C85F32"/>
    <w:rsid w:val="00C865E1"/>
    <w:rsid w:val="00C877FF"/>
    <w:rsid w:val="00C903F7"/>
    <w:rsid w:val="00C91133"/>
    <w:rsid w:val="00C921B0"/>
    <w:rsid w:val="00C95CCD"/>
    <w:rsid w:val="00C9653A"/>
    <w:rsid w:val="00C97541"/>
    <w:rsid w:val="00C977DB"/>
    <w:rsid w:val="00C97D24"/>
    <w:rsid w:val="00CA0C53"/>
    <w:rsid w:val="00CA2294"/>
    <w:rsid w:val="00CA26C8"/>
    <w:rsid w:val="00CA27FF"/>
    <w:rsid w:val="00CA2B32"/>
    <w:rsid w:val="00CA2F84"/>
    <w:rsid w:val="00CA3271"/>
    <w:rsid w:val="00CA3B16"/>
    <w:rsid w:val="00CA4917"/>
    <w:rsid w:val="00CA4930"/>
    <w:rsid w:val="00CA52DF"/>
    <w:rsid w:val="00CA5619"/>
    <w:rsid w:val="00CA5973"/>
    <w:rsid w:val="00CA5D52"/>
    <w:rsid w:val="00CA611A"/>
    <w:rsid w:val="00CA64E7"/>
    <w:rsid w:val="00CA73C5"/>
    <w:rsid w:val="00CA7626"/>
    <w:rsid w:val="00CA7A19"/>
    <w:rsid w:val="00CB002A"/>
    <w:rsid w:val="00CB0A98"/>
    <w:rsid w:val="00CB154E"/>
    <w:rsid w:val="00CB1F89"/>
    <w:rsid w:val="00CB251A"/>
    <w:rsid w:val="00CB36D8"/>
    <w:rsid w:val="00CB390B"/>
    <w:rsid w:val="00CB4D12"/>
    <w:rsid w:val="00CB63A2"/>
    <w:rsid w:val="00CB6B0D"/>
    <w:rsid w:val="00CC000C"/>
    <w:rsid w:val="00CC0E40"/>
    <w:rsid w:val="00CC1115"/>
    <w:rsid w:val="00CC1539"/>
    <w:rsid w:val="00CC1B92"/>
    <w:rsid w:val="00CC218D"/>
    <w:rsid w:val="00CC2276"/>
    <w:rsid w:val="00CC24EB"/>
    <w:rsid w:val="00CC3CB0"/>
    <w:rsid w:val="00CC453A"/>
    <w:rsid w:val="00CC4F16"/>
    <w:rsid w:val="00CC5122"/>
    <w:rsid w:val="00CC6072"/>
    <w:rsid w:val="00CC69B1"/>
    <w:rsid w:val="00CD1C48"/>
    <w:rsid w:val="00CD1F48"/>
    <w:rsid w:val="00CD3890"/>
    <w:rsid w:val="00CD5DDA"/>
    <w:rsid w:val="00CD5F35"/>
    <w:rsid w:val="00CD6154"/>
    <w:rsid w:val="00CD6E0C"/>
    <w:rsid w:val="00CD7A4B"/>
    <w:rsid w:val="00CE006C"/>
    <w:rsid w:val="00CE0DD9"/>
    <w:rsid w:val="00CE0F6B"/>
    <w:rsid w:val="00CE1437"/>
    <w:rsid w:val="00CE14AF"/>
    <w:rsid w:val="00CE1620"/>
    <w:rsid w:val="00CE2199"/>
    <w:rsid w:val="00CE3746"/>
    <w:rsid w:val="00CE3865"/>
    <w:rsid w:val="00CE4475"/>
    <w:rsid w:val="00CF1132"/>
    <w:rsid w:val="00CF1646"/>
    <w:rsid w:val="00CF2E5F"/>
    <w:rsid w:val="00CF307B"/>
    <w:rsid w:val="00CF30D4"/>
    <w:rsid w:val="00CF508B"/>
    <w:rsid w:val="00CF5545"/>
    <w:rsid w:val="00CF67EB"/>
    <w:rsid w:val="00CF7103"/>
    <w:rsid w:val="00CF7ED3"/>
    <w:rsid w:val="00D00F21"/>
    <w:rsid w:val="00D02194"/>
    <w:rsid w:val="00D024AE"/>
    <w:rsid w:val="00D04B64"/>
    <w:rsid w:val="00D04FE7"/>
    <w:rsid w:val="00D05052"/>
    <w:rsid w:val="00D051DE"/>
    <w:rsid w:val="00D058E8"/>
    <w:rsid w:val="00D05CFD"/>
    <w:rsid w:val="00D07C90"/>
    <w:rsid w:val="00D07D51"/>
    <w:rsid w:val="00D11318"/>
    <w:rsid w:val="00D122BA"/>
    <w:rsid w:val="00D13371"/>
    <w:rsid w:val="00D14D84"/>
    <w:rsid w:val="00D15820"/>
    <w:rsid w:val="00D16267"/>
    <w:rsid w:val="00D17C12"/>
    <w:rsid w:val="00D2328D"/>
    <w:rsid w:val="00D23A2F"/>
    <w:rsid w:val="00D23FB1"/>
    <w:rsid w:val="00D24430"/>
    <w:rsid w:val="00D246E9"/>
    <w:rsid w:val="00D26E67"/>
    <w:rsid w:val="00D2777E"/>
    <w:rsid w:val="00D27A2F"/>
    <w:rsid w:val="00D3023A"/>
    <w:rsid w:val="00D31329"/>
    <w:rsid w:val="00D315B3"/>
    <w:rsid w:val="00D31830"/>
    <w:rsid w:val="00D35521"/>
    <w:rsid w:val="00D36CE2"/>
    <w:rsid w:val="00D401A7"/>
    <w:rsid w:val="00D40235"/>
    <w:rsid w:val="00D41F84"/>
    <w:rsid w:val="00D43207"/>
    <w:rsid w:val="00D456D2"/>
    <w:rsid w:val="00D459B2"/>
    <w:rsid w:val="00D4640B"/>
    <w:rsid w:val="00D503AA"/>
    <w:rsid w:val="00D514B8"/>
    <w:rsid w:val="00D5268C"/>
    <w:rsid w:val="00D52D5A"/>
    <w:rsid w:val="00D54D3A"/>
    <w:rsid w:val="00D55208"/>
    <w:rsid w:val="00D5616C"/>
    <w:rsid w:val="00D569FD"/>
    <w:rsid w:val="00D5752B"/>
    <w:rsid w:val="00D57AD5"/>
    <w:rsid w:val="00D57D3D"/>
    <w:rsid w:val="00D60141"/>
    <w:rsid w:val="00D60A5E"/>
    <w:rsid w:val="00D612BD"/>
    <w:rsid w:val="00D61908"/>
    <w:rsid w:val="00D61F02"/>
    <w:rsid w:val="00D620F8"/>
    <w:rsid w:val="00D63D1E"/>
    <w:rsid w:val="00D65CAB"/>
    <w:rsid w:val="00D667D4"/>
    <w:rsid w:val="00D67AA1"/>
    <w:rsid w:val="00D67BE3"/>
    <w:rsid w:val="00D70646"/>
    <w:rsid w:val="00D70F6B"/>
    <w:rsid w:val="00D717DA"/>
    <w:rsid w:val="00D72AD3"/>
    <w:rsid w:val="00D72E0E"/>
    <w:rsid w:val="00D72FCB"/>
    <w:rsid w:val="00D7667F"/>
    <w:rsid w:val="00D77FC2"/>
    <w:rsid w:val="00D80832"/>
    <w:rsid w:val="00D81642"/>
    <w:rsid w:val="00D86849"/>
    <w:rsid w:val="00D86C13"/>
    <w:rsid w:val="00D87503"/>
    <w:rsid w:val="00D919F1"/>
    <w:rsid w:val="00D92DC8"/>
    <w:rsid w:val="00D92FC4"/>
    <w:rsid w:val="00D9365E"/>
    <w:rsid w:val="00D9424D"/>
    <w:rsid w:val="00D94AA5"/>
    <w:rsid w:val="00D94C48"/>
    <w:rsid w:val="00D95468"/>
    <w:rsid w:val="00D95BA8"/>
    <w:rsid w:val="00D97058"/>
    <w:rsid w:val="00DA0594"/>
    <w:rsid w:val="00DA0662"/>
    <w:rsid w:val="00DA0A6C"/>
    <w:rsid w:val="00DA136A"/>
    <w:rsid w:val="00DA2132"/>
    <w:rsid w:val="00DA229B"/>
    <w:rsid w:val="00DA29EE"/>
    <w:rsid w:val="00DA2CC3"/>
    <w:rsid w:val="00DA40C8"/>
    <w:rsid w:val="00DA4EFF"/>
    <w:rsid w:val="00DA5A43"/>
    <w:rsid w:val="00DA5F04"/>
    <w:rsid w:val="00DA750B"/>
    <w:rsid w:val="00DA7F70"/>
    <w:rsid w:val="00DB0B62"/>
    <w:rsid w:val="00DB174E"/>
    <w:rsid w:val="00DB1BFE"/>
    <w:rsid w:val="00DB33F0"/>
    <w:rsid w:val="00DB3B57"/>
    <w:rsid w:val="00DB406D"/>
    <w:rsid w:val="00DB4A90"/>
    <w:rsid w:val="00DB52EF"/>
    <w:rsid w:val="00DB543B"/>
    <w:rsid w:val="00DB55E2"/>
    <w:rsid w:val="00DB6D28"/>
    <w:rsid w:val="00DC0DD5"/>
    <w:rsid w:val="00DC110B"/>
    <w:rsid w:val="00DC3C8E"/>
    <w:rsid w:val="00DC524D"/>
    <w:rsid w:val="00DC56B6"/>
    <w:rsid w:val="00DC5CCA"/>
    <w:rsid w:val="00DC6047"/>
    <w:rsid w:val="00DC67FF"/>
    <w:rsid w:val="00DC7CCC"/>
    <w:rsid w:val="00DD19A9"/>
    <w:rsid w:val="00DD38AB"/>
    <w:rsid w:val="00DD4410"/>
    <w:rsid w:val="00DD48A0"/>
    <w:rsid w:val="00DD5A3B"/>
    <w:rsid w:val="00DD6935"/>
    <w:rsid w:val="00DE001A"/>
    <w:rsid w:val="00DE0ABE"/>
    <w:rsid w:val="00DE0E10"/>
    <w:rsid w:val="00DE1B39"/>
    <w:rsid w:val="00DE2135"/>
    <w:rsid w:val="00DE3321"/>
    <w:rsid w:val="00DE4EED"/>
    <w:rsid w:val="00DE6EBE"/>
    <w:rsid w:val="00DE7A74"/>
    <w:rsid w:val="00DE7C2D"/>
    <w:rsid w:val="00DE7C60"/>
    <w:rsid w:val="00DF15E1"/>
    <w:rsid w:val="00DF1A62"/>
    <w:rsid w:val="00DF24F6"/>
    <w:rsid w:val="00DF317D"/>
    <w:rsid w:val="00DF5758"/>
    <w:rsid w:val="00DF68E3"/>
    <w:rsid w:val="00DF7DB3"/>
    <w:rsid w:val="00E00106"/>
    <w:rsid w:val="00E01113"/>
    <w:rsid w:val="00E01738"/>
    <w:rsid w:val="00E0199B"/>
    <w:rsid w:val="00E0491C"/>
    <w:rsid w:val="00E04A36"/>
    <w:rsid w:val="00E06C6A"/>
    <w:rsid w:val="00E11E75"/>
    <w:rsid w:val="00E122B2"/>
    <w:rsid w:val="00E12F57"/>
    <w:rsid w:val="00E12F72"/>
    <w:rsid w:val="00E13265"/>
    <w:rsid w:val="00E158F2"/>
    <w:rsid w:val="00E15FCC"/>
    <w:rsid w:val="00E1690D"/>
    <w:rsid w:val="00E16AB9"/>
    <w:rsid w:val="00E16E3F"/>
    <w:rsid w:val="00E170FE"/>
    <w:rsid w:val="00E17F01"/>
    <w:rsid w:val="00E20159"/>
    <w:rsid w:val="00E20DE3"/>
    <w:rsid w:val="00E21510"/>
    <w:rsid w:val="00E21867"/>
    <w:rsid w:val="00E22677"/>
    <w:rsid w:val="00E22E7A"/>
    <w:rsid w:val="00E23AF0"/>
    <w:rsid w:val="00E24AB3"/>
    <w:rsid w:val="00E24D88"/>
    <w:rsid w:val="00E252D0"/>
    <w:rsid w:val="00E2555F"/>
    <w:rsid w:val="00E277F2"/>
    <w:rsid w:val="00E3019A"/>
    <w:rsid w:val="00E3205C"/>
    <w:rsid w:val="00E338E8"/>
    <w:rsid w:val="00E3399F"/>
    <w:rsid w:val="00E35E69"/>
    <w:rsid w:val="00E367B4"/>
    <w:rsid w:val="00E36CCD"/>
    <w:rsid w:val="00E376A3"/>
    <w:rsid w:val="00E40473"/>
    <w:rsid w:val="00E40573"/>
    <w:rsid w:val="00E4184F"/>
    <w:rsid w:val="00E41976"/>
    <w:rsid w:val="00E427F5"/>
    <w:rsid w:val="00E42B4B"/>
    <w:rsid w:val="00E44076"/>
    <w:rsid w:val="00E4472E"/>
    <w:rsid w:val="00E44A65"/>
    <w:rsid w:val="00E45452"/>
    <w:rsid w:val="00E460A7"/>
    <w:rsid w:val="00E464AC"/>
    <w:rsid w:val="00E5074C"/>
    <w:rsid w:val="00E50861"/>
    <w:rsid w:val="00E51218"/>
    <w:rsid w:val="00E52161"/>
    <w:rsid w:val="00E52976"/>
    <w:rsid w:val="00E5319E"/>
    <w:rsid w:val="00E531AD"/>
    <w:rsid w:val="00E55256"/>
    <w:rsid w:val="00E55A83"/>
    <w:rsid w:val="00E55E9A"/>
    <w:rsid w:val="00E56AF6"/>
    <w:rsid w:val="00E5756F"/>
    <w:rsid w:val="00E60466"/>
    <w:rsid w:val="00E62201"/>
    <w:rsid w:val="00E63C66"/>
    <w:rsid w:val="00E64712"/>
    <w:rsid w:val="00E64954"/>
    <w:rsid w:val="00E65267"/>
    <w:rsid w:val="00E65CF7"/>
    <w:rsid w:val="00E66093"/>
    <w:rsid w:val="00E66704"/>
    <w:rsid w:val="00E66A0F"/>
    <w:rsid w:val="00E67B88"/>
    <w:rsid w:val="00E711FE"/>
    <w:rsid w:val="00E715E0"/>
    <w:rsid w:val="00E72500"/>
    <w:rsid w:val="00E7255F"/>
    <w:rsid w:val="00E7368D"/>
    <w:rsid w:val="00E738BB"/>
    <w:rsid w:val="00E73958"/>
    <w:rsid w:val="00E73D5E"/>
    <w:rsid w:val="00E74069"/>
    <w:rsid w:val="00E754A4"/>
    <w:rsid w:val="00E76497"/>
    <w:rsid w:val="00E77C27"/>
    <w:rsid w:val="00E80C55"/>
    <w:rsid w:val="00E81247"/>
    <w:rsid w:val="00E81F49"/>
    <w:rsid w:val="00E832D6"/>
    <w:rsid w:val="00E83BD5"/>
    <w:rsid w:val="00E83FA9"/>
    <w:rsid w:val="00E84268"/>
    <w:rsid w:val="00E87A0A"/>
    <w:rsid w:val="00E90B0D"/>
    <w:rsid w:val="00E91A1B"/>
    <w:rsid w:val="00E931C0"/>
    <w:rsid w:val="00E95965"/>
    <w:rsid w:val="00E95D3C"/>
    <w:rsid w:val="00E9666E"/>
    <w:rsid w:val="00E96FCE"/>
    <w:rsid w:val="00E976CC"/>
    <w:rsid w:val="00EA0CC3"/>
    <w:rsid w:val="00EA2766"/>
    <w:rsid w:val="00EA44C7"/>
    <w:rsid w:val="00EA5C26"/>
    <w:rsid w:val="00EA6D18"/>
    <w:rsid w:val="00EA7457"/>
    <w:rsid w:val="00EA75AF"/>
    <w:rsid w:val="00EA7775"/>
    <w:rsid w:val="00EB1505"/>
    <w:rsid w:val="00EB3807"/>
    <w:rsid w:val="00EB6EA4"/>
    <w:rsid w:val="00EB76EB"/>
    <w:rsid w:val="00EC0258"/>
    <w:rsid w:val="00EC0A75"/>
    <w:rsid w:val="00EC1D26"/>
    <w:rsid w:val="00EC26A5"/>
    <w:rsid w:val="00EC3837"/>
    <w:rsid w:val="00EC3AC4"/>
    <w:rsid w:val="00EC4AD5"/>
    <w:rsid w:val="00EC5699"/>
    <w:rsid w:val="00EC650E"/>
    <w:rsid w:val="00EC77FE"/>
    <w:rsid w:val="00ED0726"/>
    <w:rsid w:val="00ED0F59"/>
    <w:rsid w:val="00ED12F1"/>
    <w:rsid w:val="00ED1E97"/>
    <w:rsid w:val="00ED4C19"/>
    <w:rsid w:val="00ED4C46"/>
    <w:rsid w:val="00ED62F1"/>
    <w:rsid w:val="00ED6F5D"/>
    <w:rsid w:val="00EE031D"/>
    <w:rsid w:val="00EE1CE3"/>
    <w:rsid w:val="00EE2E2A"/>
    <w:rsid w:val="00EE3D1D"/>
    <w:rsid w:val="00EE48F3"/>
    <w:rsid w:val="00EE4D21"/>
    <w:rsid w:val="00EE621E"/>
    <w:rsid w:val="00EE66DA"/>
    <w:rsid w:val="00EE67FB"/>
    <w:rsid w:val="00EF0115"/>
    <w:rsid w:val="00EF01FB"/>
    <w:rsid w:val="00EF0286"/>
    <w:rsid w:val="00EF2469"/>
    <w:rsid w:val="00EF31C2"/>
    <w:rsid w:val="00EF4E09"/>
    <w:rsid w:val="00EF5D8B"/>
    <w:rsid w:val="00EF613D"/>
    <w:rsid w:val="00EF6616"/>
    <w:rsid w:val="00EF690A"/>
    <w:rsid w:val="00EF6F8A"/>
    <w:rsid w:val="00EF6FFF"/>
    <w:rsid w:val="00F0058A"/>
    <w:rsid w:val="00F00E9F"/>
    <w:rsid w:val="00F015C0"/>
    <w:rsid w:val="00F01EEE"/>
    <w:rsid w:val="00F021DD"/>
    <w:rsid w:val="00F029BA"/>
    <w:rsid w:val="00F02C65"/>
    <w:rsid w:val="00F0389F"/>
    <w:rsid w:val="00F04990"/>
    <w:rsid w:val="00F04999"/>
    <w:rsid w:val="00F04B33"/>
    <w:rsid w:val="00F04BCF"/>
    <w:rsid w:val="00F04D0C"/>
    <w:rsid w:val="00F05925"/>
    <w:rsid w:val="00F06218"/>
    <w:rsid w:val="00F06C6C"/>
    <w:rsid w:val="00F120B8"/>
    <w:rsid w:val="00F1235B"/>
    <w:rsid w:val="00F132B7"/>
    <w:rsid w:val="00F13A49"/>
    <w:rsid w:val="00F14F5A"/>
    <w:rsid w:val="00F15A9A"/>
    <w:rsid w:val="00F16B90"/>
    <w:rsid w:val="00F17836"/>
    <w:rsid w:val="00F17CDF"/>
    <w:rsid w:val="00F2031A"/>
    <w:rsid w:val="00F213E4"/>
    <w:rsid w:val="00F23148"/>
    <w:rsid w:val="00F241E3"/>
    <w:rsid w:val="00F25AD9"/>
    <w:rsid w:val="00F26096"/>
    <w:rsid w:val="00F27219"/>
    <w:rsid w:val="00F2731D"/>
    <w:rsid w:val="00F27B93"/>
    <w:rsid w:val="00F308C9"/>
    <w:rsid w:val="00F311DE"/>
    <w:rsid w:val="00F3132D"/>
    <w:rsid w:val="00F3137C"/>
    <w:rsid w:val="00F315F4"/>
    <w:rsid w:val="00F323CD"/>
    <w:rsid w:val="00F32562"/>
    <w:rsid w:val="00F32F20"/>
    <w:rsid w:val="00F35978"/>
    <w:rsid w:val="00F35E27"/>
    <w:rsid w:val="00F36748"/>
    <w:rsid w:val="00F36804"/>
    <w:rsid w:val="00F36C6B"/>
    <w:rsid w:val="00F36DDA"/>
    <w:rsid w:val="00F37075"/>
    <w:rsid w:val="00F41215"/>
    <w:rsid w:val="00F42E31"/>
    <w:rsid w:val="00F43BE9"/>
    <w:rsid w:val="00F44581"/>
    <w:rsid w:val="00F4462F"/>
    <w:rsid w:val="00F45171"/>
    <w:rsid w:val="00F454C0"/>
    <w:rsid w:val="00F461CA"/>
    <w:rsid w:val="00F463BC"/>
    <w:rsid w:val="00F470B5"/>
    <w:rsid w:val="00F472D5"/>
    <w:rsid w:val="00F52CE4"/>
    <w:rsid w:val="00F539D4"/>
    <w:rsid w:val="00F53FD4"/>
    <w:rsid w:val="00F541FB"/>
    <w:rsid w:val="00F54B3E"/>
    <w:rsid w:val="00F54BA4"/>
    <w:rsid w:val="00F54FCD"/>
    <w:rsid w:val="00F55032"/>
    <w:rsid w:val="00F56A53"/>
    <w:rsid w:val="00F56BB6"/>
    <w:rsid w:val="00F603F7"/>
    <w:rsid w:val="00F60756"/>
    <w:rsid w:val="00F61123"/>
    <w:rsid w:val="00F61E4A"/>
    <w:rsid w:val="00F6214F"/>
    <w:rsid w:val="00F632D5"/>
    <w:rsid w:val="00F63CBC"/>
    <w:rsid w:val="00F64A5D"/>
    <w:rsid w:val="00F64F6B"/>
    <w:rsid w:val="00F65961"/>
    <w:rsid w:val="00F7049A"/>
    <w:rsid w:val="00F70BB1"/>
    <w:rsid w:val="00F71044"/>
    <w:rsid w:val="00F71240"/>
    <w:rsid w:val="00F71500"/>
    <w:rsid w:val="00F716E2"/>
    <w:rsid w:val="00F726AC"/>
    <w:rsid w:val="00F7324C"/>
    <w:rsid w:val="00F741D9"/>
    <w:rsid w:val="00F75E50"/>
    <w:rsid w:val="00F76EA2"/>
    <w:rsid w:val="00F80066"/>
    <w:rsid w:val="00F80F69"/>
    <w:rsid w:val="00F818A7"/>
    <w:rsid w:val="00F832BB"/>
    <w:rsid w:val="00F84CF3"/>
    <w:rsid w:val="00F8512B"/>
    <w:rsid w:val="00F86E57"/>
    <w:rsid w:val="00F87D43"/>
    <w:rsid w:val="00F87F74"/>
    <w:rsid w:val="00F91F6C"/>
    <w:rsid w:val="00F923F2"/>
    <w:rsid w:val="00F92AB2"/>
    <w:rsid w:val="00F92AFC"/>
    <w:rsid w:val="00F943D4"/>
    <w:rsid w:val="00FA0315"/>
    <w:rsid w:val="00FA0B19"/>
    <w:rsid w:val="00FA1424"/>
    <w:rsid w:val="00FA3896"/>
    <w:rsid w:val="00FA4B6E"/>
    <w:rsid w:val="00FA5717"/>
    <w:rsid w:val="00FA5959"/>
    <w:rsid w:val="00FA6396"/>
    <w:rsid w:val="00FA6DD8"/>
    <w:rsid w:val="00FA777E"/>
    <w:rsid w:val="00FB1A67"/>
    <w:rsid w:val="00FB1C38"/>
    <w:rsid w:val="00FB382C"/>
    <w:rsid w:val="00FB4317"/>
    <w:rsid w:val="00FB470F"/>
    <w:rsid w:val="00FB5F80"/>
    <w:rsid w:val="00FB6145"/>
    <w:rsid w:val="00FB658F"/>
    <w:rsid w:val="00FB6693"/>
    <w:rsid w:val="00FB7F33"/>
    <w:rsid w:val="00FC05AE"/>
    <w:rsid w:val="00FC0B33"/>
    <w:rsid w:val="00FC2D9B"/>
    <w:rsid w:val="00FC4441"/>
    <w:rsid w:val="00FC47E7"/>
    <w:rsid w:val="00FC5520"/>
    <w:rsid w:val="00FC5AAD"/>
    <w:rsid w:val="00FC709B"/>
    <w:rsid w:val="00FD2655"/>
    <w:rsid w:val="00FD37AE"/>
    <w:rsid w:val="00FD388A"/>
    <w:rsid w:val="00FE0B75"/>
    <w:rsid w:val="00FE1166"/>
    <w:rsid w:val="00FE4337"/>
    <w:rsid w:val="00FE5DAD"/>
    <w:rsid w:val="00FE5DD9"/>
    <w:rsid w:val="00FE6980"/>
    <w:rsid w:val="00FE6DD4"/>
    <w:rsid w:val="00FF00EE"/>
    <w:rsid w:val="00FF2CFA"/>
    <w:rsid w:val="00FF3862"/>
    <w:rsid w:val="00FF3AFC"/>
    <w:rsid w:val="00FF41E2"/>
    <w:rsid w:val="00FF473C"/>
    <w:rsid w:val="00FF5AA1"/>
    <w:rsid w:val="00FF73AC"/>
    <w:rsid w:val="0B0E2745"/>
    <w:rsid w:val="0C2A1E4E"/>
    <w:rsid w:val="3529188C"/>
    <w:rsid w:val="50100CEA"/>
    <w:rsid w:val="661B2C87"/>
    <w:rsid w:val="6F91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8C1F4"/>
  <w15:docId w15:val="{7DB1998C-FB00-4F06-9A0F-244F795A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1">
    <w:name w:val="heading 1"/>
    <w:basedOn w:val="a0"/>
    <w:next w:val="a0"/>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0"/>
    <w:next w:val="a0"/>
    <w:link w:val="21"/>
    <w:uiPriority w:val="9"/>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0"/>
    <w:next w:val="a0"/>
    <w:link w:val="30"/>
    <w:qFormat/>
    <w:pPr>
      <w:keepNext/>
      <w:keepLines/>
      <w:spacing w:before="260" w:after="260" w:line="416" w:lineRule="auto"/>
      <w:outlineLvl w:val="2"/>
    </w:pPr>
    <w:rPr>
      <w:b/>
      <w:bCs/>
      <w:kern w:val="0"/>
      <w:sz w:val="20"/>
      <w:szCs w:val="32"/>
    </w:rPr>
  </w:style>
  <w:style w:type="paragraph" w:styleId="4">
    <w:name w:val="heading 4"/>
    <w:basedOn w:val="a0"/>
    <w:next w:val="a0"/>
    <w:link w:val="40"/>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0"/>
    <w:next w:val="a0"/>
    <w:link w:val="60"/>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0"/>
    <w:next w:val="a0"/>
    <w:link w:val="80"/>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spacing w:after="120" w:line="360" w:lineRule="auto"/>
      <w:ind w:left="2520" w:firstLine="480"/>
    </w:pPr>
    <w:rPr>
      <w:rFonts w:ascii="宋体" w:hAnsi="宋体" w:cs="Arial"/>
      <w:bCs/>
      <w:color w:val="000000"/>
      <w:kern w:val="0"/>
      <w:szCs w:val="21"/>
      <w:lang w:val="zh-CN"/>
    </w:rPr>
  </w:style>
  <w:style w:type="paragraph" w:styleId="a4">
    <w:name w:val="Normal Indent"/>
    <w:basedOn w:val="a0"/>
    <w:qFormat/>
    <w:pPr>
      <w:ind w:firstLine="420"/>
    </w:pPr>
    <w:rPr>
      <w:szCs w:val="20"/>
    </w:rPr>
  </w:style>
  <w:style w:type="paragraph" w:styleId="a5">
    <w:name w:val="caption"/>
    <w:basedOn w:val="a0"/>
    <w:next w:val="a0"/>
    <w:unhideWhenUsed/>
    <w:qFormat/>
    <w:pPr>
      <w:spacing w:line="360" w:lineRule="auto"/>
      <w:ind w:firstLineChars="200" w:firstLine="200"/>
    </w:pPr>
    <w:rPr>
      <w:rFonts w:ascii="Cambria" w:eastAsia="黑体" w:hAnsi="Cambria"/>
      <w:sz w:val="20"/>
      <w:szCs w:val="20"/>
    </w:rPr>
  </w:style>
  <w:style w:type="paragraph" w:styleId="a6">
    <w:name w:val="List Bullet"/>
    <w:basedOn w:val="a0"/>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7">
    <w:name w:val="Document Map"/>
    <w:basedOn w:val="a0"/>
    <w:link w:val="a8"/>
    <w:qFormat/>
    <w:pPr>
      <w:shd w:val="clear" w:color="auto" w:fill="000080"/>
      <w:spacing w:after="120" w:line="360" w:lineRule="auto"/>
      <w:ind w:firstLine="480"/>
    </w:pPr>
    <w:rPr>
      <w:rFonts w:ascii="宋体" w:hAnsi="宋体"/>
      <w:bCs/>
      <w:color w:val="000000"/>
      <w:kern w:val="0"/>
      <w:sz w:val="20"/>
      <w:szCs w:val="21"/>
      <w:lang w:val="zh-CN"/>
    </w:rPr>
  </w:style>
  <w:style w:type="paragraph" w:styleId="a9">
    <w:name w:val="annotation text"/>
    <w:basedOn w:val="a0"/>
    <w:link w:val="aa"/>
    <w:uiPriority w:val="99"/>
    <w:qFormat/>
    <w:pPr>
      <w:jc w:val="left"/>
    </w:pPr>
    <w:rPr>
      <w:kern w:val="0"/>
      <w:sz w:val="20"/>
    </w:rPr>
  </w:style>
  <w:style w:type="paragraph" w:styleId="ab">
    <w:name w:val="Body Text"/>
    <w:basedOn w:val="a0"/>
    <w:link w:val="ac"/>
    <w:qFormat/>
    <w:rPr>
      <w:rFonts w:ascii="宋体" w:hAnsi="宋体"/>
      <w:kern w:val="0"/>
      <w:sz w:val="24"/>
      <w:szCs w:val="21"/>
    </w:rPr>
  </w:style>
  <w:style w:type="paragraph" w:styleId="ad">
    <w:name w:val="Body Text Indent"/>
    <w:basedOn w:val="a0"/>
    <w:link w:val="ae"/>
    <w:qFormat/>
    <w:pPr>
      <w:ind w:firstLine="540"/>
    </w:pPr>
    <w:rPr>
      <w:kern w:val="0"/>
      <w:sz w:val="24"/>
      <w:szCs w:val="20"/>
    </w:rPr>
  </w:style>
  <w:style w:type="paragraph" w:styleId="TOC5">
    <w:name w:val="toc 5"/>
    <w:basedOn w:val="a0"/>
    <w:next w:val="a0"/>
    <w:qFormat/>
    <w:pPr>
      <w:spacing w:after="120" w:line="360" w:lineRule="auto"/>
      <w:ind w:left="1680" w:firstLine="480"/>
    </w:pPr>
    <w:rPr>
      <w:rFonts w:ascii="宋体" w:hAnsi="宋体" w:cs="Arial"/>
      <w:bCs/>
      <w:color w:val="000000"/>
      <w:kern w:val="0"/>
      <w:szCs w:val="21"/>
      <w:lang w:val="zh-CN"/>
    </w:rPr>
  </w:style>
  <w:style w:type="paragraph" w:styleId="TOC3">
    <w:name w:val="toc 3"/>
    <w:basedOn w:val="a0"/>
    <w:next w:val="a0"/>
    <w:qFormat/>
    <w:pPr>
      <w:spacing w:after="120" w:line="360" w:lineRule="auto"/>
      <w:ind w:left="840" w:firstLine="480"/>
    </w:pPr>
    <w:rPr>
      <w:rFonts w:ascii="宋体" w:hAnsi="宋体" w:cs="Arial"/>
      <w:bCs/>
      <w:color w:val="000000"/>
      <w:kern w:val="0"/>
      <w:szCs w:val="21"/>
      <w:lang w:val="zh-CN"/>
    </w:rPr>
  </w:style>
  <w:style w:type="paragraph" w:styleId="af">
    <w:name w:val="Plain Text"/>
    <w:basedOn w:val="a0"/>
    <w:link w:val="af0"/>
    <w:qFormat/>
    <w:pPr>
      <w:widowControl/>
      <w:spacing w:before="100" w:beforeAutospacing="1" w:after="100" w:afterAutospacing="1"/>
      <w:jc w:val="left"/>
    </w:pPr>
    <w:rPr>
      <w:rFonts w:ascii="Arial Unicode MS" w:eastAsia="Arial Unicode MS" w:hAnsi="Arial Unicode MS"/>
      <w:kern w:val="0"/>
      <w:sz w:val="24"/>
    </w:rPr>
  </w:style>
  <w:style w:type="paragraph" w:styleId="TOC8">
    <w:name w:val="toc 8"/>
    <w:basedOn w:val="a0"/>
    <w:next w:val="a0"/>
    <w:qFormat/>
    <w:pPr>
      <w:spacing w:after="120" w:line="360" w:lineRule="auto"/>
      <w:ind w:left="2940" w:firstLine="480"/>
    </w:pPr>
    <w:rPr>
      <w:rFonts w:ascii="宋体" w:hAnsi="宋体" w:cs="Arial"/>
      <w:bCs/>
      <w:color w:val="000000"/>
      <w:kern w:val="0"/>
      <w:szCs w:val="21"/>
      <w:lang w:val="zh-CN"/>
    </w:rPr>
  </w:style>
  <w:style w:type="paragraph" w:styleId="af1">
    <w:name w:val="Date"/>
    <w:basedOn w:val="a0"/>
    <w:next w:val="a0"/>
    <w:link w:val="af2"/>
    <w:qFormat/>
    <w:pPr>
      <w:ind w:leftChars="2500" w:left="100"/>
    </w:pPr>
    <w:rPr>
      <w:rFonts w:ascii="宋体" w:hAnsi="宋体"/>
      <w:kern w:val="0"/>
      <w:sz w:val="24"/>
      <w:szCs w:val="21"/>
    </w:rPr>
  </w:style>
  <w:style w:type="paragraph" w:styleId="22">
    <w:name w:val="Body Text Indent 2"/>
    <w:basedOn w:val="a0"/>
    <w:link w:val="23"/>
    <w:qFormat/>
    <w:pPr>
      <w:tabs>
        <w:tab w:val="left" w:pos="1110"/>
      </w:tabs>
      <w:spacing w:line="360" w:lineRule="auto"/>
      <w:ind w:firstLineChars="200" w:firstLine="420"/>
    </w:pPr>
    <w:rPr>
      <w:rFonts w:ascii="宋体" w:hAnsi="宋体"/>
      <w:color w:val="FF0000"/>
      <w:kern w:val="0"/>
      <w:sz w:val="20"/>
    </w:rPr>
  </w:style>
  <w:style w:type="paragraph" w:styleId="af3">
    <w:name w:val="endnote text"/>
    <w:basedOn w:val="a0"/>
    <w:link w:val="af4"/>
    <w:qFormat/>
    <w:pPr>
      <w:snapToGrid w:val="0"/>
      <w:jc w:val="left"/>
    </w:pPr>
    <w:rPr>
      <w:kern w:val="0"/>
      <w:sz w:val="20"/>
      <w:szCs w:val="20"/>
    </w:rPr>
  </w:style>
  <w:style w:type="paragraph" w:styleId="af5">
    <w:name w:val="Balloon Text"/>
    <w:basedOn w:val="a0"/>
    <w:link w:val="af6"/>
    <w:semiHidden/>
    <w:qFormat/>
    <w:rPr>
      <w:kern w:val="0"/>
      <w:sz w:val="18"/>
      <w:szCs w:val="18"/>
    </w:rPr>
  </w:style>
  <w:style w:type="paragraph" w:styleId="af7">
    <w:name w:val="footer"/>
    <w:basedOn w:val="a0"/>
    <w:link w:val="af8"/>
    <w:uiPriority w:val="99"/>
    <w:qFormat/>
    <w:pPr>
      <w:tabs>
        <w:tab w:val="center" w:pos="4153"/>
        <w:tab w:val="right" w:pos="8306"/>
      </w:tabs>
      <w:snapToGrid w:val="0"/>
      <w:jc w:val="left"/>
    </w:pPr>
    <w:rPr>
      <w:kern w:val="0"/>
      <w:sz w:val="18"/>
      <w:szCs w:val="18"/>
    </w:rPr>
  </w:style>
  <w:style w:type="paragraph" w:styleId="af9">
    <w:name w:val="header"/>
    <w:basedOn w:val="a0"/>
    <w:link w:val="afa"/>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uiPriority w:val="39"/>
    <w:qFormat/>
    <w:pPr>
      <w:tabs>
        <w:tab w:val="right" w:leader="dot" w:pos="8295"/>
      </w:tabs>
      <w:snapToGrid w:val="0"/>
      <w:spacing w:line="360" w:lineRule="auto"/>
    </w:pPr>
    <w:rPr>
      <w:rFonts w:ascii="宋体" w:hAnsi="宋体"/>
      <w:caps/>
      <w:sz w:val="24"/>
    </w:rPr>
  </w:style>
  <w:style w:type="paragraph" w:styleId="TOC4">
    <w:name w:val="toc 4"/>
    <w:basedOn w:val="a0"/>
    <w:next w:val="a0"/>
    <w:qFormat/>
    <w:pPr>
      <w:spacing w:after="120" w:line="360" w:lineRule="auto"/>
      <w:ind w:left="1260" w:firstLine="480"/>
    </w:pPr>
    <w:rPr>
      <w:rFonts w:ascii="宋体" w:hAnsi="宋体" w:cs="Arial"/>
      <w:bCs/>
      <w:color w:val="000000"/>
      <w:kern w:val="0"/>
      <w:szCs w:val="21"/>
      <w:lang w:val="zh-CN"/>
    </w:rPr>
  </w:style>
  <w:style w:type="paragraph" w:styleId="afb">
    <w:name w:val="footnote text"/>
    <w:basedOn w:val="a0"/>
    <w:link w:val="afc"/>
    <w:qFormat/>
    <w:pPr>
      <w:snapToGrid w:val="0"/>
      <w:jc w:val="left"/>
    </w:pPr>
    <w:rPr>
      <w:kern w:val="0"/>
      <w:sz w:val="18"/>
      <w:szCs w:val="18"/>
    </w:rPr>
  </w:style>
  <w:style w:type="paragraph" w:styleId="TOC6">
    <w:name w:val="toc 6"/>
    <w:basedOn w:val="a0"/>
    <w:next w:val="a0"/>
    <w:qFormat/>
    <w:pPr>
      <w:spacing w:after="120" w:line="360" w:lineRule="auto"/>
      <w:ind w:left="2100" w:firstLine="480"/>
    </w:pPr>
    <w:rPr>
      <w:rFonts w:ascii="宋体" w:hAnsi="宋体" w:cs="Arial"/>
      <w:bCs/>
      <w:color w:val="000000"/>
      <w:kern w:val="0"/>
      <w:szCs w:val="21"/>
      <w:lang w:val="zh-CN"/>
    </w:rPr>
  </w:style>
  <w:style w:type="paragraph" w:styleId="31">
    <w:name w:val="Body Text Indent 3"/>
    <w:basedOn w:val="a0"/>
    <w:link w:val="32"/>
    <w:qFormat/>
    <w:pPr>
      <w:spacing w:line="360" w:lineRule="auto"/>
      <w:ind w:firstLine="425"/>
    </w:pPr>
    <w:rPr>
      <w:rFonts w:ascii="宋体"/>
      <w:kern w:val="0"/>
      <w:sz w:val="20"/>
    </w:rPr>
  </w:style>
  <w:style w:type="paragraph" w:styleId="TOC2">
    <w:name w:val="toc 2"/>
    <w:basedOn w:val="a0"/>
    <w:next w:val="a0"/>
    <w:qFormat/>
    <w:pPr>
      <w:spacing w:after="120" w:line="360" w:lineRule="auto"/>
      <w:ind w:left="420" w:firstLine="480"/>
    </w:pPr>
    <w:rPr>
      <w:rFonts w:ascii="宋体" w:hAnsi="宋体" w:cs="Arial"/>
      <w:bCs/>
      <w:color w:val="000000"/>
      <w:kern w:val="0"/>
      <w:szCs w:val="21"/>
      <w:lang w:val="zh-CN"/>
    </w:rPr>
  </w:style>
  <w:style w:type="paragraph" w:styleId="TOC9">
    <w:name w:val="toc 9"/>
    <w:basedOn w:val="a0"/>
    <w:next w:val="a0"/>
    <w:qFormat/>
    <w:pPr>
      <w:spacing w:after="120" w:line="360" w:lineRule="auto"/>
      <w:ind w:left="3360" w:firstLine="480"/>
    </w:pPr>
    <w:rPr>
      <w:rFonts w:ascii="宋体" w:hAnsi="宋体" w:cs="Arial"/>
      <w:bCs/>
      <w:color w:val="000000"/>
      <w:kern w:val="0"/>
      <w:szCs w:val="21"/>
      <w:lang w:val="zh-CN"/>
    </w:rPr>
  </w:style>
  <w:style w:type="paragraph" w:styleId="24">
    <w:name w:val="Body Text 2"/>
    <w:basedOn w:val="a0"/>
    <w:link w:val="25"/>
    <w:qFormat/>
    <w:rPr>
      <w:kern w:val="0"/>
      <w:sz w:val="28"/>
      <w:szCs w:val="20"/>
    </w:rPr>
  </w:style>
  <w:style w:type="paragraph" w:styleId="afd">
    <w:name w:val="Normal (Web)"/>
    <w:basedOn w:val="a0"/>
    <w:uiPriority w:val="99"/>
    <w:qFormat/>
    <w:pPr>
      <w:widowControl/>
      <w:spacing w:before="100" w:beforeAutospacing="1" w:after="100" w:afterAutospacing="1"/>
      <w:jc w:val="left"/>
    </w:pPr>
    <w:rPr>
      <w:rFonts w:ascii="宋体" w:hAnsi="宋体"/>
      <w:kern w:val="0"/>
      <w:sz w:val="24"/>
    </w:rPr>
  </w:style>
  <w:style w:type="paragraph" w:styleId="afe">
    <w:name w:val="Title"/>
    <w:basedOn w:val="a0"/>
    <w:link w:val="aff"/>
    <w:qFormat/>
    <w:pPr>
      <w:autoSpaceDE w:val="0"/>
      <w:autoSpaceDN w:val="0"/>
      <w:adjustRightInd w:val="0"/>
      <w:spacing w:before="240" w:after="60"/>
      <w:jc w:val="center"/>
      <w:textAlignment w:val="baseline"/>
      <w:outlineLvl w:val="0"/>
    </w:pPr>
    <w:rPr>
      <w:rFonts w:ascii="Arial" w:hAnsi="Arial"/>
      <w:b/>
      <w:bCs/>
      <w:kern w:val="0"/>
      <w:sz w:val="32"/>
      <w:szCs w:val="32"/>
    </w:rPr>
  </w:style>
  <w:style w:type="paragraph" w:styleId="aff0">
    <w:name w:val="annotation subject"/>
    <w:basedOn w:val="a9"/>
    <w:next w:val="a9"/>
    <w:link w:val="aff1"/>
    <w:qFormat/>
    <w:rPr>
      <w:b/>
      <w:bCs/>
    </w:rPr>
  </w:style>
  <w:style w:type="paragraph" w:styleId="aff2">
    <w:name w:val="Body Text First Indent"/>
    <w:basedOn w:val="ab"/>
    <w:link w:val="aff3"/>
    <w:qFormat/>
    <w:pPr>
      <w:spacing w:after="120"/>
      <w:ind w:firstLineChars="100" w:firstLine="420"/>
    </w:pPr>
    <w:rPr>
      <w:rFonts w:ascii="Times New Roman" w:hAnsi="Times New Roman"/>
      <w:szCs w:val="24"/>
    </w:rPr>
  </w:style>
  <w:style w:type="table" w:styleId="aff4">
    <w:name w:val="Table Grid"/>
    <w:basedOn w:val="a2"/>
    <w:uiPriority w:val="3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qFormat/>
    <w:pPr>
      <w:widowControl w:val="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ff6">
    <w:name w:val="Strong"/>
    <w:uiPriority w:val="22"/>
    <w:qFormat/>
    <w:rPr>
      <w:b/>
      <w:bCs/>
    </w:rPr>
  </w:style>
  <w:style w:type="character" w:styleId="aff7">
    <w:name w:val="endnote reference"/>
    <w:qFormat/>
    <w:rPr>
      <w:vertAlign w:val="superscript"/>
    </w:rPr>
  </w:style>
  <w:style w:type="character" w:styleId="aff8">
    <w:name w:val="page number"/>
    <w:basedOn w:val="a1"/>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styleId="affd">
    <w:name w:val="footnote reference"/>
    <w:qFormat/>
    <w:rPr>
      <w:vertAlign w:val="superscript"/>
    </w:rPr>
  </w:style>
  <w:style w:type="character" w:customStyle="1" w:styleId="12">
    <w:name w:val="标题 1 字符"/>
    <w:link w:val="11"/>
    <w:qFormat/>
    <w:rPr>
      <w:rFonts w:ascii="宋体" w:eastAsia="黑体" w:hAnsi="Times New Roman" w:cs="Times New Roman"/>
      <w:kern w:val="0"/>
      <w:sz w:val="24"/>
      <w:szCs w:val="20"/>
    </w:rPr>
  </w:style>
  <w:style w:type="character" w:customStyle="1" w:styleId="21">
    <w:name w:val="标题 2 字符"/>
    <w:link w:val="20"/>
    <w:uiPriority w:val="9"/>
    <w:qFormat/>
    <w:rPr>
      <w:rFonts w:ascii="Arial" w:eastAsia="黑体" w:hAnsi="Arial" w:cs="Times New Roman"/>
      <w:b/>
      <w:kern w:val="0"/>
      <w:sz w:val="32"/>
      <w:szCs w:val="20"/>
    </w:rPr>
  </w:style>
  <w:style w:type="character" w:customStyle="1" w:styleId="30">
    <w:name w:val="标题 3 字符"/>
    <w:link w:val="3"/>
    <w:qFormat/>
    <w:rPr>
      <w:rFonts w:ascii="Times New Roman" w:hAnsi="Times New Roman"/>
      <w:b/>
      <w:bCs/>
      <w:szCs w:val="32"/>
    </w:rPr>
  </w:style>
  <w:style w:type="character" w:customStyle="1" w:styleId="40">
    <w:name w:val="标题 4 字符"/>
    <w:link w:val="4"/>
    <w:qFormat/>
    <w:rPr>
      <w:rFonts w:ascii="Arial" w:eastAsia="黑体" w:hAnsi="Arial" w:cs="Times New Roman"/>
      <w:b/>
      <w:kern w:val="0"/>
      <w:sz w:val="28"/>
      <w:szCs w:val="20"/>
    </w:rPr>
  </w:style>
  <w:style w:type="character" w:customStyle="1" w:styleId="50">
    <w:name w:val="标题 5 字符"/>
    <w:link w:val="5"/>
    <w:qFormat/>
    <w:rPr>
      <w:rFonts w:ascii="宋体"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宋体"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qFormat/>
    <w:rPr>
      <w:rFonts w:ascii="Arial" w:eastAsia="黑体" w:hAnsi="Arial"/>
    </w:rPr>
  </w:style>
  <w:style w:type="paragraph" w:customStyle="1" w:styleId="Char">
    <w:name w:val="Char"/>
    <w:basedOn w:val="a0"/>
    <w:qFormat/>
    <w:pPr>
      <w:widowControl/>
      <w:spacing w:after="160" w:line="240" w:lineRule="exact"/>
      <w:jc w:val="left"/>
    </w:pPr>
    <w:rPr>
      <w:rFonts w:ascii="Verdana" w:hAnsi="Verdana"/>
      <w:kern w:val="0"/>
      <w:sz w:val="20"/>
      <w:szCs w:val="20"/>
      <w:lang w:eastAsia="en-US"/>
    </w:rPr>
  </w:style>
  <w:style w:type="character" w:customStyle="1" w:styleId="afa">
    <w:name w:val="页眉 字符"/>
    <w:link w:val="af9"/>
    <w:uiPriority w:val="99"/>
    <w:qFormat/>
    <w:rPr>
      <w:rFonts w:ascii="Times New Roman" w:hAnsi="Times New Roman"/>
      <w:sz w:val="18"/>
      <w:szCs w:val="18"/>
    </w:rPr>
  </w:style>
  <w:style w:type="character" w:customStyle="1" w:styleId="af8">
    <w:name w:val="页脚 字符"/>
    <w:link w:val="af7"/>
    <w:uiPriority w:val="99"/>
    <w:qFormat/>
    <w:rPr>
      <w:rFonts w:ascii="Times New Roman" w:hAnsi="Times New Roman"/>
      <w:sz w:val="18"/>
      <w:szCs w:val="18"/>
    </w:rPr>
  </w:style>
  <w:style w:type="character" w:customStyle="1" w:styleId="af2">
    <w:name w:val="日期 字符"/>
    <w:link w:val="af1"/>
    <w:qFormat/>
    <w:rPr>
      <w:rFonts w:ascii="宋体" w:eastAsia="宋体" w:hAnsi="宋体" w:cs="Times New Roman"/>
      <w:kern w:val="0"/>
      <w:sz w:val="24"/>
      <w:szCs w:val="21"/>
    </w:rPr>
  </w:style>
  <w:style w:type="character" w:customStyle="1" w:styleId="ac">
    <w:name w:val="正文文本 字符"/>
    <w:link w:val="ab"/>
    <w:qFormat/>
    <w:rPr>
      <w:rFonts w:ascii="宋体" w:eastAsia="宋体" w:hAnsi="宋体" w:cs="Times New Roman"/>
      <w:kern w:val="0"/>
      <w:sz w:val="24"/>
      <w:szCs w:val="21"/>
    </w:rPr>
  </w:style>
  <w:style w:type="character" w:customStyle="1" w:styleId="ae">
    <w:name w:val="正文文本缩进 字符"/>
    <w:link w:val="ad"/>
    <w:qFormat/>
    <w:rPr>
      <w:rFonts w:ascii="Times New Roman" w:hAnsi="Times New Roman"/>
      <w:sz w:val="24"/>
    </w:rPr>
  </w:style>
  <w:style w:type="character" w:customStyle="1" w:styleId="25">
    <w:name w:val="正文文本 2 字符"/>
    <w:link w:val="24"/>
    <w:qFormat/>
    <w:rPr>
      <w:rFonts w:ascii="Times New Roman" w:hAnsi="Times New Roman"/>
      <w:sz w:val="28"/>
    </w:rPr>
  </w:style>
  <w:style w:type="character" w:customStyle="1" w:styleId="tt11">
    <w:name w:val="tt11"/>
    <w:qFormat/>
    <w:rPr>
      <w:spacing w:val="400"/>
      <w:sz w:val="22"/>
      <w:szCs w:val="22"/>
    </w:rPr>
  </w:style>
  <w:style w:type="character" w:customStyle="1" w:styleId="23">
    <w:name w:val="正文文本缩进 2 字符"/>
    <w:link w:val="22"/>
    <w:qFormat/>
    <w:rPr>
      <w:rFonts w:ascii="宋体" w:hAnsi="宋体"/>
      <w:color w:val="FF0000"/>
      <w:szCs w:val="24"/>
    </w:rPr>
  </w:style>
  <w:style w:type="character" w:customStyle="1" w:styleId="c">
    <w:name w:val="c"/>
    <w:basedOn w:val="a1"/>
    <w:qFormat/>
  </w:style>
  <w:style w:type="character" w:customStyle="1" w:styleId="32">
    <w:name w:val="正文文本缩进 3 字符"/>
    <w:link w:val="31"/>
    <w:qFormat/>
    <w:rPr>
      <w:rFonts w:ascii="宋体" w:hAnsi="Times New Roman"/>
      <w:szCs w:val="24"/>
    </w:rPr>
  </w:style>
  <w:style w:type="character" w:customStyle="1" w:styleId="read">
    <w:name w:val="read"/>
    <w:basedOn w:val="a1"/>
    <w:qFormat/>
  </w:style>
  <w:style w:type="character" w:customStyle="1" w:styleId="read1">
    <w:name w:val="read1"/>
    <w:qFormat/>
    <w:rPr>
      <w:rFonts w:hint="default"/>
      <w:color w:val="000000"/>
      <w:spacing w:val="450"/>
      <w:u w:val="none"/>
    </w:rPr>
  </w:style>
  <w:style w:type="paragraph" w:customStyle="1" w:styleId="2">
    <w:name w:val="列表2"/>
    <w:basedOn w:val="a0"/>
    <w:next w:val="afe"/>
    <w:qFormat/>
    <w:pPr>
      <w:numPr>
        <w:numId w:val="1"/>
      </w:numPr>
      <w:spacing w:line="360" w:lineRule="auto"/>
    </w:pPr>
    <w:rPr>
      <w:rFonts w:ascii="宋体"/>
      <w:szCs w:val="20"/>
    </w:rPr>
  </w:style>
  <w:style w:type="character" w:customStyle="1" w:styleId="aff">
    <w:name w:val="标题 字符"/>
    <w:link w:val="afe"/>
    <w:qFormat/>
    <w:rPr>
      <w:rFonts w:ascii="Arial" w:eastAsia="宋体" w:hAnsi="Arial" w:cs="Arial"/>
      <w:b/>
      <w:bCs/>
      <w:kern w:val="0"/>
      <w:sz w:val="32"/>
      <w:szCs w:val="32"/>
    </w:rPr>
  </w:style>
  <w:style w:type="paragraph" w:customStyle="1" w:styleId="1">
    <w:name w:val="列表1"/>
    <w:basedOn w:val="a0"/>
    <w:next w:val="a0"/>
    <w:qFormat/>
    <w:pPr>
      <w:numPr>
        <w:numId w:val="2"/>
      </w:numPr>
      <w:spacing w:line="360" w:lineRule="auto"/>
    </w:pPr>
    <w:rPr>
      <w:szCs w:val="20"/>
    </w:rPr>
  </w:style>
  <w:style w:type="paragraph" w:customStyle="1" w:styleId="Default">
    <w:name w:val="Default"/>
    <w:pPr>
      <w:widowControl w:val="0"/>
      <w:autoSpaceDE w:val="0"/>
      <w:autoSpaceDN w:val="0"/>
      <w:adjustRightInd w:val="0"/>
    </w:pPr>
    <w:rPr>
      <w:rFonts w:ascii="宋体" w:hAnsi="Times New Roman"/>
      <w:color w:val="000000"/>
      <w:sz w:val="24"/>
      <w:szCs w:val="24"/>
    </w:rPr>
  </w:style>
  <w:style w:type="character" w:customStyle="1" w:styleId="font21">
    <w:name w:val="font21"/>
    <w:qFormat/>
    <w:rPr>
      <w:color w:val="CC6600"/>
      <w:sz w:val="20"/>
      <w:szCs w:val="20"/>
    </w:rPr>
  </w:style>
  <w:style w:type="character" w:customStyle="1" w:styleId="big1">
    <w:name w:val="big1"/>
    <w:rPr>
      <w:spacing w:val="360"/>
      <w:sz w:val="25"/>
      <w:szCs w:val="25"/>
    </w:rPr>
  </w:style>
  <w:style w:type="paragraph" w:customStyle="1" w:styleId="content">
    <w:name w:val="content"/>
    <w:basedOn w:val="a0"/>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1">
    <w:name w:val="标题4"/>
    <w:basedOn w:val="ad"/>
    <w:pPr>
      <w:spacing w:line="360" w:lineRule="auto"/>
      <w:ind w:firstLine="0"/>
    </w:pPr>
    <w:rPr>
      <w:szCs w:val="24"/>
    </w:rPr>
  </w:style>
  <w:style w:type="character" w:customStyle="1" w:styleId="af0">
    <w:name w:val="纯文本 字符"/>
    <w:link w:val="af"/>
    <w:qFormat/>
    <w:rPr>
      <w:rFonts w:ascii="Arial Unicode MS" w:eastAsia="Arial Unicode MS" w:hAnsi="Arial Unicode MS" w:cs="Arial Unicode MS"/>
      <w:kern w:val="0"/>
      <w:sz w:val="24"/>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0"/>
    <w:qFormat/>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0"/>
    <w:qFormat/>
    <w:pPr>
      <w:spacing w:line="360" w:lineRule="auto"/>
    </w:pPr>
    <w:rPr>
      <w:rFonts w:ascii="宋体" w:hAnsi="宋体"/>
      <w:sz w:val="24"/>
      <w:szCs w:val="20"/>
    </w:rPr>
  </w:style>
  <w:style w:type="paragraph" w:customStyle="1" w:styleId="affe">
    <w:name w:val="正文所"/>
    <w:basedOn w:val="a0"/>
    <w:pPr>
      <w:spacing w:line="360" w:lineRule="auto"/>
      <w:ind w:firstLineChars="200" w:firstLine="420"/>
    </w:pPr>
    <w:rPr>
      <w:rFonts w:ascii="宋体"/>
      <w:szCs w:val="20"/>
    </w:rPr>
  </w:style>
  <w:style w:type="paragraph" w:customStyle="1" w:styleId="afff">
    <w:name w:val="正文正文"/>
    <w:basedOn w:val="a0"/>
    <w:qFormat/>
    <w:pPr>
      <w:spacing w:afterLines="25" w:line="360" w:lineRule="auto"/>
      <w:ind w:firstLineChars="200" w:firstLine="200"/>
    </w:pPr>
    <w:rPr>
      <w:sz w:val="24"/>
    </w:rPr>
  </w:style>
  <w:style w:type="paragraph" w:customStyle="1" w:styleId="CharCharCharChar">
    <w:name w:val="Char Char Char Char"/>
    <w:basedOn w:val="a0"/>
    <w:qFormat/>
    <w:pPr>
      <w:tabs>
        <w:tab w:val="left" w:pos="360"/>
      </w:tabs>
    </w:pPr>
    <w:rPr>
      <w:sz w:val="24"/>
    </w:rPr>
  </w:style>
  <w:style w:type="character" w:customStyle="1" w:styleId="afc">
    <w:name w:val="脚注文本 字符"/>
    <w:link w:val="afb"/>
    <w:qFormat/>
    <w:rPr>
      <w:rFonts w:ascii="Times New Roman" w:hAnsi="Times New Roman"/>
      <w:sz w:val="18"/>
      <w:szCs w:val="18"/>
    </w:rPr>
  </w:style>
  <w:style w:type="paragraph" w:customStyle="1" w:styleId="Char2">
    <w:name w:val="Char2"/>
    <w:basedOn w:val="a0"/>
    <w:qFormat/>
  </w:style>
  <w:style w:type="paragraph" w:customStyle="1" w:styleId="Char1CharCharCharChar">
    <w:name w:val="Char1 Char Char Char Char"/>
    <w:basedOn w:val="a0"/>
    <w:qFormat/>
    <w:pPr>
      <w:widowControl/>
      <w:spacing w:after="160" w:line="240" w:lineRule="exact"/>
      <w:jc w:val="left"/>
    </w:pPr>
    <w:rPr>
      <w:rFonts w:ascii="Verdana" w:hAnsi="Verdana" w:cs="Verdana"/>
      <w:kern w:val="0"/>
      <w:sz w:val="20"/>
      <w:szCs w:val="20"/>
      <w:lang w:eastAsia="en-US"/>
    </w:rPr>
  </w:style>
  <w:style w:type="character" w:customStyle="1" w:styleId="af6">
    <w:name w:val="批注框文本 字符"/>
    <w:link w:val="af5"/>
    <w:semiHidden/>
    <w:qFormat/>
    <w:rPr>
      <w:rFonts w:ascii="Times New Roman" w:hAnsi="Times New Roman"/>
      <w:sz w:val="18"/>
      <w:szCs w:val="18"/>
    </w:rPr>
  </w:style>
  <w:style w:type="paragraph" w:customStyle="1" w:styleId="ParaChar">
    <w:name w:val="默认段落字体 Para Char"/>
    <w:basedOn w:val="a0"/>
    <w:qFormat/>
    <w:pPr>
      <w:tabs>
        <w:tab w:val="left" w:pos="757"/>
      </w:tabs>
      <w:ind w:firstLine="397"/>
    </w:pPr>
    <w:rPr>
      <w:sz w:val="24"/>
    </w:rPr>
  </w:style>
  <w:style w:type="character" w:customStyle="1" w:styleId="msoins0">
    <w:name w:val="msoins"/>
    <w:basedOn w:val="a1"/>
    <w:qFormat/>
  </w:style>
  <w:style w:type="character" w:customStyle="1" w:styleId="aa">
    <w:name w:val="批注文字 字符"/>
    <w:link w:val="a9"/>
    <w:uiPriority w:val="99"/>
    <w:qFormat/>
    <w:rPr>
      <w:rFonts w:ascii="Times New Roman" w:hAnsi="Times New Roman"/>
      <w:szCs w:val="24"/>
    </w:rPr>
  </w:style>
  <w:style w:type="character" w:customStyle="1" w:styleId="aff1">
    <w:name w:val="批注主题 字符"/>
    <w:link w:val="aff0"/>
    <w:qFormat/>
    <w:rPr>
      <w:rFonts w:ascii="Times New Roman" w:hAnsi="Times New Roman"/>
      <w:b/>
      <w:bCs/>
      <w:szCs w:val="24"/>
    </w:rPr>
  </w:style>
  <w:style w:type="character" w:customStyle="1" w:styleId="unnamed11">
    <w:name w:val="unnamed11"/>
    <w:qFormat/>
    <w:rPr>
      <w:rFonts w:ascii="宋体" w:eastAsia="宋体" w:hAnsi="宋体" w:hint="eastAsia"/>
      <w:sz w:val="18"/>
      <w:szCs w:val="18"/>
    </w:rPr>
  </w:style>
  <w:style w:type="character" w:customStyle="1" w:styleId="aff3">
    <w:name w:val="正文文本首行缩进 字符"/>
    <w:link w:val="aff2"/>
    <w:qFormat/>
    <w:rPr>
      <w:rFonts w:ascii="Times New Roman" w:hAnsi="Times New Roman"/>
      <w:sz w:val="24"/>
      <w:szCs w:val="24"/>
    </w:rPr>
  </w:style>
  <w:style w:type="paragraph" w:customStyle="1" w:styleId="BS8">
    <w:name w:val="BS标题8"/>
    <w:basedOn w:val="20"/>
    <w:link w:val="BS8Char"/>
    <w:qFormat/>
    <w:pPr>
      <w:keepNext w:val="0"/>
      <w:keepLines w:val="0"/>
      <w:autoSpaceDE/>
      <w:autoSpaceDN/>
      <w:adjustRightInd/>
      <w:spacing w:before="120" w:after="120" w:line="240" w:lineRule="auto"/>
      <w:ind w:left="737" w:hanging="425"/>
      <w:textAlignment w:val="auto"/>
    </w:pPr>
    <w:rPr>
      <w:rFonts w:ascii="Times New Roman" w:eastAsia="宋体" w:hAnsi="Times New Roman"/>
      <w:b w:val="0"/>
      <w:sz w:val="20"/>
      <w:szCs w:val="32"/>
    </w:rPr>
  </w:style>
  <w:style w:type="character" w:customStyle="1" w:styleId="BS8Char">
    <w:name w:val="BS标题8 Char"/>
    <w:link w:val="BS8"/>
    <w:qFormat/>
    <w:rPr>
      <w:rFonts w:ascii="Times New Roman" w:hAnsi="Times New Roman"/>
      <w:szCs w:val="32"/>
    </w:rPr>
  </w:style>
  <w:style w:type="paragraph" w:customStyle="1" w:styleId="14">
    <w:name w:val="修订1"/>
    <w:hidden/>
    <w:uiPriority w:val="99"/>
    <w:semiHidden/>
    <w:qFormat/>
    <w:rPr>
      <w:rFonts w:ascii="Times New Roman" w:hAnsi="Times New Roman"/>
      <w:kern w:val="2"/>
      <w:sz w:val="21"/>
      <w:szCs w:val="24"/>
    </w:rPr>
  </w:style>
  <w:style w:type="character" w:customStyle="1" w:styleId="a8">
    <w:name w:val="文档结构图 字符"/>
    <w:link w:val="a7"/>
    <w:qFormat/>
    <w:rPr>
      <w:rFonts w:ascii="宋体" w:hAnsi="宋体"/>
      <w:bCs/>
      <w:color w:val="000000"/>
      <w:szCs w:val="21"/>
      <w:shd w:val="clear" w:color="auto" w:fill="000080"/>
      <w:lang w:val="zh-CN"/>
    </w:rPr>
  </w:style>
  <w:style w:type="paragraph" w:customStyle="1" w:styleId="26">
    <w:name w:val="编号正文2"/>
    <w:basedOn w:val="a0"/>
    <w:qFormat/>
    <w:pPr>
      <w:autoSpaceDE w:val="0"/>
      <w:autoSpaceDN w:val="0"/>
      <w:adjustRightInd w:val="0"/>
      <w:spacing w:after="120" w:line="300" w:lineRule="auto"/>
      <w:ind w:firstLine="480"/>
      <w:textAlignment w:val="baseline"/>
    </w:pPr>
    <w:rPr>
      <w:rFonts w:ascii="宋体"/>
      <w:color w:val="000000"/>
      <w:kern w:val="0"/>
      <w:szCs w:val="21"/>
      <w:lang w:val="zh-CN"/>
    </w:rPr>
  </w:style>
  <w:style w:type="paragraph" w:customStyle="1" w:styleId="a">
    <w:name w:val="项目"/>
    <w:basedOn w:val="4"/>
    <w:qFormat/>
    <w:pPr>
      <w:numPr>
        <w:ilvl w:val="3"/>
        <w:numId w:val="4"/>
      </w:numPr>
      <w:autoSpaceDE/>
      <w:autoSpaceDN/>
      <w:adjustRightInd/>
      <w:snapToGrid w:val="0"/>
      <w:spacing w:before="120" w:after="120" w:line="360" w:lineRule="auto"/>
      <w:textAlignment w:val="auto"/>
    </w:pPr>
    <w:rPr>
      <w:rFonts w:ascii="Times New Roman" w:eastAsia="楷体_GB2312" w:hAnsi="Times New Roman"/>
      <w:b w:val="0"/>
      <w:bCs/>
      <w:kern w:val="2"/>
      <w:sz w:val="24"/>
    </w:rPr>
  </w:style>
  <w:style w:type="character" w:customStyle="1" w:styleId="txtcontent11">
    <w:name w:val="txtcontent11"/>
    <w:qFormat/>
    <w:rPr>
      <w:rFonts w:ascii="ˎ̥" w:hAnsi="ˎ̥" w:hint="default"/>
      <w:color w:val="000000"/>
      <w:sz w:val="21"/>
      <w:szCs w:val="21"/>
    </w:rPr>
  </w:style>
  <w:style w:type="paragraph" w:styleId="afff0">
    <w:name w:val="List Paragraph"/>
    <w:basedOn w:val="a0"/>
    <w:uiPriority w:val="34"/>
    <w:qFormat/>
    <w:pPr>
      <w:spacing w:after="120" w:line="360" w:lineRule="auto"/>
      <w:ind w:firstLineChars="200" w:firstLine="420"/>
    </w:pPr>
    <w:rPr>
      <w:rFonts w:ascii="宋体" w:hAnsi="宋体" w:cs="Arial"/>
      <w:bCs/>
      <w:color w:val="000000"/>
      <w:kern w:val="0"/>
      <w:szCs w:val="21"/>
      <w:lang w:val="zh-CN"/>
    </w:rPr>
  </w:style>
  <w:style w:type="character" w:customStyle="1" w:styleId="c1">
    <w:name w:val="c1"/>
    <w:qFormat/>
    <w:rPr>
      <w:color w:val="000000"/>
      <w:spacing w:val="257"/>
      <w:sz w:val="15"/>
      <w:szCs w:val="15"/>
    </w:rPr>
  </w:style>
  <w:style w:type="character" w:customStyle="1" w:styleId="af4">
    <w:name w:val="尾注文本 字符"/>
    <w:link w:val="af3"/>
    <w:qFormat/>
    <w:rPr>
      <w:rFonts w:ascii="Times New Roman" w:hAnsi="Times New Roman"/>
    </w:rPr>
  </w:style>
  <w:style w:type="paragraph" w:customStyle="1" w:styleId="CharCharCharCharChar1Char">
    <w:name w:val="Char Char Char Char Char1 Char"/>
    <w:basedOn w:val="a0"/>
    <w:qFormat/>
  </w:style>
  <w:style w:type="paragraph" w:customStyle="1" w:styleId="CharCharCharChar1">
    <w:name w:val="Char Char Char Char1"/>
    <w:basedOn w:val="a0"/>
    <w:qFormat/>
    <w:pPr>
      <w:tabs>
        <w:tab w:val="left" w:pos="360"/>
      </w:tabs>
      <w:spacing w:before="312" w:after="312" w:line="360" w:lineRule="auto"/>
    </w:pPr>
    <w:rPr>
      <w:sz w:val="24"/>
    </w:rPr>
  </w:style>
  <w:style w:type="paragraph" w:customStyle="1" w:styleId="16">
    <w:name w:val="列出段落1"/>
    <w:basedOn w:val="a0"/>
    <w:qFormat/>
    <w:pPr>
      <w:ind w:firstLineChars="200" w:firstLine="420"/>
    </w:pPr>
    <w:rPr>
      <w:rFonts w:ascii="Calibri" w:hAnsi="Calibri"/>
      <w:szCs w:val="22"/>
    </w:rPr>
  </w:style>
  <w:style w:type="paragraph" w:customStyle="1" w:styleId="Char1">
    <w:name w:val="Char1"/>
    <w:basedOn w:val="a0"/>
    <w:qFormat/>
    <w:pPr>
      <w:tabs>
        <w:tab w:val="left" w:pos="360"/>
      </w:tabs>
    </w:pPr>
    <w:rPr>
      <w:sz w:val="24"/>
    </w:rPr>
  </w:style>
  <w:style w:type="paragraph" w:customStyle="1" w:styleId="ParaCharCharCharCharCharCharChar">
    <w:name w:val="默认段落字体 Para Char Char Char Char Char Char Char"/>
    <w:basedOn w:val="a0"/>
    <w:qFormat/>
    <w:pPr>
      <w:widowControl/>
      <w:jc w:val="left"/>
    </w:pPr>
    <w:rPr>
      <w:sz w:val="24"/>
    </w:rPr>
  </w:style>
  <w:style w:type="paragraph" w:customStyle="1" w:styleId="CharCharCharChar11">
    <w:name w:val="Char Char Char Char11"/>
    <w:basedOn w:val="a0"/>
    <w:qFormat/>
    <w:rPr>
      <w:szCs w:val="20"/>
    </w:rPr>
  </w:style>
  <w:style w:type="character" w:customStyle="1" w:styleId="apple-style-span">
    <w:name w:val="apple-style-span"/>
    <w:basedOn w:val="a1"/>
    <w:qFormat/>
  </w:style>
  <w:style w:type="paragraph" w:customStyle="1" w:styleId="Char3">
    <w:name w:val="Char3"/>
    <w:basedOn w:val="a0"/>
    <w:qFormat/>
    <w:pPr>
      <w:tabs>
        <w:tab w:val="left" w:pos="360"/>
      </w:tabs>
    </w:pPr>
    <w:rPr>
      <w:sz w:val="24"/>
    </w:rPr>
  </w:style>
  <w:style w:type="paragraph" w:customStyle="1" w:styleId="CharCharCharChar12">
    <w:name w:val="Char Char Char Char12"/>
    <w:basedOn w:val="a0"/>
    <w:qFormat/>
    <w:rPr>
      <w:szCs w:val="20"/>
    </w:rPr>
  </w:style>
  <w:style w:type="paragraph" w:customStyle="1" w:styleId="zhangjiep">
    <w:name w:val="zhangjie_p"/>
    <w:basedOn w:val="a0"/>
    <w:qFormat/>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zhangjiep2">
    <w:name w:val="zhangjie_p2"/>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left">
    <w:name w:val="biaoge_left"/>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0"/>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0"/>
    <w:qFormat/>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neirong">
    <w:name w:val="neirong"/>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hide">
    <w:name w:val="hide"/>
    <w:basedOn w:val="a0"/>
    <w:qFormat/>
    <w:pPr>
      <w:widowControl/>
      <w:spacing w:before="100" w:beforeAutospacing="1" w:after="100" w:afterAutospacing="1"/>
      <w:jc w:val="left"/>
    </w:pPr>
    <w:rPr>
      <w:rFonts w:ascii="宋体" w:hAnsi="宋体" w:cs="宋体"/>
      <w:vanish/>
      <w:kern w:val="0"/>
      <w:sz w:val="24"/>
    </w:rPr>
  </w:style>
  <w:style w:type="paragraph" w:customStyle="1" w:styleId="27">
    <w:name w:val="修订2"/>
    <w:hidden/>
    <w:uiPriority w:val="99"/>
    <w:semiHidden/>
    <w:qFormat/>
    <w:rPr>
      <w:rFonts w:ascii="Times New Roman" w:hAnsi="Times New Roman"/>
      <w:kern w:val="2"/>
      <w:sz w:val="21"/>
      <w:szCs w:val="24"/>
    </w:rPr>
  </w:style>
  <w:style w:type="table" w:customStyle="1" w:styleId="17">
    <w:name w:val="网格型1"/>
    <w:basedOn w:val="a2"/>
    <w:uiPriority w:val="3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修订3"/>
    <w:hidden/>
    <w:uiPriority w:val="99"/>
    <w:semiHidden/>
    <w:qFormat/>
    <w:rPr>
      <w:rFonts w:ascii="Times New Roman" w:hAnsi="Times New Roman"/>
      <w:kern w:val="2"/>
      <w:sz w:val="21"/>
      <w:szCs w:val="24"/>
    </w:rPr>
  </w:style>
  <w:style w:type="paragraph" w:customStyle="1" w:styleId="42">
    <w:name w:val="修订4"/>
    <w:hidden/>
    <w:uiPriority w:val="99"/>
    <w:unhideWhenUsed/>
    <w:rPr>
      <w:rFonts w:ascii="Times New Roman" w:hAnsi="Times New Roman"/>
      <w:kern w:val="2"/>
      <w:sz w:val="21"/>
      <w:szCs w:val="24"/>
    </w:rPr>
  </w:style>
  <w:style w:type="paragraph" w:styleId="afff1">
    <w:name w:val="Revision"/>
    <w:hidden/>
    <w:uiPriority w:val="99"/>
    <w:unhideWhenUsed/>
    <w:rsid w:val="0084617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footer" Target="footer10.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jpeg"/><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image" Target="media/image1.jpe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6DA4-D3A0-4B3D-82A9-177CFE071E52}">
  <ds:schemaRefs>
    <ds:schemaRef ds:uri="http://schemas.openxmlformats.org/officeDocument/2006/bibliography"/>
  </ds:schemaRefs>
</ds:datastoreItem>
</file>

<file path=customXml/itemProps10.xml><?xml version="1.0" encoding="utf-8"?>
<ds:datastoreItem xmlns:ds="http://schemas.openxmlformats.org/officeDocument/2006/customXml" ds:itemID="{C1DC9328-AB04-45C1-AA8B-6447414FE190}">
  <ds:schemaRefs>
    <ds:schemaRef ds:uri="http://schemas.openxmlformats.org/officeDocument/2006/bibliography"/>
  </ds:schemaRefs>
</ds:datastoreItem>
</file>

<file path=customXml/itemProps11.xml><?xml version="1.0" encoding="utf-8"?>
<ds:datastoreItem xmlns:ds="http://schemas.openxmlformats.org/officeDocument/2006/customXml" ds:itemID="{F7A98B3A-1844-4755-BC59-D154982685CE}">
  <ds:schemaRefs>
    <ds:schemaRef ds:uri="http://schemas.openxmlformats.org/officeDocument/2006/bibliography"/>
  </ds:schemaRefs>
</ds:datastoreItem>
</file>

<file path=customXml/itemProps12.xml><?xml version="1.0" encoding="utf-8"?>
<ds:datastoreItem xmlns:ds="http://schemas.openxmlformats.org/officeDocument/2006/customXml" ds:itemID="{2FC7A019-376E-4D20-9F50-2EDD3F73E1B5}">
  <ds:schemaRefs>
    <ds:schemaRef ds:uri="http://schemas.openxmlformats.org/officeDocument/2006/bibliography"/>
  </ds:schemaRefs>
</ds:datastoreItem>
</file>

<file path=customXml/itemProps13.xml><?xml version="1.0" encoding="utf-8"?>
<ds:datastoreItem xmlns:ds="http://schemas.openxmlformats.org/officeDocument/2006/customXml" ds:itemID="{62309708-4463-4F2F-9C36-DDAEF6115DB5}">
  <ds:schemaRefs>
    <ds:schemaRef ds:uri="http://schemas.openxmlformats.org/officeDocument/2006/bibliography"/>
  </ds:schemaRefs>
</ds:datastoreItem>
</file>

<file path=customXml/itemProps14.xml><?xml version="1.0" encoding="utf-8"?>
<ds:datastoreItem xmlns:ds="http://schemas.openxmlformats.org/officeDocument/2006/customXml" ds:itemID="{F5A27B93-3F8A-4D8E-8633-A222553EA1E8}">
  <ds:schemaRefs>
    <ds:schemaRef ds:uri="http://schemas.openxmlformats.org/officeDocument/2006/bibliography"/>
  </ds:schemaRefs>
</ds:datastoreItem>
</file>

<file path=customXml/itemProps2.xml><?xml version="1.0" encoding="utf-8"?>
<ds:datastoreItem xmlns:ds="http://schemas.openxmlformats.org/officeDocument/2006/customXml" ds:itemID="{C9B840BF-871E-4706-9011-1D186E5A3781}">
  <ds:schemaRefs>
    <ds:schemaRef ds:uri="http://schemas.openxmlformats.org/officeDocument/2006/bibliography"/>
  </ds:schemaRefs>
</ds:datastoreItem>
</file>

<file path=customXml/itemProps3.xml><?xml version="1.0" encoding="utf-8"?>
<ds:datastoreItem xmlns:ds="http://schemas.openxmlformats.org/officeDocument/2006/customXml" ds:itemID="{89433968-800E-428B-8EDE-59F620E00DD1}">
  <ds:schemaRefs>
    <ds:schemaRef ds:uri="http://schemas.openxmlformats.org/officeDocument/2006/bibliography"/>
  </ds:schemaRefs>
</ds:datastoreItem>
</file>

<file path=customXml/itemProps4.xml><?xml version="1.0" encoding="utf-8"?>
<ds:datastoreItem xmlns:ds="http://schemas.openxmlformats.org/officeDocument/2006/customXml" ds:itemID="{B9016BCA-184D-4C95-A479-92256F9724F3}">
  <ds:schemaRefs>
    <ds:schemaRef ds:uri="http://schemas.openxmlformats.org/officeDocument/2006/bibliography"/>
  </ds:schemaRefs>
</ds:datastoreItem>
</file>

<file path=customXml/itemProps5.xml><?xml version="1.0" encoding="utf-8"?>
<ds:datastoreItem xmlns:ds="http://schemas.openxmlformats.org/officeDocument/2006/customXml" ds:itemID="{A58C8584-B0DF-41D9-9B84-E5F1A8431C83}">
  <ds:schemaRefs>
    <ds:schemaRef ds:uri="http://schemas.openxmlformats.org/officeDocument/2006/bibliography"/>
  </ds:schemaRefs>
</ds:datastoreItem>
</file>

<file path=customXml/itemProps6.xml><?xml version="1.0" encoding="utf-8"?>
<ds:datastoreItem xmlns:ds="http://schemas.openxmlformats.org/officeDocument/2006/customXml" ds:itemID="{2EEF9875-A90A-4D1C-A905-3A0ABD16F075}">
  <ds:schemaRefs>
    <ds:schemaRef ds:uri="http://schemas.openxmlformats.org/officeDocument/2006/bibliography"/>
  </ds:schemaRefs>
</ds:datastoreItem>
</file>

<file path=customXml/itemProps7.xml><?xml version="1.0" encoding="utf-8"?>
<ds:datastoreItem xmlns:ds="http://schemas.openxmlformats.org/officeDocument/2006/customXml" ds:itemID="{E486173C-156E-43EB-B797-7D5940F47544}">
  <ds:schemaRefs>
    <ds:schemaRef ds:uri="http://schemas.openxmlformats.org/officeDocument/2006/bibliography"/>
  </ds:schemaRefs>
</ds:datastoreItem>
</file>

<file path=customXml/itemProps8.xml><?xml version="1.0" encoding="utf-8"?>
<ds:datastoreItem xmlns:ds="http://schemas.openxmlformats.org/officeDocument/2006/customXml" ds:itemID="{B31943B7-0244-41C7-A100-3C3C1DDB5B31}">
  <ds:schemaRefs>
    <ds:schemaRef ds:uri="http://schemas.openxmlformats.org/officeDocument/2006/bibliography"/>
  </ds:schemaRefs>
</ds:datastoreItem>
</file>

<file path=customXml/itemProps9.xml><?xml version="1.0" encoding="utf-8"?>
<ds:datastoreItem xmlns:ds="http://schemas.openxmlformats.org/officeDocument/2006/customXml" ds:itemID="{65B5A565-1623-4224-89A4-452CBA2D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110</Pages>
  <Words>37483</Words>
  <Characters>46479</Characters>
  <Application>Microsoft Office Word</Application>
  <DocSecurity>0</DocSecurity>
  <Lines>3575</Lines>
  <Paragraphs>3998</Paragraphs>
  <ScaleCrop>false</ScaleCrop>
  <Company/>
  <LinksUpToDate>false</LinksUpToDate>
  <CharactersWithSpaces>79964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fanrouchun</dc:creator>
  <cp:lastModifiedBy>徐铮</cp:lastModifiedBy>
  <cp:revision>25</cp:revision>
  <cp:lastPrinted>2023-01-20T01:21:00Z</cp:lastPrinted>
  <dcterms:created xsi:type="dcterms:W3CDTF">2025-07-24T09:09:00Z</dcterms:created>
  <dcterms:modified xsi:type="dcterms:W3CDTF">2026-03-19T01:05:00Z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5DD5A200082243498406ECA3BD426320_13</vt:lpwstr>
  </property>
  <property fmtid="{D5CDD505-2E9C-101B-9397-08002B2CF9AE}" pid="4" name="KSOTemplateDocerSaveRecord">
    <vt:lpwstr>eyJoZGlkIjoiOTA5OTY2MTc3YTE3OWU0YjU0NzRlMjlkZDVhNDc4ZDciLCJ1c2VySWQiOiIzMTA5NjQ2NDkifQ==</vt:lpwstr>
  </property>
</Properties>
</file>