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D268" w14:textId="77777777" w:rsidR="007B7C2A" w:rsidRDefault="007B7C2A">
      <w:pPr>
        <w:tabs>
          <w:tab w:val="left" w:pos="6660"/>
        </w:tabs>
        <w:spacing w:line="360" w:lineRule="auto"/>
        <w:ind w:firstLine="960"/>
        <w:jc w:val="center"/>
        <w:rPr>
          <w:rFonts w:asciiTheme="minorEastAsia" w:hAnsiTheme="minorEastAsia" w:cs="Times New Roman" w:hint="eastAsia"/>
          <w:bCs/>
          <w:sz w:val="48"/>
          <w:szCs w:val="48"/>
        </w:rPr>
      </w:pPr>
    </w:p>
    <w:p w14:paraId="3E739F79" w14:textId="77777777" w:rsidR="007B7C2A" w:rsidRDefault="007B7C2A">
      <w:pPr>
        <w:spacing w:line="360" w:lineRule="auto"/>
        <w:ind w:firstLine="964"/>
        <w:jc w:val="center"/>
        <w:rPr>
          <w:rFonts w:asciiTheme="minorEastAsia" w:hAnsiTheme="minorEastAsia" w:cs="Times New Roman" w:hint="eastAsia"/>
          <w:b/>
          <w:sz w:val="48"/>
          <w:szCs w:val="48"/>
        </w:rPr>
      </w:pPr>
    </w:p>
    <w:p w14:paraId="74B9A791" w14:textId="77777777" w:rsidR="007B7C2A" w:rsidRDefault="007B7C2A">
      <w:pPr>
        <w:adjustRightInd w:val="0"/>
        <w:snapToGrid w:val="0"/>
        <w:spacing w:line="360" w:lineRule="auto"/>
        <w:ind w:firstLine="960"/>
        <w:jc w:val="center"/>
        <w:rPr>
          <w:rFonts w:asciiTheme="minorEastAsia" w:hAnsiTheme="minorEastAsia" w:cs="Arial" w:hint="eastAsia"/>
          <w:sz w:val="48"/>
          <w:szCs w:val="48"/>
        </w:rPr>
      </w:pPr>
      <w:bookmarkStart w:id="0" w:name="_Toc123112227"/>
      <w:bookmarkStart w:id="1" w:name="_Toc123112266"/>
      <w:bookmarkStart w:id="2" w:name="_Toc123701386"/>
      <w:bookmarkStart w:id="3" w:name="_Toc139991729"/>
    </w:p>
    <w:p w14:paraId="6A77BCF0" w14:textId="77777777" w:rsidR="007B7C2A" w:rsidRDefault="00072812">
      <w:pPr>
        <w:adjustRightInd w:val="0"/>
        <w:snapToGrid w:val="0"/>
        <w:spacing w:line="360" w:lineRule="auto"/>
        <w:ind w:firstLine="964"/>
        <w:jc w:val="center"/>
        <w:rPr>
          <w:rFonts w:ascii="Arial" w:eastAsia="宋体" w:hAnsi="宋体" w:cs="Arial" w:hint="eastAsia"/>
          <w:b/>
          <w:sz w:val="48"/>
          <w:szCs w:val="48"/>
        </w:rPr>
      </w:pPr>
      <w:r>
        <w:rPr>
          <w:rFonts w:ascii="Arial" w:eastAsia="宋体" w:hAnsi="宋体" w:cs="Arial" w:hint="eastAsia"/>
          <w:b/>
          <w:sz w:val="48"/>
          <w:szCs w:val="48"/>
        </w:rPr>
        <w:t>富荣福鑫灵活配置混合型证券投资基金更新</w:t>
      </w:r>
      <w:r>
        <w:rPr>
          <w:rFonts w:ascii="Arial" w:eastAsia="宋体" w:hAnsi="宋体" w:cs="Arial"/>
          <w:b/>
          <w:sz w:val="48"/>
          <w:szCs w:val="48"/>
        </w:rPr>
        <w:t>的</w:t>
      </w:r>
      <w:r>
        <w:rPr>
          <w:rFonts w:ascii="Arial" w:eastAsia="宋体" w:hAnsi="宋体" w:cs="Arial" w:hint="eastAsia"/>
          <w:b/>
          <w:sz w:val="48"/>
          <w:szCs w:val="48"/>
        </w:rPr>
        <w:t>招募说明书</w:t>
      </w:r>
    </w:p>
    <w:p w14:paraId="00785ADC" w14:textId="6E1C7779" w:rsidR="007B7C2A" w:rsidRDefault="00072812">
      <w:pPr>
        <w:adjustRightInd w:val="0"/>
        <w:snapToGrid w:val="0"/>
        <w:spacing w:line="360" w:lineRule="auto"/>
        <w:ind w:firstLine="723"/>
        <w:jc w:val="center"/>
        <w:rPr>
          <w:rFonts w:asciiTheme="minorEastAsia" w:hAnsiTheme="minorEastAsia" w:cs="Arial" w:hint="eastAsia"/>
          <w:sz w:val="36"/>
          <w:szCs w:val="36"/>
        </w:rPr>
      </w:pPr>
      <w:r>
        <w:rPr>
          <w:rFonts w:asciiTheme="minorEastAsia" w:hAnsiTheme="minorEastAsia" w:cs="Times New Roman" w:hint="eastAsia"/>
          <w:b/>
          <w:sz w:val="36"/>
          <w:szCs w:val="36"/>
        </w:rPr>
        <w:t>（</w:t>
      </w:r>
      <w:r>
        <w:rPr>
          <w:rFonts w:asciiTheme="minorEastAsia" w:hAnsiTheme="minorEastAsia" w:cs="Times New Roman" w:hint="eastAsia"/>
          <w:b/>
          <w:sz w:val="36"/>
          <w:szCs w:val="36"/>
        </w:rPr>
        <w:t>2026</w:t>
      </w:r>
      <w:r>
        <w:rPr>
          <w:rFonts w:asciiTheme="minorEastAsia" w:hAnsiTheme="minorEastAsia" w:cs="Times New Roman" w:hint="eastAsia"/>
          <w:b/>
          <w:sz w:val="36"/>
          <w:szCs w:val="36"/>
        </w:rPr>
        <w:t>年第</w:t>
      </w:r>
      <w:r>
        <w:rPr>
          <w:rFonts w:asciiTheme="minorEastAsia" w:hAnsiTheme="minorEastAsia" w:cs="Times New Roman" w:hint="eastAsia"/>
          <w:b/>
          <w:sz w:val="36"/>
          <w:szCs w:val="36"/>
        </w:rPr>
        <w:t>1</w:t>
      </w:r>
      <w:r>
        <w:rPr>
          <w:rFonts w:asciiTheme="minorEastAsia" w:hAnsiTheme="minorEastAsia" w:cs="Times New Roman" w:hint="eastAsia"/>
          <w:b/>
          <w:sz w:val="36"/>
          <w:szCs w:val="36"/>
        </w:rPr>
        <w:t>号）</w:t>
      </w:r>
    </w:p>
    <w:p w14:paraId="244262DF" w14:textId="77777777" w:rsidR="007B7C2A" w:rsidRDefault="007B7C2A">
      <w:pPr>
        <w:adjustRightInd w:val="0"/>
        <w:snapToGrid w:val="0"/>
        <w:spacing w:line="360" w:lineRule="auto"/>
        <w:ind w:firstLine="720"/>
        <w:jc w:val="center"/>
        <w:rPr>
          <w:rFonts w:asciiTheme="minorEastAsia" w:hAnsiTheme="minorEastAsia" w:cs="Arial" w:hint="eastAsia"/>
          <w:sz w:val="36"/>
          <w:szCs w:val="36"/>
        </w:rPr>
      </w:pPr>
    </w:p>
    <w:p w14:paraId="21D7BA4A" w14:textId="77777777" w:rsidR="007B7C2A" w:rsidRDefault="007B7C2A">
      <w:pPr>
        <w:adjustRightInd w:val="0"/>
        <w:snapToGrid w:val="0"/>
        <w:spacing w:line="360" w:lineRule="auto"/>
        <w:ind w:firstLine="720"/>
        <w:jc w:val="center"/>
        <w:rPr>
          <w:rFonts w:asciiTheme="minorEastAsia" w:hAnsiTheme="minorEastAsia" w:cs="Arial" w:hint="eastAsia"/>
          <w:sz w:val="36"/>
          <w:szCs w:val="36"/>
        </w:rPr>
      </w:pPr>
    </w:p>
    <w:p w14:paraId="6C126D7A" w14:textId="77777777" w:rsidR="007B7C2A" w:rsidRDefault="007B7C2A">
      <w:pPr>
        <w:adjustRightInd w:val="0"/>
        <w:snapToGrid w:val="0"/>
        <w:spacing w:line="360" w:lineRule="auto"/>
        <w:ind w:firstLine="720"/>
        <w:jc w:val="center"/>
        <w:rPr>
          <w:rFonts w:asciiTheme="minorEastAsia" w:hAnsiTheme="minorEastAsia" w:cs="Arial" w:hint="eastAsia"/>
          <w:sz w:val="36"/>
          <w:szCs w:val="36"/>
        </w:rPr>
      </w:pPr>
    </w:p>
    <w:p w14:paraId="19FED98C" w14:textId="77777777" w:rsidR="007B7C2A" w:rsidRDefault="007B7C2A">
      <w:pPr>
        <w:adjustRightInd w:val="0"/>
        <w:snapToGrid w:val="0"/>
        <w:spacing w:line="360" w:lineRule="auto"/>
        <w:ind w:firstLine="720"/>
        <w:jc w:val="center"/>
        <w:rPr>
          <w:rFonts w:asciiTheme="minorEastAsia" w:hAnsiTheme="minorEastAsia" w:cs="Arial" w:hint="eastAsia"/>
          <w:sz w:val="36"/>
          <w:szCs w:val="36"/>
        </w:rPr>
      </w:pPr>
    </w:p>
    <w:p w14:paraId="60EC813C" w14:textId="77777777" w:rsidR="007B7C2A" w:rsidRDefault="007B7C2A">
      <w:pPr>
        <w:adjustRightInd w:val="0"/>
        <w:snapToGrid w:val="0"/>
        <w:spacing w:line="360" w:lineRule="auto"/>
        <w:ind w:firstLine="720"/>
        <w:jc w:val="center"/>
        <w:rPr>
          <w:rFonts w:asciiTheme="minorEastAsia" w:hAnsiTheme="minorEastAsia" w:cs="Arial" w:hint="eastAsia"/>
          <w:sz w:val="36"/>
          <w:szCs w:val="36"/>
        </w:rPr>
      </w:pPr>
    </w:p>
    <w:p w14:paraId="6C26CF88" w14:textId="77777777" w:rsidR="007B7C2A" w:rsidRDefault="00072812">
      <w:pPr>
        <w:snapToGrid w:val="0"/>
        <w:spacing w:line="360" w:lineRule="auto"/>
        <w:ind w:firstLine="723"/>
        <w:jc w:val="center"/>
        <w:rPr>
          <w:rFonts w:ascii="Arial" w:eastAsia="宋体" w:hAnsi="Arial" w:cs="Times New Roman"/>
          <w:b/>
          <w:sz w:val="36"/>
          <w:szCs w:val="36"/>
        </w:rPr>
      </w:pPr>
      <w:bookmarkStart w:id="4" w:name="_Toc139992301"/>
      <w:bookmarkStart w:id="5" w:name="_Toc123112263"/>
      <w:bookmarkStart w:id="6" w:name="_Toc123112224"/>
      <w:bookmarkStart w:id="7" w:name="_Toc139991726"/>
      <w:bookmarkStart w:id="8" w:name="_Toc123701383"/>
      <w:r>
        <w:rPr>
          <w:rFonts w:ascii="Arial" w:eastAsia="宋体" w:hAnsi="Arial" w:cs="Times New Roman" w:hint="eastAsia"/>
          <w:b/>
          <w:sz w:val="36"/>
          <w:szCs w:val="36"/>
        </w:rPr>
        <w:t>基金管理人：</w:t>
      </w:r>
      <w:bookmarkEnd w:id="4"/>
      <w:bookmarkEnd w:id="5"/>
      <w:bookmarkEnd w:id="6"/>
      <w:bookmarkEnd w:id="7"/>
      <w:bookmarkEnd w:id="8"/>
      <w:r>
        <w:rPr>
          <w:rFonts w:ascii="Arial" w:eastAsia="宋体" w:hAnsi="Arial" w:cs="Times New Roman" w:hint="eastAsia"/>
          <w:b/>
          <w:sz w:val="36"/>
          <w:szCs w:val="36"/>
        </w:rPr>
        <w:t>富</w:t>
      </w:r>
      <w:proofErr w:type="gramStart"/>
      <w:r>
        <w:rPr>
          <w:rFonts w:ascii="Arial" w:eastAsia="宋体" w:hAnsi="Arial" w:cs="Times New Roman" w:hint="eastAsia"/>
          <w:b/>
          <w:sz w:val="36"/>
          <w:szCs w:val="36"/>
        </w:rPr>
        <w:t>荣基金</w:t>
      </w:r>
      <w:proofErr w:type="gramEnd"/>
      <w:r>
        <w:rPr>
          <w:rFonts w:ascii="Arial" w:eastAsia="宋体" w:hAnsi="Arial" w:cs="Times New Roman" w:hint="eastAsia"/>
          <w:b/>
          <w:sz w:val="36"/>
          <w:szCs w:val="36"/>
        </w:rPr>
        <w:t>管理有限公司</w:t>
      </w:r>
    </w:p>
    <w:p w14:paraId="27F49476" w14:textId="77777777" w:rsidR="007B7C2A" w:rsidRDefault="00072812">
      <w:pPr>
        <w:autoSpaceDE w:val="0"/>
        <w:autoSpaceDN w:val="0"/>
        <w:adjustRightInd w:val="0"/>
        <w:snapToGrid w:val="0"/>
        <w:spacing w:line="360" w:lineRule="auto"/>
        <w:ind w:firstLine="723"/>
        <w:jc w:val="center"/>
        <w:rPr>
          <w:rFonts w:ascii="Arial" w:eastAsia="宋体" w:hAnsi="Arial" w:cs="Arial"/>
          <w:b/>
          <w:bCs/>
          <w:sz w:val="36"/>
          <w:szCs w:val="36"/>
        </w:rPr>
      </w:pPr>
      <w:bookmarkStart w:id="9" w:name="_Toc123112264"/>
      <w:bookmarkStart w:id="10" w:name="_Toc139991727"/>
      <w:bookmarkStart w:id="11" w:name="_Toc123701384"/>
      <w:bookmarkStart w:id="12" w:name="_Toc139992302"/>
      <w:bookmarkStart w:id="13" w:name="_Toc123112225"/>
      <w:r>
        <w:rPr>
          <w:rFonts w:ascii="Arial" w:eastAsia="宋体" w:hAnsi="Arial" w:cs="Times New Roman" w:hint="eastAsia"/>
          <w:b/>
          <w:sz w:val="36"/>
          <w:szCs w:val="36"/>
        </w:rPr>
        <w:t>基金托管人：</w:t>
      </w:r>
      <w:bookmarkEnd w:id="9"/>
      <w:bookmarkEnd w:id="10"/>
      <w:bookmarkEnd w:id="11"/>
      <w:bookmarkEnd w:id="12"/>
      <w:bookmarkEnd w:id="13"/>
      <w:r>
        <w:rPr>
          <w:rFonts w:ascii="Arial" w:eastAsia="宋体" w:hAnsi="Arial" w:cs="Times New Roman" w:hint="eastAsia"/>
          <w:b/>
          <w:sz w:val="36"/>
          <w:szCs w:val="36"/>
        </w:rPr>
        <w:t>平安银行股份有限公司</w:t>
      </w:r>
    </w:p>
    <w:p w14:paraId="6CF036AD" w14:textId="77777777" w:rsidR="007B7C2A" w:rsidRDefault="007B7C2A">
      <w:pPr>
        <w:autoSpaceDE w:val="0"/>
        <w:autoSpaceDN w:val="0"/>
        <w:adjustRightInd w:val="0"/>
        <w:snapToGrid w:val="0"/>
        <w:spacing w:line="360" w:lineRule="auto"/>
        <w:ind w:firstLine="562"/>
        <w:jc w:val="center"/>
        <w:rPr>
          <w:rFonts w:asciiTheme="minorEastAsia" w:hAnsiTheme="minorEastAsia" w:cs="Arial" w:hint="eastAsia"/>
          <w:b/>
          <w:bCs/>
          <w:sz w:val="28"/>
          <w:szCs w:val="28"/>
        </w:rPr>
      </w:pPr>
    </w:p>
    <w:p w14:paraId="566E7372" w14:textId="77777777" w:rsidR="007B7C2A" w:rsidRDefault="007B7C2A">
      <w:pPr>
        <w:autoSpaceDE w:val="0"/>
        <w:autoSpaceDN w:val="0"/>
        <w:adjustRightInd w:val="0"/>
        <w:snapToGrid w:val="0"/>
        <w:spacing w:line="360" w:lineRule="auto"/>
        <w:ind w:firstLine="562"/>
        <w:jc w:val="center"/>
        <w:rPr>
          <w:rFonts w:asciiTheme="minorEastAsia" w:hAnsiTheme="minorEastAsia" w:cs="Arial" w:hint="eastAsia"/>
          <w:b/>
          <w:bCs/>
          <w:sz w:val="28"/>
          <w:szCs w:val="28"/>
        </w:rPr>
      </w:pPr>
    </w:p>
    <w:p w14:paraId="664FCC21" w14:textId="77777777" w:rsidR="007B7C2A" w:rsidRDefault="007B7C2A">
      <w:pPr>
        <w:widowControl/>
        <w:spacing w:line="360" w:lineRule="auto"/>
        <w:ind w:firstLine="562"/>
        <w:rPr>
          <w:rFonts w:ascii="Arial" w:eastAsia="宋体" w:hAnsi="Arial" w:cs="Arial"/>
          <w:b/>
          <w:bCs/>
          <w:kern w:val="0"/>
          <w:sz w:val="28"/>
          <w:szCs w:val="28"/>
        </w:rPr>
        <w:sectPr w:rsidR="007B7C2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1"/>
          <w:cols w:space="720"/>
          <w:titlePg/>
          <w:docGrid w:type="lines" w:linePitch="312"/>
        </w:sectPr>
      </w:pPr>
    </w:p>
    <w:p w14:paraId="1E570786" w14:textId="77777777" w:rsidR="007B7C2A" w:rsidRDefault="00072812">
      <w:pPr>
        <w:autoSpaceDE w:val="0"/>
        <w:autoSpaceDN w:val="0"/>
        <w:adjustRightInd w:val="0"/>
        <w:snapToGrid w:val="0"/>
        <w:spacing w:line="360" w:lineRule="auto"/>
        <w:ind w:firstLine="602"/>
        <w:jc w:val="center"/>
        <w:rPr>
          <w:rFonts w:ascii="Arial" w:eastAsia="宋体" w:hAnsi="Arial" w:cs="Arial"/>
          <w:b/>
          <w:bCs/>
          <w:sz w:val="30"/>
          <w:szCs w:val="30"/>
        </w:rPr>
      </w:pPr>
      <w:r>
        <w:rPr>
          <w:rFonts w:ascii="Arial" w:eastAsia="宋体" w:hAnsi="Arial" w:cs="Arial" w:hint="eastAsia"/>
          <w:b/>
          <w:bCs/>
          <w:sz w:val="30"/>
          <w:szCs w:val="30"/>
        </w:rPr>
        <w:lastRenderedPageBreak/>
        <w:t>【重要提示】</w:t>
      </w:r>
    </w:p>
    <w:p w14:paraId="0BC86AFC" w14:textId="77777777" w:rsidR="007B7C2A" w:rsidRDefault="007B7C2A">
      <w:pPr>
        <w:autoSpaceDE w:val="0"/>
        <w:autoSpaceDN w:val="0"/>
        <w:adjustRightInd w:val="0"/>
        <w:snapToGrid w:val="0"/>
        <w:spacing w:line="360" w:lineRule="auto"/>
        <w:ind w:firstLine="422"/>
        <w:jc w:val="center"/>
        <w:rPr>
          <w:rFonts w:ascii="Arial" w:eastAsia="宋体" w:hAnsi="Arial" w:cs="Arial"/>
          <w:b/>
          <w:bCs/>
          <w:szCs w:val="21"/>
        </w:rPr>
      </w:pPr>
    </w:p>
    <w:p w14:paraId="22BD0E14"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bCs/>
          <w:color w:val="000000"/>
          <w:sz w:val="24"/>
          <w:szCs w:val="24"/>
        </w:rPr>
        <w:t>本基金经中国证监会</w:t>
      </w:r>
      <w:r>
        <w:rPr>
          <w:rFonts w:asciiTheme="minorEastAsia" w:hAnsiTheme="minorEastAsia" w:cs="Arial" w:hint="eastAsia"/>
          <w:bCs/>
          <w:color w:val="000000"/>
          <w:sz w:val="24"/>
          <w:szCs w:val="24"/>
        </w:rPr>
        <w:t>2017</w:t>
      </w:r>
      <w:r>
        <w:rPr>
          <w:rFonts w:asciiTheme="minorEastAsia" w:hAnsiTheme="minorEastAsia" w:cs="Arial" w:hint="eastAsia"/>
          <w:bCs/>
          <w:color w:val="000000"/>
          <w:sz w:val="24"/>
          <w:szCs w:val="24"/>
        </w:rPr>
        <w:t>年</w:t>
      </w:r>
      <w:r>
        <w:rPr>
          <w:rFonts w:asciiTheme="minorEastAsia" w:hAnsiTheme="minorEastAsia" w:cs="Arial" w:hint="eastAsia"/>
          <w:bCs/>
          <w:color w:val="000000"/>
          <w:sz w:val="24"/>
          <w:szCs w:val="24"/>
        </w:rPr>
        <w:t>5</w:t>
      </w:r>
      <w:r>
        <w:rPr>
          <w:rFonts w:asciiTheme="minorEastAsia" w:hAnsiTheme="minorEastAsia" w:cs="Arial" w:hint="eastAsia"/>
          <w:bCs/>
          <w:color w:val="000000"/>
          <w:sz w:val="24"/>
          <w:szCs w:val="24"/>
        </w:rPr>
        <w:t>月</w:t>
      </w:r>
      <w:r>
        <w:rPr>
          <w:rFonts w:asciiTheme="minorEastAsia" w:hAnsiTheme="minorEastAsia" w:cs="Arial" w:hint="eastAsia"/>
          <w:bCs/>
          <w:color w:val="000000"/>
          <w:sz w:val="24"/>
          <w:szCs w:val="24"/>
        </w:rPr>
        <w:t>12</w:t>
      </w:r>
      <w:r>
        <w:rPr>
          <w:rFonts w:asciiTheme="minorEastAsia" w:hAnsiTheme="minorEastAsia" w:cs="Arial" w:hint="eastAsia"/>
          <w:bCs/>
          <w:color w:val="000000"/>
          <w:sz w:val="24"/>
          <w:szCs w:val="24"/>
        </w:rPr>
        <w:t>日证监许可</w:t>
      </w:r>
      <w:r>
        <w:rPr>
          <w:rFonts w:asciiTheme="minorEastAsia" w:hAnsiTheme="minorEastAsia" w:cs="Arial" w:hint="eastAsia"/>
          <w:bCs/>
          <w:color w:val="000000"/>
          <w:sz w:val="24"/>
          <w:szCs w:val="24"/>
        </w:rPr>
        <w:t>[2017]700</w:t>
      </w:r>
      <w:r>
        <w:rPr>
          <w:rFonts w:asciiTheme="minorEastAsia" w:hAnsiTheme="minorEastAsia" w:cs="Arial" w:hint="eastAsia"/>
          <w:bCs/>
          <w:color w:val="000000"/>
          <w:sz w:val="24"/>
          <w:szCs w:val="24"/>
        </w:rPr>
        <w:t>号文准予注册。本基金于</w:t>
      </w:r>
      <w:r>
        <w:rPr>
          <w:rFonts w:asciiTheme="minorEastAsia" w:hAnsiTheme="minorEastAsia" w:cs="Arial" w:hint="eastAsia"/>
          <w:bCs/>
          <w:color w:val="000000"/>
          <w:sz w:val="24"/>
          <w:szCs w:val="24"/>
        </w:rPr>
        <w:t>2018</w:t>
      </w:r>
      <w:r>
        <w:rPr>
          <w:rFonts w:asciiTheme="minorEastAsia" w:hAnsiTheme="minorEastAsia" w:cs="Arial" w:hint="eastAsia"/>
          <w:bCs/>
          <w:color w:val="000000"/>
          <w:sz w:val="24"/>
          <w:szCs w:val="24"/>
        </w:rPr>
        <w:t>年</w:t>
      </w:r>
      <w:r>
        <w:rPr>
          <w:rFonts w:asciiTheme="minorEastAsia" w:hAnsiTheme="minorEastAsia" w:cs="Arial" w:hint="eastAsia"/>
          <w:bCs/>
          <w:color w:val="000000"/>
          <w:sz w:val="24"/>
          <w:szCs w:val="24"/>
        </w:rPr>
        <w:t>2</w:t>
      </w:r>
      <w:r>
        <w:rPr>
          <w:rFonts w:asciiTheme="minorEastAsia" w:hAnsiTheme="minorEastAsia" w:cs="Arial" w:hint="eastAsia"/>
          <w:bCs/>
          <w:color w:val="000000"/>
          <w:sz w:val="24"/>
          <w:szCs w:val="24"/>
        </w:rPr>
        <w:t>月</w:t>
      </w:r>
      <w:r>
        <w:rPr>
          <w:rFonts w:asciiTheme="minorEastAsia" w:hAnsiTheme="minorEastAsia" w:cs="Arial" w:hint="eastAsia"/>
          <w:bCs/>
          <w:color w:val="000000"/>
          <w:sz w:val="24"/>
          <w:szCs w:val="24"/>
        </w:rPr>
        <w:t>13</w:t>
      </w:r>
      <w:r>
        <w:rPr>
          <w:rFonts w:asciiTheme="minorEastAsia" w:hAnsiTheme="minorEastAsia" w:cs="Arial" w:hint="eastAsia"/>
          <w:bCs/>
          <w:color w:val="000000"/>
          <w:sz w:val="24"/>
          <w:szCs w:val="24"/>
        </w:rPr>
        <w:t>日正式生效。</w:t>
      </w:r>
    </w:p>
    <w:p w14:paraId="49D1E883"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本基金管理人保证招募说明书的内容真实、准确、完整。本招募说明书经中国证监会注册，但中国证监会对本基金募集的注册，并不表明其对本基金的投资价值、市场前景和收益</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实质性判断或保证，也不表明投资于本基金没有风险。</w:t>
      </w:r>
    </w:p>
    <w:p w14:paraId="14D1BBDD"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性风险、本基金特定投资策略带来的风险及其他风险等。本基金属于混合型基金，其预期的风险和收益高于货币市场基金、债券基金，低于股票型基金，属于证券投资基金中</w:t>
      </w:r>
      <w:proofErr w:type="gramStart"/>
      <w:r>
        <w:rPr>
          <w:rFonts w:asciiTheme="minorEastAsia" w:hAnsiTheme="minorEastAsia" w:cs="Arial" w:hint="eastAsia"/>
          <w:sz w:val="24"/>
          <w:szCs w:val="24"/>
        </w:rPr>
        <w:t>中</w:t>
      </w:r>
      <w:proofErr w:type="gramEnd"/>
      <w:r>
        <w:rPr>
          <w:rFonts w:asciiTheme="minorEastAsia" w:hAnsiTheme="minorEastAsia" w:cs="Arial" w:hint="eastAsia"/>
          <w:sz w:val="24"/>
          <w:szCs w:val="24"/>
        </w:rPr>
        <w:t>高风险、中高预期收益的品种。</w:t>
      </w:r>
    </w:p>
    <w:p w14:paraId="4D20D1B2" w14:textId="77777777" w:rsidR="007B7C2A" w:rsidRDefault="00072812">
      <w:pPr>
        <w:adjustRightInd w:val="0"/>
        <w:snapToGrid w:val="0"/>
        <w:spacing w:line="360" w:lineRule="auto"/>
        <w:ind w:firstLine="480"/>
        <w:rPr>
          <w:rFonts w:asciiTheme="minorEastAsia" w:hAnsiTheme="minorEastAsia" w:cs="Arial" w:hint="eastAsia"/>
          <w:sz w:val="24"/>
          <w:szCs w:val="24"/>
        </w:rPr>
      </w:pPr>
      <w:r>
        <w:rPr>
          <w:rFonts w:asciiTheme="minorEastAsia" w:hAnsiTheme="minorEastAsia" w:cs="Arial" w:hint="eastAsia"/>
          <w:sz w:val="24"/>
          <w:szCs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14:paraId="7F196D48" w14:textId="77777777" w:rsidR="007B7C2A" w:rsidRDefault="00072812">
      <w:pPr>
        <w:adjustRightInd w:val="0"/>
        <w:snapToGrid w:val="0"/>
        <w:spacing w:line="360" w:lineRule="auto"/>
        <w:ind w:firstLine="480"/>
        <w:rPr>
          <w:rFonts w:asciiTheme="minorEastAsia" w:hAnsiTheme="minorEastAsia" w:cs="Arial" w:hint="eastAsia"/>
          <w:sz w:val="24"/>
          <w:szCs w:val="24"/>
        </w:rPr>
      </w:pPr>
      <w:r>
        <w:rPr>
          <w:rFonts w:asciiTheme="minorEastAsia" w:hAnsiTheme="minorEastAsia" w:cs="Arial" w:hint="eastAsia"/>
          <w:sz w:val="24"/>
          <w:szCs w:val="24"/>
        </w:rPr>
        <w:t>本基金的投资范围包括存托凭证，若投资，可能面临存托凭证价格大幅波动甚至出现较大亏损的风险，以及与存托凭证发行机制相关的风险。</w:t>
      </w:r>
    </w:p>
    <w:p w14:paraId="0D825846"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本基金以</w:t>
      </w:r>
      <w:r>
        <w:rPr>
          <w:rFonts w:asciiTheme="minorEastAsia" w:hAnsiTheme="minorEastAsia" w:cs="Arial"/>
          <w:sz w:val="24"/>
          <w:szCs w:val="24"/>
        </w:rPr>
        <w:t>1.00</w:t>
      </w:r>
      <w:r>
        <w:rPr>
          <w:rFonts w:asciiTheme="minorEastAsia" w:hAnsiTheme="minorEastAsia" w:cs="Arial" w:hint="eastAsia"/>
          <w:sz w:val="24"/>
          <w:szCs w:val="24"/>
        </w:rPr>
        <w:t>元初始面值募集基金份额，在市场波动等因素的影响下，基金投资有可能出现亏损或基金份额净值低于初始面值。</w:t>
      </w:r>
    </w:p>
    <w:p w14:paraId="5C81254F"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61812429"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Pr>
          <w:rFonts w:asciiTheme="minorEastAsia" w:hAnsiTheme="minorEastAsia" w:cs="Arial"/>
          <w:sz w:val="24"/>
          <w:szCs w:val="24"/>
        </w:rPr>
        <w:t>“</w:t>
      </w:r>
      <w:r>
        <w:rPr>
          <w:rFonts w:asciiTheme="minorEastAsia" w:hAnsiTheme="minorEastAsia" w:cs="Arial" w:hint="eastAsia"/>
          <w:sz w:val="24"/>
          <w:szCs w:val="24"/>
        </w:rPr>
        <w:t>买者自负</w:t>
      </w:r>
      <w:r>
        <w:rPr>
          <w:rFonts w:asciiTheme="minorEastAsia" w:hAnsiTheme="minorEastAsia" w:cs="Arial"/>
          <w:sz w:val="24"/>
          <w:szCs w:val="24"/>
        </w:rPr>
        <w:t>”</w:t>
      </w:r>
      <w:r>
        <w:rPr>
          <w:rFonts w:asciiTheme="minorEastAsia" w:hAnsiTheme="minorEastAsia" w:cs="Arial" w:hint="eastAsia"/>
          <w:sz w:val="24"/>
          <w:szCs w:val="24"/>
        </w:rPr>
        <w:t>原则，在</w:t>
      </w:r>
      <w:proofErr w:type="gramStart"/>
      <w:r>
        <w:rPr>
          <w:rFonts w:asciiTheme="minorEastAsia" w:hAnsiTheme="minorEastAsia" w:cs="Arial" w:hint="eastAsia"/>
          <w:sz w:val="24"/>
          <w:szCs w:val="24"/>
        </w:rPr>
        <w:t>作出</w:t>
      </w:r>
      <w:proofErr w:type="gramEnd"/>
      <w:r>
        <w:rPr>
          <w:rFonts w:asciiTheme="minorEastAsia" w:hAnsiTheme="minorEastAsia" w:cs="Arial" w:hint="eastAsia"/>
          <w:sz w:val="24"/>
          <w:szCs w:val="24"/>
        </w:rPr>
        <w:t>投资决策后，基金运营状况与基金净值变化引致的投资风险，由投资者自行承担。</w:t>
      </w:r>
    </w:p>
    <w:p w14:paraId="32551848" w14:textId="77777777" w:rsidR="007B7C2A" w:rsidRDefault="00072812">
      <w:pPr>
        <w:autoSpaceDE w:val="0"/>
        <w:autoSpaceDN w:val="0"/>
        <w:adjustRightInd w:val="0"/>
        <w:snapToGrid w:val="0"/>
        <w:spacing w:line="360" w:lineRule="auto"/>
        <w:ind w:firstLineChars="200" w:firstLine="482"/>
        <w:rPr>
          <w:rFonts w:asciiTheme="minorEastAsia" w:hAnsiTheme="minorEastAsia" w:cs="Arial" w:hint="eastAsia"/>
          <w:sz w:val="24"/>
          <w:szCs w:val="24"/>
        </w:rPr>
      </w:pPr>
      <w:bookmarkStart w:id="14" w:name="_Hlk167784377"/>
      <w:r>
        <w:rPr>
          <w:rFonts w:asciiTheme="minorEastAsia" w:hAnsiTheme="minorEastAsia" w:cs="Arial" w:hint="eastAsia"/>
          <w:b/>
          <w:bCs/>
          <w:sz w:val="24"/>
          <w:szCs w:val="24"/>
        </w:rPr>
        <w:lastRenderedPageBreak/>
        <w:t>本次招募说明书仅对“基金管理人”部分进行更新</w:t>
      </w:r>
      <w:bookmarkEnd w:id="14"/>
      <w:r>
        <w:rPr>
          <w:rFonts w:asciiTheme="minorEastAsia" w:hAnsiTheme="minorEastAsia" w:cs="Arial" w:hint="eastAsia"/>
          <w:b/>
          <w:bCs/>
          <w:sz w:val="24"/>
          <w:szCs w:val="24"/>
        </w:rPr>
        <w:t>，</w:t>
      </w:r>
      <w:r>
        <w:rPr>
          <w:rFonts w:asciiTheme="minorEastAsia" w:hAnsiTheme="minorEastAsia" w:cs="Arial" w:hint="eastAsia"/>
          <w:sz w:val="24"/>
          <w:szCs w:val="24"/>
        </w:rPr>
        <w:t>本招募说明书所载其他内容截止日为</w:t>
      </w:r>
      <w:r>
        <w:rPr>
          <w:rFonts w:asciiTheme="minorEastAsia" w:hAnsiTheme="minorEastAsia" w:cs="Arial" w:hint="eastAsia"/>
          <w:sz w:val="24"/>
          <w:szCs w:val="24"/>
        </w:rPr>
        <w:t>2025</w:t>
      </w:r>
      <w:r>
        <w:rPr>
          <w:rFonts w:asciiTheme="minorEastAsia" w:hAnsiTheme="minorEastAsia" w:cs="Arial" w:hint="eastAsia"/>
          <w:sz w:val="24"/>
          <w:szCs w:val="24"/>
        </w:rPr>
        <w:t>年</w:t>
      </w:r>
      <w:r>
        <w:rPr>
          <w:rFonts w:asciiTheme="minorEastAsia" w:hAnsiTheme="minorEastAsia" w:cs="Arial"/>
          <w:sz w:val="24"/>
          <w:szCs w:val="24"/>
        </w:rPr>
        <w:t>8</w:t>
      </w:r>
      <w:r>
        <w:rPr>
          <w:rFonts w:asciiTheme="minorEastAsia" w:hAnsiTheme="minorEastAsia" w:cs="Arial" w:hint="eastAsia"/>
          <w:sz w:val="24"/>
          <w:szCs w:val="24"/>
        </w:rPr>
        <w:t>月</w:t>
      </w:r>
      <w:r>
        <w:rPr>
          <w:rFonts w:asciiTheme="minorEastAsia" w:hAnsiTheme="minorEastAsia" w:cs="Arial"/>
          <w:sz w:val="24"/>
          <w:szCs w:val="24"/>
        </w:rPr>
        <w:t>18</w:t>
      </w:r>
      <w:r>
        <w:rPr>
          <w:rFonts w:asciiTheme="minorEastAsia" w:hAnsiTheme="minorEastAsia" w:cs="Arial" w:hint="eastAsia"/>
          <w:sz w:val="24"/>
          <w:szCs w:val="24"/>
        </w:rPr>
        <w:t>日，有关财务数据截止日为</w:t>
      </w:r>
      <w:r>
        <w:rPr>
          <w:rFonts w:asciiTheme="minorEastAsia" w:hAnsiTheme="minorEastAsia" w:cs="Arial" w:hint="eastAsia"/>
          <w:sz w:val="24"/>
          <w:szCs w:val="24"/>
        </w:rPr>
        <w:t>2025</w:t>
      </w:r>
      <w:r>
        <w:rPr>
          <w:rFonts w:asciiTheme="minorEastAsia" w:hAnsiTheme="minorEastAsia" w:cs="Arial" w:hint="eastAsia"/>
          <w:sz w:val="24"/>
          <w:szCs w:val="24"/>
        </w:rPr>
        <w:t>年</w:t>
      </w:r>
      <w:r>
        <w:rPr>
          <w:rFonts w:asciiTheme="minorEastAsia" w:hAnsiTheme="minorEastAsia" w:cs="Arial" w:hint="eastAsia"/>
          <w:sz w:val="24"/>
          <w:szCs w:val="24"/>
        </w:rPr>
        <w:t>6</w:t>
      </w:r>
      <w:r>
        <w:rPr>
          <w:rFonts w:asciiTheme="minorEastAsia" w:hAnsiTheme="minorEastAsia" w:cs="Arial" w:hint="eastAsia"/>
          <w:sz w:val="24"/>
          <w:szCs w:val="24"/>
        </w:rPr>
        <w:t>月</w:t>
      </w:r>
      <w:r>
        <w:rPr>
          <w:rFonts w:asciiTheme="minorEastAsia" w:hAnsiTheme="minorEastAsia" w:cs="Arial" w:hint="eastAsia"/>
          <w:sz w:val="24"/>
          <w:szCs w:val="24"/>
        </w:rPr>
        <w:t>30</w:t>
      </w:r>
      <w:r>
        <w:rPr>
          <w:rFonts w:asciiTheme="minorEastAsia" w:hAnsiTheme="minorEastAsia" w:cs="Arial" w:hint="eastAsia"/>
          <w:sz w:val="24"/>
          <w:szCs w:val="24"/>
        </w:rPr>
        <w:t>日，净值表现截止日为</w:t>
      </w:r>
      <w:r>
        <w:rPr>
          <w:rFonts w:asciiTheme="minorEastAsia" w:hAnsiTheme="minorEastAsia" w:cs="Arial" w:hint="eastAsia"/>
          <w:sz w:val="24"/>
          <w:szCs w:val="24"/>
        </w:rPr>
        <w:t>2025</w:t>
      </w:r>
      <w:r>
        <w:rPr>
          <w:rFonts w:asciiTheme="minorEastAsia" w:hAnsiTheme="minorEastAsia" w:cs="Arial" w:hint="eastAsia"/>
          <w:sz w:val="24"/>
          <w:szCs w:val="24"/>
        </w:rPr>
        <w:t>年</w:t>
      </w:r>
      <w:r>
        <w:rPr>
          <w:rFonts w:asciiTheme="minorEastAsia" w:hAnsiTheme="minorEastAsia" w:cs="Arial" w:hint="eastAsia"/>
          <w:sz w:val="24"/>
          <w:szCs w:val="24"/>
        </w:rPr>
        <w:t>6</w:t>
      </w:r>
      <w:r>
        <w:rPr>
          <w:rFonts w:asciiTheme="minorEastAsia" w:hAnsiTheme="minorEastAsia" w:cs="Arial" w:hint="eastAsia"/>
          <w:sz w:val="24"/>
          <w:szCs w:val="24"/>
        </w:rPr>
        <w:t>月</w:t>
      </w:r>
      <w:r>
        <w:rPr>
          <w:rFonts w:asciiTheme="minorEastAsia" w:hAnsiTheme="minorEastAsia" w:cs="Arial" w:hint="eastAsia"/>
          <w:sz w:val="24"/>
          <w:szCs w:val="24"/>
        </w:rPr>
        <w:t>30</w:t>
      </w:r>
      <w:r>
        <w:rPr>
          <w:rFonts w:asciiTheme="minorEastAsia" w:hAnsiTheme="minorEastAsia" w:cs="Arial" w:hint="eastAsia"/>
          <w:sz w:val="24"/>
          <w:szCs w:val="24"/>
        </w:rPr>
        <w:t>日。（财务数据未经审计）。</w:t>
      </w:r>
    </w:p>
    <w:p w14:paraId="56B1F60A" w14:textId="77777777" w:rsidR="007B7C2A" w:rsidRDefault="007B7C2A">
      <w:pPr>
        <w:autoSpaceDE w:val="0"/>
        <w:autoSpaceDN w:val="0"/>
        <w:adjustRightInd w:val="0"/>
        <w:snapToGrid w:val="0"/>
        <w:spacing w:line="360" w:lineRule="auto"/>
        <w:ind w:firstLineChars="200" w:firstLine="480"/>
        <w:rPr>
          <w:rFonts w:asciiTheme="minorEastAsia" w:hAnsiTheme="minorEastAsia" w:cs="Arial" w:hint="eastAsia"/>
          <w:sz w:val="24"/>
          <w:szCs w:val="24"/>
        </w:rPr>
      </w:pPr>
    </w:p>
    <w:p w14:paraId="3013AA65" w14:textId="77777777" w:rsidR="007B7C2A" w:rsidRDefault="007B7C2A">
      <w:pPr>
        <w:autoSpaceDE w:val="0"/>
        <w:autoSpaceDN w:val="0"/>
        <w:adjustRightInd w:val="0"/>
        <w:snapToGrid w:val="0"/>
        <w:spacing w:line="360" w:lineRule="auto"/>
        <w:ind w:firstLine="562"/>
        <w:jc w:val="center"/>
        <w:rPr>
          <w:rFonts w:ascii="Arial" w:eastAsia="宋体" w:hAnsi="Arial" w:cs="Arial"/>
          <w:b/>
          <w:bCs/>
          <w:sz w:val="28"/>
          <w:szCs w:val="28"/>
        </w:rPr>
      </w:pPr>
    </w:p>
    <w:p w14:paraId="7D7CA846" w14:textId="77777777" w:rsidR="007B7C2A" w:rsidRDefault="007B7C2A">
      <w:pPr>
        <w:widowControl/>
        <w:spacing w:line="360" w:lineRule="auto"/>
        <w:ind w:firstLine="602"/>
        <w:jc w:val="left"/>
        <w:rPr>
          <w:rFonts w:ascii="Times New Roman" w:eastAsia="宋体" w:hAnsi="Times New Roman" w:cs="Times New Roman"/>
          <w:b/>
          <w:kern w:val="0"/>
          <w:sz w:val="30"/>
          <w:szCs w:val="30"/>
        </w:rPr>
        <w:sectPr w:rsidR="007B7C2A">
          <w:footerReference w:type="default" r:id="rId17"/>
          <w:pgSz w:w="11906" w:h="16838"/>
          <w:pgMar w:top="1440" w:right="1800" w:bottom="1440" w:left="1800" w:header="851" w:footer="992" w:gutter="0"/>
          <w:pgNumType w:start="1"/>
          <w:cols w:space="720"/>
          <w:docGrid w:type="lines" w:linePitch="312"/>
        </w:sectPr>
      </w:pPr>
      <w:bookmarkStart w:id="15" w:name="_Toc26897"/>
      <w:bookmarkStart w:id="16" w:name="_Toc123112268"/>
      <w:bookmarkStart w:id="17" w:name="_Toc123701389"/>
      <w:bookmarkStart w:id="18" w:name="_Toc139991730"/>
      <w:bookmarkStart w:id="19" w:name="_Toc11660"/>
      <w:bookmarkStart w:id="20" w:name="_Toc4867"/>
      <w:bookmarkStart w:id="21" w:name="_Toc4966"/>
      <w:bookmarkStart w:id="22" w:name="_Toc23386"/>
      <w:bookmarkStart w:id="23" w:name="_Toc30935"/>
      <w:bookmarkStart w:id="24" w:name="_Toc32639"/>
      <w:bookmarkStart w:id="25" w:name="_Toc141703880"/>
      <w:bookmarkStart w:id="26" w:name="_Toc352229746"/>
      <w:bookmarkStart w:id="27" w:name="_Toc29629"/>
      <w:bookmarkStart w:id="28" w:name="_Toc15517"/>
      <w:bookmarkStart w:id="29" w:name="_Toc123112229"/>
      <w:bookmarkStart w:id="30" w:name="_Toc6306"/>
      <w:bookmarkStart w:id="31" w:name="_Toc8727"/>
      <w:bookmarkStart w:id="32" w:name="_Toc233456271"/>
      <w:bookmarkEnd w:id="0"/>
      <w:bookmarkEnd w:id="1"/>
      <w:bookmarkEnd w:id="2"/>
      <w:bookmarkEnd w:id="3"/>
    </w:p>
    <w:p w14:paraId="32507F7D" w14:textId="77777777" w:rsidR="007B7C2A" w:rsidRDefault="00072812">
      <w:pPr>
        <w:ind w:firstLine="482"/>
        <w:jc w:val="center"/>
        <w:rPr>
          <w:b/>
          <w:bCs/>
          <w:sz w:val="24"/>
        </w:rPr>
      </w:pPr>
      <w:r>
        <w:rPr>
          <w:b/>
          <w:bCs/>
          <w:sz w:val="24"/>
        </w:rPr>
        <w:t>目</w:t>
      </w:r>
      <w:r>
        <w:rPr>
          <w:b/>
          <w:bCs/>
          <w:sz w:val="24"/>
        </w:rPr>
        <w:t xml:space="preserve">    </w:t>
      </w:r>
      <w:r>
        <w:rPr>
          <w:b/>
          <w:bCs/>
          <w:sz w:val="24"/>
        </w:rPr>
        <w:t>录</w:t>
      </w:r>
    </w:p>
    <w:p w14:paraId="5537B434" w14:textId="696E136E" w:rsidR="007B7C2A" w:rsidRDefault="00072812">
      <w:pPr>
        <w:pStyle w:val="TOC1"/>
        <w:ind w:firstLine="420"/>
        <w:rPr>
          <w:rFonts w:asciiTheme="minorHAnsi" w:eastAsiaTheme="minorEastAsia" w:hAnsiTheme="minorHAnsi" w:cstheme="minorBidi"/>
          <w:noProof/>
          <w:szCs w:val="22"/>
          <w14:ligatures w14:val="standardContextual"/>
        </w:rPr>
      </w:pPr>
      <w:r>
        <w:rPr>
          <w:bCs/>
        </w:rPr>
        <w:fldChar w:fldCharType="begin"/>
      </w:r>
      <w:r>
        <w:rPr>
          <w:bCs/>
        </w:rPr>
        <w:instrText xml:space="preserve"> TOC \o "1-1" \h \z \u </w:instrText>
      </w:r>
      <w:r>
        <w:rPr>
          <w:bCs/>
        </w:rPr>
        <w:fldChar w:fldCharType="separate"/>
      </w:r>
      <w:hyperlink w:anchor="_Toc146096518" w:history="1">
        <w:r w:rsidR="007B7C2A">
          <w:rPr>
            <w:rStyle w:val="afa"/>
            <w:noProof/>
          </w:rPr>
          <w:t>第一部分</w:t>
        </w:r>
        <w:r w:rsidR="007B7C2A">
          <w:rPr>
            <w:rStyle w:val="afa"/>
            <w:noProof/>
          </w:rPr>
          <w:t xml:space="preserve">  </w:t>
        </w:r>
        <w:r w:rsidR="007B7C2A">
          <w:rPr>
            <w:rStyle w:val="afa"/>
            <w:noProof/>
          </w:rPr>
          <w:t>绪言</w:t>
        </w:r>
        <w:r w:rsidR="007B7C2A">
          <w:rPr>
            <w:noProof/>
          </w:rPr>
          <w:tab/>
        </w:r>
        <w:r w:rsidR="007B7C2A">
          <w:rPr>
            <w:noProof/>
          </w:rPr>
          <w:fldChar w:fldCharType="begin"/>
        </w:r>
        <w:r w:rsidR="007B7C2A">
          <w:rPr>
            <w:noProof/>
          </w:rPr>
          <w:instrText xml:space="preserve"> PAGEREF _Toc146096518 \h </w:instrText>
        </w:r>
        <w:r w:rsidR="007B7C2A">
          <w:rPr>
            <w:noProof/>
          </w:rPr>
        </w:r>
        <w:r w:rsidR="007B7C2A">
          <w:rPr>
            <w:noProof/>
          </w:rPr>
          <w:fldChar w:fldCharType="separate"/>
        </w:r>
        <w:r>
          <w:rPr>
            <w:noProof/>
          </w:rPr>
          <w:t>1</w:t>
        </w:r>
        <w:r w:rsidR="007B7C2A">
          <w:rPr>
            <w:noProof/>
          </w:rPr>
          <w:fldChar w:fldCharType="end"/>
        </w:r>
      </w:hyperlink>
    </w:p>
    <w:p w14:paraId="550907E8" w14:textId="492A51BD"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19" w:history="1">
        <w:r>
          <w:rPr>
            <w:rStyle w:val="afa"/>
            <w:noProof/>
          </w:rPr>
          <w:t>第二部分</w:t>
        </w:r>
        <w:r>
          <w:rPr>
            <w:rStyle w:val="afa"/>
            <w:noProof/>
          </w:rPr>
          <w:t xml:space="preserve">  </w:t>
        </w:r>
        <w:r>
          <w:rPr>
            <w:rStyle w:val="afa"/>
            <w:noProof/>
          </w:rPr>
          <w:t>释义</w:t>
        </w:r>
        <w:r>
          <w:rPr>
            <w:noProof/>
          </w:rPr>
          <w:tab/>
        </w:r>
        <w:r>
          <w:rPr>
            <w:noProof/>
          </w:rPr>
          <w:fldChar w:fldCharType="begin"/>
        </w:r>
        <w:r>
          <w:rPr>
            <w:noProof/>
          </w:rPr>
          <w:instrText xml:space="preserve"> PAGEREF _Toc146096519 \h </w:instrText>
        </w:r>
        <w:r>
          <w:rPr>
            <w:noProof/>
          </w:rPr>
        </w:r>
        <w:r>
          <w:rPr>
            <w:noProof/>
          </w:rPr>
          <w:fldChar w:fldCharType="separate"/>
        </w:r>
        <w:r w:rsidR="00072812">
          <w:rPr>
            <w:noProof/>
          </w:rPr>
          <w:t>2</w:t>
        </w:r>
        <w:r>
          <w:rPr>
            <w:noProof/>
          </w:rPr>
          <w:fldChar w:fldCharType="end"/>
        </w:r>
      </w:hyperlink>
    </w:p>
    <w:p w14:paraId="56812107" w14:textId="34DD1296"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0" w:history="1">
        <w:r>
          <w:rPr>
            <w:rStyle w:val="afa"/>
            <w:noProof/>
          </w:rPr>
          <w:t>第三部分</w:t>
        </w:r>
        <w:r>
          <w:rPr>
            <w:rStyle w:val="afa"/>
            <w:noProof/>
          </w:rPr>
          <w:t xml:space="preserve">  </w:t>
        </w:r>
        <w:r>
          <w:rPr>
            <w:rStyle w:val="afa"/>
            <w:noProof/>
          </w:rPr>
          <w:t>基金管理人</w:t>
        </w:r>
        <w:r>
          <w:rPr>
            <w:noProof/>
          </w:rPr>
          <w:tab/>
        </w:r>
        <w:r>
          <w:rPr>
            <w:noProof/>
          </w:rPr>
          <w:fldChar w:fldCharType="begin"/>
        </w:r>
        <w:r>
          <w:rPr>
            <w:noProof/>
          </w:rPr>
          <w:instrText xml:space="preserve"> PAGEREF _Toc146096520 \h </w:instrText>
        </w:r>
        <w:r>
          <w:rPr>
            <w:noProof/>
          </w:rPr>
        </w:r>
        <w:r>
          <w:rPr>
            <w:noProof/>
          </w:rPr>
          <w:fldChar w:fldCharType="separate"/>
        </w:r>
        <w:r w:rsidR="00072812">
          <w:rPr>
            <w:noProof/>
          </w:rPr>
          <w:t>7</w:t>
        </w:r>
        <w:r>
          <w:rPr>
            <w:noProof/>
          </w:rPr>
          <w:fldChar w:fldCharType="end"/>
        </w:r>
      </w:hyperlink>
    </w:p>
    <w:p w14:paraId="32DCE9E7" w14:textId="5A5E3EE5"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1" w:history="1">
        <w:r>
          <w:rPr>
            <w:rStyle w:val="afa"/>
            <w:noProof/>
          </w:rPr>
          <w:t>第四部分</w:t>
        </w:r>
        <w:r>
          <w:rPr>
            <w:rStyle w:val="afa"/>
            <w:noProof/>
          </w:rPr>
          <w:t xml:space="preserve">  </w:t>
        </w:r>
        <w:r>
          <w:rPr>
            <w:rStyle w:val="afa"/>
            <w:noProof/>
          </w:rPr>
          <w:t>基金托管人</w:t>
        </w:r>
        <w:r>
          <w:rPr>
            <w:noProof/>
          </w:rPr>
          <w:tab/>
        </w:r>
        <w:r>
          <w:rPr>
            <w:noProof/>
          </w:rPr>
          <w:fldChar w:fldCharType="begin"/>
        </w:r>
        <w:r>
          <w:rPr>
            <w:noProof/>
          </w:rPr>
          <w:instrText xml:space="preserve"> PAGEREF _Toc146096521 \h </w:instrText>
        </w:r>
        <w:r>
          <w:rPr>
            <w:noProof/>
          </w:rPr>
        </w:r>
        <w:r>
          <w:rPr>
            <w:noProof/>
          </w:rPr>
          <w:fldChar w:fldCharType="separate"/>
        </w:r>
        <w:r w:rsidR="00072812">
          <w:rPr>
            <w:noProof/>
          </w:rPr>
          <w:t>19</w:t>
        </w:r>
        <w:r>
          <w:rPr>
            <w:noProof/>
          </w:rPr>
          <w:fldChar w:fldCharType="end"/>
        </w:r>
      </w:hyperlink>
    </w:p>
    <w:p w14:paraId="60060D05" w14:textId="48AFEB0A"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2" w:history="1">
        <w:r>
          <w:rPr>
            <w:rStyle w:val="afa"/>
            <w:noProof/>
          </w:rPr>
          <w:t>第五部分</w:t>
        </w:r>
        <w:r>
          <w:rPr>
            <w:rStyle w:val="afa"/>
            <w:noProof/>
          </w:rPr>
          <w:t xml:space="preserve">  </w:t>
        </w:r>
        <w:r>
          <w:rPr>
            <w:rStyle w:val="afa"/>
            <w:noProof/>
          </w:rPr>
          <w:t>相关服务机构</w:t>
        </w:r>
        <w:r>
          <w:rPr>
            <w:noProof/>
          </w:rPr>
          <w:tab/>
        </w:r>
        <w:r>
          <w:rPr>
            <w:noProof/>
          </w:rPr>
          <w:fldChar w:fldCharType="begin"/>
        </w:r>
        <w:r>
          <w:rPr>
            <w:noProof/>
          </w:rPr>
          <w:instrText xml:space="preserve"> PAGEREF _Toc146096522 \h </w:instrText>
        </w:r>
        <w:r>
          <w:rPr>
            <w:noProof/>
          </w:rPr>
        </w:r>
        <w:r>
          <w:rPr>
            <w:noProof/>
          </w:rPr>
          <w:fldChar w:fldCharType="separate"/>
        </w:r>
        <w:r w:rsidR="00072812">
          <w:rPr>
            <w:noProof/>
          </w:rPr>
          <w:t>22</w:t>
        </w:r>
        <w:r>
          <w:rPr>
            <w:noProof/>
          </w:rPr>
          <w:fldChar w:fldCharType="end"/>
        </w:r>
      </w:hyperlink>
    </w:p>
    <w:p w14:paraId="632E6B4E" w14:textId="58074D2E"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3" w:history="1">
        <w:r>
          <w:rPr>
            <w:rStyle w:val="afa"/>
            <w:noProof/>
          </w:rPr>
          <w:t>第六部分</w:t>
        </w:r>
        <w:r>
          <w:rPr>
            <w:rStyle w:val="afa"/>
            <w:noProof/>
          </w:rPr>
          <w:t xml:space="preserve">  </w:t>
        </w:r>
        <w:r>
          <w:rPr>
            <w:rStyle w:val="afa"/>
            <w:noProof/>
          </w:rPr>
          <w:t>基金的募集</w:t>
        </w:r>
        <w:r>
          <w:rPr>
            <w:noProof/>
          </w:rPr>
          <w:tab/>
        </w:r>
        <w:r>
          <w:rPr>
            <w:noProof/>
          </w:rPr>
          <w:fldChar w:fldCharType="begin"/>
        </w:r>
        <w:r>
          <w:rPr>
            <w:noProof/>
          </w:rPr>
          <w:instrText xml:space="preserve"> PAGEREF _Toc146096523 \h </w:instrText>
        </w:r>
        <w:r>
          <w:rPr>
            <w:noProof/>
          </w:rPr>
        </w:r>
        <w:r>
          <w:rPr>
            <w:noProof/>
          </w:rPr>
          <w:fldChar w:fldCharType="separate"/>
        </w:r>
        <w:r w:rsidR="00072812">
          <w:rPr>
            <w:noProof/>
          </w:rPr>
          <w:t>24</w:t>
        </w:r>
        <w:r>
          <w:rPr>
            <w:noProof/>
          </w:rPr>
          <w:fldChar w:fldCharType="end"/>
        </w:r>
      </w:hyperlink>
    </w:p>
    <w:p w14:paraId="06D77E29" w14:textId="55AE9B87"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4" w:history="1">
        <w:r>
          <w:rPr>
            <w:rStyle w:val="afa"/>
            <w:noProof/>
          </w:rPr>
          <w:t>第七部分</w:t>
        </w:r>
        <w:r>
          <w:rPr>
            <w:rStyle w:val="afa"/>
            <w:noProof/>
          </w:rPr>
          <w:t xml:space="preserve">  </w:t>
        </w:r>
        <w:r>
          <w:rPr>
            <w:rStyle w:val="afa"/>
            <w:noProof/>
          </w:rPr>
          <w:t>基金合同的生效</w:t>
        </w:r>
        <w:r>
          <w:rPr>
            <w:noProof/>
          </w:rPr>
          <w:tab/>
        </w:r>
        <w:r>
          <w:rPr>
            <w:noProof/>
          </w:rPr>
          <w:fldChar w:fldCharType="begin"/>
        </w:r>
        <w:r>
          <w:rPr>
            <w:noProof/>
          </w:rPr>
          <w:instrText xml:space="preserve"> PAGEREF _Toc146096524 \h </w:instrText>
        </w:r>
        <w:r>
          <w:rPr>
            <w:noProof/>
          </w:rPr>
        </w:r>
        <w:r>
          <w:rPr>
            <w:noProof/>
          </w:rPr>
          <w:fldChar w:fldCharType="separate"/>
        </w:r>
        <w:r w:rsidR="00072812">
          <w:rPr>
            <w:noProof/>
          </w:rPr>
          <w:t>25</w:t>
        </w:r>
        <w:r>
          <w:rPr>
            <w:noProof/>
          </w:rPr>
          <w:fldChar w:fldCharType="end"/>
        </w:r>
      </w:hyperlink>
    </w:p>
    <w:p w14:paraId="140F90D0" w14:textId="36EA7626"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5" w:history="1">
        <w:r>
          <w:rPr>
            <w:rStyle w:val="afa"/>
            <w:noProof/>
          </w:rPr>
          <w:t>第八部分</w:t>
        </w:r>
        <w:r>
          <w:rPr>
            <w:rStyle w:val="afa"/>
            <w:noProof/>
          </w:rPr>
          <w:t xml:space="preserve">  </w:t>
        </w:r>
        <w:r>
          <w:rPr>
            <w:rStyle w:val="afa"/>
            <w:noProof/>
          </w:rPr>
          <w:t>基金份额的申购与赎回</w:t>
        </w:r>
        <w:r>
          <w:rPr>
            <w:noProof/>
          </w:rPr>
          <w:tab/>
        </w:r>
        <w:r>
          <w:rPr>
            <w:noProof/>
          </w:rPr>
          <w:fldChar w:fldCharType="begin"/>
        </w:r>
        <w:r>
          <w:rPr>
            <w:noProof/>
          </w:rPr>
          <w:instrText xml:space="preserve"> PAGEREF _Toc146096525 \h </w:instrText>
        </w:r>
        <w:r>
          <w:rPr>
            <w:noProof/>
          </w:rPr>
        </w:r>
        <w:r>
          <w:rPr>
            <w:noProof/>
          </w:rPr>
          <w:fldChar w:fldCharType="separate"/>
        </w:r>
        <w:r w:rsidR="00072812">
          <w:rPr>
            <w:noProof/>
          </w:rPr>
          <w:t>26</w:t>
        </w:r>
        <w:r>
          <w:rPr>
            <w:noProof/>
          </w:rPr>
          <w:fldChar w:fldCharType="end"/>
        </w:r>
      </w:hyperlink>
    </w:p>
    <w:p w14:paraId="34332B98" w14:textId="70688B40"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6" w:history="1">
        <w:r>
          <w:rPr>
            <w:rStyle w:val="afa"/>
            <w:noProof/>
          </w:rPr>
          <w:t>第九部分</w:t>
        </w:r>
        <w:r>
          <w:rPr>
            <w:rStyle w:val="afa"/>
            <w:noProof/>
          </w:rPr>
          <w:t xml:space="preserve">  </w:t>
        </w:r>
        <w:r>
          <w:rPr>
            <w:rStyle w:val="afa"/>
            <w:noProof/>
          </w:rPr>
          <w:t>基金的投资</w:t>
        </w:r>
        <w:r>
          <w:rPr>
            <w:noProof/>
          </w:rPr>
          <w:tab/>
        </w:r>
        <w:r>
          <w:rPr>
            <w:noProof/>
          </w:rPr>
          <w:fldChar w:fldCharType="begin"/>
        </w:r>
        <w:r>
          <w:rPr>
            <w:noProof/>
          </w:rPr>
          <w:instrText xml:space="preserve"> PAGEREF _Toc146096526 \h </w:instrText>
        </w:r>
        <w:r>
          <w:rPr>
            <w:noProof/>
          </w:rPr>
        </w:r>
        <w:r>
          <w:rPr>
            <w:noProof/>
          </w:rPr>
          <w:fldChar w:fldCharType="separate"/>
        </w:r>
        <w:r w:rsidR="00072812">
          <w:rPr>
            <w:noProof/>
          </w:rPr>
          <w:t>37</w:t>
        </w:r>
        <w:r>
          <w:rPr>
            <w:noProof/>
          </w:rPr>
          <w:fldChar w:fldCharType="end"/>
        </w:r>
      </w:hyperlink>
    </w:p>
    <w:p w14:paraId="2A1C2A41" w14:textId="731DAA20"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7" w:history="1">
        <w:r>
          <w:rPr>
            <w:rStyle w:val="afa"/>
            <w:noProof/>
          </w:rPr>
          <w:t>第十部分</w:t>
        </w:r>
        <w:r>
          <w:rPr>
            <w:rStyle w:val="afa"/>
            <w:noProof/>
          </w:rPr>
          <w:t xml:space="preserve">  </w:t>
        </w:r>
        <w:r>
          <w:rPr>
            <w:rStyle w:val="afa"/>
            <w:noProof/>
          </w:rPr>
          <w:t>基金的财产</w:t>
        </w:r>
        <w:r>
          <w:rPr>
            <w:noProof/>
          </w:rPr>
          <w:tab/>
        </w:r>
        <w:r>
          <w:rPr>
            <w:noProof/>
          </w:rPr>
          <w:fldChar w:fldCharType="begin"/>
        </w:r>
        <w:r>
          <w:rPr>
            <w:noProof/>
          </w:rPr>
          <w:instrText xml:space="preserve"> PAGEREF _Toc146096527 \h </w:instrText>
        </w:r>
        <w:r>
          <w:rPr>
            <w:noProof/>
          </w:rPr>
        </w:r>
        <w:r>
          <w:rPr>
            <w:noProof/>
          </w:rPr>
          <w:fldChar w:fldCharType="separate"/>
        </w:r>
        <w:r w:rsidR="00072812">
          <w:rPr>
            <w:noProof/>
          </w:rPr>
          <w:t>52</w:t>
        </w:r>
        <w:r>
          <w:rPr>
            <w:noProof/>
          </w:rPr>
          <w:fldChar w:fldCharType="end"/>
        </w:r>
      </w:hyperlink>
    </w:p>
    <w:p w14:paraId="158DD6C2" w14:textId="31FF61DF"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8" w:history="1">
        <w:r>
          <w:rPr>
            <w:rStyle w:val="afa"/>
            <w:noProof/>
          </w:rPr>
          <w:t>第十一部分</w:t>
        </w:r>
        <w:r>
          <w:rPr>
            <w:rStyle w:val="afa"/>
            <w:noProof/>
          </w:rPr>
          <w:t xml:space="preserve">  </w:t>
        </w:r>
        <w:r>
          <w:rPr>
            <w:rStyle w:val="afa"/>
            <w:noProof/>
          </w:rPr>
          <w:t>基金资产的估值</w:t>
        </w:r>
        <w:r>
          <w:rPr>
            <w:noProof/>
          </w:rPr>
          <w:tab/>
        </w:r>
        <w:r>
          <w:rPr>
            <w:noProof/>
          </w:rPr>
          <w:fldChar w:fldCharType="begin"/>
        </w:r>
        <w:r>
          <w:rPr>
            <w:noProof/>
          </w:rPr>
          <w:instrText xml:space="preserve"> PAGEREF _Toc146096528 \h </w:instrText>
        </w:r>
        <w:r>
          <w:rPr>
            <w:noProof/>
          </w:rPr>
        </w:r>
        <w:r>
          <w:rPr>
            <w:noProof/>
          </w:rPr>
          <w:fldChar w:fldCharType="separate"/>
        </w:r>
        <w:r w:rsidR="00072812">
          <w:rPr>
            <w:noProof/>
          </w:rPr>
          <w:t>53</w:t>
        </w:r>
        <w:r>
          <w:rPr>
            <w:noProof/>
          </w:rPr>
          <w:fldChar w:fldCharType="end"/>
        </w:r>
      </w:hyperlink>
    </w:p>
    <w:p w14:paraId="7D748D77" w14:textId="7FA82E3E"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29" w:history="1">
        <w:r>
          <w:rPr>
            <w:rStyle w:val="afa"/>
            <w:noProof/>
          </w:rPr>
          <w:t>第十二部分</w:t>
        </w:r>
        <w:r>
          <w:rPr>
            <w:rStyle w:val="afa"/>
            <w:noProof/>
          </w:rPr>
          <w:t xml:space="preserve">  </w:t>
        </w:r>
        <w:r>
          <w:rPr>
            <w:rStyle w:val="afa"/>
            <w:noProof/>
          </w:rPr>
          <w:t>基金的收益分配</w:t>
        </w:r>
        <w:r>
          <w:rPr>
            <w:noProof/>
          </w:rPr>
          <w:tab/>
        </w:r>
        <w:r>
          <w:rPr>
            <w:noProof/>
          </w:rPr>
          <w:fldChar w:fldCharType="begin"/>
        </w:r>
        <w:r>
          <w:rPr>
            <w:noProof/>
          </w:rPr>
          <w:instrText xml:space="preserve"> PAGEREF _Toc146096529 \h </w:instrText>
        </w:r>
        <w:r>
          <w:rPr>
            <w:noProof/>
          </w:rPr>
        </w:r>
        <w:r>
          <w:rPr>
            <w:noProof/>
          </w:rPr>
          <w:fldChar w:fldCharType="separate"/>
        </w:r>
        <w:r w:rsidR="00072812">
          <w:rPr>
            <w:noProof/>
          </w:rPr>
          <w:t>59</w:t>
        </w:r>
        <w:r>
          <w:rPr>
            <w:noProof/>
          </w:rPr>
          <w:fldChar w:fldCharType="end"/>
        </w:r>
      </w:hyperlink>
    </w:p>
    <w:p w14:paraId="7B6408E3" w14:textId="755732BC"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0" w:history="1">
        <w:r>
          <w:rPr>
            <w:rStyle w:val="afa"/>
            <w:noProof/>
          </w:rPr>
          <w:t>第十三部分</w:t>
        </w:r>
        <w:r>
          <w:rPr>
            <w:rStyle w:val="afa"/>
            <w:noProof/>
          </w:rPr>
          <w:t xml:space="preserve">  </w:t>
        </w:r>
        <w:r>
          <w:rPr>
            <w:rStyle w:val="afa"/>
            <w:noProof/>
          </w:rPr>
          <w:t>基金费用与税收</w:t>
        </w:r>
        <w:r>
          <w:rPr>
            <w:noProof/>
          </w:rPr>
          <w:tab/>
        </w:r>
        <w:r>
          <w:rPr>
            <w:noProof/>
          </w:rPr>
          <w:fldChar w:fldCharType="begin"/>
        </w:r>
        <w:r>
          <w:rPr>
            <w:noProof/>
          </w:rPr>
          <w:instrText xml:space="preserve"> PAGEREF _Toc146096530 \h </w:instrText>
        </w:r>
        <w:r>
          <w:rPr>
            <w:noProof/>
          </w:rPr>
        </w:r>
        <w:r>
          <w:rPr>
            <w:noProof/>
          </w:rPr>
          <w:fldChar w:fldCharType="separate"/>
        </w:r>
        <w:r w:rsidR="00072812">
          <w:rPr>
            <w:noProof/>
          </w:rPr>
          <w:t>61</w:t>
        </w:r>
        <w:r>
          <w:rPr>
            <w:noProof/>
          </w:rPr>
          <w:fldChar w:fldCharType="end"/>
        </w:r>
      </w:hyperlink>
    </w:p>
    <w:p w14:paraId="47B5D3A4" w14:textId="63E94AA9"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1" w:history="1">
        <w:r>
          <w:rPr>
            <w:rStyle w:val="afa"/>
            <w:noProof/>
          </w:rPr>
          <w:t>第十四部分</w:t>
        </w:r>
        <w:r>
          <w:rPr>
            <w:rStyle w:val="afa"/>
            <w:noProof/>
          </w:rPr>
          <w:t xml:space="preserve">  </w:t>
        </w:r>
        <w:r>
          <w:rPr>
            <w:rStyle w:val="afa"/>
            <w:noProof/>
          </w:rPr>
          <w:t>基金的会计与审计</w:t>
        </w:r>
        <w:r>
          <w:rPr>
            <w:noProof/>
          </w:rPr>
          <w:tab/>
        </w:r>
        <w:r>
          <w:rPr>
            <w:noProof/>
          </w:rPr>
          <w:fldChar w:fldCharType="begin"/>
        </w:r>
        <w:r>
          <w:rPr>
            <w:noProof/>
          </w:rPr>
          <w:instrText xml:space="preserve"> PAGEREF _Toc146096531 \h </w:instrText>
        </w:r>
        <w:r>
          <w:rPr>
            <w:noProof/>
          </w:rPr>
        </w:r>
        <w:r>
          <w:rPr>
            <w:noProof/>
          </w:rPr>
          <w:fldChar w:fldCharType="separate"/>
        </w:r>
        <w:r w:rsidR="00072812">
          <w:rPr>
            <w:noProof/>
          </w:rPr>
          <w:t>64</w:t>
        </w:r>
        <w:r>
          <w:rPr>
            <w:noProof/>
          </w:rPr>
          <w:fldChar w:fldCharType="end"/>
        </w:r>
      </w:hyperlink>
    </w:p>
    <w:p w14:paraId="25851911" w14:textId="09354287"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2" w:history="1">
        <w:r>
          <w:rPr>
            <w:rStyle w:val="afa"/>
            <w:noProof/>
          </w:rPr>
          <w:t>第十五部分</w:t>
        </w:r>
        <w:r>
          <w:rPr>
            <w:rStyle w:val="afa"/>
            <w:noProof/>
          </w:rPr>
          <w:t xml:space="preserve">  </w:t>
        </w:r>
        <w:r>
          <w:rPr>
            <w:rStyle w:val="afa"/>
            <w:noProof/>
          </w:rPr>
          <w:t>基金的信息披露</w:t>
        </w:r>
        <w:r>
          <w:rPr>
            <w:noProof/>
          </w:rPr>
          <w:tab/>
        </w:r>
        <w:r>
          <w:rPr>
            <w:noProof/>
          </w:rPr>
          <w:fldChar w:fldCharType="begin"/>
        </w:r>
        <w:r>
          <w:rPr>
            <w:noProof/>
          </w:rPr>
          <w:instrText xml:space="preserve"> PAGEREF _Toc146096532 \h </w:instrText>
        </w:r>
        <w:r>
          <w:rPr>
            <w:noProof/>
          </w:rPr>
        </w:r>
        <w:r>
          <w:rPr>
            <w:noProof/>
          </w:rPr>
          <w:fldChar w:fldCharType="separate"/>
        </w:r>
        <w:r w:rsidR="00072812">
          <w:rPr>
            <w:noProof/>
          </w:rPr>
          <w:t>65</w:t>
        </w:r>
        <w:r>
          <w:rPr>
            <w:noProof/>
          </w:rPr>
          <w:fldChar w:fldCharType="end"/>
        </w:r>
      </w:hyperlink>
    </w:p>
    <w:p w14:paraId="7E1F5685" w14:textId="2693C9DB"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3" w:history="1">
        <w:r>
          <w:rPr>
            <w:rStyle w:val="afa"/>
            <w:noProof/>
          </w:rPr>
          <w:t>第十六部分</w:t>
        </w:r>
        <w:r>
          <w:rPr>
            <w:rStyle w:val="afa"/>
            <w:noProof/>
          </w:rPr>
          <w:t xml:space="preserve">  </w:t>
        </w:r>
        <w:r>
          <w:rPr>
            <w:rStyle w:val="afa"/>
            <w:noProof/>
          </w:rPr>
          <w:t>风险揭示</w:t>
        </w:r>
        <w:r>
          <w:rPr>
            <w:noProof/>
          </w:rPr>
          <w:tab/>
        </w:r>
        <w:r>
          <w:rPr>
            <w:noProof/>
          </w:rPr>
          <w:fldChar w:fldCharType="begin"/>
        </w:r>
        <w:r>
          <w:rPr>
            <w:noProof/>
          </w:rPr>
          <w:instrText xml:space="preserve"> PAGEREF _Toc146096533 \h </w:instrText>
        </w:r>
        <w:r>
          <w:rPr>
            <w:noProof/>
          </w:rPr>
        </w:r>
        <w:r>
          <w:rPr>
            <w:noProof/>
          </w:rPr>
          <w:fldChar w:fldCharType="separate"/>
        </w:r>
        <w:r w:rsidR="00072812">
          <w:rPr>
            <w:noProof/>
          </w:rPr>
          <w:t>72</w:t>
        </w:r>
        <w:r>
          <w:rPr>
            <w:noProof/>
          </w:rPr>
          <w:fldChar w:fldCharType="end"/>
        </w:r>
      </w:hyperlink>
    </w:p>
    <w:p w14:paraId="1347391C" w14:textId="1E46AD72"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4" w:history="1">
        <w:r>
          <w:rPr>
            <w:rStyle w:val="afa"/>
            <w:noProof/>
          </w:rPr>
          <w:t>第十七部分</w:t>
        </w:r>
        <w:r>
          <w:rPr>
            <w:rStyle w:val="afa"/>
            <w:noProof/>
          </w:rPr>
          <w:t xml:space="preserve">  </w:t>
        </w:r>
        <w:r>
          <w:rPr>
            <w:rStyle w:val="afa"/>
            <w:noProof/>
          </w:rPr>
          <w:t>基金合同的变更、终止与基金财产的清算</w:t>
        </w:r>
        <w:r>
          <w:rPr>
            <w:noProof/>
          </w:rPr>
          <w:tab/>
        </w:r>
        <w:r>
          <w:rPr>
            <w:noProof/>
          </w:rPr>
          <w:fldChar w:fldCharType="begin"/>
        </w:r>
        <w:r>
          <w:rPr>
            <w:noProof/>
          </w:rPr>
          <w:instrText xml:space="preserve"> PAGEREF _Toc146096534 \h </w:instrText>
        </w:r>
        <w:r>
          <w:rPr>
            <w:noProof/>
          </w:rPr>
        </w:r>
        <w:r>
          <w:rPr>
            <w:noProof/>
          </w:rPr>
          <w:fldChar w:fldCharType="separate"/>
        </w:r>
        <w:r w:rsidR="00072812">
          <w:rPr>
            <w:noProof/>
          </w:rPr>
          <w:t>76</w:t>
        </w:r>
        <w:r>
          <w:rPr>
            <w:noProof/>
          </w:rPr>
          <w:fldChar w:fldCharType="end"/>
        </w:r>
      </w:hyperlink>
    </w:p>
    <w:p w14:paraId="2E66A656" w14:textId="684EC955"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5" w:history="1">
        <w:r>
          <w:rPr>
            <w:rStyle w:val="afa"/>
            <w:noProof/>
          </w:rPr>
          <w:t>第十八部分</w:t>
        </w:r>
        <w:r>
          <w:rPr>
            <w:rStyle w:val="afa"/>
            <w:noProof/>
          </w:rPr>
          <w:t xml:space="preserve">  </w:t>
        </w:r>
        <w:r>
          <w:rPr>
            <w:rStyle w:val="afa"/>
            <w:noProof/>
          </w:rPr>
          <w:t>基金合同的内容摘要</w:t>
        </w:r>
        <w:r>
          <w:rPr>
            <w:noProof/>
          </w:rPr>
          <w:tab/>
        </w:r>
        <w:r>
          <w:rPr>
            <w:noProof/>
          </w:rPr>
          <w:fldChar w:fldCharType="begin"/>
        </w:r>
        <w:r>
          <w:rPr>
            <w:noProof/>
          </w:rPr>
          <w:instrText xml:space="preserve"> PAGEREF _Toc146096535 \h </w:instrText>
        </w:r>
        <w:r>
          <w:rPr>
            <w:noProof/>
          </w:rPr>
        </w:r>
        <w:r>
          <w:rPr>
            <w:noProof/>
          </w:rPr>
          <w:fldChar w:fldCharType="separate"/>
        </w:r>
        <w:r w:rsidR="00072812">
          <w:rPr>
            <w:noProof/>
          </w:rPr>
          <w:t>78</w:t>
        </w:r>
        <w:r>
          <w:rPr>
            <w:noProof/>
          </w:rPr>
          <w:fldChar w:fldCharType="end"/>
        </w:r>
      </w:hyperlink>
    </w:p>
    <w:p w14:paraId="33080FCE" w14:textId="4A31AE66"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6" w:history="1">
        <w:r>
          <w:rPr>
            <w:rStyle w:val="afa"/>
            <w:noProof/>
          </w:rPr>
          <w:t>第十九部分</w:t>
        </w:r>
        <w:r>
          <w:rPr>
            <w:rStyle w:val="afa"/>
            <w:noProof/>
          </w:rPr>
          <w:t xml:space="preserve">  </w:t>
        </w:r>
        <w:r>
          <w:rPr>
            <w:rStyle w:val="afa"/>
            <w:noProof/>
          </w:rPr>
          <w:t>基金托管协议的内容摘要</w:t>
        </w:r>
        <w:r>
          <w:rPr>
            <w:noProof/>
          </w:rPr>
          <w:tab/>
        </w:r>
        <w:r>
          <w:rPr>
            <w:noProof/>
          </w:rPr>
          <w:fldChar w:fldCharType="begin"/>
        </w:r>
        <w:r>
          <w:rPr>
            <w:noProof/>
          </w:rPr>
          <w:instrText xml:space="preserve"> PAGEREF _Toc146096536 \h </w:instrText>
        </w:r>
        <w:r>
          <w:rPr>
            <w:noProof/>
          </w:rPr>
        </w:r>
        <w:r>
          <w:rPr>
            <w:noProof/>
          </w:rPr>
          <w:fldChar w:fldCharType="separate"/>
        </w:r>
        <w:r w:rsidR="00072812">
          <w:rPr>
            <w:noProof/>
          </w:rPr>
          <w:t>94</w:t>
        </w:r>
        <w:r>
          <w:rPr>
            <w:noProof/>
          </w:rPr>
          <w:fldChar w:fldCharType="end"/>
        </w:r>
      </w:hyperlink>
    </w:p>
    <w:p w14:paraId="57530E27" w14:textId="62D3F063"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7" w:history="1">
        <w:r>
          <w:rPr>
            <w:rStyle w:val="afa"/>
            <w:noProof/>
          </w:rPr>
          <w:t>第二十部分</w:t>
        </w:r>
        <w:r>
          <w:rPr>
            <w:rStyle w:val="afa"/>
            <w:noProof/>
          </w:rPr>
          <w:t xml:space="preserve">  </w:t>
        </w:r>
        <w:r>
          <w:rPr>
            <w:rStyle w:val="afa"/>
            <w:noProof/>
          </w:rPr>
          <w:t>对基金份额持有人的服务</w:t>
        </w:r>
        <w:r>
          <w:rPr>
            <w:noProof/>
          </w:rPr>
          <w:tab/>
        </w:r>
        <w:r>
          <w:rPr>
            <w:noProof/>
          </w:rPr>
          <w:fldChar w:fldCharType="begin"/>
        </w:r>
        <w:r>
          <w:rPr>
            <w:noProof/>
          </w:rPr>
          <w:instrText xml:space="preserve"> PAGEREF _Toc146096537 \h </w:instrText>
        </w:r>
        <w:r>
          <w:rPr>
            <w:noProof/>
          </w:rPr>
        </w:r>
        <w:r>
          <w:rPr>
            <w:noProof/>
          </w:rPr>
          <w:fldChar w:fldCharType="separate"/>
        </w:r>
        <w:r w:rsidR="00072812">
          <w:rPr>
            <w:noProof/>
          </w:rPr>
          <w:t>108</w:t>
        </w:r>
        <w:r>
          <w:rPr>
            <w:noProof/>
          </w:rPr>
          <w:fldChar w:fldCharType="end"/>
        </w:r>
      </w:hyperlink>
    </w:p>
    <w:p w14:paraId="2852D07A" w14:textId="3275205E"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8" w:history="1">
        <w:r>
          <w:rPr>
            <w:rStyle w:val="afa"/>
            <w:noProof/>
          </w:rPr>
          <w:t>第二十一部分</w:t>
        </w:r>
        <w:r>
          <w:rPr>
            <w:rStyle w:val="afa"/>
            <w:noProof/>
          </w:rPr>
          <w:t xml:space="preserve">  </w:t>
        </w:r>
        <w:r>
          <w:rPr>
            <w:rStyle w:val="afa"/>
            <w:noProof/>
          </w:rPr>
          <w:t>其他应披露事项</w:t>
        </w:r>
        <w:r>
          <w:rPr>
            <w:noProof/>
          </w:rPr>
          <w:tab/>
        </w:r>
        <w:r>
          <w:rPr>
            <w:noProof/>
          </w:rPr>
          <w:fldChar w:fldCharType="begin"/>
        </w:r>
        <w:r>
          <w:rPr>
            <w:noProof/>
          </w:rPr>
          <w:instrText xml:space="preserve"> PAGEREF _Toc146096538 \h </w:instrText>
        </w:r>
        <w:r>
          <w:rPr>
            <w:noProof/>
          </w:rPr>
        </w:r>
        <w:r>
          <w:rPr>
            <w:noProof/>
          </w:rPr>
          <w:fldChar w:fldCharType="separate"/>
        </w:r>
        <w:r w:rsidR="00072812">
          <w:rPr>
            <w:noProof/>
          </w:rPr>
          <w:t>110</w:t>
        </w:r>
        <w:r>
          <w:rPr>
            <w:noProof/>
          </w:rPr>
          <w:fldChar w:fldCharType="end"/>
        </w:r>
      </w:hyperlink>
    </w:p>
    <w:p w14:paraId="0C1497CA" w14:textId="6A95A85F"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39" w:history="1">
        <w:r>
          <w:rPr>
            <w:rStyle w:val="afa"/>
            <w:noProof/>
          </w:rPr>
          <w:t>第二十二部分</w:t>
        </w:r>
        <w:r>
          <w:rPr>
            <w:rStyle w:val="afa"/>
            <w:noProof/>
          </w:rPr>
          <w:t xml:space="preserve">  </w:t>
        </w:r>
        <w:r>
          <w:rPr>
            <w:rStyle w:val="afa"/>
            <w:noProof/>
          </w:rPr>
          <w:t>招募说明书存放及查阅方式</w:t>
        </w:r>
        <w:r>
          <w:rPr>
            <w:noProof/>
          </w:rPr>
          <w:tab/>
        </w:r>
        <w:r>
          <w:rPr>
            <w:noProof/>
          </w:rPr>
          <w:fldChar w:fldCharType="begin"/>
        </w:r>
        <w:r>
          <w:rPr>
            <w:noProof/>
          </w:rPr>
          <w:instrText xml:space="preserve"> PAGEREF _Toc146096539 \h </w:instrText>
        </w:r>
        <w:r>
          <w:rPr>
            <w:noProof/>
          </w:rPr>
        </w:r>
        <w:r>
          <w:rPr>
            <w:noProof/>
          </w:rPr>
          <w:fldChar w:fldCharType="separate"/>
        </w:r>
        <w:r w:rsidR="00072812">
          <w:rPr>
            <w:noProof/>
          </w:rPr>
          <w:t>112</w:t>
        </w:r>
        <w:r>
          <w:rPr>
            <w:noProof/>
          </w:rPr>
          <w:fldChar w:fldCharType="end"/>
        </w:r>
      </w:hyperlink>
    </w:p>
    <w:p w14:paraId="0D0FCE18" w14:textId="0286BD47" w:rsidR="007B7C2A" w:rsidRDefault="007B7C2A">
      <w:pPr>
        <w:pStyle w:val="TOC1"/>
        <w:ind w:firstLine="420"/>
        <w:rPr>
          <w:rFonts w:asciiTheme="minorHAnsi" w:eastAsiaTheme="minorEastAsia" w:hAnsiTheme="minorHAnsi" w:cstheme="minorBidi"/>
          <w:noProof/>
          <w:szCs w:val="22"/>
          <w14:ligatures w14:val="standardContextual"/>
        </w:rPr>
      </w:pPr>
      <w:hyperlink w:anchor="_Toc146096540" w:history="1">
        <w:r>
          <w:rPr>
            <w:rStyle w:val="afa"/>
            <w:noProof/>
          </w:rPr>
          <w:t>第二十三部分</w:t>
        </w:r>
        <w:r>
          <w:rPr>
            <w:rStyle w:val="afa"/>
            <w:noProof/>
          </w:rPr>
          <w:t xml:space="preserve">  </w:t>
        </w:r>
        <w:r>
          <w:rPr>
            <w:rStyle w:val="afa"/>
            <w:noProof/>
          </w:rPr>
          <w:t>备查文件</w:t>
        </w:r>
        <w:r>
          <w:rPr>
            <w:noProof/>
          </w:rPr>
          <w:tab/>
        </w:r>
        <w:r>
          <w:rPr>
            <w:noProof/>
          </w:rPr>
          <w:fldChar w:fldCharType="begin"/>
        </w:r>
        <w:r>
          <w:rPr>
            <w:noProof/>
          </w:rPr>
          <w:instrText xml:space="preserve"> PAGEREF _Toc146096540 \h </w:instrText>
        </w:r>
        <w:r>
          <w:rPr>
            <w:noProof/>
          </w:rPr>
        </w:r>
        <w:r>
          <w:rPr>
            <w:noProof/>
          </w:rPr>
          <w:fldChar w:fldCharType="separate"/>
        </w:r>
        <w:r w:rsidR="00072812">
          <w:rPr>
            <w:noProof/>
          </w:rPr>
          <w:t>113</w:t>
        </w:r>
        <w:r>
          <w:rPr>
            <w:noProof/>
          </w:rPr>
          <w:fldChar w:fldCharType="end"/>
        </w:r>
      </w:hyperlink>
    </w:p>
    <w:p w14:paraId="32621A8E" w14:textId="77777777" w:rsidR="007B7C2A" w:rsidRDefault="00072812">
      <w:pPr>
        <w:ind w:firstLine="420"/>
      </w:pPr>
      <w:r>
        <w:fldChar w:fldCharType="end"/>
      </w:r>
      <w:bookmarkStart w:id="33" w:name="_Toc416264537"/>
      <w:bookmarkStart w:id="34" w:name="_Toc263092309"/>
      <w:bookmarkStart w:id="35" w:name="_Toc13020"/>
      <w:bookmarkStart w:id="36" w:name="_Toc21301"/>
      <w:bookmarkStart w:id="37" w:name="_Toc24860"/>
      <w:bookmarkStart w:id="38" w:name="_Toc2465"/>
      <w:bookmarkStart w:id="39" w:name="_Toc22864"/>
      <w:bookmarkStart w:id="40" w:name="_Toc19592"/>
      <w:bookmarkStart w:id="41" w:name="_Toc258829399"/>
      <w:bookmarkStart w:id="42" w:name="_Toc15067"/>
      <w:bookmarkStart w:id="43" w:name="_Toc352229747"/>
      <w:bookmarkStart w:id="44" w:name="_Toc6617"/>
      <w:bookmarkStart w:id="45" w:name="_Toc3224"/>
      <w:bookmarkStart w:id="46" w:name="_Toc31551"/>
      <w:bookmarkStart w:id="47" w:name="_Toc81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8A17706" w14:textId="77777777" w:rsidR="007B7C2A" w:rsidRDefault="00072812">
      <w:pPr>
        <w:tabs>
          <w:tab w:val="left" w:pos="900"/>
        </w:tabs>
        <w:ind w:firstLine="420"/>
      </w:pPr>
      <w:r>
        <w:tab/>
      </w:r>
    </w:p>
    <w:p w14:paraId="65601F48" w14:textId="77777777" w:rsidR="007B7C2A" w:rsidRDefault="00072812">
      <w:pPr>
        <w:tabs>
          <w:tab w:val="left" w:pos="900"/>
        </w:tabs>
        <w:ind w:firstLine="420"/>
        <w:sectPr w:rsidR="007B7C2A">
          <w:pgSz w:w="11906" w:h="16838"/>
          <w:pgMar w:top="1440" w:right="1800" w:bottom="1440" w:left="1800" w:header="851" w:footer="992" w:gutter="0"/>
          <w:pgNumType w:start="1" w:chapStyle="1"/>
          <w:cols w:space="720"/>
          <w:docGrid w:type="lines" w:linePitch="312"/>
        </w:sectPr>
      </w:pPr>
      <w:r>
        <w:tab/>
      </w:r>
    </w:p>
    <w:p w14:paraId="339D01F8" w14:textId="77777777" w:rsidR="007B7C2A" w:rsidRDefault="00072812">
      <w:pPr>
        <w:pStyle w:val="1"/>
        <w:ind w:firstLine="602"/>
        <w:jc w:val="center"/>
        <w:rPr>
          <w:sz w:val="30"/>
          <w:szCs w:val="30"/>
        </w:rPr>
      </w:pPr>
      <w:bookmarkStart w:id="48" w:name="_Toc146096518"/>
      <w:r>
        <w:rPr>
          <w:rFonts w:hint="eastAsia"/>
          <w:sz w:val="30"/>
          <w:szCs w:val="30"/>
        </w:rPr>
        <w:t>第一部分</w:t>
      </w:r>
      <w:r>
        <w:rPr>
          <w:sz w:val="30"/>
          <w:szCs w:val="30"/>
        </w:rPr>
        <w:t xml:space="preserve">  </w:t>
      </w:r>
      <w:r>
        <w:rPr>
          <w:rFonts w:hint="eastAsia"/>
          <w:sz w:val="30"/>
          <w:szCs w:val="30"/>
        </w:rPr>
        <w:t>绪言</w:t>
      </w:r>
      <w:bookmarkEnd w:id="33"/>
      <w:bookmarkEnd w:id="34"/>
      <w:bookmarkEnd w:id="48"/>
    </w:p>
    <w:p w14:paraId="296167C1"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鑫灵活配置混合型证券投资基金招募说明书》（以下简称“招募说明书”或“本招募说明书”）依照《中华人民共和国证券投资基金法》（以下简称“《基金法》”）、《公开募集证券投资基金运作管理办法》（以下简称“《运作办法》”）、《公开募集证券投资基金信息披露管理办法》（以下简称“《销售办法》”）、《证券投资基金信息披露管理办法》（以下简称“《信息披露办法》”）、《公开募集开放式证券投资基金流动性风险管理规定》（以下简称“《管理规定》”）以及《富荣福鑫灵活配置混合型证券投资基金基金合同》（以下简称“基金合同”）编写。</w:t>
      </w:r>
    </w:p>
    <w:p w14:paraId="18D616BB"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6832BF93"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富荣福鑫灵活配置混合型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7DEC5AB7"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Pr>
          <w:rFonts w:asciiTheme="minorEastAsia" w:hAnsiTheme="minorEastAsia" w:cs="Arial" w:hint="eastAsia"/>
          <w:sz w:val="24"/>
          <w:szCs w:val="24"/>
        </w:rPr>
        <w:t>投资人自依基金</w:t>
      </w:r>
      <w:proofErr w:type="gramEnd"/>
      <w:r>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6F612965" w14:textId="77777777" w:rsidR="007B7C2A" w:rsidRDefault="00072812">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7D7DFEE6" w14:textId="77777777" w:rsidR="007B7C2A" w:rsidRDefault="00072812">
      <w:pPr>
        <w:pStyle w:val="1"/>
        <w:ind w:firstLine="602"/>
        <w:jc w:val="center"/>
        <w:rPr>
          <w:sz w:val="30"/>
          <w:szCs w:val="30"/>
        </w:rPr>
      </w:pPr>
      <w:bookmarkStart w:id="49" w:name="_Toc146096519"/>
      <w:bookmarkStart w:id="50" w:name="_Toc20318"/>
      <w:bookmarkStart w:id="51" w:name="_Toc733"/>
      <w:bookmarkStart w:id="52" w:name="_Toc13288"/>
      <w:bookmarkStart w:id="53" w:name="_Toc545"/>
      <w:bookmarkStart w:id="54" w:name="_Toc5246"/>
      <w:bookmarkStart w:id="55" w:name="_Toc22708"/>
      <w:bookmarkStart w:id="56" w:name="_Toc352229748"/>
      <w:bookmarkStart w:id="57" w:name="_Toc18631"/>
      <w:bookmarkStart w:id="58" w:name="_Toc24571"/>
      <w:bookmarkStart w:id="59" w:name="_Toc6149"/>
      <w:bookmarkStart w:id="60" w:name="_Toc6683"/>
      <w:bookmarkStart w:id="61" w:name="_Toc20627"/>
      <w:bookmarkStart w:id="62" w:name="_Toc258829400"/>
      <w:bookmarkStart w:id="63" w:name="_Toc233456272"/>
      <w:bookmarkEnd w:id="32"/>
      <w:bookmarkEnd w:id="35"/>
      <w:bookmarkEnd w:id="36"/>
      <w:bookmarkEnd w:id="37"/>
      <w:bookmarkEnd w:id="38"/>
      <w:bookmarkEnd w:id="39"/>
      <w:bookmarkEnd w:id="40"/>
      <w:bookmarkEnd w:id="41"/>
      <w:bookmarkEnd w:id="42"/>
      <w:bookmarkEnd w:id="43"/>
      <w:bookmarkEnd w:id="44"/>
      <w:bookmarkEnd w:id="45"/>
      <w:bookmarkEnd w:id="46"/>
      <w:bookmarkEnd w:id="47"/>
      <w:r>
        <w:rPr>
          <w:rFonts w:hint="eastAsia"/>
          <w:sz w:val="30"/>
          <w:szCs w:val="30"/>
        </w:rPr>
        <w:t>第二部分</w:t>
      </w:r>
      <w:r>
        <w:rPr>
          <w:sz w:val="30"/>
          <w:szCs w:val="30"/>
        </w:rPr>
        <w:t xml:space="preserve">  </w:t>
      </w:r>
      <w:r>
        <w:rPr>
          <w:rFonts w:hint="eastAsia"/>
          <w:sz w:val="30"/>
          <w:szCs w:val="30"/>
        </w:rPr>
        <w:t>释义</w:t>
      </w:r>
      <w:bookmarkEnd w:id="49"/>
    </w:p>
    <w:p w14:paraId="65A8BD75"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在本招募说明书中，除非文意另有所指，下列词语或简称具有如下含义：</w:t>
      </w:r>
    </w:p>
    <w:p w14:paraId="15790DB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、基金或本基金：</w:t>
      </w:r>
      <w:proofErr w:type="gramStart"/>
      <w:r>
        <w:rPr>
          <w:rFonts w:asciiTheme="minorEastAsia" w:hAnsiTheme="minorEastAsia" w:cs="Times New Roman" w:hint="eastAsia"/>
          <w:sz w:val="24"/>
          <w:szCs w:val="24"/>
        </w:rPr>
        <w:t>指富荣福鑫</w:t>
      </w:r>
      <w:proofErr w:type="gramEnd"/>
      <w:r>
        <w:rPr>
          <w:rFonts w:asciiTheme="minorEastAsia" w:hAnsiTheme="minorEastAsia" w:cs="Times New Roman" w:hint="eastAsia"/>
          <w:sz w:val="24"/>
          <w:szCs w:val="24"/>
        </w:rPr>
        <w:t>灵活配置混合型证券投资基金</w:t>
      </w:r>
    </w:p>
    <w:p w14:paraId="6010FC80"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、基金管理人：</w:t>
      </w:r>
      <w:proofErr w:type="gramStart"/>
      <w:r>
        <w:rPr>
          <w:rFonts w:asciiTheme="minorEastAsia" w:hAnsiTheme="minorEastAsia" w:cs="Times New Roman" w:hint="eastAsia"/>
          <w:sz w:val="24"/>
          <w:szCs w:val="24"/>
        </w:rPr>
        <w:t>指富荣基金</w:t>
      </w:r>
      <w:proofErr w:type="gramEnd"/>
      <w:r>
        <w:rPr>
          <w:rFonts w:asciiTheme="minorEastAsia" w:hAnsiTheme="minorEastAsia" w:cs="Times New Roman" w:hint="eastAsia"/>
          <w:sz w:val="24"/>
          <w:szCs w:val="24"/>
        </w:rPr>
        <w:t>管理有限公司</w:t>
      </w:r>
    </w:p>
    <w:p w14:paraId="06B3A97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、基金托管人：指平安银行股份有限公司</w:t>
      </w:r>
    </w:p>
    <w:p w14:paraId="35793ACF"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w:t>
      </w:r>
      <w:r>
        <w:rPr>
          <w:rFonts w:asciiTheme="minorEastAsia" w:hAnsiTheme="minorEastAsia" w:cs="Times New Roman" w:hint="eastAsia"/>
          <w:sz w:val="24"/>
          <w:szCs w:val="24"/>
        </w:rPr>
        <w:t>、基金合同：指《富荣福鑫灵活配置混合型证券投资基金基金合同》及对基金合同的任何有效修订和补充</w:t>
      </w:r>
    </w:p>
    <w:p w14:paraId="06D1E55A"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w:t>
      </w:r>
      <w:r>
        <w:rPr>
          <w:rFonts w:asciiTheme="minorEastAsia" w:hAnsiTheme="minorEastAsia" w:cs="Times New Roman" w:hint="eastAsia"/>
          <w:sz w:val="24"/>
          <w:szCs w:val="24"/>
        </w:rPr>
        <w:t>、托管协议：指基金管理人与基金托管人就本基金签订之《富荣福鑫灵活配置混合型证券投资基金托管协议》及对该托管协议的任何有效修订和补充</w:t>
      </w:r>
    </w:p>
    <w:p w14:paraId="3D58727B"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6</w:t>
      </w:r>
      <w:r>
        <w:rPr>
          <w:rFonts w:asciiTheme="minorEastAsia" w:hAnsiTheme="minorEastAsia" w:cs="Times New Roman" w:hint="eastAsia"/>
          <w:sz w:val="24"/>
          <w:szCs w:val="24"/>
        </w:rPr>
        <w:t>、招募说明书或本招募说明书：指《富荣福鑫灵活配置混合型证券投资基金招募说明书》及其更新</w:t>
      </w:r>
    </w:p>
    <w:p w14:paraId="052CA8C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w:t>
      </w:r>
      <w:r>
        <w:rPr>
          <w:rFonts w:asciiTheme="minorEastAsia" w:hAnsiTheme="minorEastAsia" w:cs="Times New Roman" w:hint="eastAsia"/>
          <w:sz w:val="24"/>
          <w:szCs w:val="24"/>
        </w:rPr>
        <w:t>、基金产品资料概要：指《富荣福鑫灵活配置混合型证券投资基金基金产品资料概要》及其更新</w:t>
      </w:r>
    </w:p>
    <w:p w14:paraId="1D53E12B"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8</w:t>
      </w:r>
      <w:r>
        <w:rPr>
          <w:rFonts w:asciiTheme="minorEastAsia" w:hAnsiTheme="minorEastAsia" w:cs="Times New Roman" w:hint="eastAsia"/>
          <w:sz w:val="24"/>
          <w:szCs w:val="24"/>
        </w:rPr>
        <w:t>、基金份额发售公告：指《富荣福鑫灵活配置混合型证券投资基金基金份额发售公告》</w:t>
      </w:r>
    </w:p>
    <w:p w14:paraId="35F1E04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9</w:t>
      </w:r>
      <w:r>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1B36ADDC"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10</w:t>
      </w:r>
      <w:r>
        <w:rPr>
          <w:rFonts w:asciiTheme="minorEastAsia" w:hAnsiTheme="minorEastAsia" w:cs="Times New Roman" w:hint="eastAsia"/>
          <w:sz w:val="24"/>
          <w:szCs w:val="24"/>
        </w:rPr>
        <w:t>、《基金法》：指</w:t>
      </w:r>
      <w:r>
        <w:rPr>
          <w:rFonts w:asciiTheme="minorEastAsia" w:hAnsiTheme="minorEastAsia" w:cs="Times New Roman" w:hint="eastAsia"/>
          <w:sz w:val="24"/>
          <w:szCs w:val="24"/>
        </w:rPr>
        <w:t>2003</w:t>
      </w:r>
      <w:r>
        <w:rPr>
          <w:rFonts w:asciiTheme="minorEastAsia" w:hAnsiTheme="minorEastAsia" w:cs="Times New Roman" w:hint="eastAsia"/>
          <w:sz w:val="24"/>
          <w:szCs w:val="24"/>
        </w:rPr>
        <w:t>年</w:t>
      </w:r>
      <w:r>
        <w:rPr>
          <w:rFonts w:asciiTheme="minorEastAsia" w:hAnsiTheme="minorEastAsia" w:cs="Times New Roman" w:hint="eastAsia"/>
          <w:sz w:val="24"/>
          <w:szCs w:val="24"/>
        </w:rPr>
        <w:t>10</w:t>
      </w:r>
      <w:r>
        <w:rPr>
          <w:rFonts w:asciiTheme="minorEastAsia" w:hAnsiTheme="minorEastAsia" w:cs="Times New Roman" w:hint="eastAsia"/>
          <w:sz w:val="24"/>
          <w:szCs w:val="24"/>
        </w:rPr>
        <w:t>月</w:t>
      </w:r>
      <w:r>
        <w:rPr>
          <w:rFonts w:asciiTheme="minorEastAsia" w:hAnsiTheme="minorEastAsia" w:cs="Times New Roman" w:hint="eastAsia"/>
          <w:sz w:val="24"/>
          <w:szCs w:val="24"/>
        </w:rPr>
        <w:t>28</w:t>
      </w:r>
      <w:r>
        <w:rPr>
          <w:rFonts w:asciiTheme="minorEastAsia" w:hAnsiTheme="minorEastAsia" w:cs="Times New Roman" w:hint="eastAsia"/>
          <w:sz w:val="24"/>
          <w:szCs w:val="24"/>
        </w:rPr>
        <w:t>日经第十届全国人民代表大会常务委员会第五次会议通过，并经</w:t>
      </w:r>
      <w:r>
        <w:rPr>
          <w:rFonts w:asciiTheme="minorEastAsia" w:hAnsiTheme="minorEastAsia" w:cs="Times New Roman" w:hint="eastAsia"/>
          <w:sz w:val="24"/>
          <w:szCs w:val="24"/>
        </w:rPr>
        <w:t>2012</w:t>
      </w:r>
      <w:r>
        <w:rPr>
          <w:rFonts w:asciiTheme="minorEastAsia" w:hAnsiTheme="minorEastAsia" w:cs="Times New Roman" w:hint="eastAsia"/>
          <w:sz w:val="24"/>
          <w:szCs w:val="24"/>
        </w:rPr>
        <w:t>年</w:t>
      </w:r>
      <w:r>
        <w:rPr>
          <w:rFonts w:asciiTheme="minorEastAsia" w:hAnsiTheme="minorEastAsia" w:cs="Times New Roman" w:hint="eastAsia"/>
          <w:sz w:val="24"/>
          <w:szCs w:val="24"/>
        </w:rPr>
        <w:t>12</w:t>
      </w:r>
      <w:r>
        <w:rPr>
          <w:rFonts w:asciiTheme="minorEastAsia" w:hAnsiTheme="minorEastAsia" w:cs="Times New Roman" w:hint="eastAsia"/>
          <w:sz w:val="24"/>
          <w:szCs w:val="24"/>
        </w:rPr>
        <w:t>月</w:t>
      </w:r>
      <w:r>
        <w:rPr>
          <w:rFonts w:asciiTheme="minorEastAsia" w:hAnsiTheme="minorEastAsia" w:cs="Times New Roman" w:hint="eastAsia"/>
          <w:sz w:val="24"/>
          <w:szCs w:val="24"/>
        </w:rPr>
        <w:t>28</w:t>
      </w:r>
      <w:r>
        <w:rPr>
          <w:rFonts w:asciiTheme="minorEastAsia" w:hAnsiTheme="minorEastAsia" w:cs="Times New Roman" w:hint="eastAsia"/>
          <w:sz w:val="24"/>
          <w:szCs w:val="24"/>
        </w:rPr>
        <w:t>日第十一届全国人民代表大会常务委员会第三十次会议修订，自</w:t>
      </w:r>
      <w:r>
        <w:rPr>
          <w:rFonts w:asciiTheme="minorEastAsia" w:hAnsiTheme="minorEastAsia" w:cs="Times New Roman" w:hint="eastAsia"/>
          <w:sz w:val="24"/>
          <w:szCs w:val="24"/>
        </w:rPr>
        <w:t>2013</w:t>
      </w:r>
      <w:r>
        <w:rPr>
          <w:rFonts w:asciiTheme="minorEastAsia" w:hAnsiTheme="minorEastAsia" w:cs="Times New Roman" w:hint="eastAsia"/>
          <w:sz w:val="24"/>
          <w:szCs w:val="24"/>
        </w:rPr>
        <w:t>年</w:t>
      </w:r>
      <w:r>
        <w:rPr>
          <w:rFonts w:asciiTheme="minorEastAsia" w:hAnsiTheme="minorEastAsia" w:cs="Times New Roman" w:hint="eastAsia"/>
          <w:sz w:val="24"/>
          <w:szCs w:val="24"/>
        </w:rPr>
        <w:t>6</w:t>
      </w:r>
      <w:r>
        <w:rPr>
          <w:rFonts w:asciiTheme="minorEastAsia" w:hAnsiTheme="minorEastAsia" w:cs="Times New Roman" w:hint="eastAsia"/>
          <w:sz w:val="24"/>
          <w:szCs w:val="24"/>
        </w:rPr>
        <w:t>月</w:t>
      </w:r>
      <w:r>
        <w:rPr>
          <w:rFonts w:asciiTheme="minorEastAsia" w:hAnsiTheme="minorEastAsia" w:cs="Times New Roman" w:hint="eastAsia"/>
          <w:sz w:val="24"/>
          <w:szCs w:val="24"/>
        </w:rPr>
        <w:t>1</w:t>
      </w:r>
      <w:r>
        <w:rPr>
          <w:rFonts w:asciiTheme="minorEastAsia" w:hAnsiTheme="minorEastAsia" w:cs="Times New Roman" w:hint="eastAsia"/>
          <w:sz w:val="24"/>
          <w:szCs w:val="24"/>
        </w:rPr>
        <w:t>日起实施的《中华人民共和国证券投资基金法》及颁布机关对其不时做出的修订</w:t>
      </w:r>
    </w:p>
    <w:p w14:paraId="1BB89A21"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11</w:t>
      </w:r>
      <w:r>
        <w:rPr>
          <w:rFonts w:asciiTheme="minorEastAsia" w:hAnsiTheme="minorEastAsia" w:cs="Times New Roman" w:hint="eastAsia"/>
          <w:sz w:val="24"/>
          <w:szCs w:val="24"/>
        </w:rPr>
        <w:t>、《销售办法》：指中国证监会</w:t>
      </w:r>
      <w:r>
        <w:rPr>
          <w:rFonts w:asciiTheme="minorEastAsia" w:hAnsiTheme="minorEastAsia" w:cs="Times New Roman"/>
          <w:sz w:val="24"/>
          <w:szCs w:val="24"/>
        </w:rPr>
        <w:t>2013</w:t>
      </w:r>
      <w:r>
        <w:rPr>
          <w:rFonts w:asciiTheme="minorEastAsia" w:hAnsiTheme="minorEastAsia" w:cs="Times New Roman" w:hint="eastAsia"/>
          <w:sz w:val="24"/>
          <w:szCs w:val="24"/>
        </w:rPr>
        <w:t>年</w:t>
      </w:r>
      <w:r>
        <w:rPr>
          <w:rFonts w:asciiTheme="minorEastAsia" w:hAnsiTheme="minorEastAsia" w:cs="Times New Roman"/>
          <w:sz w:val="24"/>
          <w:szCs w:val="24"/>
        </w:rPr>
        <w:t>3</w:t>
      </w:r>
      <w:r>
        <w:rPr>
          <w:rFonts w:asciiTheme="minorEastAsia" w:hAnsiTheme="minorEastAsia" w:cs="Times New Roman" w:hint="eastAsia"/>
          <w:sz w:val="24"/>
          <w:szCs w:val="24"/>
        </w:rPr>
        <w:t>月</w:t>
      </w:r>
      <w:r>
        <w:rPr>
          <w:rFonts w:asciiTheme="minorEastAsia" w:hAnsiTheme="minorEastAsia" w:cs="Times New Roman"/>
          <w:sz w:val="24"/>
          <w:szCs w:val="24"/>
        </w:rPr>
        <w:t>15</w:t>
      </w:r>
      <w:r>
        <w:rPr>
          <w:rFonts w:asciiTheme="minorEastAsia" w:hAnsiTheme="minorEastAsia" w:cs="Times New Roman" w:hint="eastAsia"/>
          <w:sz w:val="24"/>
          <w:szCs w:val="24"/>
        </w:rPr>
        <w:t>日颁布、同年</w:t>
      </w:r>
      <w:r>
        <w:rPr>
          <w:rFonts w:asciiTheme="minorEastAsia" w:hAnsiTheme="minorEastAsia" w:cs="Times New Roman"/>
          <w:sz w:val="24"/>
          <w:szCs w:val="24"/>
        </w:rPr>
        <w:t>6</w:t>
      </w:r>
      <w:r>
        <w:rPr>
          <w:rFonts w:asciiTheme="minorEastAsia" w:hAnsiTheme="minorEastAsia" w:cs="Times New Roman" w:hint="eastAsia"/>
          <w:sz w:val="24"/>
          <w:szCs w:val="24"/>
        </w:rPr>
        <w:t>月</w:t>
      </w:r>
      <w:r>
        <w:rPr>
          <w:rFonts w:asciiTheme="minorEastAsia" w:hAnsiTheme="minorEastAsia" w:cs="Times New Roman"/>
          <w:sz w:val="24"/>
          <w:szCs w:val="24"/>
        </w:rPr>
        <w:t>1</w:t>
      </w:r>
      <w:r>
        <w:rPr>
          <w:rFonts w:asciiTheme="minorEastAsia" w:hAnsiTheme="minorEastAsia" w:cs="Times New Roman" w:hint="eastAsia"/>
          <w:sz w:val="24"/>
          <w:szCs w:val="24"/>
        </w:rPr>
        <w:t>日实施的《证券投资基金销售管理办法》及颁布机关对其不时做出的修订</w:t>
      </w:r>
    </w:p>
    <w:p w14:paraId="13FDA93A"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12</w:t>
      </w:r>
      <w:r>
        <w:rPr>
          <w:rFonts w:asciiTheme="minorEastAsia" w:hAnsiTheme="minorEastAsia" w:cs="Times New Roman" w:hint="eastAsia"/>
          <w:sz w:val="24"/>
          <w:szCs w:val="24"/>
        </w:rPr>
        <w:t>、《信息披露办法》：指中国证监会</w:t>
      </w:r>
      <w:r>
        <w:rPr>
          <w:rFonts w:asciiTheme="minorEastAsia" w:hAnsiTheme="minorEastAsia" w:cs="Times New Roman" w:hint="eastAsia"/>
          <w:sz w:val="24"/>
          <w:szCs w:val="24"/>
        </w:rPr>
        <w:t>2019</w:t>
      </w:r>
      <w:r>
        <w:rPr>
          <w:rFonts w:asciiTheme="minorEastAsia" w:hAnsiTheme="minorEastAsia" w:cs="Times New Roman" w:hint="eastAsia"/>
          <w:sz w:val="24"/>
          <w:szCs w:val="24"/>
        </w:rPr>
        <w:t>年</w:t>
      </w:r>
      <w:r>
        <w:rPr>
          <w:rFonts w:asciiTheme="minorEastAsia" w:hAnsiTheme="minorEastAsia" w:cs="Times New Roman" w:hint="eastAsia"/>
          <w:sz w:val="24"/>
          <w:szCs w:val="24"/>
        </w:rPr>
        <w:t>7</w:t>
      </w:r>
      <w:r>
        <w:rPr>
          <w:rFonts w:asciiTheme="minorEastAsia" w:hAnsiTheme="minorEastAsia" w:cs="Times New Roman" w:hint="eastAsia"/>
          <w:sz w:val="24"/>
          <w:szCs w:val="24"/>
        </w:rPr>
        <w:t>月</w:t>
      </w:r>
      <w:r>
        <w:rPr>
          <w:rFonts w:asciiTheme="minorEastAsia" w:hAnsiTheme="minorEastAsia" w:cs="Times New Roman" w:hint="eastAsia"/>
          <w:sz w:val="24"/>
          <w:szCs w:val="24"/>
        </w:rPr>
        <w:t>26</w:t>
      </w:r>
      <w:r>
        <w:rPr>
          <w:rFonts w:asciiTheme="minorEastAsia" w:hAnsiTheme="minorEastAsia" w:cs="Times New Roman" w:hint="eastAsia"/>
          <w:sz w:val="24"/>
          <w:szCs w:val="24"/>
        </w:rPr>
        <w:t>日颁布、同年</w:t>
      </w:r>
      <w:r>
        <w:rPr>
          <w:rFonts w:asciiTheme="minorEastAsia" w:hAnsiTheme="minorEastAsia" w:cs="Times New Roman" w:hint="eastAsia"/>
          <w:sz w:val="24"/>
          <w:szCs w:val="24"/>
        </w:rPr>
        <w:t>9</w:t>
      </w:r>
      <w:r>
        <w:rPr>
          <w:rFonts w:asciiTheme="minorEastAsia" w:hAnsiTheme="minorEastAsia" w:cs="Times New Roman" w:hint="eastAsia"/>
          <w:sz w:val="24"/>
          <w:szCs w:val="24"/>
        </w:rPr>
        <w:t>月</w:t>
      </w:r>
      <w:r>
        <w:rPr>
          <w:rFonts w:asciiTheme="minorEastAsia" w:hAnsiTheme="minorEastAsia" w:cs="Times New Roman" w:hint="eastAsia"/>
          <w:sz w:val="24"/>
          <w:szCs w:val="24"/>
        </w:rPr>
        <w:t>1</w:t>
      </w:r>
      <w:r>
        <w:rPr>
          <w:rFonts w:asciiTheme="minorEastAsia" w:hAnsiTheme="minorEastAsia" w:cs="Times New Roman" w:hint="eastAsia"/>
          <w:sz w:val="24"/>
          <w:szCs w:val="24"/>
        </w:rPr>
        <w:t>日实施的《公开募集证券投资基金信息披露管理办法》及颁布机关对其不时做出的修订</w:t>
      </w:r>
    </w:p>
    <w:p w14:paraId="0551C342"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13</w:t>
      </w:r>
      <w:r>
        <w:rPr>
          <w:rFonts w:asciiTheme="minorEastAsia" w:hAnsiTheme="minorEastAsia" w:cs="Times New Roman" w:hint="eastAsia"/>
          <w:sz w:val="24"/>
          <w:szCs w:val="24"/>
        </w:rPr>
        <w:t>、《运作办法》：指中国证监会</w:t>
      </w:r>
      <w:r>
        <w:rPr>
          <w:rFonts w:asciiTheme="minorEastAsia" w:hAnsiTheme="minorEastAsia" w:cs="Times New Roman"/>
          <w:sz w:val="24"/>
          <w:szCs w:val="24"/>
        </w:rPr>
        <w:t>2014</w:t>
      </w:r>
      <w:r>
        <w:rPr>
          <w:rFonts w:asciiTheme="minorEastAsia" w:hAnsiTheme="minorEastAsia" w:cs="Times New Roman" w:hint="eastAsia"/>
          <w:sz w:val="24"/>
          <w:szCs w:val="24"/>
        </w:rPr>
        <w:t>年</w:t>
      </w:r>
      <w:r>
        <w:rPr>
          <w:rFonts w:asciiTheme="minorEastAsia" w:hAnsiTheme="minorEastAsia" w:cs="Times New Roman"/>
          <w:sz w:val="24"/>
          <w:szCs w:val="24"/>
        </w:rPr>
        <w:t>7</w:t>
      </w:r>
      <w:r>
        <w:rPr>
          <w:rFonts w:asciiTheme="minorEastAsia" w:hAnsiTheme="minorEastAsia" w:cs="Times New Roman" w:hint="eastAsia"/>
          <w:sz w:val="24"/>
          <w:szCs w:val="24"/>
        </w:rPr>
        <w:t>月</w:t>
      </w:r>
      <w:r>
        <w:rPr>
          <w:rFonts w:asciiTheme="minorEastAsia" w:hAnsiTheme="minorEastAsia" w:cs="Times New Roman"/>
          <w:sz w:val="24"/>
          <w:szCs w:val="24"/>
        </w:rPr>
        <w:t>7</w:t>
      </w:r>
      <w:r>
        <w:rPr>
          <w:rFonts w:asciiTheme="minorEastAsia" w:hAnsiTheme="minorEastAsia" w:cs="Times New Roman" w:hint="eastAsia"/>
          <w:sz w:val="24"/>
          <w:szCs w:val="24"/>
        </w:rPr>
        <w:t>日颁布、同年</w:t>
      </w:r>
      <w:r>
        <w:rPr>
          <w:rFonts w:asciiTheme="minorEastAsia" w:hAnsiTheme="minorEastAsia" w:cs="Times New Roman"/>
          <w:sz w:val="24"/>
          <w:szCs w:val="24"/>
        </w:rPr>
        <w:t>8</w:t>
      </w:r>
      <w:r>
        <w:rPr>
          <w:rFonts w:asciiTheme="minorEastAsia" w:hAnsiTheme="minorEastAsia" w:cs="Times New Roman" w:hint="eastAsia"/>
          <w:sz w:val="24"/>
          <w:szCs w:val="24"/>
        </w:rPr>
        <w:t>月</w:t>
      </w:r>
      <w:r>
        <w:rPr>
          <w:rFonts w:asciiTheme="minorEastAsia" w:hAnsiTheme="minorEastAsia" w:cs="Times New Roman"/>
          <w:sz w:val="24"/>
          <w:szCs w:val="24"/>
        </w:rPr>
        <w:t>8</w:t>
      </w:r>
      <w:r>
        <w:rPr>
          <w:rFonts w:asciiTheme="minorEastAsia" w:hAnsiTheme="minorEastAsia" w:cs="Times New Roman" w:hint="eastAsia"/>
          <w:sz w:val="24"/>
          <w:szCs w:val="24"/>
        </w:rPr>
        <w:t>日实施的《公开募集证券投资基金运作管理办法》及颁布机关对其不时做出的修订</w:t>
      </w:r>
    </w:p>
    <w:p w14:paraId="2CBC5C65"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4</w:t>
      </w:r>
      <w:r>
        <w:rPr>
          <w:rFonts w:asciiTheme="minorEastAsia" w:hAnsiTheme="minorEastAsia" w:cs="Times New Roman" w:hint="eastAsia"/>
          <w:sz w:val="24"/>
          <w:szCs w:val="24"/>
        </w:rPr>
        <w:t>、《管理规定》：指中国证监会</w:t>
      </w:r>
      <w:r>
        <w:rPr>
          <w:rFonts w:asciiTheme="minorEastAsia" w:hAnsiTheme="minorEastAsia" w:cs="Times New Roman" w:hint="eastAsia"/>
          <w:sz w:val="24"/>
          <w:szCs w:val="24"/>
        </w:rPr>
        <w:t>2017</w:t>
      </w:r>
      <w:r>
        <w:rPr>
          <w:rFonts w:asciiTheme="minorEastAsia" w:hAnsiTheme="minorEastAsia" w:cs="Times New Roman" w:hint="eastAsia"/>
          <w:sz w:val="24"/>
          <w:szCs w:val="24"/>
        </w:rPr>
        <w:t>年</w:t>
      </w:r>
      <w:r>
        <w:rPr>
          <w:rFonts w:asciiTheme="minorEastAsia" w:hAnsiTheme="minorEastAsia" w:cs="Times New Roman" w:hint="eastAsia"/>
          <w:sz w:val="24"/>
          <w:szCs w:val="24"/>
        </w:rPr>
        <w:t>8</w:t>
      </w:r>
      <w:r>
        <w:rPr>
          <w:rFonts w:asciiTheme="minorEastAsia" w:hAnsiTheme="minorEastAsia" w:cs="Times New Roman" w:hint="eastAsia"/>
          <w:sz w:val="24"/>
          <w:szCs w:val="24"/>
        </w:rPr>
        <w:t>月</w:t>
      </w:r>
      <w:r>
        <w:rPr>
          <w:rFonts w:asciiTheme="minorEastAsia" w:hAnsiTheme="minorEastAsia" w:cs="Times New Roman" w:hint="eastAsia"/>
          <w:sz w:val="24"/>
          <w:szCs w:val="24"/>
        </w:rPr>
        <w:t>31</w:t>
      </w:r>
      <w:r>
        <w:rPr>
          <w:rFonts w:asciiTheme="minorEastAsia" w:hAnsiTheme="minorEastAsia" w:cs="Times New Roman" w:hint="eastAsia"/>
          <w:sz w:val="24"/>
          <w:szCs w:val="24"/>
        </w:rPr>
        <w:t>日颁布、同年</w:t>
      </w:r>
      <w:r>
        <w:rPr>
          <w:rFonts w:asciiTheme="minorEastAsia" w:hAnsiTheme="minorEastAsia" w:cs="Times New Roman" w:hint="eastAsia"/>
          <w:sz w:val="24"/>
          <w:szCs w:val="24"/>
        </w:rPr>
        <w:t>10</w:t>
      </w:r>
      <w:r>
        <w:rPr>
          <w:rFonts w:asciiTheme="minorEastAsia" w:hAnsiTheme="minorEastAsia" w:cs="Times New Roman" w:hint="eastAsia"/>
          <w:sz w:val="24"/>
          <w:szCs w:val="24"/>
        </w:rPr>
        <w:t>月</w:t>
      </w:r>
      <w:r>
        <w:rPr>
          <w:rFonts w:asciiTheme="minorEastAsia" w:hAnsiTheme="minorEastAsia" w:cs="Times New Roman" w:hint="eastAsia"/>
          <w:sz w:val="24"/>
          <w:szCs w:val="24"/>
        </w:rPr>
        <w:t>1</w:t>
      </w:r>
      <w:r>
        <w:rPr>
          <w:rFonts w:asciiTheme="minorEastAsia" w:hAnsiTheme="minorEastAsia" w:cs="Times New Roman" w:hint="eastAsia"/>
          <w:sz w:val="24"/>
          <w:szCs w:val="24"/>
        </w:rPr>
        <w:t>日实施的《公开募集开放式证券投资基金流动性风险管理规定》及颁布机关对其不时做出的修订</w:t>
      </w:r>
    </w:p>
    <w:p w14:paraId="513168FB"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15</w:t>
      </w:r>
      <w:r>
        <w:rPr>
          <w:rFonts w:asciiTheme="minorEastAsia" w:hAnsiTheme="minorEastAsia" w:cs="Times New Roman" w:hint="eastAsia"/>
          <w:sz w:val="24"/>
          <w:szCs w:val="24"/>
        </w:rPr>
        <w:t>、中国证监会：指中国证券监督管理委员会</w:t>
      </w:r>
    </w:p>
    <w:p w14:paraId="6F953A4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16</w:t>
      </w:r>
      <w:r>
        <w:rPr>
          <w:rFonts w:asciiTheme="minorEastAsia" w:hAnsiTheme="minorEastAsia" w:cs="Times New Roman" w:hint="eastAsia"/>
          <w:sz w:val="24"/>
          <w:szCs w:val="24"/>
        </w:rPr>
        <w:t>、银行业监督管理机构：指中国人民银行和</w:t>
      </w:r>
      <w:r>
        <w:rPr>
          <w:rFonts w:asciiTheme="minorEastAsia" w:hAnsiTheme="minorEastAsia" w:cs="Times New Roman"/>
          <w:sz w:val="24"/>
          <w:szCs w:val="24"/>
        </w:rPr>
        <w:t>/</w:t>
      </w:r>
      <w:r>
        <w:rPr>
          <w:rFonts w:asciiTheme="minorEastAsia" w:hAnsiTheme="minorEastAsia" w:cs="Times New Roman" w:hint="eastAsia"/>
          <w:sz w:val="24"/>
          <w:szCs w:val="24"/>
        </w:rPr>
        <w:t>或中国银行保险监督管理委员会</w:t>
      </w:r>
    </w:p>
    <w:p w14:paraId="4AEA8300"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17</w:t>
      </w:r>
      <w:r>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21B0678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18</w:t>
      </w:r>
      <w:r>
        <w:rPr>
          <w:rFonts w:asciiTheme="minorEastAsia" w:hAnsiTheme="minorEastAsia" w:cs="Times New Roman" w:hint="eastAsia"/>
          <w:sz w:val="24"/>
          <w:szCs w:val="24"/>
        </w:rPr>
        <w:t>、个人投资者：指依据有关法律法规规定可投资于证券投资基金的自然人</w:t>
      </w:r>
    </w:p>
    <w:p w14:paraId="078149D1"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19</w:t>
      </w:r>
      <w:r>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05F9963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20</w:t>
      </w:r>
      <w:r>
        <w:rPr>
          <w:rFonts w:asciiTheme="minorEastAsia" w:hAnsiTheme="minorEastAsia" w:cs="Times New Roman" w:hint="eastAsia"/>
          <w:sz w:val="24"/>
          <w:szCs w:val="24"/>
        </w:rPr>
        <w:t>、合格境外机构投资者：指符合《合格境外机构投资者境内证券投资管理办法》及相关法律法规规定可以投资于在中国境内依法募集的证券投资基金的中国境外的机构投资者</w:t>
      </w:r>
    </w:p>
    <w:p w14:paraId="53058EA8"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1</w:t>
      </w:r>
      <w:r>
        <w:rPr>
          <w:rFonts w:asciiTheme="minorEastAsia" w:hAnsiTheme="minorEastAsia" w:cs="Times New Roman" w:hint="eastAsia"/>
          <w:sz w:val="24"/>
          <w:szCs w:val="24"/>
        </w:rPr>
        <w:t>、投资人：指个人投资者、机构投资者和合格境外机构投资者以及法律法规或中国证监会允许购买证券投资基金的其他投资人的合称</w:t>
      </w:r>
    </w:p>
    <w:p w14:paraId="173E9D7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22</w:t>
      </w:r>
      <w:r>
        <w:rPr>
          <w:rFonts w:asciiTheme="minorEastAsia" w:hAnsiTheme="minorEastAsia" w:cs="Times New Roman" w:hint="eastAsia"/>
          <w:sz w:val="24"/>
          <w:szCs w:val="24"/>
        </w:rPr>
        <w:t>、基金份额持有人：指依基金合同和招募说明书合法取得基金份额的投资人</w:t>
      </w:r>
    </w:p>
    <w:p w14:paraId="582BE7A6"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23</w:t>
      </w:r>
      <w:r>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2762AA17"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24</w:t>
      </w:r>
      <w:r>
        <w:rPr>
          <w:rFonts w:asciiTheme="minorEastAsia" w:hAnsiTheme="minorEastAsia" w:cs="Times New Roman" w:hint="eastAsia"/>
          <w:sz w:val="24"/>
          <w:szCs w:val="24"/>
        </w:rPr>
        <w:t>、销售机构：</w:t>
      </w:r>
      <w:proofErr w:type="gramStart"/>
      <w:r>
        <w:rPr>
          <w:rFonts w:asciiTheme="minorEastAsia" w:hAnsiTheme="minorEastAsia" w:cs="Times New Roman" w:hint="eastAsia"/>
          <w:sz w:val="24"/>
          <w:szCs w:val="24"/>
        </w:rPr>
        <w:t>指富荣基金</w:t>
      </w:r>
      <w:proofErr w:type="gramEnd"/>
      <w:r>
        <w:rPr>
          <w:rFonts w:asciiTheme="minorEastAsia" w:hAnsiTheme="minorEastAsia" w:cs="Times New Roman" w:hint="eastAsia"/>
          <w:sz w:val="24"/>
          <w:szCs w:val="24"/>
        </w:rPr>
        <w:t>管理有限公司以及符合《销售办法》和中国证监会规定的其他条件，取得基金销售业务资格并与基金管理人签订了基金销售服务协议，办理基金销售业务的机构</w:t>
      </w:r>
    </w:p>
    <w:p w14:paraId="0F240595"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25</w:t>
      </w:r>
      <w:r>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Theme="minorEastAsia" w:hAnsiTheme="minorEastAsia" w:cs="Times New Roman" w:hint="eastAsia"/>
          <w:sz w:val="24"/>
          <w:szCs w:val="24"/>
        </w:rPr>
        <w:t>非交易</w:t>
      </w:r>
      <w:proofErr w:type="gramEnd"/>
      <w:r>
        <w:rPr>
          <w:rFonts w:asciiTheme="minorEastAsia" w:hAnsiTheme="minorEastAsia" w:cs="Times New Roman" w:hint="eastAsia"/>
          <w:sz w:val="24"/>
          <w:szCs w:val="24"/>
        </w:rPr>
        <w:t>过户等</w:t>
      </w:r>
    </w:p>
    <w:p w14:paraId="73F6D4B5"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26</w:t>
      </w:r>
      <w:r>
        <w:rPr>
          <w:rFonts w:asciiTheme="minorEastAsia" w:hAnsiTheme="minorEastAsia" w:cs="Times New Roman" w:hint="eastAsia"/>
          <w:sz w:val="24"/>
          <w:szCs w:val="24"/>
        </w:rPr>
        <w:t>、登记机构：</w:t>
      </w:r>
      <w:proofErr w:type="gramStart"/>
      <w:r>
        <w:rPr>
          <w:rFonts w:asciiTheme="minorEastAsia" w:hAnsiTheme="minorEastAsia" w:cs="Times New Roman" w:hint="eastAsia"/>
          <w:sz w:val="24"/>
          <w:szCs w:val="24"/>
        </w:rPr>
        <w:t>指办理</w:t>
      </w:r>
      <w:proofErr w:type="gramEnd"/>
      <w:r>
        <w:rPr>
          <w:rFonts w:asciiTheme="minorEastAsia" w:hAnsiTheme="minorEastAsia" w:cs="Times New Roman" w:hint="eastAsia"/>
          <w:sz w:val="24"/>
          <w:szCs w:val="24"/>
        </w:rPr>
        <w:t>登记业务的机构。本基金的登记机构为富</w:t>
      </w:r>
      <w:proofErr w:type="gramStart"/>
      <w:r>
        <w:rPr>
          <w:rFonts w:asciiTheme="minorEastAsia" w:hAnsiTheme="minorEastAsia" w:cs="Times New Roman" w:hint="eastAsia"/>
          <w:sz w:val="24"/>
          <w:szCs w:val="24"/>
        </w:rPr>
        <w:t>荣基金</w:t>
      </w:r>
      <w:proofErr w:type="gramEnd"/>
      <w:r>
        <w:rPr>
          <w:rFonts w:asciiTheme="minorEastAsia" w:hAnsiTheme="minorEastAsia" w:cs="Times New Roman" w:hint="eastAsia"/>
          <w:sz w:val="24"/>
          <w:szCs w:val="24"/>
        </w:rPr>
        <w:t>管理有限公司或接受富</w:t>
      </w:r>
      <w:proofErr w:type="gramStart"/>
      <w:r>
        <w:rPr>
          <w:rFonts w:asciiTheme="minorEastAsia" w:hAnsiTheme="minorEastAsia" w:cs="Times New Roman" w:hint="eastAsia"/>
          <w:sz w:val="24"/>
          <w:szCs w:val="24"/>
        </w:rPr>
        <w:t>荣基金</w:t>
      </w:r>
      <w:proofErr w:type="gramEnd"/>
      <w:r>
        <w:rPr>
          <w:rFonts w:asciiTheme="minorEastAsia" w:hAnsiTheme="minorEastAsia" w:cs="Times New Roman" w:hint="eastAsia"/>
          <w:sz w:val="24"/>
          <w:szCs w:val="24"/>
        </w:rPr>
        <w:t>管理有限公司委托代为办理登记业务的机构</w:t>
      </w:r>
    </w:p>
    <w:p w14:paraId="5F4B0AB4"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27</w:t>
      </w:r>
      <w:r>
        <w:rPr>
          <w:rFonts w:asciiTheme="minorEastAsia" w:hAnsiTheme="minorEastAsia" w:cs="Times New Roman" w:hint="eastAsia"/>
          <w:sz w:val="24"/>
          <w:szCs w:val="24"/>
        </w:rPr>
        <w:t>、基金账户：指登记机构为投资人开立的、记录其持有的、基金管理人所管理的基金份额余额及其变动情况的账户</w:t>
      </w:r>
    </w:p>
    <w:p w14:paraId="5CE68B68"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28</w:t>
      </w:r>
      <w:r>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、基金交易账户：指销售机构为投资人开立的、记录投资人通过该销售机构办理认购、申购、赎回、转换、转托管及定期定额投资等业务而引起的基金份额变动及结余情况的账户</w:t>
      </w:r>
    </w:p>
    <w:p w14:paraId="137F03D4"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29</w:t>
      </w:r>
      <w:r>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0AC296D7"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30</w:t>
      </w:r>
      <w:r>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662159C5"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1</w:t>
      </w:r>
      <w:r>
        <w:rPr>
          <w:rFonts w:asciiTheme="minorEastAsia" w:hAnsiTheme="minorEastAsia" w:cs="Times New Roman" w:hint="eastAsia"/>
          <w:sz w:val="24"/>
          <w:szCs w:val="24"/>
        </w:rPr>
        <w:t>、基金募集期：指自基金份额发售之日起至发售结束之日止的期间，最长不得超过</w:t>
      </w:r>
      <w:r>
        <w:rPr>
          <w:rFonts w:asciiTheme="minorEastAsia" w:hAnsiTheme="minorEastAsia" w:cs="Times New Roman"/>
          <w:sz w:val="24"/>
          <w:szCs w:val="24"/>
        </w:rPr>
        <w:t>3</w:t>
      </w:r>
      <w:r>
        <w:rPr>
          <w:rFonts w:asciiTheme="minorEastAsia" w:hAnsiTheme="minorEastAsia" w:cs="Times New Roman" w:hint="eastAsia"/>
          <w:sz w:val="24"/>
          <w:szCs w:val="24"/>
        </w:rPr>
        <w:t>个月</w:t>
      </w:r>
    </w:p>
    <w:p w14:paraId="287DC617"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32</w:t>
      </w:r>
      <w:r>
        <w:rPr>
          <w:rFonts w:asciiTheme="minorEastAsia" w:hAnsiTheme="minorEastAsia" w:cs="Times New Roman" w:hint="eastAsia"/>
          <w:sz w:val="24"/>
          <w:szCs w:val="24"/>
        </w:rPr>
        <w:t>、存续期：指基金合同生效至终止之间的不定期期限</w:t>
      </w:r>
    </w:p>
    <w:p w14:paraId="7C252CE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33</w:t>
      </w:r>
      <w:r>
        <w:rPr>
          <w:rFonts w:asciiTheme="minorEastAsia" w:hAnsiTheme="minorEastAsia" w:cs="Times New Roman" w:hint="eastAsia"/>
          <w:sz w:val="24"/>
          <w:szCs w:val="24"/>
        </w:rPr>
        <w:t>、工作日：指上海证券交易所、深圳证券交易所的正常交易日</w:t>
      </w:r>
    </w:p>
    <w:p w14:paraId="393998BA"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34</w:t>
      </w:r>
      <w:r>
        <w:rPr>
          <w:rFonts w:asciiTheme="minorEastAsia" w:hAnsiTheme="minorEastAsia" w:cs="Times New Roman" w:hint="eastAsia"/>
          <w:sz w:val="24"/>
          <w:szCs w:val="24"/>
        </w:rPr>
        <w:t>、</w:t>
      </w:r>
      <w:r>
        <w:rPr>
          <w:rFonts w:asciiTheme="minorEastAsia" w:hAnsiTheme="minorEastAsia" w:cs="Times New Roman"/>
          <w:sz w:val="24"/>
          <w:szCs w:val="24"/>
        </w:rPr>
        <w:t>T</w:t>
      </w:r>
      <w:r>
        <w:rPr>
          <w:rFonts w:asciiTheme="minorEastAsia" w:hAnsiTheme="minorEastAsia" w:cs="Times New Roman" w:hint="eastAsia"/>
          <w:sz w:val="24"/>
          <w:szCs w:val="24"/>
        </w:rPr>
        <w:t>日：指销售机构在规定时间受理投资人申购、赎回或其他业务申请的开放日</w:t>
      </w:r>
    </w:p>
    <w:p w14:paraId="71A4F18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35</w:t>
      </w:r>
      <w:r>
        <w:rPr>
          <w:rFonts w:asciiTheme="minorEastAsia" w:hAnsiTheme="minorEastAsia" w:cs="Times New Roman" w:hint="eastAsia"/>
          <w:sz w:val="24"/>
          <w:szCs w:val="24"/>
        </w:rPr>
        <w:t>、</w:t>
      </w:r>
      <w:proofErr w:type="spellStart"/>
      <w:r>
        <w:rPr>
          <w:rFonts w:asciiTheme="minorEastAsia" w:hAnsiTheme="minorEastAsia" w:cs="Times New Roman"/>
          <w:sz w:val="24"/>
          <w:szCs w:val="24"/>
        </w:rPr>
        <w:t>T+n</w:t>
      </w:r>
      <w:proofErr w:type="spellEnd"/>
      <w:r>
        <w:rPr>
          <w:rFonts w:asciiTheme="minorEastAsia" w:hAnsiTheme="minorEastAsia" w:cs="Times New Roman" w:hint="eastAsia"/>
          <w:sz w:val="24"/>
          <w:szCs w:val="24"/>
        </w:rPr>
        <w:t>日：指自</w:t>
      </w:r>
      <w:r>
        <w:rPr>
          <w:rFonts w:asciiTheme="minorEastAsia" w:hAnsiTheme="minorEastAsia" w:cs="Times New Roman"/>
          <w:sz w:val="24"/>
          <w:szCs w:val="24"/>
        </w:rPr>
        <w:t>T</w:t>
      </w:r>
      <w:r>
        <w:rPr>
          <w:rFonts w:asciiTheme="minorEastAsia" w:hAnsiTheme="minorEastAsia" w:cs="Times New Roman" w:hint="eastAsia"/>
          <w:sz w:val="24"/>
          <w:szCs w:val="24"/>
        </w:rPr>
        <w:t>日起第</w:t>
      </w:r>
      <w:r>
        <w:rPr>
          <w:rFonts w:asciiTheme="minorEastAsia" w:hAnsiTheme="minorEastAsia" w:cs="Times New Roman"/>
          <w:sz w:val="24"/>
          <w:szCs w:val="24"/>
        </w:rPr>
        <w:t>n</w:t>
      </w:r>
      <w:proofErr w:type="gramStart"/>
      <w:r>
        <w:rPr>
          <w:rFonts w:asciiTheme="minorEastAsia" w:hAnsiTheme="minorEastAsia" w:cs="Times New Roman" w:hint="eastAsia"/>
          <w:sz w:val="24"/>
          <w:szCs w:val="24"/>
        </w:rPr>
        <w:t>个</w:t>
      </w:r>
      <w:proofErr w:type="gramEnd"/>
      <w:r>
        <w:rPr>
          <w:rFonts w:asciiTheme="minorEastAsia" w:hAnsiTheme="minorEastAsia" w:cs="Times New Roman" w:hint="eastAsia"/>
          <w:sz w:val="24"/>
          <w:szCs w:val="24"/>
        </w:rPr>
        <w:t>工作日（不包含</w:t>
      </w:r>
      <w:r>
        <w:rPr>
          <w:rFonts w:asciiTheme="minorEastAsia" w:hAnsiTheme="minorEastAsia" w:cs="Times New Roman"/>
          <w:sz w:val="24"/>
          <w:szCs w:val="24"/>
        </w:rPr>
        <w:t>T</w:t>
      </w:r>
      <w:r>
        <w:rPr>
          <w:rFonts w:asciiTheme="minorEastAsia" w:hAnsiTheme="minorEastAsia" w:cs="Times New Roman" w:hint="eastAsia"/>
          <w:sz w:val="24"/>
          <w:szCs w:val="24"/>
        </w:rPr>
        <w:t>日）</w:t>
      </w:r>
    </w:p>
    <w:p w14:paraId="5FD3DA8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36</w:t>
      </w:r>
      <w:r>
        <w:rPr>
          <w:rFonts w:asciiTheme="minorEastAsia" w:hAnsiTheme="minorEastAsia" w:cs="Times New Roman" w:hint="eastAsia"/>
          <w:sz w:val="24"/>
          <w:szCs w:val="24"/>
        </w:rPr>
        <w:t>、开放日：指为投资人办理基金份额申购、赎回或其他业务的工作日</w:t>
      </w:r>
    </w:p>
    <w:p w14:paraId="5D747118"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37</w:t>
      </w:r>
      <w:r>
        <w:rPr>
          <w:rFonts w:asciiTheme="minorEastAsia" w:hAnsiTheme="minorEastAsia" w:cs="Times New Roman" w:hint="eastAsia"/>
          <w:sz w:val="24"/>
          <w:szCs w:val="24"/>
        </w:rPr>
        <w:t>、开放时间：指开放日基金接受申购、赎回或其他交易的时间段</w:t>
      </w:r>
    </w:p>
    <w:p w14:paraId="57239B0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38</w:t>
      </w:r>
      <w:r>
        <w:rPr>
          <w:rFonts w:asciiTheme="minorEastAsia" w:hAnsiTheme="minorEastAsia" w:cs="Times New Roman" w:hint="eastAsia"/>
          <w:sz w:val="24"/>
          <w:szCs w:val="24"/>
        </w:rPr>
        <w:t>、《业务规则》：指《富荣基金管理有限公司开放式基金业务规则》，是规范基金管理人所管理的开放式证券投资基金登记方面的业务规则，由基金管理人和投资人共同遵守</w:t>
      </w:r>
    </w:p>
    <w:p w14:paraId="0C00532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39</w:t>
      </w:r>
      <w:r>
        <w:rPr>
          <w:rFonts w:asciiTheme="minorEastAsia" w:hAnsiTheme="minorEastAsia" w:cs="Times New Roman" w:hint="eastAsia"/>
          <w:sz w:val="24"/>
          <w:szCs w:val="24"/>
        </w:rPr>
        <w:t>、认购：指在基金募集期内，投资人根据基金合同和招募说明书的规定申请购买基金份额的行为</w:t>
      </w:r>
    </w:p>
    <w:p w14:paraId="03831507"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40</w:t>
      </w:r>
      <w:r>
        <w:rPr>
          <w:rFonts w:asciiTheme="minorEastAsia" w:hAnsiTheme="minorEastAsia" w:cs="Times New Roman" w:hint="eastAsia"/>
          <w:sz w:val="24"/>
          <w:szCs w:val="24"/>
        </w:rPr>
        <w:t>、申购：指基金合同生效后，投资人根据基金合同和招募说明书的规定申请购买基金份额的行为</w:t>
      </w:r>
    </w:p>
    <w:p w14:paraId="56CA6BCF"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1</w:t>
      </w:r>
      <w:r>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2E96BBD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42</w:t>
      </w:r>
      <w:r>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Pr>
          <w:rFonts w:asciiTheme="minorEastAsia" w:hAnsiTheme="minorEastAsia" w:cs="Times New Roman" w:hint="eastAsia"/>
          <w:sz w:val="24"/>
          <w:szCs w:val="24"/>
        </w:rPr>
        <w:t>基金基金</w:t>
      </w:r>
      <w:proofErr w:type="gramEnd"/>
      <w:r>
        <w:rPr>
          <w:rFonts w:asciiTheme="minorEastAsia" w:hAnsiTheme="minorEastAsia" w:cs="Times New Roman" w:hint="eastAsia"/>
          <w:sz w:val="24"/>
          <w:szCs w:val="24"/>
        </w:rPr>
        <w:t>份额的行为</w:t>
      </w:r>
    </w:p>
    <w:p w14:paraId="67B1FB0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43</w:t>
      </w:r>
      <w:r>
        <w:rPr>
          <w:rFonts w:asciiTheme="minorEastAsia" w:hAnsiTheme="minorEastAsia" w:cs="Times New Roman" w:hint="eastAsia"/>
          <w:sz w:val="24"/>
          <w:szCs w:val="24"/>
        </w:rPr>
        <w:t>、转托管：指基金份额持有人在本基金的不同销售机构之间实施的变更所持基金份额销售机构的操作</w:t>
      </w:r>
    </w:p>
    <w:p w14:paraId="31F925E6"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44</w:t>
      </w:r>
      <w:r>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3E2FABEA"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45</w:t>
      </w:r>
      <w:r>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heme="minorEastAsia" w:hAnsiTheme="minorEastAsia" w:cs="Times New Roman"/>
          <w:sz w:val="24"/>
          <w:szCs w:val="24"/>
        </w:rPr>
        <w:t>10%</w:t>
      </w:r>
    </w:p>
    <w:p w14:paraId="45E31529" w14:textId="77777777" w:rsidR="007B7C2A" w:rsidRDefault="00072812">
      <w:pPr>
        <w:adjustRightInd w:val="0"/>
        <w:snapToGrid w:val="0"/>
        <w:spacing w:line="360" w:lineRule="auto"/>
        <w:ind w:left="420"/>
        <w:rPr>
          <w:rFonts w:asciiTheme="minorEastAsia" w:hAnsiTheme="minorEastAsia" w:cs="Times New Roman" w:hint="eastAsia"/>
          <w:sz w:val="24"/>
          <w:szCs w:val="24"/>
        </w:rPr>
      </w:pPr>
      <w:r>
        <w:rPr>
          <w:rFonts w:asciiTheme="minorEastAsia" w:hAnsiTheme="minorEastAsia" w:cs="Times New Roman"/>
          <w:sz w:val="24"/>
          <w:szCs w:val="24"/>
        </w:rPr>
        <w:t>46</w:t>
      </w:r>
      <w:r>
        <w:rPr>
          <w:rFonts w:asciiTheme="minorEastAsia" w:hAnsiTheme="minorEastAsia" w:cs="Times New Roman" w:hint="eastAsia"/>
          <w:sz w:val="24"/>
          <w:szCs w:val="24"/>
        </w:rPr>
        <w:t>、元：指人民币元</w:t>
      </w:r>
    </w:p>
    <w:p w14:paraId="33AFA7FA"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47</w:t>
      </w:r>
      <w:r>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74CBF2B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8</w:t>
      </w:r>
      <w:r>
        <w:rPr>
          <w:rFonts w:asciiTheme="minorEastAsia" w:hAnsiTheme="minorEastAsia" w:cs="Times New Roman" w:hint="eastAsia"/>
          <w:sz w:val="24"/>
          <w:szCs w:val="24"/>
        </w:rPr>
        <w:t>、销售服务费：指本基金用于持续销售和服务基金份额持有人的费用，该笔费用从</w:t>
      </w:r>
      <w:r>
        <w:rPr>
          <w:rFonts w:asciiTheme="minorEastAsia" w:hAnsiTheme="minorEastAsia" w:cs="Times New Roman" w:hint="eastAsia"/>
          <w:sz w:val="24"/>
          <w:szCs w:val="24"/>
        </w:rPr>
        <w:t>C</w:t>
      </w:r>
      <w:r>
        <w:rPr>
          <w:rFonts w:asciiTheme="minorEastAsia" w:hAnsiTheme="minorEastAsia" w:cs="Times New Roman" w:hint="eastAsia"/>
          <w:sz w:val="24"/>
          <w:szCs w:val="24"/>
        </w:rPr>
        <w:t>类份额的基金财产中计提，属于基金的营运费用</w:t>
      </w:r>
    </w:p>
    <w:p w14:paraId="4F2C4375"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49</w:t>
      </w:r>
      <w:r>
        <w:rPr>
          <w:rFonts w:asciiTheme="minorEastAsia" w:hAnsiTheme="minorEastAsia" w:cs="Times New Roman" w:hint="eastAsia"/>
          <w:sz w:val="24"/>
          <w:szCs w:val="24"/>
        </w:rPr>
        <w:t>、基金资产总值：指基金拥有的各类有价证券、银行存款本息、基金应收申购款及其他资产的价值总和</w:t>
      </w:r>
    </w:p>
    <w:p w14:paraId="7024B0A6"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50</w:t>
      </w:r>
      <w:r>
        <w:rPr>
          <w:rFonts w:asciiTheme="minorEastAsia" w:hAnsiTheme="minorEastAsia" w:cs="Times New Roman" w:hint="eastAsia"/>
          <w:sz w:val="24"/>
          <w:szCs w:val="24"/>
        </w:rPr>
        <w:t>、基金资产净值：指基金资产总值减去基金负债后的价值</w:t>
      </w:r>
    </w:p>
    <w:p w14:paraId="4A99C5A4"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1</w:t>
      </w:r>
      <w:r>
        <w:rPr>
          <w:rFonts w:asciiTheme="minorEastAsia" w:hAnsiTheme="minorEastAsia" w:cs="Times New Roman" w:hint="eastAsia"/>
          <w:sz w:val="24"/>
          <w:szCs w:val="24"/>
        </w:rPr>
        <w:t>、基金份额净值：指计算日基金资产净值除以计算日基金份额总数</w:t>
      </w:r>
    </w:p>
    <w:p w14:paraId="08400FC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2</w:t>
      </w:r>
      <w:r>
        <w:rPr>
          <w:rFonts w:asciiTheme="minorEastAsia" w:hAnsiTheme="minorEastAsia" w:cs="Times New Roman" w:hint="eastAsia"/>
          <w:sz w:val="24"/>
          <w:szCs w:val="24"/>
        </w:rPr>
        <w:t>、基金资产估值：指计算评估基金资产和负债的价值，以确定基金资产净值和基金份额净值的过程</w:t>
      </w:r>
    </w:p>
    <w:p w14:paraId="1CAB028B"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3</w:t>
      </w:r>
      <w:r>
        <w:rPr>
          <w:rFonts w:asciiTheme="minorEastAsia" w:hAnsiTheme="minorEastAsia" w:cs="Times New Roman" w:hint="eastAsia"/>
          <w:sz w:val="24"/>
          <w:szCs w:val="24"/>
        </w:rPr>
        <w:t>、基金份额的类别：指本基金根据销售服务费收取方式的不同，将基金份额分为不同的类别</w:t>
      </w:r>
    </w:p>
    <w:p w14:paraId="678D4484"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54</w:t>
      </w:r>
      <w:r>
        <w:rPr>
          <w:rFonts w:asciiTheme="minorEastAsia" w:hAnsiTheme="minorEastAsia" w:cs="Times New Roman" w:hint="eastAsia"/>
          <w:sz w:val="24"/>
          <w:szCs w:val="24"/>
        </w:rPr>
        <w:t>、</w:t>
      </w:r>
      <w:r>
        <w:rPr>
          <w:rFonts w:asciiTheme="minorEastAsia" w:hAnsiTheme="minorEastAsia" w:cs="Times New Roman"/>
          <w:sz w:val="24"/>
          <w:szCs w:val="24"/>
        </w:rPr>
        <w:t>A</w:t>
      </w:r>
      <w:r>
        <w:rPr>
          <w:rFonts w:asciiTheme="minorEastAsia" w:hAnsiTheme="minorEastAsia" w:cs="Times New Roman" w:hint="eastAsia"/>
          <w:sz w:val="24"/>
          <w:szCs w:val="24"/>
        </w:rPr>
        <w:t>类基金份额：指在投资者认购、申购时收取前端认购、申购费用而不从本类别基金资产中计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服务费的，称为</w:t>
      </w:r>
      <w:r>
        <w:rPr>
          <w:rFonts w:asciiTheme="minorEastAsia" w:hAnsiTheme="minorEastAsia" w:cs="Times New Roman" w:hint="eastAsia"/>
          <w:sz w:val="24"/>
          <w:szCs w:val="24"/>
        </w:rPr>
        <w:t>A</w:t>
      </w:r>
      <w:r>
        <w:rPr>
          <w:rFonts w:asciiTheme="minorEastAsia" w:hAnsiTheme="minorEastAsia" w:cs="Times New Roman" w:hint="eastAsia"/>
          <w:sz w:val="24"/>
          <w:szCs w:val="24"/>
        </w:rPr>
        <w:t>类基金份额</w:t>
      </w:r>
    </w:p>
    <w:p w14:paraId="318A7ABC"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sz w:val="24"/>
          <w:szCs w:val="24"/>
        </w:rPr>
        <w:t>55</w:t>
      </w:r>
      <w:r>
        <w:rPr>
          <w:rFonts w:asciiTheme="minorEastAsia" w:hAnsiTheme="minorEastAsia" w:cs="Times New Roman" w:hint="eastAsia"/>
          <w:sz w:val="24"/>
          <w:szCs w:val="24"/>
        </w:rPr>
        <w:t>、</w:t>
      </w:r>
      <w:r>
        <w:rPr>
          <w:rFonts w:asciiTheme="minorEastAsia" w:hAnsiTheme="minorEastAsia" w:cs="Times New Roman"/>
          <w:sz w:val="24"/>
          <w:szCs w:val="24"/>
        </w:rPr>
        <w:t>C</w:t>
      </w:r>
      <w:r>
        <w:rPr>
          <w:rFonts w:asciiTheme="minorEastAsia" w:hAnsiTheme="minorEastAsia" w:cs="Times New Roman" w:hint="eastAsia"/>
          <w:sz w:val="24"/>
          <w:szCs w:val="24"/>
        </w:rPr>
        <w:t>类基金份额：指在投资者认购、申购时不收取前后端认购、申购费用，而从本类别基金资产中计</w:t>
      </w:r>
      <w:proofErr w:type="gramStart"/>
      <w:r>
        <w:rPr>
          <w:rFonts w:asciiTheme="minorEastAsia" w:hAnsiTheme="minorEastAsia" w:cs="Times New Roman" w:hint="eastAsia"/>
          <w:sz w:val="24"/>
          <w:szCs w:val="24"/>
        </w:rPr>
        <w:t>提销售</w:t>
      </w:r>
      <w:proofErr w:type="gramEnd"/>
      <w:r>
        <w:rPr>
          <w:rFonts w:asciiTheme="minorEastAsia" w:hAnsiTheme="minorEastAsia" w:cs="Times New Roman" w:hint="eastAsia"/>
          <w:sz w:val="24"/>
          <w:szCs w:val="24"/>
        </w:rPr>
        <w:t>服务费的，称为</w:t>
      </w:r>
      <w:r>
        <w:rPr>
          <w:rFonts w:asciiTheme="minorEastAsia" w:hAnsiTheme="minorEastAsia" w:cs="Times New Roman" w:hint="eastAsia"/>
          <w:sz w:val="24"/>
          <w:szCs w:val="24"/>
        </w:rPr>
        <w:t>C</w:t>
      </w:r>
      <w:r>
        <w:rPr>
          <w:rFonts w:asciiTheme="minorEastAsia" w:hAnsiTheme="minorEastAsia" w:cs="Times New Roman" w:hint="eastAsia"/>
          <w:sz w:val="24"/>
          <w:szCs w:val="24"/>
        </w:rPr>
        <w:t>类基金份额</w:t>
      </w:r>
    </w:p>
    <w:p w14:paraId="28933EA9" w14:textId="77777777" w:rsidR="007B7C2A" w:rsidRDefault="00072812">
      <w:pPr>
        <w:spacing w:line="360" w:lineRule="auto"/>
        <w:ind w:firstLineChars="200" w:firstLine="480"/>
        <w:rPr>
          <w:bCs/>
          <w:sz w:val="24"/>
          <w:szCs w:val="24"/>
        </w:rPr>
      </w:pPr>
      <w:r>
        <w:rPr>
          <w:rFonts w:hint="eastAsia"/>
          <w:bCs/>
          <w:sz w:val="24"/>
          <w:szCs w:val="24"/>
        </w:rPr>
        <w:t>5</w:t>
      </w:r>
      <w:r>
        <w:rPr>
          <w:bCs/>
          <w:sz w:val="24"/>
          <w:szCs w:val="24"/>
        </w:rPr>
        <w:t>6</w:t>
      </w:r>
      <w:r>
        <w:rPr>
          <w:rFonts w:hint="eastAsia"/>
          <w:bCs/>
          <w:sz w:val="24"/>
          <w:szCs w:val="24"/>
        </w:rPr>
        <w:t>、流动性受限资产：是指由于法律法规、监管、合同或操作障碍等原因无法以合理价格予以变现的资产，包括但不限于到期日在</w:t>
      </w:r>
      <w:r>
        <w:rPr>
          <w:rFonts w:hint="eastAsia"/>
          <w:bCs/>
          <w:sz w:val="24"/>
          <w:szCs w:val="24"/>
        </w:rPr>
        <w:t xml:space="preserve">10 </w:t>
      </w:r>
      <w:proofErr w:type="gramStart"/>
      <w:r>
        <w:rPr>
          <w:rFonts w:hint="eastAsia"/>
          <w:bCs/>
          <w:sz w:val="24"/>
          <w:szCs w:val="24"/>
        </w:rPr>
        <w:t>个</w:t>
      </w:r>
      <w:proofErr w:type="gramEnd"/>
      <w:r>
        <w:rPr>
          <w:rFonts w:hint="eastAsia"/>
          <w:bCs/>
          <w:sz w:val="24"/>
          <w:szCs w:val="24"/>
        </w:rPr>
        <w:t>交易日以上的逆回购与银行定期存款（</w:t>
      </w:r>
      <w:proofErr w:type="gramStart"/>
      <w:r>
        <w:rPr>
          <w:rFonts w:hint="eastAsia"/>
          <w:bCs/>
          <w:sz w:val="24"/>
          <w:szCs w:val="24"/>
        </w:rPr>
        <w:t>含协议</w:t>
      </w:r>
      <w:proofErr w:type="gramEnd"/>
      <w:r>
        <w:rPr>
          <w:rFonts w:hint="eastAsia"/>
          <w:bCs/>
          <w:sz w:val="24"/>
          <w:szCs w:val="24"/>
        </w:rPr>
        <w:t>约定有条件提前支取的银行存款）、停牌股票、流通受限的新股及非公开发行股票、资产支持证券、因发行人债务违约无法进行转让或交易的债券等</w:t>
      </w:r>
    </w:p>
    <w:p w14:paraId="33D7B45C" w14:textId="77777777" w:rsidR="007B7C2A" w:rsidRDefault="00072812">
      <w:pPr>
        <w:spacing w:line="360" w:lineRule="auto"/>
        <w:ind w:firstLineChars="200" w:firstLine="480"/>
        <w:rPr>
          <w:bCs/>
          <w:sz w:val="24"/>
          <w:szCs w:val="24"/>
        </w:rPr>
      </w:pPr>
      <w:r>
        <w:rPr>
          <w:rFonts w:hint="eastAsia"/>
          <w:bCs/>
          <w:sz w:val="24"/>
          <w:szCs w:val="24"/>
        </w:rPr>
        <w:t>5</w:t>
      </w:r>
      <w:r>
        <w:rPr>
          <w:bCs/>
          <w:sz w:val="24"/>
          <w:szCs w:val="24"/>
        </w:rPr>
        <w:t>7</w:t>
      </w:r>
      <w:r>
        <w:rPr>
          <w:rFonts w:hint="eastAsia"/>
          <w:bCs/>
          <w:sz w:val="24"/>
          <w:szCs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52EF487" w14:textId="77777777" w:rsidR="007B7C2A" w:rsidRDefault="00072812">
      <w:pPr>
        <w:spacing w:line="360" w:lineRule="auto"/>
        <w:ind w:firstLineChars="200" w:firstLine="460"/>
        <w:rPr>
          <w:bCs/>
          <w:sz w:val="24"/>
          <w:szCs w:val="24"/>
        </w:rPr>
      </w:pPr>
      <w:r>
        <w:rPr>
          <w:kern w:val="0"/>
          <w:sz w:val="23"/>
          <w:szCs w:val="23"/>
        </w:rPr>
        <w:t>58</w:t>
      </w:r>
      <w:r>
        <w:rPr>
          <w:rFonts w:hint="eastAsia"/>
          <w:bCs/>
          <w:sz w:val="24"/>
          <w:szCs w:val="24"/>
        </w:rPr>
        <w:t>、</w:t>
      </w:r>
      <w:r>
        <w:rPr>
          <w:bCs/>
          <w:sz w:val="24"/>
          <w:szCs w:val="24"/>
        </w:rPr>
        <w:t>指定媒</w:t>
      </w:r>
      <w:r>
        <w:rPr>
          <w:rFonts w:hint="eastAsia"/>
          <w:bCs/>
          <w:sz w:val="24"/>
          <w:szCs w:val="24"/>
        </w:rPr>
        <w:t>介</w:t>
      </w:r>
      <w:r>
        <w:rPr>
          <w:bCs/>
          <w:sz w:val="24"/>
          <w:szCs w:val="24"/>
        </w:rPr>
        <w:t>：</w:t>
      </w:r>
      <w:r>
        <w:rPr>
          <w:rFonts w:hint="eastAsia"/>
          <w:bCs/>
          <w:sz w:val="24"/>
          <w:szCs w:val="24"/>
        </w:rPr>
        <w:t>指中国证监会指定的用以进行信息披露的全国性报刊及指定互联网网站（包括基金管理人网站、基金托管人网站、中国证监会基金电子披露网站）等媒介</w:t>
      </w:r>
    </w:p>
    <w:p w14:paraId="2567C758" w14:textId="77777777" w:rsidR="007B7C2A" w:rsidRDefault="00072812">
      <w:pPr>
        <w:spacing w:line="360" w:lineRule="auto"/>
        <w:ind w:firstLineChars="200" w:firstLine="480"/>
        <w:rPr>
          <w:bCs/>
          <w:sz w:val="24"/>
          <w:szCs w:val="24"/>
        </w:rPr>
      </w:pPr>
      <w:r>
        <w:rPr>
          <w:bCs/>
          <w:sz w:val="24"/>
          <w:szCs w:val="24"/>
        </w:rPr>
        <w:t>59</w:t>
      </w:r>
      <w:r>
        <w:rPr>
          <w:rFonts w:hint="eastAsia"/>
          <w:bCs/>
          <w:sz w:val="24"/>
          <w:szCs w:val="24"/>
        </w:rPr>
        <w:t>、</w:t>
      </w:r>
      <w:r>
        <w:rPr>
          <w:bCs/>
          <w:sz w:val="24"/>
          <w:szCs w:val="24"/>
        </w:rPr>
        <w:t>不可抗力：指本</w:t>
      </w:r>
      <w:r>
        <w:rPr>
          <w:rFonts w:hint="eastAsia"/>
          <w:bCs/>
          <w:sz w:val="24"/>
          <w:szCs w:val="24"/>
        </w:rPr>
        <w:t>基金</w:t>
      </w:r>
      <w:r>
        <w:rPr>
          <w:bCs/>
          <w:sz w:val="24"/>
          <w:szCs w:val="24"/>
        </w:rPr>
        <w:t>合同当事人不能预见、不能避免且不能克服的客观事件</w:t>
      </w:r>
    </w:p>
    <w:p w14:paraId="19574ED1" w14:textId="77777777" w:rsidR="007B7C2A" w:rsidRDefault="00072812">
      <w:pPr>
        <w:widowControl/>
        <w:jc w:val="left"/>
        <w:rPr>
          <w:bCs/>
          <w:sz w:val="24"/>
          <w:szCs w:val="24"/>
        </w:rPr>
      </w:pPr>
      <w:r>
        <w:rPr>
          <w:bCs/>
          <w:sz w:val="24"/>
          <w:szCs w:val="24"/>
        </w:rPr>
        <w:br w:type="page"/>
      </w:r>
    </w:p>
    <w:p w14:paraId="45776538" w14:textId="77777777" w:rsidR="007B7C2A" w:rsidRDefault="00072812">
      <w:pPr>
        <w:pStyle w:val="1"/>
        <w:ind w:firstLine="602"/>
        <w:jc w:val="center"/>
        <w:rPr>
          <w:sz w:val="30"/>
          <w:szCs w:val="30"/>
        </w:rPr>
      </w:pPr>
      <w:bookmarkStart w:id="64" w:name="_Toc263092311"/>
      <w:bookmarkStart w:id="65" w:name="_Toc416264539"/>
      <w:bookmarkStart w:id="66" w:name="_Toc146096520"/>
      <w:bookmarkStart w:id="67" w:name="_Toc24682"/>
      <w:bookmarkStart w:id="68" w:name="_Toc352229749"/>
      <w:bookmarkStart w:id="69" w:name="_Toc410197817"/>
      <w:bookmarkStart w:id="70" w:name="_Toc3266"/>
      <w:bookmarkStart w:id="71" w:name="_Toc90742688"/>
      <w:bookmarkStart w:id="72" w:name="_Toc7151"/>
      <w:bookmarkStart w:id="73" w:name="_Toc90742390"/>
      <w:bookmarkStart w:id="74" w:name="_Toc16265"/>
      <w:bookmarkStart w:id="75" w:name="_Toc27189"/>
      <w:bookmarkStart w:id="76" w:name="_Toc6714"/>
      <w:bookmarkStart w:id="77" w:name="_Toc27226"/>
      <w:bookmarkStart w:id="78" w:name="_Toc22074"/>
      <w:bookmarkStart w:id="79" w:name="_Toc29948"/>
      <w:bookmarkStart w:id="80" w:name="_Toc15203"/>
      <w:bookmarkStart w:id="81" w:name="_Toc29784"/>
      <w:bookmarkStart w:id="82" w:name="_Toc90742321"/>
      <w:bookmarkEnd w:id="50"/>
      <w:bookmarkEnd w:id="51"/>
      <w:bookmarkEnd w:id="52"/>
      <w:bookmarkEnd w:id="53"/>
      <w:bookmarkEnd w:id="54"/>
      <w:bookmarkEnd w:id="55"/>
      <w:bookmarkEnd w:id="56"/>
      <w:bookmarkEnd w:id="57"/>
      <w:bookmarkEnd w:id="58"/>
      <w:bookmarkEnd w:id="59"/>
      <w:bookmarkEnd w:id="60"/>
      <w:bookmarkEnd w:id="61"/>
      <w:r>
        <w:rPr>
          <w:rFonts w:hint="eastAsia"/>
          <w:sz w:val="30"/>
          <w:szCs w:val="30"/>
        </w:rPr>
        <w:t>第三部分</w:t>
      </w:r>
      <w:r>
        <w:rPr>
          <w:sz w:val="30"/>
          <w:szCs w:val="30"/>
        </w:rPr>
        <w:t xml:space="preserve">  </w:t>
      </w:r>
      <w:r>
        <w:rPr>
          <w:rFonts w:hint="eastAsia"/>
          <w:sz w:val="30"/>
          <w:szCs w:val="30"/>
        </w:rPr>
        <w:t>基金管理人</w:t>
      </w:r>
      <w:bookmarkEnd w:id="64"/>
      <w:bookmarkEnd w:id="65"/>
      <w:bookmarkEnd w:id="66"/>
    </w:p>
    <w:p w14:paraId="1072DF27" w14:textId="77777777" w:rsidR="007B7C2A" w:rsidRDefault="00072812">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一、基金管理人概况</w:t>
      </w:r>
    </w:p>
    <w:p w14:paraId="21E78B6D"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名称：富</w:t>
      </w:r>
      <w:proofErr w:type="gramStart"/>
      <w:r>
        <w:rPr>
          <w:rFonts w:asciiTheme="minorEastAsia" w:hAnsiTheme="minorEastAsia" w:cs="Times New Roman" w:hint="eastAsia"/>
          <w:kern w:val="0"/>
          <w:sz w:val="24"/>
          <w:szCs w:val="24"/>
        </w:rPr>
        <w:t>荣基金</w:t>
      </w:r>
      <w:proofErr w:type="gramEnd"/>
      <w:r>
        <w:rPr>
          <w:rFonts w:asciiTheme="minorEastAsia" w:hAnsiTheme="minorEastAsia" w:cs="Times New Roman" w:hint="eastAsia"/>
          <w:kern w:val="0"/>
          <w:sz w:val="24"/>
          <w:szCs w:val="24"/>
        </w:rPr>
        <w:t>管理有限公司</w:t>
      </w:r>
    </w:p>
    <w:p w14:paraId="4ADC872D"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住所：广东省广州市南沙区横</w:t>
      </w:r>
      <w:proofErr w:type="gramStart"/>
      <w:r>
        <w:rPr>
          <w:rFonts w:asciiTheme="minorEastAsia" w:hAnsiTheme="minorEastAsia" w:cs="Times New Roman" w:hint="eastAsia"/>
          <w:kern w:val="0"/>
          <w:sz w:val="24"/>
          <w:szCs w:val="24"/>
        </w:rPr>
        <w:t>沥</w:t>
      </w:r>
      <w:proofErr w:type="gramEnd"/>
      <w:r>
        <w:rPr>
          <w:rFonts w:asciiTheme="minorEastAsia" w:hAnsiTheme="minorEastAsia" w:cs="Times New Roman" w:hint="eastAsia"/>
          <w:kern w:val="0"/>
          <w:sz w:val="24"/>
          <w:szCs w:val="24"/>
        </w:rPr>
        <w:t>镇汇通二街</w:t>
      </w: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号</w:t>
      </w:r>
      <w:r>
        <w:rPr>
          <w:rFonts w:asciiTheme="minorEastAsia" w:hAnsiTheme="minorEastAsia" w:cs="Times New Roman" w:hint="eastAsia"/>
          <w:kern w:val="0"/>
          <w:sz w:val="24"/>
          <w:szCs w:val="24"/>
        </w:rPr>
        <w:t>3110</w:t>
      </w:r>
      <w:r>
        <w:rPr>
          <w:rFonts w:asciiTheme="minorEastAsia" w:hAnsiTheme="minorEastAsia" w:cs="Times New Roman" w:hint="eastAsia"/>
          <w:kern w:val="0"/>
          <w:sz w:val="24"/>
          <w:szCs w:val="24"/>
        </w:rPr>
        <w:t>房</w:t>
      </w:r>
    </w:p>
    <w:p w14:paraId="093A9421"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办公地址：深圳市福田区八卦四路</w:t>
      </w:r>
      <w:r>
        <w:rPr>
          <w:rFonts w:asciiTheme="minorEastAsia" w:hAnsiTheme="minorEastAsia" w:cs="Times New Roman" w:hint="eastAsia"/>
          <w:kern w:val="0"/>
          <w:sz w:val="24"/>
          <w:szCs w:val="24"/>
        </w:rPr>
        <w:t>52</w:t>
      </w:r>
      <w:r>
        <w:rPr>
          <w:rFonts w:asciiTheme="minorEastAsia" w:hAnsiTheme="minorEastAsia" w:cs="Times New Roman" w:hint="eastAsia"/>
          <w:kern w:val="0"/>
          <w:sz w:val="24"/>
          <w:szCs w:val="24"/>
        </w:rPr>
        <w:t>号安吉尔大厦</w:t>
      </w:r>
      <w:r>
        <w:rPr>
          <w:rFonts w:asciiTheme="minorEastAsia" w:hAnsiTheme="minorEastAsia" w:cs="Times New Roman" w:hint="eastAsia"/>
          <w:kern w:val="0"/>
          <w:sz w:val="24"/>
          <w:szCs w:val="24"/>
        </w:rPr>
        <w:t>24</w:t>
      </w:r>
      <w:r>
        <w:rPr>
          <w:rFonts w:asciiTheme="minorEastAsia" w:hAnsiTheme="minorEastAsia" w:cs="Times New Roman" w:hint="eastAsia"/>
          <w:kern w:val="0"/>
          <w:sz w:val="24"/>
          <w:szCs w:val="24"/>
        </w:rPr>
        <w:t>层</w:t>
      </w:r>
    </w:p>
    <w:p w14:paraId="2751741B"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法定代表人：王亦伟</w:t>
      </w:r>
    </w:p>
    <w:p w14:paraId="7ADFF989"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成立时间：</w:t>
      </w:r>
      <w:r>
        <w:rPr>
          <w:rFonts w:asciiTheme="minorEastAsia" w:hAnsiTheme="minorEastAsia" w:cs="Times New Roman" w:hint="eastAsia"/>
          <w:kern w:val="0"/>
          <w:sz w:val="24"/>
          <w:szCs w:val="24"/>
        </w:rPr>
        <w:t>2016</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rPr>
        <w:t>25</w:t>
      </w:r>
      <w:r>
        <w:rPr>
          <w:rFonts w:asciiTheme="minorEastAsia" w:hAnsiTheme="minorEastAsia" w:cs="Times New Roman" w:hint="eastAsia"/>
          <w:kern w:val="0"/>
          <w:sz w:val="24"/>
          <w:szCs w:val="24"/>
        </w:rPr>
        <w:t>日</w:t>
      </w:r>
    </w:p>
    <w:p w14:paraId="7D74F2C7"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注册资本：</w:t>
      </w: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亿元人民币</w:t>
      </w:r>
    </w:p>
    <w:p w14:paraId="0A92BFCC"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存续期间：持续经营</w:t>
      </w:r>
    </w:p>
    <w:p w14:paraId="3AD4A032"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联系人：郭鑫</w:t>
      </w:r>
    </w:p>
    <w:p w14:paraId="0A1262A7" w14:textId="77777777" w:rsidR="007B7C2A" w:rsidRDefault="00072812">
      <w:pPr>
        <w:spacing w:line="360" w:lineRule="auto"/>
        <w:ind w:firstLineChars="200" w:firstLine="480"/>
        <w:rPr>
          <w:rFonts w:asciiTheme="minorEastAsia" w:hAnsiTheme="minorEastAsia" w:cs="Times New Roman" w:hint="eastAsia"/>
          <w:kern w:val="0"/>
          <w:sz w:val="24"/>
          <w:szCs w:val="24"/>
        </w:rPr>
      </w:pPr>
      <w:r>
        <w:rPr>
          <w:rFonts w:asciiTheme="minorEastAsia" w:hAnsiTheme="minorEastAsia" w:cs="Times New Roman" w:hint="eastAsia"/>
          <w:kern w:val="0"/>
          <w:sz w:val="24"/>
          <w:szCs w:val="24"/>
        </w:rPr>
        <w:t>联系电话：</w:t>
      </w:r>
      <w:r>
        <w:rPr>
          <w:rFonts w:asciiTheme="minorEastAsia" w:hAnsiTheme="minorEastAsia" w:cs="Times New Roman" w:hint="eastAsia"/>
          <w:kern w:val="0"/>
          <w:sz w:val="24"/>
          <w:szCs w:val="24"/>
        </w:rPr>
        <w:t>0755-84356796</w:t>
      </w:r>
    </w:p>
    <w:p w14:paraId="7E5F54E4" w14:textId="77777777" w:rsidR="007B7C2A" w:rsidRDefault="00072812">
      <w:pPr>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股权结构：</w:t>
      </w:r>
      <w:r>
        <w:rPr>
          <w:rFonts w:asciiTheme="minorEastAsia" w:hAnsiTheme="minorEastAsia" w:cs="Arial" w:hint="eastAsia"/>
          <w:kern w:val="0"/>
          <w:sz w:val="24"/>
          <w:szCs w:val="24"/>
        </w:rPr>
        <w:t xml:space="preserve"> </w:t>
      </w:r>
    </w:p>
    <w:tbl>
      <w:tblPr>
        <w:tblW w:w="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7B7C2A" w14:paraId="7F40EA59"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2A489FD2" w14:textId="77777777" w:rsidR="007B7C2A" w:rsidRDefault="00072812">
            <w:pPr>
              <w:spacing w:line="360" w:lineRule="auto"/>
              <w:ind w:firstLine="482"/>
              <w:jc w:val="center"/>
              <w:rPr>
                <w:rFonts w:asciiTheme="minorEastAsia" w:hAnsiTheme="minorEastAsia" w:cs="Arial" w:hint="eastAsia"/>
                <w:b/>
                <w:kern w:val="0"/>
                <w:sz w:val="24"/>
                <w:szCs w:val="24"/>
              </w:rPr>
            </w:pPr>
            <w:r>
              <w:rPr>
                <w:rFonts w:asciiTheme="minorEastAsia" w:hAnsiTheme="minorEastAsia" w:cs="Arial" w:hint="eastAsia"/>
                <w:b/>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tcPr>
          <w:p w14:paraId="3F2811D5" w14:textId="77777777" w:rsidR="007B7C2A" w:rsidRDefault="00072812">
            <w:pPr>
              <w:spacing w:line="360" w:lineRule="auto"/>
              <w:rPr>
                <w:rFonts w:asciiTheme="minorEastAsia" w:hAnsiTheme="minorEastAsia" w:cs="Arial" w:hint="eastAsia"/>
                <w:b/>
                <w:kern w:val="0"/>
                <w:sz w:val="24"/>
                <w:szCs w:val="24"/>
              </w:rPr>
            </w:pPr>
            <w:r>
              <w:rPr>
                <w:rFonts w:asciiTheme="minorEastAsia" w:hAnsiTheme="minorEastAsia" w:cs="Arial" w:hint="eastAsia"/>
                <w:b/>
                <w:kern w:val="0"/>
                <w:sz w:val="24"/>
                <w:szCs w:val="24"/>
              </w:rPr>
              <w:t>出资比例</w:t>
            </w:r>
          </w:p>
        </w:tc>
      </w:tr>
      <w:tr w:rsidR="007B7C2A" w14:paraId="798BB159"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86B4D97" w14:textId="77777777" w:rsidR="007B7C2A" w:rsidRDefault="00072812">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478CA466" w14:textId="77777777" w:rsidR="007B7C2A" w:rsidRDefault="00072812">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w:t>
            </w:r>
          </w:p>
        </w:tc>
      </w:tr>
      <w:tr w:rsidR="007B7C2A" w14:paraId="637A8724"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7F1F8A6E" w14:textId="77777777" w:rsidR="007B7C2A" w:rsidRDefault="00072812">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80E9BC3" w14:textId="77777777" w:rsidR="007B7C2A" w:rsidRDefault="00072812">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45.1%</w:t>
            </w:r>
          </w:p>
        </w:tc>
      </w:tr>
      <w:tr w:rsidR="007B7C2A" w14:paraId="6D9E236B" w14:textId="77777777">
        <w:trPr>
          <w:jc w:val="center"/>
        </w:trPr>
        <w:tc>
          <w:tcPr>
            <w:tcW w:w="4250" w:type="dxa"/>
            <w:tcBorders>
              <w:top w:val="single" w:sz="4" w:space="0" w:color="auto"/>
              <w:left w:val="single" w:sz="4" w:space="0" w:color="auto"/>
              <w:bottom w:val="single" w:sz="4" w:space="0" w:color="auto"/>
              <w:right w:val="single" w:sz="4" w:space="0" w:color="auto"/>
            </w:tcBorders>
            <w:vAlign w:val="center"/>
          </w:tcPr>
          <w:p w14:paraId="6E9F614B" w14:textId="77777777" w:rsidR="007B7C2A" w:rsidRDefault="00072812">
            <w:pPr>
              <w:spacing w:line="360" w:lineRule="auto"/>
              <w:jc w:val="center"/>
              <w:rPr>
                <w:rFonts w:asciiTheme="minorEastAsia" w:hAnsiTheme="minorEastAsia" w:cs="Arial" w:hint="eastAsia"/>
                <w:kern w:val="0"/>
                <w:sz w:val="24"/>
                <w:szCs w:val="24"/>
              </w:rPr>
            </w:pPr>
            <w:proofErr w:type="gramStart"/>
            <w:r>
              <w:rPr>
                <w:rFonts w:asciiTheme="minorEastAsia" w:hAnsiTheme="minorEastAsia" w:cs="Arial" w:hint="eastAsia"/>
                <w:kern w:val="0"/>
                <w:sz w:val="24"/>
                <w:szCs w:val="24"/>
              </w:rPr>
              <w:t>湖南省典勤投资</w:t>
            </w:r>
            <w:proofErr w:type="gramEnd"/>
            <w:r>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tcPr>
          <w:p w14:paraId="736465B1" w14:textId="77777777" w:rsidR="007B7C2A" w:rsidRDefault="00072812">
            <w:pPr>
              <w:spacing w:line="360"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4.9%</w:t>
            </w:r>
          </w:p>
        </w:tc>
      </w:tr>
    </w:tbl>
    <w:p w14:paraId="66C1C444" w14:textId="77777777" w:rsidR="007B7C2A" w:rsidRDefault="007B7C2A">
      <w:pPr>
        <w:adjustRightInd w:val="0"/>
        <w:snapToGrid w:val="0"/>
        <w:spacing w:line="360" w:lineRule="auto"/>
        <w:ind w:firstLineChars="200" w:firstLine="480"/>
        <w:rPr>
          <w:rFonts w:asciiTheme="minorEastAsia" w:hAnsiTheme="minorEastAsia" w:cs="Arial" w:hint="eastAsia"/>
          <w:kern w:val="0"/>
          <w:sz w:val="24"/>
          <w:szCs w:val="24"/>
        </w:rPr>
      </w:pPr>
    </w:p>
    <w:p w14:paraId="32936368" w14:textId="77777777" w:rsidR="007B7C2A" w:rsidRDefault="00072812">
      <w:pPr>
        <w:spacing w:line="360" w:lineRule="auto"/>
        <w:ind w:firstLineChars="200" w:firstLine="482"/>
        <w:rPr>
          <w:rFonts w:asciiTheme="minorEastAsia" w:hAnsiTheme="minorEastAsia" w:cs="Times New Roman" w:hint="eastAsia"/>
          <w:b/>
          <w:kern w:val="0"/>
          <w:sz w:val="24"/>
          <w:szCs w:val="24"/>
        </w:rPr>
      </w:pPr>
      <w:r>
        <w:rPr>
          <w:rFonts w:asciiTheme="minorEastAsia" w:hAnsiTheme="minorEastAsia" w:cs="Times New Roman" w:hint="eastAsia"/>
          <w:b/>
          <w:kern w:val="0"/>
          <w:sz w:val="24"/>
          <w:szCs w:val="24"/>
        </w:rPr>
        <w:t>二、主要成员情况</w:t>
      </w:r>
    </w:p>
    <w:p w14:paraId="5B596C8A"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1</w:t>
      </w:r>
      <w:r>
        <w:rPr>
          <w:rFonts w:asciiTheme="minorEastAsia" w:hAnsiTheme="minorEastAsia" w:cs="Arial" w:hint="eastAsia"/>
          <w:kern w:val="0"/>
          <w:sz w:val="24"/>
          <w:szCs w:val="24"/>
        </w:rPr>
        <w:t>、董事会成员</w:t>
      </w:r>
    </w:p>
    <w:p w14:paraId="10A5C938" w14:textId="79D80937" w:rsidR="007B7C2A" w:rsidRDefault="00072812">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王亦伟先生，董事长，中山大学管理学院经济学学士。历任广州大学城投资经营管理有限公司财务部部长，平安信托有限责任公司财富管理事业部区域管理中心总监，广州市城市建设投资集团有限公司计划发展部部长、投资发展部部长，广州市城</w:t>
      </w:r>
      <w:proofErr w:type="gramStart"/>
      <w:r>
        <w:rPr>
          <w:rFonts w:asciiTheme="minorEastAsia" w:hAnsiTheme="minorEastAsia" w:cs="Arial" w:hint="eastAsia"/>
          <w:kern w:val="0"/>
          <w:sz w:val="24"/>
        </w:rPr>
        <w:t>投</w:t>
      </w:r>
      <w:proofErr w:type="gramEnd"/>
      <w:r>
        <w:rPr>
          <w:rFonts w:asciiTheme="minorEastAsia" w:hAnsiTheme="minorEastAsia" w:cs="Arial" w:hint="eastAsia"/>
          <w:kern w:val="0"/>
          <w:sz w:val="24"/>
        </w:rPr>
        <w:t>投资有限公司总经理、党支部书记、董事、董事长，广州新中轴建设有限公司财务总监、董事长、法人代表，中国文化产业投资</w:t>
      </w:r>
      <w:proofErr w:type="gramStart"/>
      <w:r>
        <w:rPr>
          <w:rFonts w:asciiTheme="minorEastAsia" w:hAnsiTheme="minorEastAsia" w:cs="Arial" w:hint="eastAsia"/>
          <w:kern w:val="0"/>
          <w:sz w:val="24"/>
        </w:rPr>
        <w:t>母基金</w:t>
      </w:r>
      <w:proofErr w:type="gramEnd"/>
      <w:r>
        <w:rPr>
          <w:rFonts w:asciiTheme="minorEastAsia" w:hAnsiTheme="minorEastAsia" w:cs="Arial" w:hint="eastAsia"/>
          <w:kern w:val="0"/>
          <w:sz w:val="24"/>
        </w:rPr>
        <w:t>管理有限公司董事，广州城</w:t>
      </w:r>
      <w:proofErr w:type="gramStart"/>
      <w:r>
        <w:rPr>
          <w:rFonts w:asciiTheme="minorEastAsia" w:hAnsiTheme="minorEastAsia" w:cs="Arial" w:hint="eastAsia"/>
          <w:kern w:val="0"/>
          <w:sz w:val="24"/>
        </w:rPr>
        <w:t>恒</w:t>
      </w:r>
      <w:proofErr w:type="gramEnd"/>
      <w:r>
        <w:rPr>
          <w:rFonts w:asciiTheme="minorEastAsia" w:hAnsiTheme="minorEastAsia" w:cs="Arial" w:hint="eastAsia"/>
          <w:kern w:val="0"/>
          <w:sz w:val="24"/>
        </w:rPr>
        <w:t>城市更新投资有限公司董事长、法定代表人。现任广州产业投资基金管理有限公司党委书记、法定代表人、董事长，广州市城</w:t>
      </w:r>
      <w:proofErr w:type="gramStart"/>
      <w:r>
        <w:rPr>
          <w:rFonts w:asciiTheme="minorEastAsia" w:hAnsiTheme="minorEastAsia" w:cs="Arial" w:hint="eastAsia"/>
          <w:kern w:val="0"/>
          <w:sz w:val="24"/>
        </w:rPr>
        <w:t>投</w:t>
      </w:r>
      <w:proofErr w:type="gramEnd"/>
      <w:r>
        <w:rPr>
          <w:rFonts w:asciiTheme="minorEastAsia" w:hAnsiTheme="minorEastAsia" w:cs="Arial" w:hint="eastAsia"/>
          <w:kern w:val="0"/>
          <w:sz w:val="24"/>
        </w:rPr>
        <w:t>投资有限公司董事，广州汽车集团股份有限公司董事，富</w:t>
      </w:r>
      <w:proofErr w:type="gramStart"/>
      <w:r>
        <w:rPr>
          <w:rFonts w:asciiTheme="minorEastAsia" w:hAnsiTheme="minorEastAsia" w:cs="Arial" w:hint="eastAsia"/>
          <w:kern w:val="0"/>
          <w:sz w:val="24"/>
        </w:rPr>
        <w:t>荣基金</w:t>
      </w:r>
      <w:proofErr w:type="gramEnd"/>
      <w:r>
        <w:rPr>
          <w:rFonts w:asciiTheme="minorEastAsia" w:hAnsiTheme="minorEastAsia" w:cs="Arial" w:hint="eastAsia"/>
          <w:kern w:val="0"/>
          <w:sz w:val="24"/>
        </w:rPr>
        <w:t>管理有限公司董事长、法定代表人。</w:t>
      </w:r>
    </w:p>
    <w:p w14:paraId="43253014"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董事，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r>
        <w:rPr>
          <w:rFonts w:ascii="宋体" w:hAnsi="宋体" w:hint="eastAsia"/>
          <w:color w:val="000000"/>
          <w:kern w:val="0"/>
          <w:sz w:val="24"/>
        </w:rPr>
        <w:t>富</w:t>
      </w:r>
      <w:proofErr w:type="gramStart"/>
      <w:r>
        <w:rPr>
          <w:rFonts w:ascii="宋体" w:hAnsi="宋体" w:hint="eastAsia"/>
          <w:color w:val="000000"/>
          <w:kern w:val="0"/>
          <w:sz w:val="24"/>
        </w:rPr>
        <w:t>荣基金</w:t>
      </w:r>
      <w:proofErr w:type="gramEnd"/>
      <w:r>
        <w:rPr>
          <w:rFonts w:ascii="宋体" w:hAnsi="宋体" w:hint="eastAsia"/>
          <w:color w:val="000000"/>
          <w:kern w:val="0"/>
          <w:sz w:val="24"/>
        </w:rPr>
        <w:t>管理有限公司董事长。现任</w:t>
      </w:r>
      <w:r>
        <w:rPr>
          <w:rFonts w:ascii="宋体" w:eastAsia="宋体" w:hAnsi="宋体" w:cs="Arial" w:hint="eastAsia"/>
          <w:sz w:val="24"/>
          <w:szCs w:val="24"/>
          <w:lang w:bidi="ar"/>
        </w:rPr>
        <w:t>富</w:t>
      </w:r>
      <w:proofErr w:type="gramStart"/>
      <w:r>
        <w:rPr>
          <w:rFonts w:ascii="宋体" w:eastAsia="宋体" w:hAnsi="宋体" w:cs="Arial" w:hint="eastAsia"/>
          <w:sz w:val="24"/>
          <w:szCs w:val="24"/>
          <w:lang w:bidi="ar"/>
        </w:rPr>
        <w:t>荣基金</w:t>
      </w:r>
      <w:proofErr w:type="gramEnd"/>
      <w:r>
        <w:rPr>
          <w:rFonts w:ascii="宋体" w:eastAsia="宋体" w:hAnsi="宋体" w:cs="Arial" w:hint="eastAsia"/>
          <w:sz w:val="24"/>
          <w:szCs w:val="24"/>
          <w:lang w:bidi="ar"/>
        </w:rPr>
        <w:t>管理有限公司董事、总经理、首席信息官</w:t>
      </w:r>
      <w:r>
        <w:rPr>
          <w:rFonts w:asciiTheme="minorEastAsia" w:hAnsiTheme="minorEastAsia" w:cs="Arial" w:hint="eastAsia"/>
          <w:kern w:val="0"/>
          <w:sz w:val="24"/>
          <w:szCs w:val="24"/>
        </w:rPr>
        <w:t>。</w:t>
      </w:r>
    </w:p>
    <w:p w14:paraId="598AF18C" w14:textId="77777777" w:rsidR="007B7C2A" w:rsidRDefault="00072812">
      <w:pPr>
        <w:spacing w:line="360" w:lineRule="auto"/>
        <w:ind w:firstLineChars="200" w:firstLine="480"/>
        <w:rPr>
          <w:rFonts w:ascii="宋体" w:hAnsi="宋体" w:hint="eastAsia"/>
          <w:color w:val="000000"/>
          <w:kern w:val="0"/>
          <w:sz w:val="24"/>
        </w:rPr>
      </w:pPr>
      <w:r>
        <w:rPr>
          <w:rFonts w:ascii="宋体" w:eastAsia="宋体" w:hAnsi="宋体" w:cs="Arial" w:hint="eastAsia"/>
          <w:sz w:val="24"/>
          <w:szCs w:val="24"/>
          <w:lang w:bidi="ar"/>
        </w:rPr>
        <w:t>赵宏伟先生，董事，对外经济贸易大学硕士。曾任北京大成律师事务所律师、当代北方（北京）投资有限公司总裁、黑龙江北美工业大麻科技有限公司总裁、广州产业投资基金管理有限公司风险管理部总经理、法</w:t>
      </w:r>
      <w:proofErr w:type="gramStart"/>
      <w:r>
        <w:rPr>
          <w:rFonts w:ascii="宋体" w:eastAsia="宋体" w:hAnsi="宋体" w:cs="Arial" w:hint="eastAsia"/>
          <w:sz w:val="24"/>
          <w:szCs w:val="24"/>
          <w:lang w:bidi="ar"/>
        </w:rPr>
        <w:t>务风控部</w:t>
      </w:r>
      <w:proofErr w:type="gramEnd"/>
      <w:r>
        <w:rPr>
          <w:rFonts w:ascii="宋体" w:eastAsia="宋体" w:hAnsi="宋体" w:cs="Arial" w:hint="eastAsia"/>
          <w:sz w:val="24"/>
          <w:szCs w:val="24"/>
          <w:lang w:bidi="ar"/>
        </w:rPr>
        <w:t>总经理，广州基金国际股权投资基金管理有限公司党支部副书记、总经理，广州产业投资基金管理有限公司管理部总经理。</w:t>
      </w:r>
      <w:proofErr w:type="gramStart"/>
      <w:r>
        <w:rPr>
          <w:rFonts w:ascii="宋体" w:eastAsia="宋体" w:hAnsi="宋体" w:cs="Arial" w:hint="eastAsia"/>
          <w:sz w:val="24"/>
          <w:szCs w:val="24"/>
          <w:lang w:bidi="ar"/>
        </w:rPr>
        <w:t>现任穗甬控股</w:t>
      </w:r>
      <w:proofErr w:type="gramEnd"/>
      <w:r>
        <w:rPr>
          <w:rFonts w:ascii="宋体" w:eastAsia="宋体" w:hAnsi="宋体" w:cs="Arial" w:hint="eastAsia"/>
          <w:sz w:val="24"/>
          <w:szCs w:val="24"/>
          <w:lang w:bidi="ar"/>
        </w:rPr>
        <w:t>有限公司常务副总经理，富</w:t>
      </w:r>
      <w:proofErr w:type="gramStart"/>
      <w:r>
        <w:rPr>
          <w:rFonts w:ascii="宋体" w:eastAsia="宋体" w:hAnsi="宋体" w:cs="Arial" w:hint="eastAsia"/>
          <w:sz w:val="24"/>
          <w:szCs w:val="24"/>
          <w:lang w:bidi="ar"/>
        </w:rPr>
        <w:t>荣基金</w:t>
      </w:r>
      <w:proofErr w:type="gramEnd"/>
      <w:r>
        <w:rPr>
          <w:rFonts w:ascii="宋体" w:eastAsia="宋体" w:hAnsi="宋体" w:cs="Arial" w:hint="eastAsia"/>
          <w:sz w:val="24"/>
          <w:szCs w:val="24"/>
          <w:lang w:bidi="ar"/>
        </w:rPr>
        <w:t>管理有限公司董事。</w:t>
      </w:r>
    </w:p>
    <w:p w14:paraId="439D85A8" w14:textId="6FE6704C" w:rsidR="007B7C2A" w:rsidRDefault="00072812">
      <w:pPr>
        <w:adjustRightInd w:val="0"/>
        <w:snapToGrid w:val="0"/>
        <w:spacing w:line="360" w:lineRule="auto"/>
        <w:ind w:firstLineChars="200" w:firstLine="480"/>
        <w:rPr>
          <w:rFonts w:asciiTheme="minorEastAsia" w:hAnsiTheme="minorEastAsia" w:cs="Arial" w:hint="eastAsia"/>
          <w:kern w:val="0"/>
          <w:sz w:val="24"/>
        </w:rPr>
      </w:pPr>
      <w:r>
        <w:rPr>
          <w:rFonts w:asciiTheme="minorEastAsia" w:hAnsiTheme="minorEastAsia" w:cs="Arial" w:hint="eastAsia"/>
          <w:kern w:val="0"/>
          <w:sz w:val="24"/>
        </w:rPr>
        <w:t>郭涛先生，董事，上海交通大学高级管理人员工商管理专业硕士。现任</w:t>
      </w:r>
      <w:proofErr w:type="gramStart"/>
      <w:r>
        <w:rPr>
          <w:rFonts w:asciiTheme="minorEastAsia" w:hAnsiTheme="minorEastAsia" w:cs="Arial" w:hint="eastAsia"/>
          <w:kern w:val="0"/>
          <w:sz w:val="24"/>
        </w:rPr>
        <w:t>深圳市亿尔德</w:t>
      </w:r>
      <w:proofErr w:type="gramEnd"/>
      <w:r>
        <w:rPr>
          <w:rFonts w:asciiTheme="minorEastAsia" w:hAnsiTheme="minorEastAsia" w:cs="Arial" w:hint="eastAsia"/>
          <w:kern w:val="0"/>
          <w:sz w:val="24"/>
        </w:rPr>
        <w:t>投资有限公司总经理、执行董事；</w:t>
      </w:r>
      <w:proofErr w:type="gramStart"/>
      <w:r>
        <w:rPr>
          <w:rFonts w:asciiTheme="minorEastAsia" w:hAnsiTheme="minorEastAsia" w:cs="Arial" w:hint="eastAsia"/>
          <w:kern w:val="0"/>
          <w:sz w:val="24"/>
        </w:rPr>
        <w:t>微愿数智</w:t>
      </w:r>
      <w:proofErr w:type="gramEnd"/>
      <w:r>
        <w:rPr>
          <w:rFonts w:asciiTheme="minorEastAsia" w:hAnsiTheme="minorEastAsia" w:cs="Arial" w:hint="eastAsia"/>
          <w:kern w:val="0"/>
          <w:sz w:val="24"/>
        </w:rPr>
        <w:t>（深圳）健康科技有限公司总经理、执行董事；</w:t>
      </w:r>
      <w:proofErr w:type="gramStart"/>
      <w:r>
        <w:rPr>
          <w:rFonts w:asciiTheme="minorEastAsia" w:hAnsiTheme="minorEastAsia" w:cs="Arial" w:hint="eastAsia"/>
          <w:kern w:val="0"/>
          <w:sz w:val="24"/>
        </w:rPr>
        <w:t>深圳市盈投荣达</w:t>
      </w:r>
      <w:proofErr w:type="gramEnd"/>
      <w:r>
        <w:rPr>
          <w:rFonts w:asciiTheme="minorEastAsia" w:hAnsiTheme="minorEastAsia" w:cs="Arial" w:hint="eastAsia"/>
          <w:kern w:val="0"/>
          <w:sz w:val="24"/>
        </w:rPr>
        <w:t>科技有限公司董事长、总经理；深圳市嘉年印</w:t>
      </w:r>
      <w:proofErr w:type="gramStart"/>
      <w:r>
        <w:rPr>
          <w:rFonts w:asciiTheme="minorEastAsia" w:hAnsiTheme="minorEastAsia" w:cs="Arial" w:hint="eastAsia"/>
          <w:kern w:val="0"/>
          <w:sz w:val="24"/>
        </w:rPr>
        <w:t>务</w:t>
      </w:r>
      <w:proofErr w:type="gramEnd"/>
      <w:r>
        <w:rPr>
          <w:rFonts w:asciiTheme="minorEastAsia" w:hAnsiTheme="minorEastAsia" w:cs="Arial" w:hint="eastAsia"/>
          <w:kern w:val="0"/>
          <w:sz w:val="24"/>
        </w:rPr>
        <w:t>有限公司董事；深圳市盈实发展有限公司董事长；深圳市</w:t>
      </w:r>
      <w:proofErr w:type="gramStart"/>
      <w:r>
        <w:rPr>
          <w:rFonts w:asciiTheme="minorEastAsia" w:hAnsiTheme="minorEastAsia" w:cs="Arial" w:hint="eastAsia"/>
          <w:kern w:val="0"/>
          <w:sz w:val="24"/>
        </w:rPr>
        <w:t>盈致未来文创管理</w:t>
      </w:r>
      <w:proofErr w:type="gramEnd"/>
      <w:r>
        <w:rPr>
          <w:rFonts w:asciiTheme="minorEastAsia" w:hAnsiTheme="minorEastAsia" w:cs="Arial" w:hint="eastAsia"/>
          <w:kern w:val="0"/>
          <w:sz w:val="24"/>
        </w:rPr>
        <w:t>有限公司董事长；深圳市益德置业有限公司总经理、董事；</w:t>
      </w:r>
      <w:proofErr w:type="gramStart"/>
      <w:r>
        <w:rPr>
          <w:rFonts w:asciiTheme="minorEastAsia" w:hAnsiTheme="minorEastAsia" w:cs="Arial" w:hint="eastAsia"/>
          <w:kern w:val="0"/>
          <w:sz w:val="24"/>
        </w:rPr>
        <w:t>盈投科技</w:t>
      </w:r>
      <w:proofErr w:type="gramEnd"/>
      <w:r>
        <w:rPr>
          <w:rFonts w:asciiTheme="minorEastAsia" w:hAnsiTheme="minorEastAsia" w:cs="Arial" w:hint="eastAsia"/>
          <w:kern w:val="0"/>
          <w:sz w:val="24"/>
        </w:rPr>
        <w:t>控股集团有限公司总经理、董事；深圳市铭嘉达信息咨询有限公司董事；乐百氏（广东）饮用水有限公司董事；深圳安吉尔饮水产业集团有限公司董事；</w:t>
      </w:r>
      <w:proofErr w:type="gramStart"/>
      <w:r>
        <w:rPr>
          <w:rFonts w:asciiTheme="minorEastAsia" w:hAnsiTheme="minorEastAsia" w:cs="Arial" w:hint="eastAsia"/>
          <w:kern w:val="0"/>
          <w:sz w:val="24"/>
        </w:rPr>
        <w:t>昊</w:t>
      </w:r>
      <w:proofErr w:type="gramEnd"/>
      <w:r>
        <w:rPr>
          <w:rFonts w:asciiTheme="minorEastAsia" w:hAnsiTheme="minorEastAsia" w:cs="Arial" w:hint="eastAsia"/>
          <w:kern w:val="0"/>
          <w:sz w:val="24"/>
        </w:rPr>
        <w:t>华化工科技集团股份有限公司董事；深圳嘉年实业股份有限公司董事；深圳市</w:t>
      </w:r>
      <w:proofErr w:type="gramStart"/>
      <w:r>
        <w:rPr>
          <w:rFonts w:asciiTheme="minorEastAsia" w:hAnsiTheme="minorEastAsia" w:cs="Arial" w:hint="eastAsia"/>
          <w:kern w:val="0"/>
          <w:sz w:val="24"/>
        </w:rPr>
        <w:t>盈投发展</w:t>
      </w:r>
      <w:proofErr w:type="gramEnd"/>
      <w:r>
        <w:rPr>
          <w:rFonts w:asciiTheme="minorEastAsia" w:hAnsiTheme="minorEastAsia" w:cs="Arial" w:hint="eastAsia"/>
          <w:kern w:val="0"/>
          <w:sz w:val="24"/>
        </w:rPr>
        <w:t>有限公司董事；绍兴安吉尔环境科技有限公司董事；深圳市银珠塑料制品有限公司董事；深圳市润丰不动产运营服务有限公司董事；深圳乐百</w:t>
      </w:r>
      <w:proofErr w:type="gramStart"/>
      <w:r>
        <w:rPr>
          <w:rFonts w:asciiTheme="minorEastAsia" w:hAnsiTheme="minorEastAsia" w:cs="Arial" w:hint="eastAsia"/>
          <w:kern w:val="0"/>
          <w:sz w:val="24"/>
        </w:rPr>
        <w:t>氏健康</w:t>
      </w:r>
      <w:proofErr w:type="gramEnd"/>
      <w:r>
        <w:rPr>
          <w:rFonts w:asciiTheme="minorEastAsia" w:hAnsiTheme="minorEastAsia" w:cs="Arial" w:hint="eastAsia"/>
          <w:kern w:val="0"/>
          <w:sz w:val="24"/>
        </w:rPr>
        <w:t>饮品集团有限责任公司董事；深圳市安吉尔饮水事业发展有限公司董事；深圳市益景德实业有限公司董事；乐百氏（成都）饮用水有限公司董事；乐百氏（广东）饮品有限公司董事；乐百氏（沈阳）饮品有限公司董事；深圳市乐百氏实业发展有限公司董事；乐百氏（广州）健康科技有限公司董事；深圳市</w:t>
      </w:r>
      <w:proofErr w:type="gramStart"/>
      <w:r>
        <w:rPr>
          <w:rFonts w:asciiTheme="minorEastAsia" w:hAnsiTheme="minorEastAsia" w:cs="Arial" w:hint="eastAsia"/>
          <w:kern w:val="0"/>
          <w:sz w:val="24"/>
        </w:rPr>
        <w:t>久猪电子</w:t>
      </w:r>
      <w:proofErr w:type="gramEnd"/>
      <w:r>
        <w:rPr>
          <w:rFonts w:asciiTheme="minorEastAsia" w:hAnsiTheme="minorEastAsia" w:cs="Arial" w:hint="eastAsia"/>
          <w:kern w:val="0"/>
          <w:sz w:val="24"/>
        </w:rPr>
        <w:t>有限公司监事；乐百氏（广东）桶装水发展有限公司董事；富</w:t>
      </w:r>
      <w:proofErr w:type="gramStart"/>
      <w:r>
        <w:rPr>
          <w:rFonts w:asciiTheme="minorEastAsia" w:hAnsiTheme="minorEastAsia" w:cs="Arial" w:hint="eastAsia"/>
          <w:kern w:val="0"/>
          <w:sz w:val="24"/>
        </w:rPr>
        <w:t>荣基金</w:t>
      </w:r>
      <w:proofErr w:type="gramEnd"/>
      <w:r>
        <w:rPr>
          <w:rFonts w:asciiTheme="minorEastAsia" w:hAnsiTheme="minorEastAsia" w:cs="Arial" w:hint="eastAsia"/>
          <w:kern w:val="0"/>
          <w:sz w:val="24"/>
        </w:rPr>
        <w:t>管理有限公司董事。</w:t>
      </w:r>
    </w:p>
    <w:p w14:paraId="3AF189FA"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rPr>
        <w:t>余</w:t>
      </w:r>
      <w:proofErr w:type="gramStart"/>
      <w:r>
        <w:rPr>
          <w:rFonts w:asciiTheme="minorEastAsia" w:hAnsiTheme="minorEastAsia" w:cs="Arial" w:hint="eastAsia"/>
          <w:kern w:val="0"/>
          <w:sz w:val="24"/>
        </w:rPr>
        <w:t>关健</w:t>
      </w:r>
      <w:proofErr w:type="gramEnd"/>
      <w:r>
        <w:rPr>
          <w:rFonts w:asciiTheme="minorEastAsia" w:hAnsiTheme="minorEastAsia" w:cs="Arial" w:hint="eastAsia"/>
          <w:kern w:val="0"/>
          <w:sz w:val="24"/>
        </w:rPr>
        <w:t>先生，独立董事，西南财经大学工业经济硕士研究生。</w:t>
      </w:r>
      <w:r>
        <w:rPr>
          <w:rFonts w:asciiTheme="minorEastAsia" w:hAnsiTheme="minorEastAsia" w:cs="Arial" w:hint="eastAsia"/>
          <w:kern w:val="0"/>
          <w:sz w:val="24"/>
          <w:szCs w:val="24"/>
        </w:rPr>
        <w:t>曾任中国银行深圳分行信贷处处长、中国银行深圳分行风险管理处处长、深圳赛格、深圳特发集团董事、</w:t>
      </w:r>
      <w:proofErr w:type="gramStart"/>
      <w:r>
        <w:rPr>
          <w:rFonts w:asciiTheme="minorEastAsia" w:hAnsiTheme="minorEastAsia" w:cs="Arial" w:hint="eastAsia"/>
          <w:kern w:val="0"/>
          <w:sz w:val="24"/>
          <w:szCs w:val="24"/>
        </w:rPr>
        <w:t>邦</w:t>
      </w:r>
      <w:proofErr w:type="gramEnd"/>
      <w:r>
        <w:rPr>
          <w:rFonts w:asciiTheme="minorEastAsia" w:hAnsiTheme="minorEastAsia" w:cs="Arial" w:hint="eastAsia"/>
          <w:kern w:val="0"/>
          <w:sz w:val="24"/>
          <w:szCs w:val="24"/>
        </w:rPr>
        <w:t>信资产管理公司董事总经理、对外贸易集团股份有限公司董事长、中国东方资产管理股份有限公司广东省分公司总经理、大业信托有限责任公司董事、沈阳公用发展股份有限公司董事、申科滑动轴承股份有限公司董事、东银实业（深圳）有限公司董事、金田实业（集团）股份有限公司独立董事。现任富</w:t>
      </w:r>
      <w:proofErr w:type="gramStart"/>
      <w:r>
        <w:rPr>
          <w:rFonts w:asciiTheme="minorEastAsia" w:hAnsiTheme="minorEastAsia" w:cs="Arial" w:hint="eastAsia"/>
          <w:kern w:val="0"/>
          <w:sz w:val="24"/>
          <w:szCs w:val="24"/>
        </w:rPr>
        <w:t>荣基金</w:t>
      </w:r>
      <w:proofErr w:type="gramEnd"/>
      <w:r>
        <w:rPr>
          <w:rFonts w:asciiTheme="minorEastAsia" w:hAnsiTheme="minorEastAsia" w:cs="Arial" w:hint="eastAsia"/>
          <w:kern w:val="0"/>
          <w:sz w:val="24"/>
          <w:szCs w:val="24"/>
        </w:rPr>
        <w:t>管理有限公司独立董事。</w:t>
      </w:r>
    </w:p>
    <w:p w14:paraId="2857873D" w14:textId="766F1468" w:rsidR="007B7C2A" w:rsidRDefault="00072812">
      <w:pPr>
        <w:adjustRightInd w:val="0"/>
        <w:snapToGrid w:val="0"/>
        <w:spacing w:line="360" w:lineRule="auto"/>
        <w:ind w:firstLineChars="200" w:firstLine="480"/>
        <w:rPr>
          <w:rFonts w:ascii="宋体" w:eastAsia="宋体" w:hAnsi="宋体" w:cs="Arial" w:hint="eastAsia"/>
          <w:kern w:val="0"/>
          <w:sz w:val="24"/>
          <w:szCs w:val="24"/>
          <w:lang w:bidi="ar"/>
        </w:rPr>
      </w:pPr>
      <w:r>
        <w:rPr>
          <w:rFonts w:ascii="宋体" w:eastAsia="宋体" w:hAnsi="宋体" w:cs="Arial" w:hint="eastAsia"/>
          <w:kern w:val="0"/>
          <w:sz w:val="24"/>
          <w:szCs w:val="24"/>
          <w:lang w:bidi="ar"/>
        </w:rPr>
        <w:t>刘宝瑞先生，独立董事，历任中国人民银行宝坻支行会计、中国农业银行天津分行人力资源部副处长、中国农业银行天津分行国际业务部副总经理、总经理，中国农业银行天津分行资金计划处处长、深圳发展银行总行行长助理、副行长、党委委员，中国金融国际投资有限公司执行董事，湖南银行独立董事，深圳青石资本管理有限公司法定代表人、执行董事、总经理，天津银行监事。现任深圳</w:t>
      </w:r>
      <w:proofErr w:type="gramStart"/>
      <w:r>
        <w:rPr>
          <w:rFonts w:ascii="宋体" w:eastAsia="宋体" w:hAnsi="宋体" w:cs="Arial" w:hint="eastAsia"/>
          <w:kern w:val="0"/>
          <w:sz w:val="24"/>
          <w:szCs w:val="24"/>
          <w:lang w:bidi="ar"/>
        </w:rPr>
        <w:t>冠领融科服务</w:t>
      </w:r>
      <w:proofErr w:type="gramEnd"/>
      <w:r>
        <w:rPr>
          <w:rFonts w:ascii="宋体" w:eastAsia="宋体" w:hAnsi="宋体" w:cs="Arial" w:hint="eastAsia"/>
          <w:kern w:val="0"/>
          <w:sz w:val="24"/>
          <w:szCs w:val="24"/>
          <w:lang w:bidi="ar"/>
        </w:rPr>
        <w:t>有限公司董事，华兴银行独立董事、深圳和</w:t>
      </w:r>
      <w:proofErr w:type="gramStart"/>
      <w:r>
        <w:rPr>
          <w:rFonts w:ascii="宋体" w:eastAsia="宋体" w:hAnsi="宋体" w:cs="Arial" w:hint="eastAsia"/>
          <w:kern w:val="0"/>
          <w:sz w:val="24"/>
          <w:szCs w:val="24"/>
          <w:lang w:bidi="ar"/>
        </w:rPr>
        <w:t>石资本</w:t>
      </w:r>
      <w:proofErr w:type="gramEnd"/>
      <w:r>
        <w:rPr>
          <w:rFonts w:ascii="宋体" w:eastAsia="宋体" w:hAnsi="宋体" w:cs="Arial" w:hint="eastAsia"/>
          <w:kern w:val="0"/>
          <w:sz w:val="24"/>
          <w:szCs w:val="24"/>
          <w:lang w:bidi="ar"/>
        </w:rPr>
        <w:t>管理有限责任公司法定代表人、董事、经理，深圳泰和瑞</w:t>
      </w:r>
      <w:proofErr w:type="gramStart"/>
      <w:r>
        <w:rPr>
          <w:rFonts w:ascii="宋体" w:eastAsia="宋体" w:hAnsi="宋体" w:cs="Arial" w:hint="eastAsia"/>
          <w:kern w:val="0"/>
          <w:sz w:val="24"/>
          <w:szCs w:val="24"/>
          <w:lang w:bidi="ar"/>
        </w:rPr>
        <w:t>银金融</w:t>
      </w:r>
      <w:proofErr w:type="gramEnd"/>
      <w:r>
        <w:rPr>
          <w:rFonts w:ascii="宋体" w:eastAsia="宋体" w:hAnsi="宋体" w:cs="Arial" w:hint="eastAsia"/>
          <w:kern w:val="0"/>
          <w:sz w:val="24"/>
          <w:szCs w:val="24"/>
          <w:lang w:bidi="ar"/>
        </w:rPr>
        <w:t>配套服务合伙企业（有限合伙）执行事务合伙人、北京</w:t>
      </w:r>
      <w:proofErr w:type="gramStart"/>
      <w:r>
        <w:rPr>
          <w:rFonts w:ascii="宋体" w:eastAsia="宋体" w:hAnsi="宋体" w:cs="Arial" w:hint="eastAsia"/>
          <w:kern w:val="0"/>
          <w:sz w:val="24"/>
          <w:szCs w:val="24"/>
          <w:lang w:bidi="ar"/>
        </w:rPr>
        <w:t>雍</w:t>
      </w:r>
      <w:proofErr w:type="gramEnd"/>
      <w:r>
        <w:rPr>
          <w:rFonts w:ascii="宋体" w:eastAsia="宋体" w:hAnsi="宋体" w:cs="Arial" w:hint="eastAsia"/>
          <w:kern w:val="0"/>
          <w:sz w:val="24"/>
          <w:szCs w:val="24"/>
          <w:lang w:bidi="ar"/>
        </w:rPr>
        <w:t>和瑞泰管理顾问有限公司法定代表人、执行董事、经理、财务负责人，深圳</w:t>
      </w:r>
      <w:proofErr w:type="gramStart"/>
      <w:r>
        <w:rPr>
          <w:rFonts w:ascii="宋体" w:eastAsia="宋体" w:hAnsi="宋体" w:cs="Arial" w:hint="eastAsia"/>
          <w:kern w:val="0"/>
          <w:sz w:val="24"/>
          <w:szCs w:val="24"/>
          <w:lang w:bidi="ar"/>
        </w:rPr>
        <w:t>雍</w:t>
      </w:r>
      <w:proofErr w:type="gramEnd"/>
      <w:r>
        <w:rPr>
          <w:rFonts w:ascii="宋体" w:eastAsia="宋体" w:hAnsi="宋体" w:cs="Arial" w:hint="eastAsia"/>
          <w:kern w:val="0"/>
          <w:sz w:val="24"/>
          <w:szCs w:val="24"/>
          <w:lang w:bidi="ar"/>
        </w:rPr>
        <w:t>和</w:t>
      </w:r>
      <w:proofErr w:type="gramStart"/>
      <w:r>
        <w:rPr>
          <w:rFonts w:ascii="宋体" w:eastAsia="宋体" w:hAnsi="宋体" w:cs="Arial" w:hint="eastAsia"/>
          <w:kern w:val="0"/>
          <w:sz w:val="24"/>
          <w:szCs w:val="24"/>
          <w:lang w:bidi="ar"/>
        </w:rPr>
        <w:t>瑞银</w:t>
      </w:r>
      <w:proofErr w:type="gramEnd"/>
      <w:r>
        <w:rPr>
          <w:rFonts w:ascii="宋体" w:eastAsia="宋体" w:hAnsi="宋体" w:cs="Arial" w:hint="eastAsia"/>
          <w:kern w:val="0"/>
          <w:sz w:val="24"/>
          <w:szCs w:val="24"/>
          <w:lang w:bidi="ar"/>
        </w:rPr>
        <w:t>投资管理有限公司法定代表人、董事、经理，富</w:t>
      </w:r>
      <w:proofErr w:type="gramStart"/>
      <w:r>
        <w:rPr>
          <w:rFonts w:ascii="宋体" w:eastAsia="宋体" w:hAnsi="宋体" w:cs="Arial" w:hint="eastAsia"/>
          <w:kern w:val="0"/>
          <w:sz w:val="24"/>
          <w:szCs w:val="24"/>
          <w:lang w:bidi="ar"/>
        </w:rPr>
        <w:t>荣基金</w:t>
      </w:r>
      <w:proofErr w:type="gramEnd"/>
      <w:r>
        <w:rPr>
          <w:rFonts w:ascii="宋体" w:eastAsia="宋体" w:hAnsi="宋体" w:cs="Arial" w:hint="eastAsia"/>
          <w:kern w:val="0"/>
          <w:sz w:val="24"/>
          <w:szCs w:val="24"/>
          <w:lang w:bidi="ar"/>
        </w:rPr>
        <w:t>管理有限公司独立董事。</w:t>
      </w:r>
    </w:p>
    <w:p w14:paraId="359CF1DF" w14:textId="77777777" w:rsidR="007B7C2A" w:rsidRDefault="00072812">
      <w:pPr>
        <w:adjustRightInd w:val="0"/>
        <w:snapToGrid w:val="0"/>
        <w:spacing w:line="360" w:lineRule="auto"/>
        <w:ind w:firstLineChars="200" w:firstLine="480"/>
        <w:rPr>
          <w:rFonts w:ascii="宋体" w:eastAsia="宋体" w:hAnsi="宋体" w:cs="Arial" w:hint="eastAsia"/>
          <w:kern w:val="0"/>
          <w:sz w:val="24"/>
          <w:szCs w:val="24"/>
          <w:lang w:bidi="ar"/>
        </w:rPr>
      </w:pPr>
      <w:r>
        <w:rPr>
          <w:rFonts w:ascii="宋体" w:eastAsia="宋体" w:hAnsi="宋体" w:cs="Arial" w:hint="eastAsia"/>
          <w:kern w:val="0"/>
          <w:sz w:val="24"/>
          <w:szCs w:val="24"/>
          <w:lang w:bidi="ar"/>
        </w:rPr>
        <w:t>张刚先生，独立董事，内蒙古大学民</w:t>
      </w:r>
      <w:proofErr w:type="gramStart"/>
      <w:r>
        <w:rPr>
          <w:rFonts w:ascii="宋体" w:eastAsia="宋体" w:hAnsi="宋体" w:cs="Arial" w:hint="eastAsia"/>
          <w:kern w:val="0"/>
          <w:sz w:val="24"/>
          <w:szCs w:val="24"/>
          <w:lang w:bidi="ar"/>
        </w:rPr>
        <w:t>商法学</w:t>
      </w:r>
      <w:proofErr w:type="gramEnd"/>
      <w:r>
        <w:rPr>
          <w:rFonts w:ascii="宋体" w:eastAsia="宋体" w:hAnsi="宋体" w:cs="Arial" w:hint="eastAsia"/>
          <w:kern w:val="0"/>
          <w:sz w:val="24"/>
          <w:szCs w:val="24"/>
          <w:lang w:bidi="ar"/>
        </w:rPr>
        <w:t>硕士研究生。曾任内蒙古大学教师、北京王玉梅律师事务所律师、北京建元律师事务所合伙人、宁夏中银绒业股份有限公司独立董事。现任北京大成律师事务所高级合伙人、富荣基金管理有限公司独立董事。</w:t>
      </w:r>
    </w:p>
    <w:p w14:paraId="60F7C689"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2</w:t>
      </w:r>
      <w:r>
        <w:rPr>
          <w:rFonts w:asciiTheme="minorEastAsia" w:hAnsiTheme="minorEastAsia" w:cs="Arial" w:hint="eastAsia"/>
          <w:kern w:val="0"/>
          <w:sz w:val="24"/>
          <w:szCs w:val="24"/>
        </w:rPr>
        <w:t>、监事会成员</w:t>
      </w:r>
    </w:p>
    <w:p w14:paraId="1C885D66" w14:textId="1F11DA42"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基金管理人不设监事会，设一名职工监事。</w:t>
      </w:r>
    </w:p>
    <w:p w14:paraId="13A1563E"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魏丽红女士，职工监事，大专。现任富荣基金管理有限公司职工监事。</w:t>
      </w:r>
    </w:p>
    <w:p w14:paraId="2F764EF5"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3</w:t>
      </w:r>
      <w:r>
        <w:rPr>
          <w:rFonts w:asciiTheme="minorEastAsia" w:hAnsiTheme="minorEastAsia" w:cs="Arial" w:hint="eastAsia"/>
          <w:kern w:val="0"/>
          <w:sz w:val="24"/>
          <w:szCs w:val="24"/>
        </w:rPr>
        <w:t>、高级管理人员</w:t>
      </w:r>
    </w:p>
    <w:p w14:paraId="6F6FBB4E"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总经理，兼任首席信息官，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富荣基金管理有限公司董事长。现任富荣基金管理有限公司董事、总经理、首席信息官。</w:t>
      </w:r>
    </w:p>
    <w:p w14:paraId="2C719B0B"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史克新先生，副总经理，中欧国际工商学院高级管理人员工商管理硕士。历任珠海会计师事务所注册会计师，君安证券有限公司审计师，北大方正投资有限公司副总经理，兴安证券东莞营业部总经理，深圳丽晶生物技术有限公司董事长，金元证券股份有限公司副监事长、审计部总经理，金元顺</w:t>
      </w:r>
      <w:proofErr w:type="gramStart"/>
      <w:r>
        <w:rPr>
          <w:rFonts w:asciiTheme="minorEastAsia" w:hAnsiTheme="minorEastAsia" w:cs="Arial" w:hint="eastAsia"/>
          <w:kern w:val="0"/>
          <w:sz w:val="24"/>
          <w:szCs w:val="24"/>
        </w:rPr>
        <w:t>安基金</w:t>
      </w:r>
      <w:proofErr w:type="gramEnd"/>
      <w:r>
        <w:rPr>
          <w:rFonts w:asciiTheme="minorEastAsia" w:hAnsiTheme="minorEastAsia" w:cs="Arial" w:hint="eastAsia"/>
          <w:kern w:val="0"/>
          <w:sz w:val="24"/>
          <w:szCs w:val="24"/>
        </w:rPr>
        <w:t>管理有限公司董事，金元证券股份有限公司经纪管理总部总经理，金元证券股份有限公司深圳分公司总经理，金元证券股份有限公司互联网创新专项办公室总经理等。现任富荣基金管理有限公司副总经理，兼任深圳分公司总经理。</w:t>
      </w:r>
    </w:p>
    <w:p w14:paraId="1D55CAA4"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邱张斌先生，督察长，西安交通大学工商管理硕士。历任深圳中天会计师事务所审计员，安永会计师事务所审计经理，银华基金管理有限公司监察稽核主管，大成基金管理有限公司监察稽核部执行总监，大成创新资本管理有限公司副总经理兼监察稽核与风险管理部总监，前海联合基金管理有限公司督察长，中天国富证券有限公司总裁助理兼法律合</w:t>
      </w:r>
      <w:proofErr w:type="gramStart"/>
      <w:r>
        <w:rPr>
          <w:rFonts w:asciiTheme="minorEastAsia" w:hAnsiTheme="minorEastAsia" w:cs="Arial" w:hint="eastAsia"/>
          <w:kern w:val="0"/>
          <w:sz w:val="24"/>
          <w:szCs w:val="24"/>
        </w:rPr>
        <w:t>规</w:t>
      </w:r>
      <w:proofErr w:type="gramEnd"/>
      <w:r>
        <w:rPr>
          <w:rFonts w:asciiTheme="minorEastAsia" w:hAnsiTheme="minorEastAsia" w:cs="Arial" w:hint="eastAsia"/>
          <w:kern w:val="0"/>
          <w:sz w:val="24"/>
          <w:szCs w:val="24"/>
        </w:rPr>
        <w:t>部总经理。现任富荣基金管理有限公司督察长。</w:t>
      </w:r>
    </w:p>
    <w:p w14:paraId="7F4BC0A7"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郑宇光先生，总经理助理，上海交通大学工商管理硕士。历任平安资产管理有限责任公司交易部</w:t>
      </w:r>
      <w:r>
        <w:rPr>
          <w:rFonts w:asciiTheme="minorEastAsia" w:hAnsiTheme="minorEastAsia" w:cs="Arial" w:hint="eastAsia"/>
          <w:kern w:val="0"/>
          <w:sz w:val="24"/>
          <w:szCs w:val="24"/>
        </w:rPr>
        <w:t>/</w:t>
      </w:r>
      <w:r>
        <w:rPr>
          <w:rFonts w:asciiTheme="minorEastAsia" w:hAnsiTheme="minorEastAsia" w:cs="Arial" w:hint="eastAsia"/>
          <w:kern w:val="0"/>
          <w:sz w:val="24"/>
          <w:szCs w:val="24"/>
        </w:rPr>
        <w:t>投资管理部经理，太平资产管理有限责任公司固定收益部投资经理，上投摩根基金管理有限公司专户管理部投资经理，中</w:t>
      </w:r>
      <w:proofErr w:type="gramStart"/>
      <w:r>
        <w:rPr>
          <w:rFonts w:asciiTheme="minorEastAsia" w:hAnsiTheme="minorEastAsia" w:cs="Arial" w:hint="eastAsia"/>
          <w:kern w:val="0"/>
          <w:sz w:val="24"/>
          <w:szCs w:val="24"/>
        </w:rPr>
        <w:t>信保诚基金</w:t>
      </w:r>
      <w:proofErr w:type="gramEnd"/>
      <w:r>
        <w:rPr>
          <w:rFonts w:asciiTheme="minorEastAsia" w:hAnsiTheme="minorEastAsia" w:cs="Arial" w:hint="eastAsia"/>
          <w:kern w:val="0"/>
          <w:sz w:val="24"/>
          <w:szCs w:val="24"/>
        </w:rPr>
        <w:t>管理有限公司固定收益部投资经理、总监助理，长江证券资产管理有限责任公司投资经理，上海勤远投资管理中心（有限合伙）量化研究总监基金经理，</w:t>
      </w:r>
      <w:proofErr w:type="gramStart"/>
      <w:r>
        <w:rPr>
          <w:rFonts w:asciiTheme="minorEastAsia" w:hAnsiTheme="minorEastAsia" w:cs="Arial" w:hint="eastAsia"/>
          <w:kern w:val="0"/>
          <w:sz w:val="24"/>
          <w:szCs w:val="24"/>
        </w:rPr>
        <w:t>泰信基金</w:t>
      </w:r>
      <w:proofErr w:type="gramEnd"/>
      <w:r>
        <w:rPr>
          <w:rFonts w:asciiTheme="minorEastAsia" w:hAnsiTheme="minorEastAsia" w:cs="Arial" w:hint="eastAsia"/>
          <w:kern w:val="0"/>
          <w:sz w:val="24"/>
          <w:szCs w:val="24"/>
        </w:rPr>
        <w:t>管理有限公司专户投资部副总监，</w:t>
      </w:r>
      <w:proofErr w:type="gramStart"/>
      <w:r>
        <w:rPr>
          <w:rFonts w:asciiTheme="minorEastAsia" w:hAnsiTheme="minorEastAsia" w:cs="Arial" w:hint="eastAsia"/>
          <w:kern w:val="0"/>
          <w:sz w:val="24"/>
          <w:szCs w:val="24"/>
        </w:rPr>
        <w:t>固收投资部基金</w:t>
      </w:r>
      <w:proofErr w:type="gramEnd"/>
      <w:r>
        <w:rPr>
          <w:rFonts w:asciiTheme="minorEastAsia" w:hAnsiTheme="minorEastAsia" w:cs="Arial" w:hint="eastAsia"/>
          <w:kern w:val="0"/>
          <w:sz w:val="24"/>
          <w:szCs w:val="24"/>
        </w:rPr>
        <w:t>经理、总监。现任富荣基金管理有限公司总经理助理。</w:t>
      </w:r>
    </w:p>
    <w:p w14:paraId="7EF4230D"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赵睿杨女士，总经理助理，对外经济贸易大学会计学硕士研究生。历任合生创展集团有限公司集团财务与投资中心上市核算管理师、投资分析副经理，</w:t>
      </w:r>
      <w:proofErr w:type="gramStart"/>
      <w:r>
        <w:rPr>
          <w:rFonts w:asciiTheme="minorEastAsia" w:hAnsiTheme="minorEastAsia" w:cs="Arial" w:hint="eastAsia"/>
          <w:kern w:val="0"/>
          <w:sz w:val="24"/>
          <w:szCs w:val="24"/>
        </w:rPr>
        <w:t>慧富恒</w:t>
      </w:r>
      <w:proofErr w:type="gramEnd"/>
      <w:r>
        <w:rPr>
          <w:rFonts w:asciiTheme="minorEastAsia" w:hAnsiTheme="minorEastAsia" w:cs="Arial" w:hint="eastAsia"/>
          <w:kern w:val="0"/>
          <w:sz w:val="24"/>
          <w:szCs w:val="24"/>
        </w:rPr>
        <w:t>泰（北京）基金管理有限公司投融资一部总经理，北信瑞丰基金管理有限公司市场部高级经理、市场部总监助理、渠道部副总监、渠道部总监、专</w:t>
      </w:r>
      <w:proofErr w:type="gramStart"/>
      <w:r>
        <w:rPr>
          <w:rFonts w:asciiTheme="minorEastAsia" w:hAnsiTheme="minorEastAsia" w:cs="Arial" w:hint="eastAsia"/>
          <w:kern w:val="0"/>
          <w:sz w:val="24"/>
          <w:szCs w:val="24"/>
        </w:rPr>
        <w:t>户机构</w:t>
      </w:r>
      <w:proofErr w:type="gramEnd"/>
      <w:r>
        <w:rPr>
          <w:rFonts w:asciiTheme="minorEastAsia" w:hAnsiTheme="minorEastAsia" w:cs="Arial" w:hint="eastAsia"/>
          <w:kern w:val="0"/>
          <w:sz w:val="24"/>
          <w:szCs w:val="24"/>
        </w:rPr>
        <w:t>部总监、市场总监、公司总经理助理。现任富荣基金管理有限公司总经理助理，兼任北京分公司总经理。</w:t>
      </w:r>
    </w:p>
    <w:p w14:paraId="76F1A055"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4</w:t>
      </w:r>
      <w:r>
        <w:rPr>
          <w:rFonts w:asciiTheme="minorEastAsia" w:hAnsiTheme="minorEastAsia" w:cs="Arial" w:hint="eastAsia"/>
          <w:kern w:val="0"/>
          <w:sz w:val="24"/>
          <w:szCs w:val="24"/>
        </w:rPr>
        <w:t>、本</w:t>
      </w:r>
      <w:proofErr w:type="gramStart"/>
      <w:r>
        <w:rPr>
          <w:rFonts w:asciiTheme="minorEastAsia" w:hAnsiTheme="minorEastAsia" w:cs="Arial" w:hint="eastAsia"/>
          <w:kern w:val="0"/>
          <w:sz w:val="24"/>
          <w:szCs w:val="24"/>
        </w:rPr>
        <w:t>基金基金</w:t>
      </w:r>
      <w:proofErr w:type="gramEnd"/>
      <w:r>
        <w:rPr>
          <w:rFonts w:asciiTheme="minorEastAsia" w:hAnsiTheme="minorEastAsia" w:cs="Arial" w:hint="eastAsia"/>
          <w:kern w:val="0"/>
          <w:sz w:val="24"/>
          <w:szCs w:val="24"/>
        </w:rPr>
        <w:t>经理</w:t>
      </w:r>
    </w:p>
    <w:p w14:paraId="47996F61"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王梓先生，克</w:t>
      </w:r>
      <w:proofErr w:type="gramStart"/>
      <w:r>
        <w:rPr>
          <w:rFonts w:asciiTheme="minorEastAsia" w:hAnsiTheme="minorEastAsia" w:cs="Arial" w:hint="eastAsia"/>
          <w:kern w:val="0"/>
          <w:sz w:val="24"/>
          <w:szCs w:val="24"/>
        </w:rPr>
        <w:t>莱</w:t>
      </w:r>
      <w:proofErr w:type="gramEnd"/>
      <w:r>
        <w:rPr>
          <w:rFonts w:asciiTheme="minorEastAsia" w:hAnsiTheme="minorEastAsia" w:cs="Arial" w:hint="eastAsia"/>
          <w:kern w:val="0"/>
          <w:sz w:val="24"/>
          <w:szCs w:val="24"/>
        </w:rPr>
        <w:t>蒙研究生大学金融工程硕士，</w:t>
      </w:r>
      <w:r>
        <w:rPr>
          <w:rFonts w:asciiTheme="minorEastAsia" w:hAnsiTheme="minorEastAsia" w:hint="eastAsia"/>
          <w:sz w:val="24"/>
          <w:szCs w:val="24"/>
        </w:rPr>
        <w:t>2020</w:t>
      </w:r>
      <w:r>
        <w:rPr>
          <w:rFonts w:asciiTheme="minorEastAsia" w:hAnsiTheme="minorEastAsia" w:hint="eastAsia"/>
          <w:sz w:val="24"/>
          <w:szCs w:val="24"/>
        </w:rPr>
        <w:t>年加入富</w:t>
      </w:r>
      <w:proofErr w:type="gramStart"/>
      <w:r>
        <w:rPr>
          <w:rFonts w:asciiTheme="minorEastAsia" w:hAnsiTheme="minorEastAsia" w:hint="eastAsia"/>
          <w:sz w:val="24"/>
          <w:szCs w:val="24"/>
        </w:rPr>
        <w:t>荣基金</w:t>
      </w:r>
      <w:proofErr w:type="gramEnd"/>
      <w:r>
        <w:rPr>
          <w:rFonts w:asciiTheme="minorEastAsia" w:hAnsiTheme="minorEastAsia" w:hint="eastAsia"/>
          <w:sz w:val="24"/>
          <w:szCs w:val="24"/>
        </w:rPr>
        <w:t>管理有限公司，担任研究部研究员，先后负责量化、周期及新材料等领域研究工作，现任</w:t>
      </w:r>
      <w:r>
        <w:rPr>
          <w:rFonts w:asciiTheme="minorEastAsia" w:hAnsiTheme="minorEastAsia" w:cs="Arial" w:hint="eastAsia"/>
          <w:kern w:val="0"/>
          <w:sz w:val="24"/>
          <w:szCs w:val="24"/>
        </w:rPr>
        <w:t>富荣福鑫灵活配置混合型证券投资</w:t>
      </w:r>
      <w:proofErr w:type="gramStart"/>
      <w:r>
        <w:rPr>
          <w:rFonts w:asciiTheme="minorEastAsia" w:hAnsiTheme="minorEastAsia" w:cs="Arial" w:hint="eastAsia"/>
          <w:kern w:val="0"/>
          <w:sz w:val="24"/>
          <w:szCs w:val="24"/>
        </w:rPr>
        <w:t>基金</w:t>
      </w:r>
      <w:r>
        <w:rPr>
          <w:rFonts w:asciiTheme="minorEastAsia" w:hAnsiTheme="minorEastAsia" w:hint="eastAsia"/>
          <w:sz w:val="24"/>
          <w:szCs w:val="24"/>
        </w:rPr>
        <w:t>基金</w:t>
      </w:r>
      <w:proofErr w:type="gramEnd"/>
      <w:r>
        <w:rPr>
          <w:rFonts w:asciiTheme="minorEastAsia" w:hAnsiTheme="minorEastAsia" w:hint="eastAsia"/>
          <w:sz w:val="24"/>
          <w:szCs w:val="24"/>
        </w:rPr>
        <w:t>经理（自</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9</w:t>
      </w:r>
      <w:r>
        <w:rPr>
          <w:rFonts w:asciiTheme="minorEastAsia" w:hAnsiTheme="minorEastAsia" w:hint="eastAsia"/>
          <w:sz w:val="24"/>
          <w:szCs w:val="24"/>
        </w:rPr>
        <w:t>月</w:t>
      </w:r>
      <w:r>
        <w:rPr>
          <w:rFonts w:asciiTheme="minorEastAsia" w:hAnsiTheme="minorEastAsia" w:hint="eastAsia"/>
          <w:sz w:val="24"/>
          <w:szCs w:val="24"/>
        </w:rPr>
        <w:t>26</w:t>
      </w:r>
      <w:r>
        <w:rPr>
          <w:rFonts w:asciiTheme="minorEastAsia" w:hAnsiTheme="minorEastAsia" w:hint="eastAsia"/>
          <w:sz w:val="24"/>
          <w:szCs w:val="24"/>
        </w:rPr>
        <w:t>日起任职）。</w:t>
      </w:r>
    </w:p>
    <w:p w14:paraId="681EE509" w14:textId="43D13E96" w:rsidR="007B7C2A" w:rsidRDefault="00072812">
      <w:pPr>
        <w:adjustRightInd w:val="0"/>
        <w:snapToGrid w:val="0"/>
        <w:spacing w:line="360" w:lineRule="auto"/>
        <w:ind w:firstLineChars="200" w:firstLine="480"/>
        <w:rPr>
          <w:rFonts w:asciiTheme="minorEastAsia" w:hAnsiTheme="minorEastAsia" w:hint="eastAsia"/>
          <w:b/>
          <w:color w:val="000000"/>
          <w:sz w:val="24"/>
          <w:szCs w:val="24"/>
        </w:rPr>
      </w:pPr>
      <w:r>
        <w:rPr>
          <w:rFonts w:asciiTheme="minorEastAsia" w:hAnsiTheme="minorEastAsia" w:hint="eastAsia"/>
          <w:color w:val="000000"/>
          <w:sz w:val="24"/>
          <w:szCs w:val="24"/>
        </w:rPr>
        <w:t>历任基金经理：胡长虹（自</w:t>
      </w:r>
      <w:r>
        <w:rPr>
          <w:rFonts w:asciiTheme="minorEastAsia" w:hAnsiTheme="minorEastAsia" w:hint="eastAsia"/>
          <w:color w:val="000000"/>
          <w:sz w:val="24"/>
          <w:szCs w:val="24"/>
        </w:rPr>
        <w:t>2018</w:t>
      </w:r>
      <w:r>
        <w:rPr>
          <w:rFonts w:asciiTheme="minorEastAsia" w:hAnsiTheme="minorEastAsia" w:hint="eastAsia"/>
          <w:color w:val="000000"/>
          <w:sz w:val="24"/>
          <w:szCs w:val="24"/>
        </w:rPr>
        <w:t>年</w:t>
      </w:r>
      <w:r>
        <w:rPr>
          <w:rFonts w:asciiTheme="minorEastAsia" w:hAnsiTheme="minorEastAsia" w:hint="eastAsia"/>
          <w:color w:val="000000"/>
          <w:sz w:val="24"/>
          <w:szCs w:val="24"/>
        </w:rPr>
        <w:t>3</w:t>
      </w:r>
      <w:r>
        <w:rPr>
          <w:rFonts w:asciiTheme="minorEastAsia" w:hAnsiTheme="minorEastAsia" w:hint="eastAsia"/>
          <w:color w:val="000000"/>
          <w:sz w:val="24"/>
          <w:szCs w:val="24"/>
        </w:rPr>
        <w:t>月</w:t>
      </w:r>
      <w:r>
        <w:rPr>
          <w:rFonts w:asciiTheme="minorEastAsia" w:hAnsiTheme="minorEastAsia" w:hint="eastAsia"/>
          <w:color w:val="000000"/>
          <w:sz w:val="24"/>
          <w:szCs w:val="24"/>
        </w:rPr>
        <w:t>16</w:t>
      </w:r>
      <w:r>
        <w:rPr>
          <w:rFonts w:asciiTheme="minorEastAsia" w:hAnsiTheme="minorEastAsia" w:hint="eastAsia"/>
          <w:color w:val="000000"/>
          <w:sz w:val="24"/>
          <w:szCs w:val="24"/>
        </w:rPr>
        <w:t>日至</w:t>
      </w:r>
      <w:r>
        <w:rPr>
          <w:rFonts w:asciiTheme="minorEastAsia" w:hAnsiTheme="minorEastAsia" w:hint="eastAsia"/>
          <w:color w:val="000000"/>
          <w:sz w:val="24"/>
          <w:szCs w:val="24"/>
        </w:rPr>
        <w:t>2018</w:t>
      </w:r>
      <w:r>
        <w:rPr>
          <w:rFonts w:asciiTheme="minorEastAsia" w:hAnsiTheme="minorEastAsia" w:hint="eastAsia"/>
          <w:color w:val="000000"/>
          <w:sz w:val="24"/>
          <w:szCs w:val="24"/>
        </w:rPr>
        <w:t>年</w:t>
      </w:r>
      <w:r>
        <w:rPr>
          <w:rFonts w:asciiTheme="minorEastAsia" w:hAnsiTheme="minorEastAsia" w:hint="eastAsia"/>
          <w:color w:val="000000"/>
          <w:sz w:val="24"/>
          <w:szCs w:val="24"/>
        </w:rPr>
        <w:t>11</w:t>
      </w:r>
      <w:r>
        <w:rPr>
          <w:rFonts w:asciiTheme="minorEastAsia" w:hAnsiTheme="minorEastAsia" w:hint="eastAsia"/>
          <w:color w:val="000000"/>
          <w:sz w:val="24"/>
          <w:szCs w:val="24"/>
        </w:rPr>
        <w:t>月</w:t>
      </w:r>
      <w:r>
        <w:rPr>
          <w:rFonts w:asciiTheme="minorEastAsia" w:hAnsiTheme="minorEastAsia" w:hint="eastAsia"/>
          <w:color w:val="000000"/>
          <w:sz w:val="24"/>
          <w:szCs w:val="24"/>
        </w:rPr>
        <w:t>26</w:t>
      </w:r>
      <w:r>
        <w:rPr>
          <w:rFonts w:asciiTheme="minorEastAsia" w:hAnsiTheme="minorEastAsia" w:hint="eastAsia"/>
          <w:color w:val="000000"/>
          <w:sz w:val="24"/>
          <w:szCs w:val="24"/>
        </w:rPr>
        <w:t>日）、王丹</w:t>
      </w:r>
      <w:r>
        <w:rPr>
          <w:rFonts w:asciiTheme="minorEastAsia" w:hAnsiTheme="minorEastAsia" w:hint="eastAsia"/>
          <w:color w:val="000000"/>
          <w:sz w:val="24"/>
          <w:szCs w:val="24"/>
        </w:rPr>
        <w:t xml:space="preserve"> </w:t>
      </w:r>
      <w:r>
        <w:rPr>
          <w:rFonts w:asciiTheme="minorEastAsia" w:hAnsiTheme="minorEastAsia" w:hint="eastAsia"/>
          <w:color w:val="000000"/>
          <w:sz w:val="24"/>
          <w:szCs w:val="24"/>
        </w:rPr>
        <w:t>（自</w:t>
      </w:r>
      <w:r>
        <w:rPr>
          <w:rFonts w:asciiTheme="minorEastAsia" w:hAnsiTheme="minorEastAsia" w:hint="eastAsia"/>
          <w:color w:val="000000"/>
          <w:sz w:val="24"/>
          <w:szCs w:val="24"/>
        </w:rPr>
        <w:t>2020</w:t>
      </w:r>
      <w:r>
        <w:rPr>
          <w:rFonts w:asciiTheme="minorEastAsia" w:hAnsiTheme="minorEastAsia" w:hint="eastAsia"/>
          <w:color w:val="000000"/>
          <w:sz w:val="24"/>
          <w:szCs w:val="24"/>
        </w:rPr>
        <w:t>年</w:t>
      </w:r>
      <w:r>
        <w:rPr>
          <w:rFonts w:asciiTheme="minorEastAsia" w:hAnsiTheme="minorEastAsia" w:hint="eastAsia"/>
          <w:color w:val="000000"/>
          <w:sz w:val="24"/>
          <w:szCs w:val="24"/>
        </w:rPr>
        <w:t>5</w:t>
      </w:r>
      <w:r>
        <w:rPr>
          <w:rFonts w:asciiTheme="minorEastAsia" w:hAnsiTheme="minorEastAsia" w:hint="eastAsia"/>
          <w:color w:val="000000"/>
          <w:sz w:val="24"/>
          <w:szCs w:val="24"/>
        </w:rPr>
        <w:t>月</w:t>
      </w:r>
      <w:r>
        <w:rPr>
          <w:rFonts w:asciiTheme="minorEastAsia" w:hAnsiTheme="minorEastAsia" w:hint="eastAsia"/>
          <w:color w:val="000000"/>
          <w:sz w:val="24"/>
          <w:szCs w:val="24"/>
        </w:rPr>
        <w:t>12</w:t>
      </w:r>
      <w:r>
        <w:rPr>
          <w:rFonts w:asciiTheme="minorEastAsia" w:hAnsiTheme="minorEastAsia" w:hint="eastAsia"/>
          <w:color w:val="000000"/>
          <w:sz w:val="24"/>
          <w:szCs w:val="24"/>
        </w:rPr>
        <w:t>日至</w:t>
      </w:r>
      <w:r>
        <w:rPr>
          <w:rFonts w:asciiTheme="minorEastAsia" w:hAnsiTheme="minorEastAsia" w:hint="eastAsia"/>
          <w:color w:val="000000"/>
          <w:sz w:val="24"/>
          <w:szCs w:val="24"/>
        </w:rPr>
        <w:t>2024</w:t>
      </w:r>
      <w:r>
        <w:rPr>
          <w:rFonts w:asciiTheme="minorEastAsia" w:hAnsiTheme="minorEastAsia" w:hint="eastAsia"/>
          <w:color w:val="000000"/>
          <w:sz w:val="24"/>
          <w:szCs w:val="24"/>
        </w:rPr>
        <w:t>年</w:t>
      </w:r>
      <w:r>
        <w:rPr>
          <w:rFonts w:asciiTheme="minorEastAsia" w:hAnsiTheme="minorEastAsia" w:hint="eastAsia"/>
          <w:color w:val="000000"/>
          <w:sz w:val="24"/>
          <w:szCs w:val="24"/>
        </w:rPr>
        <w:t>4</w:t>
      </w:r>
      <w:r>
        <w:rPr>
          <w:rFonts w:asciiTheme="minorEastAsia" w:hAnsiTheme="minorEastAsia" w:hint="eastAsia"/>
          <w:color w:val="000000"/>
          <w:sz w:val="24"/>
          <w:szCs w:val="24"/>
        </w:rPr>
        <w:t>月</w:t>
      </w:r>
      <w:r>
        <w:rPr>
          <w:rFonts w:asciiTheme="minorEastAsia" w:hAnsiTheme="minorEastAsia" w:hint="eastAsia"/>
          <w:color w:val="000000"/>
          <w:sz w:val="24"/>
          <w:szCs w:val="24"/>
        </w:rPr>
        <w:t>19</w:t>
      </w:r>
      <w:r>
        <w:rPr>
          <w:rFonts w:asciiTheme="minorEastAsia" w:hAnsiTheme="minorEastAsia" w:hint="eastAsia"/>
          <w:color w:val="000000"/>
          <w:sz w:val="24"/>
          <w:szCs w:val="24"/>
        </w:rPr>
        <w:t>日）、邓宇翔（自</w:t>
      </w:r>
      <w:r>
        <w:rPr>
          <w:rFonts w:asciiTheme="minorEastAsia" w:hAnsiTheme="minorEastAsia" w:hint="eastAsia"/>
          <w:color w:val="000000"/>
          <w:sz w:val="24"/>
          <w:szCs w:val="24"/>
        </w:rPr>
        <w:t>2018</w:t>
      </w:r>
      <w:r>
        <w:rPr>
          <w:rFonts w:asciiTheme="minorEastAsia" w:hAnsiTheme="minorEastAsia" w:hint="eastAsia"/>
          <w:color w:val="000000"/>
          <w:sz w:val="24"/>
          <w:szCs w:val="24"/>
        </w:rPr>
        <w:t>年</w:t>
      </w:r>
      <w:r>
        <w:rPr>
          <w:rFonts w:asciiTheme="minorEastAsia" w:hAnsiTheme="minorEastAsia" w:hint="eastAsia"/>
          <w:color w:val="000000"/>
          <w:sz w:val="24"/>
          <w:szCs w:val="24"/>
        </w:rPr>
        <w:t>3</w:t>
      </w:r>
      <w:r>
        <w:rPr>
          <w:rFonts w:asciiTheme="minorEastAsia" w:hAnsiTheme="minorEastAsia" w:hint="eastAsia"/>
          <w:color w:val="000000"/>
          <w:sz w:val="24"/>
          <w:szCs w:val="24"/>
        </w:rPr>
        <w:t>月</w:t>
      </w:r>
      <w:r>
        <w:rPr>
          <w:rFonts w:asciiTheme="minorEastAsia" w:hAnsiTheme="minorEastAsia" w:hint="eastAsia"/>
          <w:color w:val="000000"/>
          <w:sz w:val="24"/>
          <w:szCs w:val="24"/>
        </w:rPr>
        <w:t>30</w:t>
      </w:r>
      <w:r>
        <w:rPr>
          <w:rFonts w:asciiTheme="minorEastAsia" w:hAnsiTheme="minorEastAsia" w:hint="eastAsia"/>
          <w:color w:val="000000"/>
          <w:sz w:val="24"/>
          <w:szCs w:val="24"/>
        </w:rPr>
        <w:t>日至</w:t>
      </w:r>
      <w:r>
        <w:rPr>
          <w:rFonts w:asciiTheme="minorEastAsia" w:hAnsiTheme="minorEastAsia" w:hint="eastAsia"/>
          <w:color w:val="000000"/>
          <w:sz w:val="24"/>
          <w:szCs w:val="24"/>
        </w:rPr>
        <w:t>2024</w:t>
      </w:r>
      <w:r>
        <w:rPr>
          <w:rFonts w:asciiTheme="minorEastAsia" w:hAnsiTheme="minorEastAsia" w:hint="eastAsia"/>
          <w:color w:val="000000"/>
          <w:sz w:val="24"/>
          <w:szCs w:val="24"/>
        </w:rPr>
        <w:t>年</w:t>
      </w:r>
      <w:r>
        <w:rPr>
          <w:rFonts w:asciiTheme="minorEastAsia" w:hAnsiTheme="minorEastAsia" w:hint="eastAsia"/>
          <w:color w:val="000000"/>
          <w:sz w:val="24"/>
          <w:szCs w:val="24"/>
        </w:rPr>
        <w:t>6</w:t>
      </w:r>
      <w:r>
        <w:rPr>
          <w:rFonts w:asciiTheme="minorEastAsia" w:hAnsiTheme="minorEastAsia" w:hint="eastAsia"/>
          <w:color w:val="000000"/>
          <w:sz w:val="24"/>
          <w:szCs w:val="24"/>
        </w:rPr>
        <w:t>月</w:t>
      </w:r>
      <w:r>
        <w:rPr>
          <w:rFonts w:asciiTheme="minorEastAsia" w:hAnsiTheme="minorEastAsia" w:hint="eastAsia"/>
          <w:color w:val="000000"/>
          <w:sz w:val="24"/>
          <w:szCs w:val="24"/>
        </w:rPr>
        <w:t>24</w:t>
      </w:r>
      <w:r>
        <w:rPr>
          <w:rFonts w:asciiTheme="minorEastAsia" w:hAnsiTheme="minorEastAsia" w:hint="eastAsia"/>
          <w:color w:val="000000"/>
          <w:sz w:val="24"/>
          <w:szCs w:val="24"/>
        </w:rPr>
        <w:t>日）</w:t>
      </w:r>
      <w:r w:rsidR="00087E3E">
        <w:rPr>
          <w:rFonts w:asciiTheme="minorEastAsia" w:hAnsiTheme="minorEastAsia" w:hint="eastAsia"/>
          <w:color w:val="000000"/>
          <w:sz w:val="24"/>
          <w:szCs w:val="24"/>
        </w:rPr>
        <w:t>、</w:t>
      </w:r>
      <w:r w:rsidR="00087E3E">
        <w:rPr>
          <w:rFonts w:asciiTheme="minorEastAsia" w:hAnsiTheme="minorEastAsia" w:cs="Arial" w:hint="eastAsia"/>
          <w:kern w:val="0"/>
          <w:sz w:val="24"/>
          <w:szCs w:val="24"/>
        </w:rPr>
        <w:t>姜帆</w:t>
      </w:r>
      <w:r w:rsidR="00087E3E">
        <w:rPr>
          <w:rFonts w:asciiTheme="minorEastAsia" w:hAnsiTheme="minorEastAsia" w:hint="eastAsia"/>
          <w:color w:val="000000"/>
          <w:sz w:val="24"/>
          <w:szCs w:val="24"/>
        </w:rPr>
        <w:t>（自</w:t>
      </w:r>
      <w:r w:rsidR="00087E3E">
        <w:rPr>
          <w:rFonts w:asciiTheme="minorEastAsia" w:hAnsiTheme="minorEastAsia" w:cs="Arial" w:hint="eastAsia"/>
          <w:kern w:val="0"/>
          <w:sz w:val="24"/>
          <w:szCs w:val="24"/>
        </w:rPr>
        <w:t>2024年6月21日</w:t>
      </w:r>
      <w:r w:rsidR="00087E3E">
        <w:rPr>
          <w:rFonts w:asciiTheme="minorEastAsia" w:hAnsiTheme="minorEastAsia" w:hint="eastAsia"/>
          <w:color w:val="000000"/>
          <w:sz w:val="24"/>
          <w:szCs w:val="24"/>
        </w:rPr>
        <w:t>至2026年3月26日）</w:t>
      </w:r>
      <w:r>
        <w:rPr>
          <w:rFonts w:asciiTheme="minorEastAsia" w:hAnsiTheme="minorEastAsia" w:hint="eastAsia"/>
          <w:color w:val="000000"/>
          <w:sz w:val="24"/>
          <w:szCs w:val="24"/>
        </w:rPr>
        <w:t>。</w:t>
      </w:r>
    </w:p>
    <w:p w14:paraId="04456F0D"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5</w:t>
      </w:r>
      <w:r>
        <w:rPr>
          <w:rFonts w:asciiTheme="minorEastAsia" w:hAnsiTheme="minorEastAsia" w:cs="Arial" w:hint="eastAsia"/>
          <w:kern w:val="0"/>
          <w:sz w:val="24"/>
          <w:szCs w:val="24"/>
        </w:rPr>
        <w:t>、投资决策委员会成员的姓名、职务</w:t>
      </w:r>
    </w:p>
    <w:p w14:paraId="76C204F6"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杨小舟先生，投资决策委员会主任委员、公司总经理、兼任首席信息官。</w:t>
      </w:r>
    </w:p>
    <w:p w14:paraId="637F2723"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郑宇光先生，投资决策委员会委员、公司总经理助理。</w:t>
      </w:r>
    </w:p>
    <w:p w14:paraId="0180014E"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郎骋成先生，投资决策委员会委员、研究部总经理、权益投资部总经理、专户投资经理、基金经理。</w:t>
      </w:r>
    </w:p>
    <w:p w14:paraId="61185818"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吴敏先生，投资决策委员会委员、固定收益部总经理、基金经理。</w:t>
      </w:r>
    </w:p>
    <w:p w14:paraId="0AFCE7B0"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孟亚强先生，投资决策委员会委员、权益投资部副总经理、基金经理。</w:t>
      </w:r>
    </w:p>
    <w:p w14:paraId="23510203"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李延峥先生，投资决策委员会委员、投资决策委员会秘书、研究部总经理助理、基金经理。</w:t>
      </w:r>
    </w:p>
    <w:p w14:paraId="75C6F3F8"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6</w:t>
      </w:r>
      <w:r>
        <w:rPr>
          <w:rFonts w:asciiTheme="minorEastAsia" w:hAnsiTheme="minorEastAsia" w:cs="Arial" w:hint="eastAsia"/>
          <w:kern w:val="0"/>
          <w:sz w:val="24"/>
          <w:szCs w:val="24"/>
        </w:rPr>
        <w:t>、上述人员之间不存在近亲属关系。</w:t>
      </w:r>
    </w:p>
    <w:p w14:paraId="6C8A6ADA" w14:textId="77777777" w:rsidR="007B7C2A" w:rsidRDefault="00072812">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三、基金管理人的职责</w:t>
      </w:r>
    </w:p>
    <w:p w14:paraId="15320D7B"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、依法募集资金，办理或者委托经中国证监会认定的其他机构代为办理基金份额的发售、申购、赎回和登记事宜；</w:t>
      </w:r>
    </w:p>
    <w:p w14:paraId="3C3BEAE5"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、办理基金备案手续；</w:t>
      </w:r>
    </w:p>
    <w:p w14:paraId="61AF2A68" w14:textId="77777777" w:rsidR="007B7C2A" w:rsidRDefault="00072812">
      <w:pPr>
        <w:autoSpaceDE w:val="0"/>
        <w:autoSpaceDN w:val="0"/>
        <w:adjustRightInd w:val="0"/>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、自《基金合同》生效之日起，以诚实信用、谨慎勤勉的原则管理和运用基金财产；</w:t>
      </w:r>
    </w:p>
    <w:p w14:paraId="17FAC21B"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、配备足够的具有专业资格的人员进行基金投资分析、决策，以专业化的经营方式管理和运作基金财产；</w:t>
      </w:r>
    </w:p>
    <w:p w14:paraId="09F555FC"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hint="eastAsia"/>
          <w:sz w:val="24"/>
          <w:szCs w:val="24"/>
        </w:rPr>
        <w:t>、建立健全内部风险控制、监察与稽核、财务管理及人事管理等制度，保证所管理的基金财产和基金管理人的财产相互独立，对所管理的不同基金分别管理，分别记账，进行证券投资；</w:t>
      </w:r>
    </w:p>
    <w:p w14:paraId="23F065A9"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w:t>
      </w:r>
      <w:r>
        <w:rPr>
          <w:rFonts w:asciiTheme="minorEastAsia" w:hAnsiTheme="minorEastAsia" w:cs="Times New Roman" w:hint="eastAsia"/>
          <w:sz w:val="24"/>
          <w:szCs w:val="24"/>
        </w:rPr>
        <w:t>、除依据《基金法》、《基金合同》及其他有关规定外，不得利用基金财产为自己及任何第三人牟取利益，不得委托第三人运作基金财产；</w:t>
      </w:r>
    </w:p>
    <w:p w14:paraId="5878D850"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w:t>
      </w:r>
      <w:r>
        <w:rPr>
          <w:rFonts w:asciiTheme="minorEastAsia" w:hAnsiTheme="minorEastAsia" w:cs="Times New Roman" w:hint="eastAsia"/>
          <w:sz w:val="24"/>
          <w:szCs w:val="24"/>
        </w:rPr>
        <w:t>、依法接受基金托管人的监督；</w:t>
      </w:r>
    </w:p>
    <w:p w14:paraId="2F0F5FB0"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8</w:t>
      </w:r>
      <w:r>
        <w:rPr>
          <w:rFonts w:asciiTheme="minorEastAsia" w:hAnsiTheme="minorEastAsia" w:cs="Times New Roman" w:hint="eastAsia"/>
          <w:sz w:val="24"/>
          <w:szCs w:val="24"/>
        </w:rPr>
        <w:t>、采取适当合理的措施使计算基金份额认购、申购、赎回和注销价格的方法符合《基金合同》等法律文件的规定，按有关规定计算并公告基金净值信息，确定基金份额申购、赎回对价，编制申购赎回清单；</w:t>
      </w:r>
    </w:p>
    <w:p w14:paraId="7BD6A89E"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9</w:t>
      </w:r>
      <w:r>
        <w:rPr>
          <w:rFonts w:asciiTheme="minorEastAsia" w:hAnsiTheme="minorEastAsia" w:cs="Times New Roman" w:hint="eastAsia"/>
          <w:sz w:val="24"/>
          <w:szCs w:val="24"/>
        </w:rPr>
        <w:t>、进行基金会计核算并编制基金财务会计报告；</w:t>
      </w:r>
    </w:p>
    <w:p w14:paraId="750FB2C0"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10</w:t>
      </w:r>
      <w:r>
        <w:rPr>
          <w:rFonts w:asciiTheme="minorEastAsia" w:hAnsiTheme="minorEastAsia" w:cs="Times New Roman" w:hint="eastAsia"/>
          <w:sz w:val="24"/>
          <w:szCs w:val="24"/>
        </w:rPr>
        <w:t>、编制季度报告、中期报告和年度报告；</w:t>
      </w:r>
    </w:p>
    <w:p w14:paraId="76496B9A"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11</w:t>
      </w:r>
      <w:r>
        <w:rPr>
          <w:rFonts w:asciiTheme="minorEastAsia" w:hAnsiTheme="minorEastAsia" w:cs="Times New Roman" w:hint="eastAsia"/>
          <w:sz w:val="24"/>
          <w:szCs w:val="24"/>
        </w:rPr>
        <w:t>、严格按照《基金法》、《基金合同》及其他有关规定，履行信息披露及报告义务；</w:t>
      </w:r>
    </w:p>
    <w:p w14:paraId="79B1FCE3"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12</w:t>
      </w:r>
      <w:r>
        <w:rPr>
          <w:rFonts w:asciiTheme="minorEastAsia" w:hAnsiTheme="minorEastAsia" w:cs="Times New Roman" w:hint="eastAsia"/>
          <w:sz w:val="24"/>
          <w:szCs w:val="24"/>
        </w:rPr>
        <w:t>、保守基金商业秘密，不泄露基金投资计划、投资意向等。除《基金法》、《基金合同》及其他有关规定另有规定外，在基金信息公开披露前应予保密，不向他人泄露；</w:t>
      </w:r>
    </w:p>
    <w:p w14:paraId="3C3F79BD"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13</w:t>
      </w:r>
      <w:r>
        <w:rPr>
          <w:rFonts w:asciiTheme="minorEastAsia" w:hAnsiTheme="minorEastAsia" w:cs="Times New Roman" w:hint="eastAsia"/>
          <w:sz w:val="24"/>
          <w:szCs w:val="24"/>
        </w:rPr>
        <w:t>、按《基金合同》的约定确定基金收益分配方案，及时向基金份额持有人分配基金收益；</w:t>
      </w:r>
    </w:p>
    <w:p w14:paraId="6A2E2970"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14</w:t>
      </w:r>
      <w:r>
        <w:rPr>
          <w:rFonts w:asciiTheme="minorEastAsia" w:hAnsiTheme="minorEastAsia" w:cs="Times New Roman" w:hint="eastAsia"/>
          <w:sz w:val="24"/>
          <w:szCs w:val="24"/>
        </w:rPr>
        <w:t>、按规定受理申购与赎回申请，及时、足额支付赎回款项；</w:t>
      </w:r>
    </w:p>
    <w:p w14:paraId="07F8AF78"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15</w:t>
      </w:r>
      <w:r>
        <w:rPr>
          <w:rFonts w:asciiTheme="minorEastAsia" w:hAnsiTheme="minorEastAsia" w:cs="Times New Roman" w:hint="eastAsia"/>
          <w:sz w:val="24"/>
          <w:szCs w:val="24"/>
        </w:rPr>
        <w:t>、依据《基金法》、《基金合同》及其他有关规定召集基金份额持有人大会或配合基金托管人、基金份额持有人依法召集基金份额持有人大会；</w:t>
      </w:r>
    </w:p>
    <w:p w14:paraId="6A7032C8"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16</w:t>
      </w:r>
      <w:r>
        <w:rPr>
          <w:rFonts w:asciiTheme="minorEastAsia" w:hAnsiTheme="minorEastAsia" w:cs="Times New Roman" w:hint="eastAsia"/>
          <w:sz w:val="24"/>
          <w:szCs w:val="24"/>
        </w:rPr>
        <w:t>、按规定保存基金财产管理业务活动的会计账册、报表、记录和其他相关资料</w:t>
      </w:r>
      <w:r>
        <w:rPr>
          <w:rFonts w:asciiTheme="minorEastAsia" w:hAnsiTheme="minorEastAsia" w:cs="Times New Roman" w:hint="eastAsia"/>
          <w:sz w:val="24"/>
          <w:szCs w:val="24"/>
        </w:rPr>
        <w:t>15</w:t>
      </w:r>
      <w:r>
        <w:rPr>
          <w:rFonts w:asciiTheme="minorEastAsia" w:hAnsiTheme="minorEastAsia" w:cs="Times New Roman" w:hint="eastAsia"/>
          <w:sz w:val="24"/>
          <w:szCs w:val="24"/>
        </w:rPr>
        <w:t>年以上；</w:t>
      </w:r>
    </w:p>
    <w:p w14:paraId="6D591897"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17</w:t>
      </w:r>
      <w:r>
        <w:rPr>
          <w:rFonts w:asciiTheme="minorEastAsia" w:hAnsiTheme="minorEastAsia" w:cs="Times New Roman"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E115551"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18</w:t>
      </w:r>
      <w:r>
        <w:rPr>
          <w:rFonts w:asciiTheme="minorEastAsia" w:hAnsiTheme="minorEastAsia" w:cs="Times New Roman" w:hint="eastAsia"/>
          <w:sz w:val="24"/>
          <w:szCs w:val="24"/>
        </w:rPr>
        <w:t>、组织并参加基金财产清算小组，参与基金财产的保管、清理、估价、变现和分配；</w:t>
      </w:r>
    </w:p>
    <w:p w14:paraId="4A02ACA9"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19</w:t>
      </w:r>
      <w:r>
        <w:rPr>
          <w:rFonts w:asciiTheme="minorEastAsia" w:hAnsiTheme="minorEastAsia" w:cs="Times New Roman" w:hint="eastAsia"/>
          <w:sz w:val="24"/>
          <w:szCs w:val="24"/>
        </w:rPr>
        <w:t>、面临解散、依法被撤销或者被依法宣告破产时，及时报告中国证监会并通知基金托管人；</w:t>
      </w:r>
    </w:p>
    <w:p w14:paraId="63A6BDFD"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20</w:t>
      </w:r>
      <w:r>
        <w:rPr>
          <w:rFonts w:asciiTheme="minorEastAsia" w:hAnsiTheme="minorEastAsia" w:cs="Times New Roman" w:hint="eastAsia"/>
          <w:sz w:val="24"/>
          <w:szCs w:val="24"/>
        </w:rPr>
        <w:t>、因违反《基金合同》导致基金财产的损失或损害基金份额持有人合法权益时，应当承担赔偿责任，其赔偿责任不因其退任而免除；</w:t>
      </w:r>
    </w:p>
    <w:p w14:paraId="0ED370A6"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21</w:t>
      </w:r>
      <w:r>
        <w:rPr>
          <w:rFonts w:asciiTheme="minorEastAsia" w:hAnsiTheme="minorEastAsia" w:cs="Times New Roman" w:hint="eastAsia"/>
          <w:sz w:val="24"/>
          <w:szCs w:val="24"/>
        </w:rPr>
        <w:t>、监督基金托管人按法律法规和《基金合同》规定履行自己的义务，基金托管人违反《基金合同》造成基金财产损失时，基金管理人应为基金份额持有人利益向基金托管人追偿；</w:t>
      </w:r>
    </w:p>
    <w:p w14:paraId="60954CB2"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22</w:t>
      </w:r>
      <w:r>
        <w:rPr>
          <w:rFonts w:asciiTheme="minorEastAsia" w:hAnsiTheme="minorEastAsia" w:cs="Times New Roman" w:hint="eastAsia"/>
          <w:sz w:val="24"/>
          <w:szCs w:val="24"/>
        </w:rPr>
        <w:t>、当基金管理人将其义务委托第三方处理时，应当对第三方处理有关基金事务的行为承担责任；</w:t>
      </w:r>
    </w:p>
    <w:p w14:paraId="5AAC31F0"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23</w:t>
      </w:r>
      <w:r>
        <w:rPr>
          <w:rFonts w:asciiTheme="minorEastAsia" w:hAnsiTheme="minorEastAsia" w:cs="Times New Roman" w:hint="eastAsia"/>
          <w:sz w:val="24"/>
          <w:szCs w:val="24"/>
        </w:rPr>
        <w:t>、以基金管理人名义，代表基金份额持有人利益行使诉讼权利或实施其他法律行为；</w:t>
      </w:r>
    </w:p>
    <w:p w14:paraId="1B04A5E6"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24</w:t>
      </w:r>
      <w:r>
        <w:rPr>
          <w:rFonts w:asciiTheme="minorEastAsia" w:hAnsiTheme="minorEastAsia" w:cs="Times New Roman" w:hint="eastAsia"/>
          <w:sz w:val="24"/>
          <w:szCs w:val="24"/>
        </w:rPr>
        <w:t>、基金管理人在募集期间未能达到基金的备案条件，《基金合同》不能生效，基金管理人承担全部募集费用，将已募集资金加计银行同期存款利息在基金募集期结束后</w:t>
      </w:r>
      <w:r>
        <w:rPr>
          <w:rFonts w:asciiTheme="minorEastAsia" w:hAnsiTheme="minorEastAsia" w:cs="Times New Roman" w:hint="eastAsia"/>
          <w:sz w:val="24"/>
          <w:szCs w:val="24"/>
        </w:rPr>
        <w:t>30</w:t>
      </w:r>
      <w:r>
        <w:rPr>
          <w:rFonts w:asciiTheme="minorEastAsia" w:hAnsiTheme="minorEastAsia" w:cs="Times New Roman" w:hint="eastAsia"/>
          <w:sz w:val="24"/>
          <w:szCs w:val="24"/>
        </w:rPr>
        <w:t>日内退还基金认购人；</w:t>
      </w:r>
    </w:p>
    <w:p w14:paraId="1C5D16A3"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25</w:t>
      </w:r>
      <w:r>
        <w:rPr>
          <w:rFonts w:asciiTheme="minorEastAsia" w:hAnsiTheme="minorEastAsia" w:cs="Times New Roman" w:hint="eastAsia"/>
          <w:sz w:val="24"/>
          <w:szCs w:val="24"/>
        </w:rPr>
        <w:t>、执行生效的基金份额持有人大会的决议；</w:t>
      </w:r>
    </w:p>
    <w:p w14:paraId="3A3A39E4"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26</w:t>
      </w:r>
      <w:r>
        <w:rPr>
          <w:rFonts w:asciiTheme="minorEastAsia" w:hAnsiTheme="minorEastAsia" w:cs="Times New Roman" w:hint="eastAsia"/>
          <w:sz w:val="24"/>
          <w:szCs w:val="24"/>
        </w:rPr>
        <w:t>、建立并保存基金份额持有人名册；</w:t>
      </w:r>
    </w:p>
    <w:p w14:paraId="66CBAF06"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27</w:t>
      </w:r>
      <w:r>
        <w:rPr>
          <w:rFonts w:asciiTheme="minorEastAsia" w:hAnsiTheme="minorEastAsia" w:cs="Times New Roman" w:hint="eastAsia"/>
          <w:sz w:val="24"/>
          <w:szCs w:val="24"/>
        </w:rPr>
        <w:t>、法律法规及中国证监会规定的和《基金合同》约定的其他义务。</w:t>
      </w:r>
    </w:p>
    <w:p w14:paraId="2F067929" w14:textId="77777777" w:rsidR="007B7C2A" w:rsidRDefault="00072812">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四、基金管理人的承诺</w:t>
      </w:r>
    </w:p>
    <w:p w14:paraId="2662D6AA"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、基金管理人承诺不从事违反《中华人民共和国证券法》的行为，并承诺建立健全内部控制制度，采取有效措施，防止违反《中华人民共和国证券法》行为的发生；</w:t>
      </w:r>
      <w:r>
        <w:rPr>
          <w:rFonts w:asciiTheme="minorEastAsia" w:hAnsiTheme="minorEastAsia" w:cs="Times New Roman" w:hint="eastAsia"/>
          <w:sz w:val="24"/>
          <w:szCs w:val="24"/>
        </w:rPr>
        <w:t xml:space="preserve"> </w:t>
      </w:r>
    </w:p>
    <w:p w14:paraId="38D1F726"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、基金管理人承诺不从事违反《基金法》的行为，并承诺建立健全内部风险控制制度，采取有效措施，防止下列行为的发生：</w:t>
      </w:r>
    </w:p>
    <w:p w14:paraId="6A0339E7"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1</w:t>
      </w:r>
      <w:r>
        <w:rPr>
          <w:rFonts w:asciiTheme="minorEastAsia" w:hAnsiTheme="minorEastAsia" w:cs="Times New Roman" w:hint="eastAsia"/>
          <w:sz w:val="24"/>
          <w:szCs w:val="24"/>
        </w:rPr>
        <w:t>）将基金管理人固有财产或者他人财产混同于基金财产从事证券投资；</w:t>
      </w:r>
    </w:p>
    <w:p w14:paraId="18D14F9A"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）不公平地对待管理的不同基金财产；</w:t>
      </w:r>
    </w:p>
    <w:p w14:paraId="30E78403"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3</w:t>
      </w:r>
      <w:r>
        <w:rPr>
          <w:rFonts w:asciiTheme="minorEastAsia" w:hAnsiTheme="minorEastAsia" w:cs="Times New Roman" w:hint="eastAsia"/>
          <w:sz w:val="24"/>
          <w:szCs w:val="24"/>
        </w:rPr>
        <w:t>）利用基金财产或者职务之便为基金份额持有人以外的第三人牟取利益；</w:t>
      </w:r>
    </w:p>
    <w:p w14:paraId="3CC0425A"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4</w:t>
      </w:r>
      <w:r>
        <w:rPr>
          <w:rFonts w:asciiTheme="minorEastAsia" w:hAnsiTheme="minorEastAsia" w:cs="Times New Roman" w:hint="eastAsia"/>
          <w:sz w:val="24"/>
          <w:szCs w:val="24"/>
        </w:rPr>
        <w:t>）向基金份额持有人违规承诺收益或者承担损失；</w:t>
      </w:r>
    </w:p>
    <w:p w14:paraId="36BE59AD"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5</w:t>
      </w:r>
      <w:r>
        <w:rPr>
          <w:rFonts w:asciiTheme="minorEastAsia" w:hAnsiTheme="minorEastAsia" w:cs="Times New Roman" w:hint="eastAsia"/>
          <w:sz w:val="24"/>
          <w:szCs w:val="24"/>
        </w:rPr>
        <w:t>）侵占、挪用基金财产；</w:t>
      </w:r>
    </w:p>
    <w:p w14:paraId="3F8319AA"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6</w:t>
      </w:r>
      <w:r>
        <w:rPr>
          <w:rFonts w:asciiTheme="minorEastAsia" w:hAnsiTheme="minorEastAsia" w:cs="Times New Roman" w:hint="eastAsia"/>
          <w:sz w:val="24"/>
          <w:szCs w:val="24"/>
        </w:rPr>
        <w:t>）泄露因职务便利获取的未公开信息、利用该信息从事或者明示、暗示他人从事相关的交易活动；</w:t>
      </w:r>
    </w:p>
    <w:p w14:paraId="237C641A"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7</w:t>
      </w:r>
      <w:r>
        <w:rPr>
          <w:rFonts w:asciiTheme="minorEastAsia" w:hAnsiTheme="minorEastAsia" w:cs="Times New Roman" w:hint="eastAsia"/>
          <w:sz w:val="24"/>
          <w:szCs w:val="24"/>
        </w:rPr>
        <w:t>）玩忽职守，不按照规定履行职责；</w:t>
      </w:r>
    </w:p>
    <w:p w14:paraId="76190F03"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8</w:t>
      </w:r>
      <w:r>
        <w:rPr>
          <w:rFonts w:asciiTheme="minorEastAsia" w:hAnsiTheme="minorEastAsia" w:cs="Times New Roman" w:hint="eastAsia"/>
          <w:sz w:val="24"/>
          <w:szCs w:val="24"/>
        </w:rPr>
        <w:t>）法律、行政法规和中国证监会规定禁止的其他行为。</w:t>
      </w:r>
      <w:r>
        <w:rPr>
          <w:rFonts w:asciiTheme="minorEastAsia" w:hAnsiTheme="minorEastAsia" w:cs="Times New Roman" w:hint="eastAsia"/>
          <w:sz w:val="24"/>
          <w:szCs w:val="24"/>
        </w:rPr>
        <w:t xml:space="preserve"> </w:t>
      </w:r>
    </w:p>
    <w:p w14:paraId="3A61D090"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、基金管理人承诺严格遵守基金合同，并承诺建立健全内部控制制度，采取有效措施，防止违反基金合同行为的发生；</w:t>
      </w:r>
      <w:r>
        <w:rPr>
          <w:rFonts w:asciiTheme="minorEastAsia" w:hAnsiTheme="minorEastAsia" w:cs="Times New Roman" w:hint="eastAsia"/>
          <w:sz w:val="24"/>
          <w:szCs w:val="24"/>
        </w:rPr>
        <w:t xml:space="preserve"> </w:t>
      </w:r>
    </w:p>
    <w:p w14:paraId="558B027F"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、基金管理人承诺加强人员管理，强化职业操守，督促和约束员工遵守国家有关法律法规及行业规范，诚实信用、勤勉尽责；</w:t>
      </w:r>
    </w:p>
    <w:p w14:paraId="50EBA857"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hint="eastAsia"/>
          <w:sz w:val="24"/>
          <w:szCs w:val="24"/>
        </w:rPr>
        <w:t>、基金管理人承诺不从事其他法规规定禁止从事的行为。</w:t>
      </w:r>
      <w:r>
        <w:rPr>
          <w:rFonts w:asciiTheme="minorEastAsia" w:hAnsiTheme="minorEastAsia" w:cs="Times New Roman" w:hint="eastAsia"/>
          <w:sz w:val="24"/>
          <w:szCs w:val="24"/>
        </w:rPr>
        <w:t xml:space="preserve"> </w:t>
      </w:r>
    </w:p>
    <w:p w14:paraId="7BA5E226" w14:textId="77777777" w:rsidR="007B7C2A" w:rsidRDefault="00072812">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sz w:val="24"/>
          <w:szCs w:val="24"/>
        </w:rPr>
      </w:pPr>
      <w:r>
        <w:rPr>
          <w:rFonts w:asciiTheme="minorEastAsia" w:hAnsiTheme="minorEastAsia" w:cs="Arial" w:hint="eastAsia"/>
          <w:b/>
          <w:sz w:val="24"/>
          <w:szCs w:val="24"/>
        </w:rPr>
        <w:t>五、基金经理承诺</w:t>
      </w:r>
    </w:p>
    <w:p w14:paraId="25E1D620"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、依照有关法律法规和基金合同的规定，本着谨慎的原则为基金份额持有人谋取最大利益；</w:t>
      </w:r>
    </w:p>
    <w:p w14:paraId="63E04916"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、不利用职务之便为自己、受雇人或任何第三者牟取利益；</w:t>
      </w:r>
      <w:r>
        <w:rPr>
          <w:rFonts w:asciiTheme="minorEastAsia" w:hAnsiTheme="minorEastAsia" w:cs="Times New Roman" w:hint="eastAsia"/>
          <w:sz w:val="24"/>
          <w:szCs w:val="24"/>
        </w:rPr>
        <w:t xml:space="preserve"> </w:t>
      </w:r>
    </w:p>
    <w:p w14:paraId="2E60CB6D"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、不泄露在任职期间知悉的有关证券、基金的商业秘密，尚未依法公开的基金投资内容、基金投资计划等信息，或利用该信息从事或者明示、暗示他人从事相关的交易活动；</w:t>
      </w:r>
    </w:p>
    <w:p w14:paraId="5268E6CB" w14:textId="77777777" w:rsidR="007B7C2A" w:rsidRDefault="00072812">
      <w:pPr>
        <w:autoSpaceDE w:val="0"/>
        <w:autoSpaceDN w:val="0"/>
        <w:adjustRightIn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、不以任何形式为其他组织或个人进行证券交易。</w:t>
      </w:r>
    </w:p>
    <w:p w14:paraId="1D6ADD8E" w14:textId="77777777" w:rsidR="007B7C2A" w:rsidRDefault="00072812">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hint="eastAsia"/>
          <w:b/>
          <w:bCs/>
          <w:sz w:val="24"/>
          <w:szCs w:val="24"/>
        </w:rPr>
      </w:pPr>
      <w:r>
        <w:rPr>
          <w:rFonts w:asciiTheme="minorEastAsia" w:hAnsiTheme="minorEastAsia" w:cs="Arial" w:hint="eastAsia"/>
          <w:b/>
          <w:bCs/>
          <w:sz w:val="24"/>
          <w:szCs w:val="24"/>
        </w:rPr>
        <w:t>六、基金管理人的内部控制制度</w:t>
      </w:r>
    </w:p>
    <w:p w14:paraId="27C241F7"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bookmarkStart w:id="83" w:name="_Toc263092312"/>
      <w:bookmarkStart w:id="84" w:name="_Toc416264540"/>
      <w:bookmarkStart w:id="85" w:name="_Toc410197818"/>
      <w:bookmarkStart w:id="86" w:name="_Toc352229750"/>
      <w:bookmarkEnd w:id="67"/>
      <w:bookmarkEnd w:id="68"/>
      <w:bookmarkEnd w:id="69"/>
      <w:r>
        <w:rPr>
          <w:rFonts w:asciiTheme="minorEastAsia" w:hAnsiTheme="minorEastAsia" w:cs="Arial" w:hint="eastAsia"/>
          <w:sz w:val="24"/>
          <w:szCs w:val="24"/>
        </w:rPr>
        <w:t>1</w:t>
      </w:r>
      <w:r>
        <w:rPr>
          <w:rFonts w:asciiTheme="minorEastAsia" w:hAnsiTheme="minorEastAsia" w:cs="Arial" w:hint="eastAsia"/>
          <w:sz w:val="24"/>
          <w:szCs w:val="24"/>
        </w:rPr>
        <w:t>、风险控制目标</w:t>
      </w:r>
    </w:p>
    <w:p w14:paraId="62696F1B"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1</w:t>
      </w:r>
      <w:r>
        <w:rPr>
          <w:rFonts w:asciiTheme="minorEastAsia" w:hAnsiTheme="minorEastAsia" w:cs="Arial" w:hint="eastAsia"/>
          <w:sz w:val="24"/>
          <w:szCs w:val="24"/>
        </w:rPr>
        <w:t>）在有效控制风险的前提下，实现基金份额持有人利益最大化；</w:t>
      </w:r>
    </w:p>
    <w:p w14:paraId="01D83880"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2</w:t>
      </w:r>
      <w:r>
        <w:rPr>
          <w:rFonts w:asciiTheme="minorEastAsia" w:hAnsiTheme="minorEastAsia" w:cs="Arial" w:hint="eastAsia"/>
          <w:sz w:val="24"/>
          <w:szCs w:val="24"/>
        </w:rPr>
        <w:t>）确保国家有关法律法规、行业规章和公司各项规章制度的贯彻执行；</w:t>
      </w:r>
    </w:p>
    <w:p w14:paraId="5EFC4A3C"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3</w:t>
      </w:r>
      <w:r>
        <w:rPr>
          <w:rFonts w:asciiTheme="minorEastAsia" w:hAnsiTheme="minorEastAsia" w:cs="Arial" w:hint="eastAsia"/>
          <w:sz w:val="24"/>
          <w:szCs w:val="24"/>
        </w:rPr>
        <w:t>）建立符合现代企业制度要求的法人治理结构，形成科学合理的决策机制、执行机制和监督机制；</w:t>
      </w:r>
    </w:p>
    <w:p w14:paraId="0FB8C16F"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4</w:t>
      </w:r>
      <w:r>
        <w:rPr>
          <w:rFonts w:asciiTheme="minorEastAsia" w:hAnsiTheme="minorEastAsia" w:cs="Arial" w:hint="eastAsia"/>
          <w:sz w:val="24"/>
          <w:szCs w:val="24"/>
        </w:rPr>
        <w:t>）将各种风险控制在合理的范围内，保障公司发展战略和经营目标的全面实施，维护基金份额持有人、公司及公司股东的合法权益；</w:t>
      </w:r>
    </w:p>
    <w:p w14:paraId="3DE17D71"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5</w:t>
      </w:r>
      <w:r>
        <w:rPr>
          <w:rFonts w:asciiTheme="minorEastAsia" w:hAnsiTheme="minorEastAsia" w:cs="Arial" w:hint="eastAsia"/>
          <w:sz w:val="24"/>
          <w:szCs w:val="24"/>
        </w:rPr>
        <w:t>）建立行之有效的风险控制系统，保障业务稳健运行，减轻或规避各种风险对公司发展战略和经营目标的干扰。</w:t>
      </w:r>
    </w:p>
    <w:p w14:paraId="0E9621C9"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、建立风险控制制度应遵循的原则</w:t>
      </w:r>
    </w:p>
    <w:p w14:paraId="309AC54E"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1</w:t>
      </w:r>
      <w:r>
        <w:rPr>
          <w:rFonts w:asciiTheme="minorEastAsia" w:hAnsiTheme="minorEastAsia" w:cs="Arial" w:hint="eastAsia"/>
          <w:sz w:val="24"/>
          <w:szCs w:val="24"/>
        </w:rPr>
        <w:t>）全面性原则：风险控制制度应覆盖公司的各项业务、各个部门和各级人员，并渗透到决策、执行、监督、反馈等各个经营环节；</w:t>
      </w:r>
    </w:p>
    <w:p w14:paraId="3C901E66"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w:t>
      </w:r>
      <w:r>
        <w:rPr>
          <w:rFonts w:asciiTheme="minorEastAsia" w:hAnsiTheme="minorEastAsia" w:cs="Arial" w:hint="eastAsia"/>
          <w:sz w:val="24"/>
          <w:szCs w:val="24"/>
        </w:rPr>
        <w:t>（</w:t>
      </w:r>
      <w:r>
        <w:rPr>
          <w:rFonts w:asciiTheme="minorEastAsia" w:hAnsiTheme="minorEastAsia" w:cs="Arial" w:hint="eastAsia"/>
          <w:sz w:val="24"/>
          <w:szCs w:val="24"/>
        </w:rPr>
        <w:t>2</w:t>
      </w:r>
      <w:r>
        <w:rPr>
          <w:rFonts w:asciiTheme="minorEastAsia" w:hAnsiTheme="minorEastAsia" w:cs="Arial" w:hint="eastAsia"/>
          <w:sz w:val="24"/>
          <w:szCs w:val="24"/>
        </w:rPr>
        <w:t>）审慎性原则：内部风险控制的核心是有效防范各种风险，公司组织体系的构成、内部管理制度的建立都要以防范风险、审慎经营为出发点；</w:t>
      </w:r>
    </w:p>
    <w:p w14:paraId="7FEAF974"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w:t>
      </w:r>
      <w:r>
        <w:rPr>
          <w:rFonts w:asciiTheme="minorEastAsia" w:hAnsiTheme="minorEastAsia" w:cs="Arial" w:hint="eastAsia"/>
          <w:sz w:val="24"/>
          <w:szCs w:val="24"/>
        </w:rPr>
        <w:t>（</w:t>
      </w:r>
      <w:r>
        <w:rPr>
          <w:rFonts w:asciiTheme="minorEastAsia" w:hAnsiTheme="minorEastAsia" w:cs="Arial" w:hint="eastAsia"/>
          <w:sz w:val="24"/>
          <w:szCs w:val="24"/>
        </w:rPr>
        <w:t>3</w:t>
      </w:r>
      <w:r>
        <w:rPr>
          <w:rFonts w:asciiTheme="minorEastAsia" w:hAnsiTheme="minorEastAsia" w:cs="Arial" w:hint="eastAsia"/>
          <w:sz w:val="24"/>
          <w:szCs w:val="24"/>
        </w:rPr>
        <w:t>）独立性原则：公司风险控制的检查、评价部门应当独立于风险控制的建立和执行部门；风险控制委员会、督察长和监察稽核部应保持高度的独立性和权威性，负责对公司各部门风险控制工作进行评价和检查；</w:t>
      </w:r>
    </w:p>
    <w:p w14:paraId="7470E580"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w:t>
      </w:r>
      <w:r>
        <w:rPr>
          <w:rFonts w:asciiTheme="minorEastAsia" w:hAnsiTheme="minorEastAsia" w:cs="Arial" w:hint="eastAsia"/>
          <w:sz w:val="24"/>
          <w:szCs w:val="24"/>
        </w:rPr>
        <w:t>（</w:t>
      </w:r>
      <w:r>
        <w:rPr>
          <w:rFonts w:asciiTheme="minorEastAsia" w:hAnsiTheme="minorEastAsia" w:cs="Arial" w:hint="eastAsia"/>
          <w:sz w:val="24"/>
          <w:szCs w:val="24"/>
        </w:rPr>
        <w:t>4</w:t>
      </w:r>
      <w:r>
        <w:rPr>
          <w:rFonts w:asciiTheme="minorEastAsia" w:hAnsiTheme="minorEastAsia" w:cs="Arial" w:hint="eastAsia"/>
          <w:sz w:val="24"/>
          <w:szCs w:val="24"/>
        </w:rPr>
        <w:t>）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2A216433"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 xml:space="preserve"> </w:t>
      </w:r>
      <w:r>
        <w:rPr>
          <w:rFonts w:asciiTheme="minorEastAsia" w:hAnsiTheme="minorEastAsia" w:cs="Arial" w:hint="eastAsia"/>
          <w:sz w:val="24"/>
          <w:szCs w:val="24"/>
        </w:rPr>
        <w:t>（</w:t>
      </w:r>
      <w:r>
        <w:rPr>
          <w:rFonts w:asciiTheme="minorEastAsia" w:hAnsiTheme="minorEastAsia" w:cs="Arial" w:hint="eastAsia"/>
          <w:sz w:val="24"/>
          <w:szCs w:val="24"/>
        </w:rPr>
        <w:t>5</w:t>
      </w:r>
      <w:r>
        <w:rPr>
          <w:rFonts w:asciiTheme="minorEastAsia" w:hAnsiTheme="minorEastAsia" w:cs="Arial" w:hint="eastAsia"/>
          <w:sz w:val="24"/>
          <w:szCs w:val="24"/>
        </w:rPr>
        <w:t>）适时性原则：内部风险控制应随着公司经营战略、经营方针、经营理念等内部环境的变化和国家法律、法规、政策制度等外部环境的改变及时进行相应的修改和完善；</w:t>
      </w:r>
    </w:p>
    <w:p w14:paraId="5E0DC660"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、风险控制体系</w:t>
      </w:r>
    </w:p>
    <w:p w14:paraId="51804683"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1</w:t>
      </w:r>
      <w:r>
        <w:rPr>
          <w:rFonts w:asciiTheme="minorEastAsia" w:hAnsiTheme="minorEastAsia" w:cs="Arial" w:hint="eastAsia"/>
          <w:sz w:val="24"/>
          <w:szCs w:val="24"/>
        </w:rPr>
        <w:t>）风险控制制度体系</w:t>
      </w:r>
    </w:p>
    <w:p w14:paraId="411DF02C"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3493A6FF"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2</w:t>
      </w:r>
      <w:r>
        <w:rPr>
          <w:rFonts w:asciiTheme="minorEastAsia" w:hAnsiTheme="minorEastAsia" w:cs="Arial" w:hint="eastAsia"/>
          <w:sz w:val="24"/>
          <w:szCs w:val="24"/>
        </w:rPr>
        <w:t>）风险控制组织体系</w:t>
      </w:r>
    </w:p>
    <w:p w14:paraId="1F7A4467"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风险控制组织体系包括两个层次：</w:t>
      </w:r>
    </w:p>
    <w:p w14:paraId="309EED00"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5BF6DAB6"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28315D6C"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②督察</w:t>
      </w:r>
      <w:proofErr w:type="gramStart"/>
      <w:r>
        <w:rPr>
          <w:rFonts w:asciiTheme="minorEastAsia" w:hAnsiTheme="minorEastAsia" w:cs="Arial" w:hint="eastAsia"/>
          <w:sz w:val="24"/>
          <w:szCs w:val="24"/>
        </w:rPr>
        <w:t>长履行</w:t>
      </w:r>
      <w:proofErr w:type="gramEnd"/>
      <w:r>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08D9C1E5"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第二层次：公司经营管理层包括风险控制委员会、监察稽核部及各职能部门对经营风险的预防和控制。</w:t>
      </w:r>
    </w:p>
    <w:p w14:paraId="24F01083" w14:textId="77777777" w:rsidR="007B7C2A" w:rsidRDefault="00072812">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28B62C69"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咨询、合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培训、离任审查等工作。</w:t>
      </w:r>
    </w:p>
    <w:p w14:paraId="6FD2822C"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79D8BD81"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4</w:t>
      </w:r>
      <w:r>
        <w:rPr>
          <w:rFonts w:asciiTheme="minorEastAsia" w:hAnsiTheme="minorEastAsia" w:cs="Arial" w:hint="eastAsia"/>
          <w:sz w:val="24"/>
          <w:szCs w:val="24"/>
        </w:rPr>
        <w:t>、关于授权、研究、投资、交易等方面的控制点</w:t>
      </w:r>
    </w:p>
    <w:p w14:paraId="0AEAF0E2"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1</w:t>
      </w:r>
      <w:r>
        <w:rPr>
          <w:rFonts w:asciiTheme="minorEastAsia" w:hAnsiTheme="minorEastAsia" w:cs="Arial" w:hint="eastAsia"/>
          <w:sz w:val="24"/>
          <w:szCs w:val="24"/>
        </w:rPr>
        <w:t>）授权制度</w:t>
      </w:r>
    </w:p>
    <w:p w14:paraId="7227BAAE"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7931A855"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2</w:t>
      </w:r>
      <w:r>
        <w:rPr>
          <w:rFonts w:asciiTheme="minorEastAsia" w:hAnsiTheme="minorEastAsia" w:cs="Arial" w:hint="eastAsia"/>
          <w:sz w:val="24"/>
          <w:szCs w:val="24"/>
        </w:rPr>
        <w:t>）研究业务</w:t>
      </w:r>
    </w:p>
    <w:p w14:paraId="0113C04A"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6DC490A6"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3</w:t>
      </w:r>
      <w:r>
        <w:rPr>
          <w:rFonts w:asciiTheme="minorEastAsia" w:hAnsiTheme="minorEastAsia" w:cs="Arial" w:hint="eastAsia"/>
          <w:sz w:val="24"/>
          <w:szCs w:val="24"/>
        </w:rPr>
        <w:t>）基金投资业务</w:t>
      </w:r>
    </w:p>
    <w:p w14:paraId="28EE323C"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Pr>
          <w:rFonts w:asciiTheme="minorEastAsia" w:hAnsiTheme="minorEastAsia" w:cs="Arial" w:hint="eastAsia"/>
          <w:sz w:val="24"/>
          <w:szCs w:val="24"/>
        </w:rPr>
        <w:t>限相应</w:t>
      </w:r>
      <w:proofErr w:type="gramEnd"/>
      <w:r>
        <w:rPr>
          <w:rFonts w:asciiTheme="minorEastAsia" w:hAnsiTheme="minorEastAsia" w:cs="Arial" w:hint="eastAsia"/>
          <w:sz w:val="24"/>
          <w:szCs w:val="24"/>
        </w:rPr>
        <w:t>的约束制度和考核制度；建立严格的投资禁止和投资限制制度，保证基金投资的合法合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5509E576"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4</w:t>
      </w:r>
      <w:r>
        <w:rPr>
          <w:rFonts w:asciiTheme="minorEastAsia" w:hAnsiTheme="minorEastAsia" w:cs="Arial" w:hint="eastAsia"/>
          <w:sz w:val="24"/>
          <w:szCs w:val="24"/>
        </w:rPr>
        <w:t>）交易业务</w:t>
      </w:r>
    </w:p>
    <w:p w14:paraId="77B4CC83"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6E16A5F6"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5</w:t>
      </w:r>
      <w:r>
        <w:rPr>
          <w:rFonts w:asciiTheme="minorEastAsia" w:hAnsiTheme="minorEastAsia" w:cs="Arial" w:hint="eastAsia"/>
          <w:sz w:val="24"/>
          <w:szCs w:val="24"/>
        </w:rPr>
        <w:t>）基金会计核算</w:t>
      </w:r>
    </w:p>
    <w:p w14:paraId="75E9CF9E"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25CEC6FA"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6</w:t>
      </w:r>
      <w:r>
        <w:rPr>
          <w:rFonts w:asciiTheme="minorEastAsia" w:hAnsiTheme="minorEastAsia" w:cs="Arial" w:hint="eastAsia"/>
          <w:sz w:val="24"/>
          <w:szCs w:val="24"/>
        </w:rPr>
        <w:t>）信息披露</w:t>
      </w:r>
    </w:p>
    <w:p w14:paraId="08B431ED"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03EC010E"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7</w:t>
      </w:r>
      <w:r>
        <w:rPr>
          <w:rFonts w:asciiTheme="minorEastAsia" w:hAnsiTheme="minorEastAsia" w:cs="Arial" w:hint="eastAsia"/>
          <w:sz w:val="24"/>
          <w:szCs w:val="24"/>
        </w:rPr>
        <w:t>）监察稽核</w:t>
      </w:r>
    </w:p>
    <w:p w14:paraId="0FF13328"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Pr>
          <w:rFonts w:asciiTheme="minorEastAsia" w:hAnsiTheme="minorEastAsia" w:cs="Arial" w:hint="eastAsia"/>
          <w:sz w:val="24"/>
          <w:szCs w:val="24"/>
        </w:rPr>
        <w:t>长依据</w:t>
      </w:r>
      <w:proofErr w:type="gramEnd"/>
      <w:r>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33443A6F"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5B8270F1"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5</w:t>
      </w:r>
      <w:r>
        <w:rPr>
          <w:rFonts w:asciiTheme="minorEastAsia" w:hAnsiTheme="minorEastAsia" w:cs="Arial" w:hint="eastAsia"/>
          <w:sz w:val="24"/>
          <w:szCs w:val="24"/>
        </w:rPr>
        <w:t>、风险管理和内部控制的措施</w:t>
      </w:r>
    </w:p>
    <w:p w14:paraId="3633A55E"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1</w:t>
      </w:r>
      <w:r>
        <w:rPr>
          <w:rFonts w:asciiTheme="minorEastAsia" w:hAnsiTheme="minorEastAsia" w:cs="Arial" w:hint="eastAsia"/>
          <w:sz w:val="24"/>
          <w:szCs w:val="24"/>
        </w:rPr>
        <w:t>）建立内控结构，完善内控制度：公司建立、健全了内控结构，高管人员具有明确的内控分工，确保各项业务活动有恰当的组织和授权，确保监察活动的独立进行，并得到高管人员的支持。</w:t>
      </w:r>
    </w:p>
    <w:p w14:paraId="765BDC7D"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2</w:t>
      </w:r>
      <w:r>
        <w:rPr>
          <w:rFonts w:asciiTheme="minorEastAsia" w:hAnsiTheme="minorEastAsia" w:cs="Arial" w:hint="eastAsia"/>
          <w:sz w:val="24"/>
          <w:szCs w:val="24"/>
        </w:rPr>
        <w:t>）建立相互分离、相互制衡的内控机制：建立、健全了各项制度，做到基金经理、投资经理分开，研究、决策分开，基金交易集中，形成不同部门、不同岗位之间的制衡机制，从制度上减少和防范风险。</w:t>
      </w:r>
    </w:p>
    <w:p w14:paraId="3D26A358"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3</w:t>
      </w:r>
      <w:r>
        <w:rPr>
          <w:rFonts w:asciiTheme="minorEastAsia" w:hAnsiTheme="minorEastAsia" w:cs="Arial" w:hint="eastAsia"/>
          <w:sz w:val="24"/>
          <w:szCs w:val="24"/>
        </w:rPr>
        <w:t>）建立、健全岗位责任制：建立、健全了岗位责任制，使每个员工都明确自己的任务、职责，并及时将各自工作领域中的风险隐患上报，以防范和减少风险。</w:t>
      </w:r>
    </w:p>
    <w:p w14:paraId="0E552B3B"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4</w:t>
      </w:r>
      <w:r>
        <w:rPr>
          <w:rFonts w:asciiTheme="minorEastAsia" w:hAnsiTheme="minorEastAsia" w:cs="Arial" w:hint="eastAsia"/>
          <w:sz w:val="24"/>
          <w:szCs w:val="24"/>
        </w:rPr>
        <w:t>）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74683C1D"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5</w:t>
      </w:r>
      <w:r>
        <w:rPr>
          <w:rFonts w:asciiTheme="minorEastAsia" w:hAnsiTheme="minorEastAsia" w:cs="Arial" w:hint="eastAsia"/>
          <w:sz w:val="24"/>
          <w:szCs w:val="24"/>
        </w:rPr>
        <w:t>）建立有效的内部监控系统：建立了足够、有效的内部监控系统，如计算机预警系统、投资监控系统，能对可能出现的各种风险进行全面和实时的监控。</w:t>
      </w:r>
    </w:p>
    <w:p w14:paraId="5DD721E4"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6</w:t>
      </w:r>
      <w:r>
        <w:rPr>
          <w:rFonts w:asciiTheme="minorEastAsia" w:hAnsiTheme="minorEastAsia" w:cs="Arial" w:hint="eastAsia"/>
          <w:sz w:val="24"/>
          <w:szCs w:val="24"/>
        </w:rPr>
        <w:t>）使用数量化的风险管理手段：采取数量化、技术化的风险控制手段，建立数量化的风险管理模型，用以提示市场风险，以便公司及时采取有效的措施，对风险进行分散、控制和规避，尽可能地减少损失。</w:t>
      </w:r>
    </w:p>
    <w:p w14:paraId="213BFD53" w14:textId="77777777" w:rsidR="007B7C2A" w:rsidRDefault="00072812">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7</w:t>
      </w:r>
      <w:r>
        <w:rPr>
          <w:rFonts w:asciiTheme="minorEastAsia" w:hAnsiTheme="minorEastAsia" w:cs="Arial" w:hint="eastAsia"/>
          <w:sz w:val="24"/>
          <w:szCs w:val="24"/>
        </w:rPr>
        <w:t>）提供足够的培训：制定了完整的培训计划，为所有员工提供足够和适当的培训，使员工明确其职责所在，控制风险。</w:t>
      </w:r>
    </w:p>
    <w:p w14:paraId="1572164C" w14:textId="77777777" w:rsidR="007B7C2A" w:rsidRDefault="00072812">
      <w:pPr>
        <w:widowControl/>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w:t>
      </w:r>
      <w:r>
        <w:rPr>
          <w:rFonts w:asciiTheme="minorEastAsia" w:hAnsiTheme="minorEastAsia" w:cs="Arial" w:hint="eastAsia"/>
          <w:sz w:val="24"/>
          <w:szCs w:val="24"/>
        </w:rPr>
        <w:t>、基金管理人承诺上述关于内部控制的披露真实、准确，并承诺将根据市场环境的变化及公司的发展不断完善合</w:t>
      </w:r>
      <w:proofErr w:type="gramStart"/>
      <w:r>
        <w:rPr>
          <w:rFonts w:asciiTheme="minorEastAsia" w:hAnsiTheme="minorEastAsia" w:cs="Arial" w:hint="eastAsia"/>
          <w:sz w:val="24"/>
          <w:szCs w:val="24"/>
        </w:rPr>
        <w:t>规</w:t>
      </w:r>
      <w:proofErr w:type="gramEnd"/>
      <w:r>
        <w:rPr>
          <w:rFonts w:asciiTheme="minorEastAsia" w:hAnsiTheme="minorEastAsia" w:cs="Arial" w:hint="eastAsia"/>
          <w:sz w:val="24"/>
          <w:szCs w:val="24"/>
        </w:rPr>
        <w:t>控制。</w:t>
      </w:r>
      <w:bookmarkStart w:id="87" w:name="_Toc238027832"/>
      <w:bookmarkStart w:id="88" w:name="_Toc238013745"/>
      <w:bookmarkEnd w:id="87"/>
      <w:bookmarkEnd w:id="88"/>
      <w:r>
        <w:rPr>
          <w:rFonts w:asciiTheme="minorEastAsia" w:hAnsiTheme="minorEastAsia" w:cs="Arial"/>
          <w:sz w:val="24"/>
          <w:szCs w:val="24"/>
        </w:rPr>
        <w:br w:type="page"/>
      </w:r>
    </w:p>
    <w:p w14:paraId="54CE1D7A" w14:textId="77777777" w:rsidR="007B7C2A" w:rsidRDefault="00072812">
      <w:pPr>
        <w:pStyle w:val="1"/>
        <w:ind w:firstLine="602"/>
        <w:jc w:val="center"/>
        <w:rPr>
          <w:sz w:val="30"/>
          <w:szCs w:val="30"/>
        </w:rPr>
      </w:pPr>
      <w:bookmarkStart w:id="89" w:name="_Toc146096521"/>
      <w:r>
        <w:rPr>
          <w:rFonts w:hint="eastAsia"/>
          <w:sz w:val="30"/>
          <w:szCs w:val="30"/>
        </w:rPr>
        <w:t>第四部分</w:t>
      </w:r>
      <w:r>
        <w:rPr>
          <w:sz w:val="30"/>
          <w:szCs w:val="30"/>
        </w:rPr>
        <w:t xml:space="preserve">  </w:t>
      </w:r>
      <w:r>
        <w:rPr>
          <w:rFonts w:hint="eastAsia"/>
          <w:sz w:val="30"/>
          <w:szCs w:val="30"/>
        </w:rPr>
        <w:t>基金托管人</w:t>
      </w:r>
      <w:bookmarkEnd w:id="89"/>
    </w:p>
    <w:p w14:paraId="024DB02F" w14:textId="77777777" w:rsidR="007B7C2A" w:rsidRDefault="00072812">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一、基金托管人概况</w:t>
      </w:r>
    </w:p>
    <w:p w14:paraId="796CACE6"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、基本情况</w:t>
      </w:r>
    </w:p>
    <w:p w14:paraId="0B9F03DC"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名称：平安银行股份有限公司</w:t>
      </w:r>
    </w:p>
    <w:p w14:paraId="6E63D786"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注册住所：广东省深圳市罗湖区深南东路</w:t>
      </w:r>
      <w:r>
        <w:rPr>
          <w:rFonts w:asciiTheme="minorEastAsia" w:hAnsiTheme="minorEastAsia" w:cs="Times New Roman" w:hint="eastAsia"/>
          <w:sz w:val="24"/>
          <w:szCs w:val="24"/>
        </w:rPr>
        <w:t>5047</w:t>
      </w:r>
      <w:r>
        <w:rPr>
          <w:rFonts w:asciiTheme="minorEastAsia" w:hAnsiTheme="minorEastAsia" w:cs="Times New Roman" w:hint="eastAsia"/>
          <w:sz w:val="24"/>
          <w:szCs w:val="24"/>
        </w:rPr>
        <w:t>号</w:t>
      </w:r>
    </w:p>
    <w:p w14:paraId="07503043"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办公地址：广东省深圳市福田区益田路</w:t>
      </w:r>
      <w:r>
        <w:rPr>
          <w:rFonts w:asciiTheme="minorEastAsia" w:hAnsiTheme="minorEastAsia" w:cs="Times New Roman" w:hint="eastAsia"/>
          <w:sz w:val="24"/>
          <w:szCs w:val="24"/>
        </w:rPr>
        <w:t>5023</w:t>
      </w:r>
      <w:r>
        <w:rPr>
          <w:rFonts w:asciiTheme="minorEastAsia" w:hAnsiTheme="minorEastAsia" w:cs="Times New Roman" w:hint="eastAsia"/>
          <w:sz w:val="24"/>
          <w:szCs w:val="24"/>
        </w:rPr>
        <w:t>号平安金融中心</w:t>
      </w:r>
      <w:r>
        <w:rPr>
          <w:rFonts w:asciiTheme="minorEastAsia" w:hAnsiTheme="minorEastAsia" w:cs="Times New Roman" w:hint="eastAsia"/>
          <w:sz w:val="24"/>
          <w:szCs w:val="24"/>
        </w:rPr>
        <w:t>B</w:t>
      </w:r>
      <w:r>
        <w:rPr>
          <w:rFonts w:asciiTheme="minorEastAsia" w:hAnsiTheme="minorEastAsia" w:cs="Times New Roman" w:hint="eastAsia"/>
          <w:sz w:val="24"/>
          <w:szCs w:val="24"/>
        </w:rPr>
        <w:t>座</w:t>
      </w:r>
      <w:r>
        <w:rPr>
          <w:rFonts w:asciiTheme="minorEastAsia" w:hAnsiTheme="minorEastAsia" w:cs="Times New Roman" w:hint="eastAsia"/>
          <w:sz w:val="24"/>
          <w:szCs w:val="24"/>
        </w:rPr>
        <w:t>26</w:t>
      </w:r>
      <w:r>
        <w:rPr>
          <w:rFonts w:asciiTheme="minorEastAsia" w:hAnsiTheme="minorEastAsia" w:cs="Times New Roman" w:hint="eastAsia"/>
          <w:sz w:val="24"/>
          <w:szCs w:val="24"/>
        </w:rPr>
        <w:t>楼</w:t>
      </w:r>
    </w:p>
    <w:p w14:paraId="2A582221"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法定代表人：谢永林</w:t>
      </w:r>
    </w:p>
    <w:p w14:paraId="122210C7"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成立日期：</w:t>
      </w:r>
      <w:r>
        <w:rPr>
          <w:rFonts w:asciiTheme="minorEastAsia" w:hAnsiTheme="minorEastAsia" w:cs="Times New Roman" w:hint="eastAsia"/>
          <w:sz w:val="24"/>
          <w:szCs w:val="24"/>
        </w:rPr>
        <w:t>1987</w:t>
      </w:r>
      <w:r>
        <w:rPr>
          <w:rFonts w:asciiTheme="minorEastAsia" w:hAnsiTheme="minorEastAsia" w:cs="Times New Roman" w:hint="eastAsia"/>
          <w:sz w:val="24"/>
          <w:szCs w:val="24"/>
        </w:rPr>
        <w:t>年</w:t>
      </w:r>
      <w:r>
        <w:rPr>
          <w:rFonts w:asciiTheme="minorEastAsia" w:hAnsiTheme="minorEastAsia" w:cs="Times New Roman" w:hint="eastAsia"/>
          <w:sz w:val="24"/>
          <w:szCs w:val="24"/>
        </w:rPr>
        <w:t>12</w:t>
      </w:r>
      <w:r>
        <w:rPr>
          <w:rFonts w:asciiTheme="minorEastAsia" w:hAnsiTheme="minorEastAsia" w:cs="Times New Roman" w:hint="eastAsia"/>
          <w:sz w:val="24"/>
          <w:szCs w:val="24"/>
        </w:rPr>
        <w:t>月</w:t>
      </w:r>
      <w:r>
        <w:rPr>
          <w:rFonts w:asciiTheme="minorEastAsia" w:hAnsiTheme="minorEastAsia" w:cs="Times New Roman" w:hint="eastAsia"/>
          <w:sz w:val="24"/>
          <w:szCs w:val="24"/>
        </w:rPr>
        <w:t>22</w:t>
      </w:r>
      <w:r>
        <w:rPr>
          <w:rFonts w:asciiTheme="minorEastAsia" w:hAnsiTheme="minorEastAsia" w:cs="Times New Roman" w:hint="eastAsia"/>
          <w:sz w:val="24"/>
          <w:szCs w:val="24"/>
        </w:rPr>
        <w:t>日</w:t>
      </w:r>
    </w:p>
    <w:p w14:paraId="3FEA4C07"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组织形式：股份有限公司</w:t>
      </w:r>
    </w:p>
    <w:p w14:paraId="1A73890E"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注册资本：</w:t>
      </w:r>
      <w:r>
        <w:rPr>
          <w:rFonts w:asciiTheme="minorEastAsia" w:hAnsiTheme="minorEastAsia" w:cs="Times New Roman" w:hint="eastAsia"/>
          <w:sz w:val="24"/>
          <w:szCs w:val="24"/>
        </w:rPr>
        <w:t>19,405,918,198</w:t>
      </w:r>
      <w:r>
        <w:rPr>
          <w:rFonts w:asciiTheme="minorEastAsia" w:hAnsiTheme="minorEastAsia" w:cs="Times New Roman" w:hint="eastAsia"/>
          <w:sz w:val="24"/>
          <w:szCs w:val="24"/>
        </w:rPr>
        <w:t>元</w:t>
      </w:r>
    </w:p>
    <w:p w14:paraId="5D5D8FC3"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存续期间：持续经营</w:t>
      </w:r>
    </w:p>
    <w:p w14:paraId="69611616"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基金托管资格批文及文号：中国证监会证监许可</w:t>
      </w:r>
      <w:r>
        <w:rPr>
          <w:rFonts w:asciiTheme="minorEastAsia" w:hAnsiTheme="minorEastAsia" w:cs="Times New Roman" w:hint="eastAsia"/>
          <w:sz w:val="24"/>
          <w:szCs w:val="24"/>
        </w:rPr>
        <w:t xml:space="preserve">[2008]1037 </w:t>
      </w:r>
      <w:r>
        <w:rPr>
          <w:rFonts w:asciiTheme="minorEastAsia" w:hAnsiTheme="minorEastAsia" w:cs="Times New Roman" w:hint="eastAsia"/>
          <w:sz w:val="24"/>
          <w:szCs w:val="24"/>
        </w:rPr>
        <w:t>号</w:t>
      </w:r>
    </w:p>
    <w:p w14:paraId="749FCBF5"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联系人：董德程</w:t>
      </w:r>
    </w:p>
    <w:p w14:paraId="1DCC9406"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联系电话：</w:t>
      </w:r>
      <w:r>
        <w:rPr>
          <w:rFonts w:asciiTheme="minorEastAsia" w:hAnsiTheme="minorEastAsia" w:cs="Times New Roman" w:hint="eastAsia"/>
          <w:sz w:val="24"/>
          <w:szCs w:val="24"/>
        </w:rPr>
        <w:t>0755-88674238</w:t>
      </w:r>
    </w:p>
    <w:p w14:paraId="4C5778EE"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、平安银行基本情况</w:t>
      </w:r>
    </w:p>
    <w:p w14:paraId="4769249B"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平安银行股份有限公司是一家总部设在深圳的全国性股份制商业银行（深圳证券交易所简称：平安银行，证券代码</w:t>
      </w:r>
      <w:r>
        <w:rPr>
          <w:rFonts w:asciiTheme="minorEastAsia" w:hAnsiTheme="minorEastAsia" w:cs="Times New Roman" w:hint="eastAsia"/>
          <w:sz w:val="24"/>
          <w:szCs w:val="24"/>
        </w:rPr>
        <w:t>000001</w:t>
      </w:r>
      <w:r>
        <w:rPr>
          <w:rFonts w:asciiTheme="minorEastAsia" w:hAnsiTheme="minorEastAsia" w:cs="Times New Roman" w:hint="eastAsia"/>
          <w:sz w:val="24"/>
          <w:szCs w:val="24"/>
        </w:rPr>
        <w:t>）。其前身是深圳发展银行股份有限公司，于</w:t>
      </w:r>
      <w:r>
        <w:rPr>
          <w:rFonts w:asciiTheme="minorEastAsia" w:hAnsiTheme="minorEastAsia" w:cs="Times New Roman" w:hint="eastAsia"/>
          <w:sz w:val="24"/>
          <w:szCs w:val="24"/>
        </w:rPr>
        <w:t>2012</w:t>
      </w:r>
      <w:r>
        <w:rPr>
          <w:rFonts w:asciiTheme="minorEastAsia" w:hAnsiTheme="minorEastAsia" w:cs="Times New Roman" w:hint="eastAsia"/>
          <w:sz w:val="24"/>
          <w:szCs w:val="24"/>
        </w:rPr>
        <w:t>年</w:t>
      </w:r>
      <w:r>
        <w:rPr>
          <w:rFonts w:asciiTheme="minorEastAsia" w:hAnsiTheme="minorEastAsia" w:cs="Times New Roman" w:hint="eastAsia"/>
          <w:sz w:val="24"/>
          <w:szCs w:val="24"/>
        </w:rPr>
        <w:t>6</w:t>
      </w:r>
      <w:r>
        <w:rPr>
          <w:rFonts w:asciiTheme="minorEastAsia" w:hAnsiTheme="minorEastAsia" w:cs="Times New Roman" w:hint="eastAsia"/>
          <w:sz w:val="24"/>
          <w:szCs w:val="24"/>
        </w:rPr>
        <w:t>月吸收合并原平安银行并于同年</w:t>
      </w:r>
      <w:r>
        <w:rPr>
          <w:rFonts w:asciiTheme="minorEastAsia" w:hAnsiTheme="minorEastAsia" w:cs="Times New Roman" w:hint="eastAsia"/>
          <w:sz w:val="24"/>
          <w:szCs w:val="24"/>
        </w:rPr>
        <w:t>7</w:t>
      </w:r>
      <w:r>
        <w:rPr>
          <w:rFonts w:asciiTheme="minorEastAsia" w:hAnsiTheme="minorEastAsia" w:cs="Times New Roman" w:hint="eastAsia"/>
          <w:sz w:val="24"/>
          <w:szCs w:val="24"/>
        </w:rPr>
        <w:t>月更名为平安银行。中国平安保险（集团）股份有限公司及其子公司合计持有平安银行</w:t>
      </w:r>
      <w:r>
        <w:rPr>
          <w:rFonts w:asciiTheme="minorEastAsia" w:hAnsiTheme="minorEastAsia" w:cs="Times New Roman" w:hint="eastAsia"/>
          <w:sz w:val="24"/>
          <w:szCs w:val="24"/>
        </w:rPr>
        <w:t>58%</w:t>
      </w:r>
      <w:r>
        <w:rPr>
          <w:rFonts w:asciiTheme="minorEastAsia" w:hAnsiTheme="minorEastAsia" w:cs="Times New Roman" w:hint="eastAsia"/>
          <w:sz w:val="24"/>
          <w:szCs w:val="24"/>
        </w:rPr>
        <w:t>的股份，为平安银行的控股股东。截至</w:t>
      </w:r>
      <w:r>
        <w:rPr>
          <w:rFonts w:asciiTheme="minorEastAsia" w:hAnsiTheme="minorEastAsia" w:cs="Times New Roman" w:hint="eastAsia"/>
          <w:sz w:val="24"/>
          <w:szCs w:val="24"/>
        </w:rPr>
        <w:t>2025</w:t>
      </w:r>
      <w:r>
        <w:rPr>
          <w:rFonts w:asciiTheme="minorEastAsia" w:hAnsiTheme="minorEastAsia" w:cs="Times New Roman" w:hint="eastAsia"/>
          <w:sz w:val="24"/>
          <w:szCs w:val="24"/>
        </w:rPr>
        <w:t>年</w:t>
      </w:r>
      <w:r>
        <w:rPr>
          <w:rFonts w:asciiTheme="minorEastAsia" w:hAnsiTheme="minorEastAsia" w:cs="Times New Roman" w:hint="eastAsia"/>
          <w:sz w:val="24"/>
          <w:szCs w:val="24"/>
        </w:rPr>
        <w:t>6</w:t>
      </w:r>
      <w:r>
        <w:rPr>
          <w:rFonts w:asciiTheme="minorEastAsia" w:hAnsiTheme="minorEastAsia" w:cs="Times New Roman" w:hint="eastAsia"/>
          <w:sz w:val="24"/>
          <w:szCs w:val="24"/>
        </w:rPr>
        <w:t>月末，平安银行有</w:t>
      </w:r>
      <w:r>
        <w:rPr>
          <w:rFonts w:asciiTheme="minorEastAsia" w:hAnsiTheme="minorEastAsia" w:cs="Times New Roman" w:hint="eastAsia"/>
          <w:sz w:val="24"/>
          <w:szCs w:val="24"/>
        </w:rPr>
        <w:t>110</w:t>
      </w:r>
      <w:r>
        <w:rPr>
          <w:rFonts w:asciiTheme="minorEastAsia" w:hAnsiTheme="minorEastAsia" w:cs="Times New Roman" w:hint="eastAsia"/>
          <w:sz w:val="24"/>
          <w:szCs w:val="24"/>
        </w:rPr>
        <w:t>家分行（含香港分行）</w:t>
      </w:r>
      <w:r>
        <w:rPr>
          <w:rFonts w:asciiTheme="minorEastAsia" w:hAnsiTheme="minorEastAsia" w:cs="Times New Roman" w:hint="eastAsia"/>
          <w:sz w:val="24"/>
          <w:szCs w:val="24"/>
        </w:rPr>
        <w:t>,</w:t>
      </w:r>
      <w:r>
        <w:rPr>
          <w:rFonts w:asciiTheme="minorEastAsia" w:hAnsiTheme="minorEastAsia" w:cs="Times New Roman" w:hint="eastAsia"/>
          <w:sz w:val="24"/>
          <w:szCs w:val="24"/>
        </w:rPr>
        <w:t>共</w:t>
      </w:r>
      <w:r>
        <w:rPr>
          <w:rFonts w:asciiTheme="minorEastAsia" w:hAnsiTheme="minorEastAsia" w:cs="Times New Roman" w:hint="eastAsia"/>
          <w:sz w:val="24"/>
          <w:szCs w:val="24"/>
        </w:rPr>
        <w:t>1,134</w:t>
      </w:r>
      <w:r>
        <w:rPr>
          <w:rFonts w:asciiTheme="minorEastAsia" w:hAnsiTheme="minorEastAsia" w:cs="Times New Roman" w:hint="eastAsia"/>
          <w:sz w:val="24"/>
          <w:szCs w:val="24"/>
        </w:rPr>
        <w:t>家营业机构。</w:t>
      </w:r>
    </w:p>
    <w:p w14:paraId="3B08ADFB"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2025</w:t>
      </w:r>
      <w:r>
        <w:rPr>
          <w:rFonts w:asciiTheme="minorEastAsia" w:hAnsiTheme="minorEastAsia" w:cs="Times New Roman" w:hint="eastAsia"/>
          <w:sz w:val="24"/>
          <w:szCs w:val="24"/>
        </w:rPr>
        <w:t>年</w:t>
      </w:r>
      <w:r>
        <w:rPr>
          <w:rFonts w:asciiTheme="minorEastAsia" w:hAnsiTheme="minorEastAsia" w:cs="Times New Roman" w:hint="eastAsia"/>
          <w:sz w:val="24"/>
          <w:szCs w:val="24"/>
        </w:rPr>
        <w:t>1-6</w:t>
      </w:r>
      <w:r>
        <w:rPr>
          <w:rFonts w:asciiTheme="minorEastAsia" w:hAnsiTheme="minorEastAsia" w:cs="Times New Roman" w:hint="eastAsia"/>
          <w:sz w:val="24"/>
          <w:szCs w:val="24"/>
        </w:rPr>
        <w:t>月，平安银行实现营业收入</w:t>
      </w:r>
      <w:r>
        <w:rPr>
          <w:rFonts w:asciiTheme="minorEastAsia" w:hAnsiTheme="minorEastAsia" w:cs="Times New Roman" w:hint="eastAsia"/>
          <w:sz w:val="24"/>
          <w:szCs w:val="24"/>
        </w:rPr>
        <w:t>693.85</w:t>
      </w:r>
      <w:r>
        <w:rPr>
          <w:rFonts w:asciiTheme="minorEastAsia" w:hAnsiTheme="minorEastAsia" w:cs="Times New Roman" w:hint="eastAsia"/>
          <w:sz w:val="24"/>
          <w:szCs w:val="24"/>
        </w:rPr>
        <w:t>亿元（同比下降</w:t>
      </w:r>
      <w:r>
        <w:rPr>
          <w:rFonts w:asciiTheme="minorEastAsia" w:hAnsiTheme="minorEastAsia" w:cs="Times New Roman" w:hint="eastAsia"/>
          <w:sz w:val="24"/>
          <w:szCs w:val="24"/>
        </w:rPr>
        <w:t>10.0%</w:t>
      </w:r>
      <w:r>
        <w:rPr>
          <w:rFonts w:asciiTheme="minorEastAsia" w:hAnsiTheme="minorEastAsia" w:cs="Times New Roman" w:hint="eastAsia"/>
          <w:sz w:val="24"/>
          <w:szCs w:val="24"/>
        </w:rPr>
        <w:t>）、净利润</w:t>
      </w:r>
      <w:r>
        <w:rPr>
          <w:rFonts w:asciiTheme="minorEastAsia" w:hAnsiTheme="minorEastAsia" w:cs="Times New Roman" w:hint="eastAsia"/>
          <w:sz w:val="24"/>
          <w:szCs w:val="24"/>
        </w:rPr>
        <w:t>248.70</w:t>
      </w:r>
      <w:r>
        <w:rPr>
          <w:rFonts w:asciiTheme="minorEastAsia" w:hAnsiTheme="minorEastAsia" w:cs="Times New Roman" w:hint="eastAsia"/>
          <w:sz w:val="24"/>
          <w:szCs w:val="24"/>
        </w:rPr>
        <w:t>亿元（同比下降</w:t>
      </w:r>
      <w:r>
        <w:rPr>
          <w:rFonts w:asciiTheme="minorEastAsia" w:hAnsiTheme="minorEastAsia" w:cs="Times New Roman" w:hint="eastAsia"/>
          <w:sz w:val="24"/>
          <w:szCs w:val="24"/>
        </w:rPr>
        <w:t xml:space="preserve"> 3.9%</w:t>
      </w:r>
      <w:r>
        <w:rPr>
          <w:rFonts w:asciiTheme="minorEastAsia" w:hAnsiTheme="minorEastAsia" w:cs="Times New Roman" w:hint="eastAsia"/>
          <w:sz w:val="24"/>
          <w:szCs w:val="24"/>
        </w:rPr>
        <w:t>）、资产总额</w:t>
      </w:r>
      <w:r>
        <w:rPr>
          <w:rFonts w:asciiTheme="minorEastAsia" w:hAnsiTheme="minorEastAsia" w:cs="Times New Roman" w:hint="eastAsia"/>
          <w:sz w:val="24"/>
          <w:szCs w:val="24"/>
        </w:rPr>
        <w:t>58,749.61</w:t>
      </w:r>
      <w:r>
        <w:rPr>
          <w:rFonts w:asciiTheme="minorEastAsia" w:hAnsiTheme="minorEastAsia" w:cs="Times New Roman" w:hint="eastAsia"/>
          <w:sz w:val="24"/>
          <w:szCs w:val="24"/>
        </w:rPr>
        <w:t>亿元（较上年末增长</w:t>
      </w:r>
      <w:r>
        <w:rPr>
          <w:rFonts w:asciiTheme="minorEastAsia" w:hAnsiTheme="minorEastAsia" w:cs="Times New Roman" w:hint="eastAsia"/>
          <w:sz w:val="24"/>
          <w:szCs w:val="24"/>
        </w:rPr>
        <w:t>1.8%</w:t>
      </w:r>
      <w:r>
        <w:rPr>
          <w:rFonts w:asciiTheme="minorEastAsia" w:hAnsiTheme="minorEastAsia" w:cs="Times New Roman" w:hint="eastAsia"/>
          <w:sz w:val="24"/>
          <w:szCs w:val="24"/>
        </w:rPr>
        <w:t>）、吸收存款本金余额</w:t>
      </w:r>
      <w:r>
        <w:rPr>
          <w:rFonts w:asciiTheme="minorEastAsia" w:hAnsiTheme="minorEastAsia" w:cs="Times New Roman" w:hint="eastAsia"/>
          <w:sz w:val="24"/>
          <w:szCs w:val="24"/>
        </w:rPr>
        <w:t>36,944.71</w:t>
      </w:r>
      <w:r>
        <w:rPr>
          <w:rFonts w:asciiTheme="minorEastAsia" w:hAnsiTheme="minorEastAsia" w:cs="Times New Roman" w:hint="eastAsia"/>
          <w:sz w:val="24"/>
          <w:szCs w:val="24"/>
        </w:rPr>
        <w:t>亿元（较上年末增长</w:t>
      </w:r>
      <w:r>
        <w:rPr>
          <w:rFonts w:asciiTheme="minorEastAsia" w:hAnsiTheme="minorEastAsia" w:cs="Times New Roman" w:hint="eastAsia"/>
          <w:sz w:val="24"/>
          <w:szCs w:val="24"/>
        </w:rPr>
        <w:t xml:space="preserve"> 4.6%</w:t>
      </w:r>
      <w:r>
        <w:rPr>
          <w:rFonts w:asciiTheme="minorEastAsia" w:hAnsiTheme="minorEastAsia" w:cs="Times New Roman" w:hint="eastAsia"/>
          <w:sz w:val="24"/>
          <w:szCs w:val="24"/>
        </w:rPr>
        <w:t>）、发放贷款和垫款总额</w:t>
      </w:r>
      <w:r>
        <w:rPr>
          <w:rFonts w:asciiTheme="minorEastAsia" w:hAnsiTheme="minorEastAsia" w:cs="Times New Roman" w:hint="eastAsia"/>
          <w:sz w:val="24"/>
          <w:szCs w:val="24"/>
        </w:rPr>
        <w:t>34,084.98</w:t>
      </w:r>
      <w:r>
        <w:rPr>
          <w:rFonts w:asciiTheme="minorEastAsia" w:hAnsiTheme="minorEastAsia" w:cs="Times New Roman" w:hint="eastAsia"/>
          <w:sz w:val="24"/>
          <w:szCs w:val="24"/>
        </w:rPr>
        <w:t>亿元（较上年末增长</w:t>
      </w:r>
      <w:r>
        <w:rPr>
          <w:rFonts w:asciiTheme="minorEastAsia" w:hAnsiTheme="minorEastAsia" w:cs="Times New Roman" w:hint="eastAsia"/>
          <w:sz w:val="24"/>
          <w:szCs w:val="24"/>
        </w:rPr>
        <w:t>1.0%</w:t>
      </w:r>
      <w:r>
        <w:rPr>
          <w:rFonts w:asciiTheme="minorEastAsia" w:hAnsiTheme="minorEastAsia" w:cs="Times New Roman" w:hint="eastAsia"/>
          <w:sz w:val="24"/>
          <w:szCs w:val="24"/>
        </w:rPr>
        <w:t>）。</w:t>
      </w:r>
    </w:p>
    <w:p w14:paraId="570759B0"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、主要人员情况</w:t>
      </w:r>
    </w:p>
    <w:p w14:paraId="5008972B"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平安银行总行</w:t>
      </w:r>
      <w:proofErr w:type="gramStart"/>
      <w:r>
        <w:rPr>
          <w:rFonts w:asciiTheme="minorEastAsia" w:hAnsiTheme="minorEastAsia" w:cs="Times New Roman" w:hint="eastAsia"/>
          <w:sz w:val="24"/>
          <w:szCs w:val="24"/>
        </w:rPr>
        <w:t>设资产</w:t>
      </w:r>
      <w:proofErr w:type="gramEnd"/>
      <w:r>
        <w:rPr>
          <w:rFonts w:asciiTheme="minorEastAsia" w:hAnsiTheme="minorEastAsia" w:cs="Times New Roman" w:hint="eastAsia"/>
          <w:sz w:val="24"/>
          <w:szCs w:val="24"/>
        </w:rPr>
        <w:t>托管部，下设客群拓展室、营销推动室、估值核算室、资金清算室、企划与综合服务室、数字平台室、督察合</w:t>
      </w:r>
      <w:proofErr w:type="gramStart"/>
      <w:r>
        <w:rPr>
          <w:rFonts w:asciiTheme="minorEastAsia" w:hAnsiTheme="minorEastAsia" w:cs="Times New Roman" w:hint="eastAsia"/>
          <w:sz w:val="24"/>
          <w:szCs w:val="24"/>
        </w:rPr>
        <w:t>规</w:t>
      </w:r>
      <w:proofErr w:type="gramEnd"/>
      <w:r>
        <w:rPr>
          <w:rFonts w:asciiTheme="minorEastAsia" w:hAnsiTheme="minorEastAsia" w:cs="Times New Roman" w:hint="eastAsia"/>
          <w:sz w:val="24"/>
          <w:szCs w:val="24"/>
        </w:rPr>
        <w:t>室、基金服务室</w:t>
      </w:r>
      <w:r>
        <w:rPr>
          <w:rFonts w:asciiTheme="minorEastAsia" w:hAnsiTheme="minorEastAsia" w:cs="Times New Roman" w:hint="eastAsia"/>
          <w:sz w:val="24"/>
          <w:szCs w:val="24"/>
        </w:rPr>
        <w:t>8</w:t>
      </w:r>
      <w:r>
        <w:rPr>
          <w:rFonts w:asciiTheme="minorEastAsia" w:hAnsiTheme="minorEastAsia" w:cs="Times New Roman" w:hint="eastAsia"/>
          <w:sz w:val="24"/>
          <w:szCs w:val="24"/>
        </w:rPr>
        <w:t>个处室，目前部门人员为</w:t>
      </w:r>
      <w:r>
        <w:rPr>
          <w:rFonts w:asciiTheme="minorEastAsia" w:hAnsiTheme="minorEastAsia" w:cs="Times New Roman" w:hint="eastAsia"/>
          <w:sz w:val="24"/>
          <w:szCs w:val="24"/>
        </w:rPr>
        <w:t>74</w:t>
      </w:r>
      <w:r>
        <w:rPr>
          <w:rFonts w:asciiTheme="minorEastAsia" w:hAnsiTheme="minorEastAsia" w:cs="Times New Roman" w:hint="eastAsia"/>
          <w:sz w:val="24"/>
          <w:szCs w:val="24"/>
        </w:rPr>
        <w:t>人，为客户提供专业化的托管服务。证券投资基金托管业务相关员工配置齐全且从业经验丰富，托管</w:t>
      </w:r>
      <w:proofErr w:type="gramStart"/>
      <w:r>
        <w:rPr>
          <w:rFonts w:asciiTheme="minorEastAsia" w:hAnsiTheme="minorEastAsia" w:cs="Times New Roman" w:hint="eastAsia"/>
          <w:sz w:val="24"/>
          <w:szCs w:val="24"/>
        </w:rPr>
        <w:t>部核心管理层具备</w:t>
      </w:r>
      <w:proofErr w:type="gramEnd"/>
      <w:r>
        <w:rPr>
          <w:rFonts w:asciiTheme="minorEastAsia" w:hAnsiTheme="minorEastAsia" w:cs="Times New Roman" w:hint="eastAsia"/>
          <w:sz w:val="24"/>
          <w:szCs w:val="24"/>
        </w:rPr>
        <w:t>银行管理、证券或托管业务十年以上从业经验。</w:t>
      </w:r>
    </w:p>
    <w:p w14:paraId="749C2B7A"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、基金托管业务经营情况</w:t>
      </w:r>
    </w:p>
    <w:p w14:paraId="135831F1"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2008</w:t>
      </w:r>
      <w:r>
        <w:rPr>
          <w:rFonts w:asciiTheme="minorEastAsia" w:hAnsiTheme="minorEastAsia" w:cs="Times New Roman" w:hint="eastAsia"/>
          <w:sz w:val="24"/>
          <w:szCs w:val="24"/>
        </w:rPr>
        <w:t>年</w:t>
      </w:r>
      <w:r>
        <w:rPr>
          <w:rFonts w:asciiTheme="minorEastAsia" w:hAnsiTheme="minorEastAsia" w:cs="Times New Roman" w:hint="eastAsia"/>
          <w:sz w:val="24"/>
          <w:szCs w:val="24"/>
        </w:rPr>
        <w:t>8</w:t>
      </w:r>
      <w:r>
        <w:rPr>
          <w:rFonts w:asciiTheme="minorEastAsia" w:hAnsiTheme="minorEastAsia" w:cs="Times New Roman" w:hint="eastAsia"/>
          <w:sz w:val="24"/>
          <w:szCs w:val="24"/>
        </w:rPr>
        <w:t>月</w:t>
      </w:r>
      <w:r>
        <w:rPr>
          <w:rFonts w:asciiTheme="minorEastAsia" w:hAnsiTheme="minorEastAsia" w:cs="Times New Roman" w:hint="eastAsia"/>
          <w:sz w:val="24"/>
          <w:szCs w:val="24"/>
        </w:rPr>
        <w:t>15</w:t>
      </w:r>
      <w:r>
        <w:rPr>
          <w:rFonts w:asciiTheme="minorEastAsia" w:hAnsiTheme="minorEastAsia" w:cs="Times New Roman" w:hint="eastAsia"/>
          <w:sz w:val="24"/>
          <w:szCs w:val="24"/>
        </w:rPr>
        <w:t>日获得中国证监会、银监会核准开办证券投资基金托管业务。截至</w:t>
      </w:r>
      <w:r>
        <w:rPr>
          <w:rFonts w:asciiTheme="minorEastAsia" w:hAnsiTheme="minorEastAsia" w:cs="Times New Roman" w:hint="eastAsia"/>
          <w:sz w:val="24"/>
          <w:szCs w:val="24"/>
        </w:rPr>
        <w:t>2025</w:t>
      </w:r>
      <w:r>
        <w:rPr>
          <w:rFonts w:asciiTheme="minorEastAsia" w:hAnsiTheme="minorEastAsia" w:cs="Times New Roman" w:hint="eastAsia"/>
          <w:sz w:val="24"/>
          <w:szCs w:val="24"/>
        </w:rPr>
        <w:t>年</w:t>
      </w:r>
      <w:r>
        <w:rPr>
          <w:rFonts w:asciiTheme="minorEastAsia" w:hAnsiTheme="minorEastAsia" w:cs="Times New Roman" w:hint="eastAsia"/>
          <w:sz w:val="24"/>
          <w:szCs w:val="24"/>
        </w:rPr>
        <w:t>6</w:t>
      </w:r>
      <w:r>
        <w:rPr>
          <w:rFonts w:asciiTheme="minorEastAsia" w:hAnsiTheme="minorEastAsia" w:cs="Times New Roman" w:hint="eastAsia"/>
          <w:sz w:val="24"/>
          <w:szCs w:val="24"/>
        </w:rPr>
        <w:t>月末，平安银行股份有限公司托管证券投资基金净值规模合计</w:t>
      </w:r>
      <w:r>
        <w:rPr>
          <w:rFonts w:asciiTheme="minorEastAsia" w:hAnsiTheme="minorEastAsia" w:cs="Times New Roman" w:hint="eastAsia"/>
          <w:sz w:val="24"/>
          <w:szCs w:val="24"/>
        </w:rPr>
        <w:t>8150.82</w:t>
      </w:r>
      <w:r>
        <w:rPr>
          <w:rFonts w:asciiTheme="minorEastAsia" w:hAnsiTheme="minorEastAsia" w:cs="Times New Roman" w:hint="eastAsia"/>
          <w:sz w:val="24"/>
          <w:szCs w:val="24"/>
        </w:rPr>
        <w:t>亿，平安银行已托管</w:t>
      </w:r>
      <w:r>
        <w:rPr>
          <w:rFonts w:asciiTheme="minorEastAsia" w:hAnsiTheme="minorEastAsia" w:cs="Times New Roman" w:hint="eastAsia"/>
          <w:sz w:val="24"/>
          <w:szCs w:val="24"/>
        </w:rPr>
        <w:t>331</w:t>
      </w:r>
      <w:r>
        <w:rPr>
          <w:rFonts w:asciiTheme="minorEastAsia" w:hAnsiTheme="minorEastAsia" w:cs="Times New Roman" w:hint="eastAsia"/>
          <w:sz w:val="24"/>
          <w:szCs w:val="24"/>
        </w:rPr>
        <w:t>只证券投资基金，覆盖了股票型、债券型、混合型、货币型、指数型、</w:t>
      </w:r>
      <w:r>
        <w:rPr>
          <w:rFonts w:asciiTheme="minorEastAsia" w:hAnsiTheme="minorEastAsia" w:cs="Times New Roman" w:hint="eastAsia"/>
          <w:sz w:val="24"/>
          <w:szCs w:val="24"/>
        </w:rPr>
        <w:t xml:space="preserve">FOF </w:t>
      </w:r>
      <w:r>
        <w:rPr>
          <w:rFonts w:asciiTheme="minorEastAsia" w:hAnsiTheme="minorEastAsia" w:cs="Times New Roman" w:hint="eastAsia"/>
          <w:sz w:val="24"/>
          <w:szCs w:val="24"/>
        </w:rPr>
        <w:t>等多种类型的基金，满足了不同客户多元化的投资理财需求。</w:t>
      </w:r>
    </w:p>
    <w:p w14:paraId="094B9446" w14:textId="77777777" w:rsidR="007B7C2A" w:rsidRDefault="00072812">
      <w:pPr>
        <w:tabs>
          <w:tab w:val="left" w:pos="1110"/>
        </w:tabs>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二、基金托管人的内部风险控制制度说明</w:t>
      </w:r>
    </w:p>
    <w:p w14:paraId="4872453A"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、内部控制目标</w:t>
      </w:r>
    </w:p>
    <w:p w14:paraId="62D6A127"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作为基金托管人，平安银行股份有限公司严格遵守国家有关托管业务的法律法规、行业监管要求，自觉形成守法经营、规范运作的经营理念和经营风格；确保基金财产的安全完整，确保有关信息的真实、准确、完整、及时，保护基金份额持有人的合法权益；确保内部控制和风险管理体系的有效性；防范和化解经营风险，确保业务的安全、稳健运行，促进经营目标的实现。</w:t>
      </w:r>
    </w:p>
    <w:p w14:paraId="5EF14243"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、内部控制组织结构</w:t>
      </w:r>
    </w:p>
    <w:p w14:paraId="6887F029"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平安银行股份有限公司设有总行独立一级部门资产托管部，是全行资产托管业务的管理和运营部门，专门配备了专职内部监察稽核人员负责托管业务的内部控制和风险管理工作，具有独立行使监督稽核工作的职权和能力。</w:t>
      </w:r>
    </w:p>
    <w:p w14:paraId="42153D58"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、内部控制制度及措施</w:t>
      </w:r>
    </w:p>
    <w:p w14:paraId="65AA3D06"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资产托管</w:t>
      </w:r>
      <w:proofErr w:type="gramStart"/>
      <w:r>
        <w:rPr>
          <w:rFonts w:asciiTheme="minorEastAsia" w:hAnsiTheme="minorEastAsia" w:cs="Times New Roman" w:hint="eastAsia"/>
          <w:sz w:val="24"/>
          <w:szCs w:val="24"/>
        </w:rPr>
        <w:t>部具备</w:t>
      </w:r>
      <w:proofErr w:type="gramEnd"/>
      <w:r>
        <w:rPr>
          <w:rFonts w:asciiTheme="minorEastAsia" w:hAnsiTheme="minorEastAsia" w:cs="Times New Roman" w:hint="eastAsia"/>
          <w:sz w:val="24"/>
          <w:szCs w:val="24"/>
        </w:rPr>
        <w:t>系统、完善的制度控制体系，建立了管理制度、控制制度、岗位职责、业务操作流程，可以保证托管业务的规范操作和顺利进行；取得基金从业资格的人员符合监管要求；业务管理严格实行复核、审核、检查制度，授权工作实行集中控制，业务印章按规程保管、存放、使用，账户资料严格保管，制约机制严格有效；业务</w:t>
      </w:r>
      <w:proofErr w:type="gramStart"/>
      <w:r>
        <w:rPr>
          <w:rFonts w:asciiTheme="minorEastAsia" w:hAnsiTheme="minorEastAsia" w:cs="Times New Roman" w:hint="eastAsia"/>
          <w:sz w:val="24"/>
          <w:szCs w:val="24"/>
        </w:rPr>
        <w:t>操作区</w:t>
      </w:r>
      <w:proofErr w:type="gramEnd"/>
      <w:r>
        <w:rPr>
          <w:rFonts w:asciiTheme="minorEastAsia" w:hAnsiTheme="minorEastAsia" w:cs="Times New Roman" w:hint="eastAsia"/>
          <w:sz w:val="24"/>
          <w:szCs w:val="24"/>
        </w:rPr>
        <w:t>专门设置，封闭管理，实施音像监控；业务信息由专职信息披露人负责，防止泄密；业务实现自动化操作，防止人为事故的发生，技术系统完整、独立。</w:t>
      </w:r>
    </w:p>
    <w:p w14:paraId="4EF3FD79" w14:textId="77777777" w:rsidR="007B7C2A" w:rsidRDefault="00072812">
      <w:pPr>
        <w:tabs>
          <w:tab w:val="left" w:pos="1110"/>
        </w:tabs>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三、基金托管人对基金管理人运作基金进行监督的方法和程序</w:t>
      </w:r>
    </w:p>
    <w:p w14:paraId="55C81D01"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、监督方法</w:t>
      </w:r>
    </w:p>
    <w:p w14:paraId="790D8C1F"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依照《基金法》及其配套法规和基金合同的约定，监督所托管基金的投资运作。利用行业普遍使用的“资产托管业务系统——监控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14:paraId="17C57C86"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、监督流程</w:t>
      </w:r>
    </w:p>
    <w:p w14:paraId="0E46CC84"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1</w:t>
      </w:r>
      <w:r>
        <w:rPr>
          <w:rFonts w:asciiTheme="minorEastAsia" w:hAnsiTheme="minorEastAsia" w:cs="Times New Roman" w:hint="eastAsia"/>
          <w:sz w:val="24"/>
          <w:szCs w:val="24"/>
        </w:rPr>
        <w:t>）每工作日按时通过监控子系统，对各基金投资运作比例控制指标进行例行监控，发现投资比例超标等异常情况，向基金管理人发出书面通知，与基金管理人进行情况核实，督促其纠正，并及时报告中国证监会。</w:t>
      </w:r>
    </w:p>
    <w:p w14:paraId="4D20A165"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）收到基金管理人的投资指令后，对涉及各基金的投资范围、投资对象及交易对手等内容进行合法合</w:t>
      </w:r>
      <w:proofErr w:type="gramStart"/>
      <w:r>
        <w:rPr>
          <w:rFonts w:asciiTheme="minorEastAsia" w:hAnsiTheme="minorEastAsia" w:cs="Times New Roman" w:hint="eastAsia"/>
          <w:sz w:val="24"/>
          <w:szCs w:val="24"/>
        </w:rPr>
        <w:t>规</w:t>
      </w:r>
      <w:proofErr w:type="gramEnd"/>
      <w:r>
        <w:rPr>
          <w:rFonts w:asciiTheme="minorEastAsia" w:hAnsiTheme="minorEastAsia" w:cs="Times New Roman" w:hint="eastAsia"/>
          <w:sz w:val="24"/>
          <w:szCs w:val="24"/>
        </w:rPr>
        <w:t>性监督。</w:t>
      </w:r>
    </w:p>
    <w:p w14:paraId="77DC776E" w14:textId="77777777" w:rsidR="007B7C2A" w:rsidRDefault="00072812">
      <w:pPr>
        <w:tabs>
          <w:tab w:val="left" w:pos="1110"/>
        </w:tabs>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3</w:t>
      </w:r>
      <w:r>
        <w:rPr>
          <w:rFonts w:asciiTheme="minorEastAsia" w:hAnsiTheme="minorEastAsia" w:cs="Times New Roman" w:hint="eastAsia"/>
          <w:sz w:val="24"/>
          <w:szCs w:val="24"/>
        </w:rPr>
        <w:t>）根据基金投资运作监督情况，定期编写基金投资运作监督报告，对各基金投资运作的合法合</w:t>
      </w:r>
      <w:proofErr w:type="gramStart"/>
      <w:r>
        <w:rPr>
          <w:rFonts w:asciiTheme="minorEastAsia" w:hAnsiTheme="minorEastAsia" w:cs="Times New Roman" w:hint="eastAsia"/>
          <w:sz w:val="24"/>
          <w:szCs w:val="24"/>
        </w:rPr>
        <w:t>规</w:t>
      </w:r>
      <w:proofErr w:type="gramEnd"/>
      <w:r>
        <w:rPr>
          <w:rFonts w:asciiTheme="minorEastAsia" w:hAnsiTheme="minorEastAsia" w:cs="Times New Roman" w:hint="eastAsia"/>
          <w:sz w:val="24"/>
          <w:szCs w:val="24"/>
        </w:rPr>
        <w:t>性、投资独立性和风格显著性等方面进行评价，报送中国证监会。</w:t>
      </w:r>
    </w:p>
    <w:p w14:paraId="7346CD53" w14:textId="77777777" w:rsidR="007B7C2A" w:rsidRDefault="00072812">
      <w:pPr>
        <w:spacing w:line="360" w:lineRule="auto"/>
        <w:ind w:firstLineChars="200" w:firstLine="480"/>
        <w:rPr>
          <w:rFonts w:asciiTheme="minorEastAsia" w:hAnsiTheme="minorEastAsia" w:cs="Times New Roman" w:hint="eastAsia"/>
          <w:color w:val="000000"/>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4</w:t>
      </w:r>
      <w:r>
        <w:rPr>
          <w:rFonts w:asciiTheme="minorEastAsia" w:hAnsiTheme="minorEastAsia" w:cs="Times New Roman" w:hint="eastAsia"/>
          <w:sz w:val="24"/>
          <w:szCs w:val="24"/>
        </w:rPr>
        <w:t>）通过技术或非技术手段发现基金涉嫌违规交易，电话或书面要求管理人进行解释或举证，并及时报告中国证监会。</w:t>
      </w:r>
      <w:r>
        <w:rPr>
          <w:rFonts w:asciiTheme="minorEastAsia" w:hAnsiTheme="minorEastAsia" w:cs="Times New Roman"/>
          <w:color w:val="000000"/>
          <w:sz w:val="24"/>
          <w:szCs w:val="24"/>
        </w:rPr>
        <w:br w:type="page"/>
      </w:r>
    </w:p>
    <w:p w14:paraId="7E3FDD70" w14:textId="77777777" w:rsidR="007B7C2A" w:rsidRDefault="00072812">
      <w:pPr>
        <w:pStyle w:val="1"/>
        <w:ind w:firstLine="602"/>
        <w:jc w:val="center"/>
        <w:rPr>
          <w:sz w:val="30"/>
          <w:szCs w:val="30"/>
        </w:rPr>
      </w:pPr>
      <w:bookmarkStart w:id="90" w:name="_Toc214873594"/>
      <w:bookmarkStart w:id="91" w:name="_Toc146096522"/>
      <w:bookmarkStart w:id="92" w:name="_Toc263092313"/>
      <w:bookmarkStart w:id="93" w:name="_Toc416264541"/>
      <w:bookmarkStart w:id="94" w:name="_Toc17244"/>
      <w:bookmarkStart w:id="95" w:name="_Toc7920"/>
      <w:bookmarkStart w:id="96" w:name="_Toc1270"/>
      <w:bookmarkStart w:id="97" w:name="_Toc1427"/>
      <w:bookmarkStart w:id="98" w:name="_Toc23261"/>
      <w:bookmarkStart w:id="99" w:name="_Toc98560352"/>
      <w:bookmarkStart w:id="100" w:name="_Toc20733"/>
      <w:bookmarkStart w:id="101" w:name="_Toc10463"/>
      <w:bookmarkStart w:id="102" w:name="_Toc123051452"/>
      <w:bookmarkStart w:id="103" w:name="_Toc123102453"/>
      <w:bookmarkStart w:id="104" w:name="_Toc79392606"/>
      <w:bookmarkStart w:id="105" w:name="_Toc4003"/>
      <w:bookmarkStart w:id="106" w:name="_Toc139991736"/>
      <w:bookmarkStart w:id="107" w:name="_Toc141703886"/>
      <w:bookmarkStart w:id="108" w:name="_Toc352229752"/>
      <w:bookmarkStart w:id="109" w:name="_Toc23822"/>
      <w:bookmarkStart w:id="110" w:name="_Toc352229751"/>
      <w:bookmarkStart w:id="111" w:name="_Toc11081"/>
      <w:bookmarkStart w:id="112" w:name="_Toc610"/>
      <w:bookmarkStart w:id="113" w:name="_Toc48649707"/>
      <w:bookmarkStart w:id="114" w:name="_Toc12311223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sz w:val="30"/>
          <w:szCs w:val="30"/>
        </w:rPr>
        <w:t>第五部分</w:t>
      </w:r>
      <w:r>
        <w:rPr>
          <w:sz w:val="30"/>
          <w:szCs w:val="30"/>
        </w:rPr>
        <w:t xml:space="preserve">  </w:t>
      </w:r>
      <w:r>
        <w:rPr>
          <w:rFonts w:hint="eastAsia"/>
          <w:sz w:val="30"/>
          <w:szCs w:val="30"/>
        </w:rPr>
        <w:t>相关服务机构</w:t>
      </w:r>
      <w:bookmarkEnd w:id="90"/>
      <w:bookmarkEnd w:id="91"/>
      <w:bookmarkEnd w:id="92"/>
      <w:bookmarkEnd w:id="93"/>
    </w:p>
    <w:p w14:paraId="731F0E4A" w14:textId="77777777" w:rsidR="007B7C2A" w:rsidRDefault="00072812">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一、基金份额发售机构</w:t>
      </w:r>
    </w:p>
    <w:p w14:paraId="09742FC9"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、直销机构：富荣基金管理有限公司直销中心</w:t>
      </w:r>
    </w:p>
    <w:p w14:paraId="4959F215"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注册地址：广东省广州市南沙区横</w:t>
      </w:r>
      <w:proofErr w:type="gramStart"/>
      <w:r>
        <w:rPr>
          <w:rFonts w:asciiTheme="minorEastAsia" w:hAnsiTheme="minorEastAsia" w:cs="Arial" w:hint="eastAsia"/>
          <w:sz w:val="24"/>
          <w:szCs w:val="24"/>
        </w:rPr>
        <w:t>沥</w:t>
      </w:r>
      <w:proofErr w:type="gramEnd"/>
      <w:r>
        <w:rPr>
          <w:rFonts w:asciiTheme="minorEastAsia" w:hAnsiTheme="minorEastAsia" w:cs="Arial" w:hint="eastAsia"/>
          <w:sz w:val="24"/>
          <w:szCs w:val="24"/>
        </w:rPr>
        <w:t>镇汇通二街</w:t>
      </w:r>
      <w:r>
        <w:rPr>
          <w:rFonts w:asciiTheme="minorEastAsia" w:hAnsiTheme="minorEastAsia" w:cs="Arial" w:hint="eastAsia"/>
          <w:sz w:val="24"/>
          <w:szCs w:val="24"/>
        </w:rPr>
        <w:t>2</w:t>
      </w:r>
      <w:r>
        <w:rPr>
          <w:rFonts w:asciiTheme="minorEastAsia" w:hAnsiTheme="minorEastAsia" w:cs="Arial" w:hint="eastAsia"/>
          <w:sz w:val="24"/>
          <w:szCs w:val="24"/>
        </w:rPr>
        <w:t>号</w:t>
      </w:r>
      <w:r>
        <w:rPr>
          <w:rFonts w:asciiTheme="minorEastAsia" w:hAnsiTheme="minorEastAsia" w:cs="Arial" w:hint="eastAsia"/>
          <w:sz w:val="24"/>
          <w:szCs w:val="24"/>
        </w:rPr>
        <w:t>3110</w:t>
      </w:r>
      <w:r>
        <w:rPr>
          <w:rFonts w:asciiTheme="minorEastAsia" w:hAnsiTheme="minorEastAsia" w:cs="Arial" w:hint="eastAsia"/>
          <w:sz w:val="24"/>
          <w:szCs w:val="24"/>
        </w:rPr>
        <w:t>房</w:t>
      </w:r>
      <w:r>
        <w:rPr>
          <w:rFonts w:asciiTheme="minorEastAsia" w:hAnsiTheme="minorEastAsia" w:cs="Arial" w:hint="eastAsia"/>
          <w:sz w:val="24"/>
          <w:szCs w:val="24"/>
        </w:rPr>
        <w:t xml:space="preserve"> </w:t>
      </w:r>
    </w:p>
    <w:p w14:paraId="1AA8F516"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办公地址：广东省深圳市福田区八卦四路</w:t>
      </w:r>
      <w:r>
        <w:rPr>
          <w:rFonts w:asciiTheme="minorEastAsia" w:hAnsiTheme="minorEastAsia" w:cs="Arial" w:hint="eastAsia"/>
          <w:sz w:val="24"/>
          <w:szCs w:val="24"/>
        </w:rPr>
        <w:t>52</w:t>
      </w:r>
      <w:r>
        <w:rPr>
          <w:rFonts w:asciiTheme="minorEastAsia" w:hAnsiTheme="minorEastAsia" w:cs="Arial" w:hint="eastAsia"/>
          <w:sz w:val="24"/>
          <w:szCs w:val="24"/>
        </w:rPr>
        <w:t>号安吉尔大厦</w:t>
      </w:r>
      <w:r>
        <w:rPr>
          <w:rFonts w:asciiTheme="minorEastAsia" w:hAnsiTheme="minorEastAsia" w:cs="Arial" w:hint="eastAsia"/>
          <w:sz w:val="24"/>
          <w:szCs w:val="24"/>
        </w:rPr>
        <w:t>24</w:t>
      </w:r>
      <w:r>
        <w:rPr>
          <w:rFonts w:asciiTheme="minorEastAsia" w:hAnsiTheme="minorEastAsia" w:cs="Arial" w:hint="eastAsia"/>
          <w:sz w:val="24"/>
          <w:szCs w:val="24"/>
        </w:rPr>
        <w:t>层</w:t>
      </w:r>
    </w:p>
    <w:p w14:paraId="5ECEFE38"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法定代表人：王亦伟</w:t>
      </w:r>
    </w:p>
    <w:p w14:paraId="45FB9125"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电话：</w:t>
      </w:r>
      <w:r>
        <w:rPr>
          <w:rFonts w:asciiTheme="minorEastAsia" w:hAnsiTheme="minorEastAsia" w:cs="Arial" w:hint="eastAsia"/>
          <w:sz w:val="24"/>
          <w:szCs w:val="24"/>
        </w:rPr>
        <w:t>0755-84356629</w:t>
      </w:r>
    </w:p>
    <w:p w14:paraId="5EFC1A5F"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传真：</w:t>
      </w:r>
      <w:r>
        <w:rPr>
          <w:rFonts w:asciiTheme="minorEastAsia" w:hAnsiTheme="minorEastAsia" w:cs="Arial" w:hint="eastAsia"/>
          <w:sz w:val="24"/>
          <w:szCs w:val="24"/>
        </w:rPr>
        <w:t>0755-83230902</w:t>
      </w:r>
    </w:p>
    <w:p w14:paraId="088C97DD"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客服电话：</w:t>
      </w:r>
      <w:r>
        <w:rPr>
          <w:rFonts w:asciiTheme="minorEastAsia" w:hAnsiTheme="minorEastAsia" w:cs="Arial" w:hint="eastAsia"/>
          <w:sz w:val="24"/>
          <w:szCs w:val="24"/>
        </w:rPr>
        <w:t>4006855600</w:t>
      </w:r>
    </w:p>
    <w:p w14:paraId="14AABB9A"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网址：</w:t>
      </w:r>
      <w:r>
        <w:rPr>
          <w:rFonts w:asciiTheme="minorEastAsia" w:hAnsiTheme="minorEastAsia" w:cs="Arial" w:hint="eastAsia"/>
          <w:sz w:val="24"/>
          <w:szCs w:val="24"/>
        </w:rPr>
        <w:t>www.furamc.com.cn</w:t>
      </w:r>
    </w:p>
    <w:p w14:paraId="74EBACE7" w14:textId="77777777" w:rsidR="007B7C2A" w:rsidRDefault="00072812">
      <w:pPr>
        <w:numPr>
          <w:ilvl w:val="0"/>
          <w:numId w:val="3"/>
        </w:num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其他销售机构：</w:t>
      </w:r>
      <w:r>
        <w:rPr>
          <w:rFonts w:asciiTheme="minorEastAsia" w:hAnsiTheme="minorEastAsia" w:cs="Arial" w:hint="eastAsia"/>
          <w:sz w:val="24"/>
          <w:szCs w:val="24"/>
        </w:rPr>
        <w:t xml:space="preserve"> </w:t>
      </w:r>
    </w:p>
    <w:p w14:paraId="61DD03C2" w14:textId="77777777" w:rsidR="007B7C2A" w:rsidRDefault="00072812">
      <w:pPr>
        <w:tabs>
          <w:tab w:val="left" w:pos="54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具体名单详见基金管理人官方网站。</w:t>
      </w:r>
    </w:p>
    <w:p w14:paraId="76E62208" w14:textId="77777777" w:rsidR="007B7C2A" w:rsidRDefault="00072812">
      <w:pPr>
        <w:tabs>
          <w:tab w:val="left" w:pos="540"/>
        </w:tabs>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sz w:val="24"/>
          <w:szCs w:val="24"/>
        </w:rPr>
        <w:t>二、登记机构</w:t>
      </w:r>
    </w:p>
    <w:p w14:paraId="75B49712" w14:textId="77777777" w:rsidR="007B7C2A" w:rsidRDefault="00072812">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名称：富荣基金管理有限公司</w:t>
      </w:r>
      <w:r>
        <w:rPr>
          <w:rFonts w:asciiTheme="minorEastAsia" w:hAnsiTheme="minorEastAsia" w:cs="Arial" w:hint="eastAsia"/>
          <w:color w:val="000000"/>
          <w:kern w:val="0"/>
          <w:sz w:val="24"/>
          <w:szCs w:val="24"/>
        </w:rPr>
        <w:t xml:space="preserve"> </w:t>
      </w:r>
    </w:p>
    <w:p w14:paraId="2C148BA5" w14:textId="77777777" w:rsidR="007B7C2A" w:rsidRDefault="00072812">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住所：</w:t>
      </w:r>
      <w:r>
        <w:rPr>
          <w:rFonts w:asciiTheme="minorEastAsia" w:hAnsiTheme="minorEastAsia" w:cs="Arial" w:hint="eastAsia"/>
          <w:kern w:val="0"/>
          <w:sz w:val="24"/>
          <w:szCs w:val="24"/>
        </w:rPr>
        <w:t>广东省广州市南沙区横</w:t>
      </w:r>
      <w:proofErr w:type="gramStart"/>
      <w:r>
        <w:rPr>
          <w:rFonts w:asciiTheme="minorEastAsia" w:hAnsiTheme="minorEastAsia" w:cs="Arial" w:hint="eastAsia"/>
          <w:kern w:val="0"/>
          <w:sz w:val="24"/>
          <w:szCs w:val="24"/>
        </w:rPr>
        <w:t>沥</w:t>
      </w:r>
      <w:proofErr w:type="gramEnd"/>
      <w:r>
        <w:rPr>
          <w:rFonts w:asciiTheme="minorEastAsia" w:hAnsiTheme="minorEastAsia" w:cs="Arial" w:hint="eastAsia"/>
          <w:kern w:val="0"/>
          <w:sz w:val="24"/>
          <w:szCs w:val="24"/>
        </w:rPr>
        <w:t>镇汇通二街</w:t>
      </w:r>
      <w:r>
        <w:rPr>
          <w:rFonts w:asciiTheme="minorEastAsia" w:hAnsiTheme="minorEastAsia" w:cs="Arial" w:hint="eastAsia"/>
          <w:kern w:val="0"/>
          <w:sz w:val="24"/>
          <w:szCs w:val="24"/>
        </w:rPr>
        <w:t>2</w:t>
      </w:r>
      <w:r>
        <w:rPr>
          <w:rFonts w:asciiTheme="minorEastAsia" w:hAnsiTheme="minorEastAsia" w:cs="Arial" w:hint="eastAsia"/>
          <w:kern w:val="0"/>
          <w:sz w:val="24"/>
          <w:szCs w:val="24"/>
        </w:rPr>
        <w:t>号</w:t>
      </w:r>
      <w:r>
        <w:rPr>
          <w:rFonts w:asciiTheme="minorEastAsia" w:hAnsiTheme="minorEastAsia" w:cs="Arial" w:hint="eastAsia"/>
          <w:kern w:val="0"/>
          <w:sz w:val="24"/>
          <w:szCs w:val="24"/>
        </w:rPr>
        <w:t>3110</w:t>
      </w:r>
      <w:r>
        <w:rPr>
          <w:rFonts w:asciiTheme="minorEastAsia" w:hAnsiTheme="minorEastAsia" w:cs="Arial" w:hint="eastAsia"/>
          <w:kern w:val="0"/>
          <w:sz w:val="24"/>
          <w:szCs w:val="24"/>
        </w:rPr>
        <w:t>房</w:t>
      </w:r>
      <w:r>
        <w:rPr>
          <w:rFonts w:asciiTheme="minorEastAsia" w:hAnsiTheme="minorEastAsia" w:cs="Arial" w:hint="eastAsia"/>
          <w:color w:val="000000"/>
          <w:kern w:val="0"/>
          <w:sz w:val="24"/>
          <w:szCs w:val="24"/>
        </w:rPr>
        <w:t xml:space="preserve"> </w:t>
      </w:r>
    </w:p>
    <w:p w14:paraId="2B3E0765" w14:textId="77777777" w:rsidR="007B7C2A" w:rsidRDefault="00072812">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办公地址：广东省深圳市福田区八卦四路</w:t>
      </w:r>
      <w:r>
        <w:rPr>
          <w:rFonts w:asciiTheme="minorEastAsia" w:hAnsiTheme="minorEastAsia" w:cs="Arial" w:hint="eastAsia"/>
          <w:color w:val="000000"/>
          <w:kern w:val="0"/>
          <w:sz w:val="24"/>
          <w:szCs w:val="24"/>
        </w:rPr>
        <w:t>52</w:t>
      </w:r>
      <w:r>
        <w:rPr>
          <w:rFonts w:asciiTheme="minorEastAsia" w:hAnsiTheme="minorEastAsia" w:cs="Arial" w:hint="eastAsia"/>
          <w:color w:val="000000"/>
          <w:kern w:val="0"/>
          <w:sz w:val="24"/>
          <w:szCs w:val="24"/>
        </w:rPr>
        <w:t>号安吉尔大厦</w:t>
      </w:r>
      <w:r>
        <w:rPr>
          <w:rFonts w:asciiTheme="minorEastAsia" w:hAnsiTheme="minorEastAsia" w:cs="Arial" w:hint="eastAsia"/>
          <w:color w:val="000000"/>
          <w:kern w:val="0"/>
          <w:sz w:val="24"/>
          <w:szCs w:val="24"/>
        </w:rPr>
        <w:t>24</w:t>
      </w:r>
      <w:r>
        <w:rPr>
          <w:rFonts w:asciiTheme="minorEastAsia" w:hAnsiTheme="minorEastAsia" w:cs="Arial" w:hint="eastAsia"/>
          <w:color w:val="000000"/>
          <w:kern w:val="0"/>
          <w:sz w:val="24"/>
          <w:szCs w:val="24"/>
        </w:rPr>
        <w:t>层</w:t>
      </w:r>
      <w:r>
        <w:rPr>
          <w:rFonts w:asciiTheme="minorEastAsia" w:hAnsiTheme="minorEastAsia" w:cs="Arial" w:hint="eastAsia"/>
          <w:color w:val="000000"/>
          <w:kern w:val="0"/>
          <w:sz w:val="24"/>
          <w:szCs w:val="24"/>
        </w:rPr>
        <w:t xml:space="preserve"> </w:t>
      </w:r>
    </w:p>
    <w:p w14:paraId="05AE67FD" w14:textId="77777777" w:rsidR="007B7C2A" w:rsidRDefault="00072812">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法定代表人：王亦伟</w:t>
      </w:r>
      <w:r>
        <w:rPr>
          <w:rFonts w:asciiTheme="minorEastAsia" w:hAnsiTheme="minorEastAsia" w:cs="Arial" w:hint="eastAsia"/>
          <w:color w:val="000000"/>
          <w:kern w:val="0"/>
          <w:sz w:val="24"/>
          <w:szCs w:val="24"/>
        </w:rPr>
        <w:t xml:space="preserve"> </w:t>
      </w:r>
    </w:p>
    <w:p w14:paraId="0ED81487" w14:textId="77777777" w:rsidR="007B7C2A" w:rsidRDefault="00072812">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联系人：黄文飞</w:t>
      </w:r>
    </w:p>
    <w:p w14:paraId="12983AB0" w14:textId="77777777" w:rsidR="007B7C2A" w:rsidRDefault="00072812">
      <w:pPr>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电话：</w:t>
      </w:r>
      <w:r>
        <w:rPr>
          <w:rFonts w:asciiTheme="minorEastAsia" w:hAnsiTheme="minorEastAsia" w:cs="Arial" w:hint="eastAsia"/>
          <w:color w:val="000000"/>
          <w:kern w:val="0"/>
          <w:sz w:val="24"/>
          <w:szCs w:val="24"/>
        </w:rPr>
        <w:t xml:space="preserve"> 0755-84356604</w:t>
      </w:r>
    </w:p>
    <w:p w14:paraId="75103BE4" w14:textId="77777777" w:rsidR="007B7C2A" w:rsidRDefault="00072812">
      <w:pPr>
        <w:adjustRightInd w:val="0"/>
        <w:snapToGrid w:val="0"/>
        <w:spacing w:line="360" w:lineRule="auto"/>
        <w:ind w:firstLineChars="200" w:firstLine="480"/>
        <w:rPr>
          <w:rFonts w:asciiTheme="minorEastAsia" w:hAnsiTheme="minorEastAsia" w:cs="Arial" w:hint="eastAsia"/>
          <w:color w:val="000000"/>
          <w:kern w:val="0"/>
          <w:sz w:val="24"/>
          <w:szCs w:val="24"/>
        </w:rPr>
      </w:pPr>
      <w:r>
        <w:rPr>
          <w:rFonts w:asciiTheme="minorEastAsia" w:hAnsiTheme="minorEastAsia" w:cs="Arial" w:hint="eastAsia"/>
          <w:color w:val="000000"/>
          <w:kern w:val="0"/>
          <w:sz w:val="24"/>
          <w:szCs w:val="24"/>
        </w:rPr>
        <w:t>传真：</w:t>
      </w:r>
      <w:r>
        <w:rPr>
          <w:rFonts w:asciiTheme="minorEastAsia" w:hAnsiTheme="minorEastAsia" w:cs="Arial" w:hint="eastAsia"/>
          <w:color w:val="000000"/>
          <w:kern w:val="0"/>
          <w:sz w:val="24"/>
          <w:szCs w:val="24"/>
        </w:rPr>
        <w:t xml:space="preserve"> 0755-83230787</w:t>
      </w:r>
    </w:p>
    <w:p w14:paraId="0AD67E63" w14:textId="77777777" w:rsidR="007B7C2A" w:rsidRDefault="00072812">
      <w:pPr>
        <w:tabs>
          <w:tab w:val="left" w:pos="54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w:t>
      </w:r>
      <w:r>
        <w:rPr>
          <w:rFonts w:asciiTheme="minorEastAsia" w:hAnsiTheme="minorEastAsia" w:cs="Times New Roman" w:hint="eastAsia"/>
          <w:b/>
          <w:bCs/>
          <w:color w:val="000000"/>
          <w:sz w:val="24"/>
          <w:szCs w:val="24"/>
        </w:rPr>
        <w:t>出具法律意见书的律师事务所</w:t>
      </w:r>
    </w:p>
    <w:p w14:paraId="61BB4673" w14:textId="77777777" w:rsidR="007B7C2A" w:rsidRDefault="00072812">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名称：上海市通力律师事务所</w:t>
      </w:r>
    </w:p>
    <w:p w14:paraId="688A833D" w14:textId="77777777" w:rsidR="007B7C2A" w:rsidRDefault="00072812">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住所：上海市银城中路</w:t>
      </w:r>
      <w:r>
        <w:rPr>
          <w:rFonts w:asciiTheme="minorEastAsia" w:hAnsiTheme="minorEastAsia" w:cs="Arial" w:hint="eastAsia"/>
          <w:kern w:val="0"/>
          <w:sz w:val="24"/>
          <w:szCs w:val="24"/>
        </w:rPr>
        <w:t>68</w:t>
      </w:r>
      <w:r>
        <w:rPr>
          <w:rFonts w:asciiTheme="minorEastAsia" w:hAnsiTheme="minorEastAsia" w:cs="Arial" w:hint="eastAsia"/>
          <w:kern w:val="0"/>
          <w:sz w:val="24"/>
          <w:szCs w:val="24"/>
        </w:rPr>
        <w:t>号时代金融中心</w:t>
      </w:r>
      <w:r>
        <w:rPr>
          <w:rFonts w:asciiTheme="minorEastAsia" w:hAnsiTheme="minorEastAsia" w:cs="Arial" w:hint="eastAsia"/>
          <w:kern w:val="0"/>
          <w:sz w:val="24"/>
          <w:szCs w:val="24"/>
        </w:rPr>
        <w:t>19</w:t>
      </w:r>
      <w:r>
        <w:rPr>
          <w:rFonts w:asciiTheme="minorEastAsia" w:hAnsiTheme="minorEastAsia" w:cs="Arial" w:hint="eastAsia"/>
          <w:kern w:val="0"/>
          <w:sz w:val="24"/>
          <w:szCs w:val="24"/>
        </w:rPr>
        <w:t>楼</w:t>
      </w:r>
    </w:p>
    <w:p w14:paraId="24D9B6B8" w14:textId="77777777" w:rsidR="007B7C2A" w:rsidRDefault="00072812">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办公地址：上海市银城中路</w:t>
      </w:r>
      <w:r>
        <w:rPr>
          <w:rFonts w:asciiTheme="minorEastAsia" w:hAnsiTheme="minorEastAsia" w:cs="Arial" w:hint="eastAsia"/>
          <w:kern w:val="0"/>
          <w:sz w:val="24"/>
          <w:szCs w:val="24"/>
        </w:rPr>
        <w:t>68</w:t>
      </w:r>
      <w:r>
        <w:rPr>
          <w:rFonts w:asciiTheme="minorEastAsia" w:hAnsiTheme="minorEastAsia" w:cs="Arial" w:hint="eastAsia"/>
          <w:kern w:val="0"/>
          <w:sz w:val="24"/>
          <w:szCs w:val="24"/>
        </w:rPr>
        <w:t>号时代金融中心</w:t>
      </w:r>
      <w:r>
        <w:rPr>
          <w:rFonts w:asciiTheme="minorEastAsia" w:hAnsiTheme="minorEastAsia" w:cs="Arial" w:hint="eastAsia"/>
          <w:kern w:val="0"/>
          <w:sz w:val="24"/>
          <w:szCs w:val="24"/>
        </w:rPr>
        <w:t>19</w:t>
      </w:r>
      <w:r>
        <w:rPr>
          <w:rFonts w:asciiTheme="minorEastAsia" w:hAnsiTheme="minorEastAsia" w:cs="Arial" w:hint="eastAsia"/>
          <w:kern w:val="0"/>
          <w:sz w:val="24"/>
          <w:szCs w:val="24"/>
        </w:rPr>
        <w:t>楼</w:t>
      </w:r>
    </w:p>
    <w:p w14:paraId="4F437879" w14:textId="77777777" w:rsidR="007B7C2A" w:rsidRDefault="00072812">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负责人：俞卫锋</w:t>
      </w:r>
    </w:p>
    <w:p w14:paraId="6A71ACAC" w14:textId="77777777" w:rsidR="007B7C2A" w:rsidRDefault="00072812">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w:t>
      </w:r>
      <w:r>
        <w:rPr>
          <w:rFonts w:asciiTheme="minorEastAsia" w:hAnsiTheme="minorEastAsia" w:cs="Arial" w:hint="eastAsia"/>
          <w:kern w:val="0"/>
          <w:sz w:val="24"/>
          <w:szCs w:val="24"/>
        </w:rPr>
        <w:t>021-31358666</w:t>
      </w:r>
    </w:p>
    <w:p w14:paraId="25FA1FD9" w14:textId="77777777" w:rsidR="007B7C2A" w:rsidRDefault="00072812">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w:t>
      </w:r>
      <w:r>
        <w:rPr>
          <w:rFonts w:asciiTheme="minorEastAsia" w:hAnsiTheme="minorEastAsia" w:cs="Arial" w:hint="eastAsia"/>
          <w:kern w:val="0"/>
          <w:sz w:val="24"/>
          <w:szCs w:val="24"/>
        </w:rPr>
        <w:t>021-31358600</w:t>
      </w:r>
    </w:p>
    <w:p w14:paraId="07A487C0" w14:textId="77777777" w:rsidR="007B7C2A" w:rsidRDefault="00072812">
      <w:pPr>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经办律师：陆奇、安冬</w:t>
      </w:r>
    </w:p>
    <w:p w14:paraId="4DF881E7"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陆奇</w:t>
      </w:r>
    </w:p>
    <w:p w14:paraId="519C5AC0" w14:textId="77777777" w:rsidR="007B7C2A" w:rsidRDefault="00072812">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四、</w:t>
      </w:r>
      <w:r>
        <w:rPr>
          <w:rFonts w:asciiTheme="minorEastAsia" w:hAnsiTheme="minorEastAsia" w:cs="Times New Roman" w:hint="eastAsia"/>
          <w:b/>
          <w:bCs/>
          <w:color w:val="000000"/>
          <w:sz w:val="24"/>
          <w:szCs w:val="24"/>
        </w:rPr>
        <w:t>审计基金财产的会计师事务所</w:t>
      </w:r>
    </w:p>
    <w:p w14:paraId="76525DCD"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名称：安永华明会计师事务所（特殊普通合伙）</w:t>
      </w:r>
    </w:p>
    <w:p w14:paraId="50E56A72"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住所：中国北京市东城区东长安街</w:t>
      </w:r>
      <w:r>
        <w:rPr>
          <w:rFonts w:asciiTheme="minorEastAsia" w:hAnsiTheme="minorEastAsia" w:cs="Arial" w:hint="eastAsia"/>
          <w:kern w:val="0"/>
          <w:sz w:val="24"/>
          <w:szCs w:val="24"/>
        </w:rPr>
        <w:t>1</w:t>
      </w:r>
      <w:r>
        <w:rPr>
          <w:rFonts w:asciiTheme="minorEastAsia" w:hAnsiTheme="minorEastAsia" w:cs="Arial" w:hint="eastAsia"/>
          <w:kern w:val="0"/>
          <w:sz w:val="24"/>
          <w:szCs w:val="24"/>
        </w:rPr>
        <w:t>号东方广场安永大楼</w:t>
      </w:r>
      <w:r>
        <w:rPr>
          <w:rFonts w:asciiTheme="minorEastAsia" w:hAnsiTheme="minorEastAsia" w:cs="Arial" w:hint="eastAsia"/>
          <w:kern w:val="0"/>
          <w:sz w:val="24"/>
          <w:szCs w:val="24"/>
        </w:rPr>
        <w:t>17</w:t>
      </w:r>
      <w:r>
        <w:rPr>
          <w:rFonts w:asciiTheme="minorEastAsia" w:hAnsiTheme="minorEastAsia" w:cs="Arial" w:hint="eastAsia"/>
          <w:kern w:val="0"/>
          <w:sz w:val="24"/>
          <w:szCs w:val="24"/>
        </w:rPr>
        <w:t>层</w:t>
      </w:r>
    </w:p>
    <w:p w14:paraId="0C3183B0"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办公地址：中国北京市东城区东长安街</w:t>
      </w:r>
      <w:r>
        <w:rPr>
          <w:rFonts w:asciiTheme="minorEastAsia" w:hAnsiTheme="minorEastAsia" w:cs="Arial" w:hint="eastAsia"/>
          <w:kern w:val="0"/>
          <w:sz w:val="24"/>
          <w:szCs w:val="24"/>
        </w:rPr>
        <w:t>1</w:t>
      </w:r>
      <w:r>
        <w:rPr>
          <w:rFonts w:asciiTheme="minorEastAsia" w:hAnsiTheme="minorEastAsia" w:cs="Arial" w:hint="eastAsia"/>
          <w:kern w:val="0"/>
          <w:sz w:val="24"/>
          <w:szCs w:val="24"/>
        </w:rPr>
        <w:t>号东方广场安永大楼</w:t>
      </w:r>
      <w:r>
        <w:rPr>
          <w:rFonts w:asciiTheme="minorEastAsia" w:hAnsiTheme="minorEastAsia" w:cs="Arial" w:hint="eastAsia"/>
          <w:kern w:val="0"/>
          <w:sz w:val="24"/>
          <w:szCs w:val="24"/>
        </w:rPr>
        <w:t>17</w:t>
      </w:r>
      <w:r>
        <w:rPr>
          <w:rFonts w:asciiTheme="minorEastAsia" w:hAnsiTheme="minorEastAsia" w:cs="Arial" w:hint="eastAsia"/>
          <w:kern w:val="0"/>
          <w:sz w:val="24"/>
          <w:szCs w:val="24"/>
        </w:rPr>
        <w:t>层</w:t>
      </w:r>
    </w:p>
    <w:p w14:paraId="6295BC78"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w:t>
      </w:r>
      <w:proofErr w:type="gramStart"/>
      <w:r>
        <w:rPr>
          <w:rFonts w:asciiTheme="minorEastAsia" w:hAnsiTheme="minorEastAsia" w:cs="Arial" w:hint="eastAsia"/>
          <w:kern w:val="0"/>
          <w:sz w:val="24"/>
          <w:szCs w:val="24"/>
        </w:rPr>
        <w:t>毛鞍宁</w:t>
      </w:r>
      <w:proofErr w:type="gramEnd"/>
    </w:p>
    <w:p w14:paraId="256C3704"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电话：</w:t>
      </w:r>
      <w:r>
        <w:rPr>
          <w:rFonts w:asciiTheme="minorEastAsia" w:hAnsiTheme="minorEastAsia" w:cs="Arial" w:hint="eastAsia"/>
          <w:kern w:val="0"/>
          <w:sz w:val="24"/>
          <w:szCs w:val="24"/>
        </w:rPr>
        <w:t xml:space="preserve"> +86 10 58153000</w:t>
      </w:r>
    </w:p>
    <w:p w14:paraId="43874BC0"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传真：</w:t>
      </w:r>
      <w:r>
        <w:rPr>
          <w:rFonts w:asciiTheme="minorEastAsia" w:hAnsiTheme="minorEastAsia" w:cs="Arial" w:hint="eastAsia"/>
          <w:kern w:val="0"/>
          <w:sz w:val="24"/>
          <w:szCs w:val="24"/>
        </w:rPr>
        <w:t xml:space="preserve"> +86 10 85188298</w:t>
      </w:r>
    </w:p>
    <w:p w14:paraId="3871E08A"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签字注册会计师：吴翠蓉</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、高鹤</w:t>
      </w:r>
    </w:p>
    <w:p w14:paraId="03BFD52B"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联系人</w:t>
      </w: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吴翠蓉</w:t>
      </w:r>
    </w:p>
    <w:p w14:paraId="71618D96"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br w:type="page"/>
      </w:r>
    </w:p>
    <w:p w14:paraId="4681B1D2" w14:textId="77777777" w:rsidR="007B7C2A" w:rsidRDefault="00072812">
      <w:pPr>
        <w:pStyle w:val="1"/>
        <w:ind w:firstLine="602"/>
        <w:jc w:val="center"/>
        <w:rPr>
          <w:sz w:val="30"/>
          <w:szCs w:val="30"/>
        </w:rPr>
      </w:pPr>
      <w:bookmarkStart w:id="115" w:name="_Toc263092314"/>
      <w:bookmarkStart w:id="116" w:name="_Toc416264542"/>
      <w:bookmarkStart w:id="117" w:name="_Toc146096523"/>
      <w:bookmarkStart w:id="118" w:name="_Toc12245"/>
      <w:bookmarkStart w:id="119" w:name="_Toc31235"/>
      <w:bookmarkStart w:id="120" w:name="_Toc141703887"/>
      <w:bookmarkStart w:id="121" w:name="_Toc352229753"/>
      <w:bookmarkStart w:id="122" w:name="_Toc3601"/>
      <w:bookmarkStart w:id="123" w:name="_Toc123102454"/>
      <w:bookmarkStart w:id="124" w:name="_Toc26207"/>
      <w:bookmarkStart w:id="125" w:name="_Toc15143"/>
      <w:bookmarkStart w:id="126" w:name="_Toc29251"/>
      <w:bookmarkStart w:id="127" w:name="_Toc16859"/>
      <w:bookmarkStart w:id="128" w:name="_Toc139991737"/>
      <w:bookmarkStart w:id="129" w:name="_Toc6405"/>
      <w:bookmarkStart w:id="130" w:name="_Toc98560353"/>
      <w:bookmarkStart w:id="131" w:name="_Toc123112235"/>
      <w:bookmarkStart w:id="132" w:name="_Toc31644"/>
      <w:bookmarkStart w:id="133" w:name="_Toc31653"/>
      <w:bookmarkStart w:id="134" w:name="_Toc123051453"/>
      <w:bookmarkStart w:id="135" w:name="_Toc1483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sz w:val="30"/>
          <w:szCs w:val="30"/>
        </w:rPr>
        <w:t>第六部分</w:t>
      </w:r>
      <w:r>
        <w:rPr>
          <w:sz w:val="30"/>
          <w:szCs w:val="30"/>
        </w:rPr>
        <w:t xml:space="preserve">  </w:t>
      </w:r>
      <w:r>
        <w:rPr>
          <w:rFonts w:hint="eastAsia"/>
          <w:sz w:val="30"/>
          <w:szCs w:val="30"/>
        </w:rPr>
        <w:t>基金的募集</w:t>
      </w:r>
      <w:bookmarkEnd w:id="115"/>
      <w:bookmarkEnd w:id="116"/>
      <w:bookmarkEnd w:id="117"/>
    </w:p>
    <w:p w14:paraId="788FA8B7" w14:textId="77777777" w:rsidR="007B7C2A" w:rsidRDefault="00072812">
      <w:pPr>
        <w:autoSpaceDE w:val="0"/>
        <w:autoSpaceDN w:val="0"/>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基金管理人按照《基金法》、《运作办法》、《销售办法》、基金合同及其他有关规定募集本基金，并于</w:t>
      </w:r>
      <w:r>
        <w:rPr>
          <w:rFonts w:asciiTheme="minorEastAsia" w:hAnsiTheme="minorEastAsia" w:cs="Arial" w:hint="eastAsia"/>
          <w:sz w:val="24"/>
          <w:szCs w:val="24"/>
        </w:rPr>
        <w:t>2017</w:t>
      </w:r>
      <w:r>
        <w:rPr>
          <w:rFonts w:asciiTheme="minorEastAsia" w:hAnsiTheme="minorEastAsia" w:cs="Arial" w:hint="eastAsia"/>
          <w:sz w:val="24"/>
          <w:szCs w:val="24"/>
        </w:rPr>
        <w:t>年【</w:t>
      </w:r>
      <w:r>
        <w:rPr>
          <w:rFonts w:asciiTheme="minorEastAsia" w:hAnsiTheme="minorEastAsia" w:cs="Arial" w:hint="eastAsia"/>
          <w:sz w:val="24"/>
          <w:szCs w:val="24"/>
        </w:rPr>
        <w:t>5</w:t>
      </w:r>
      <w:r>
        <w:rPr>
          <w:rFonts w:asciiTheme="minorEastAsia" w:hAnsiTheme="minorEastAsia" w:cs="Arial" w:hint="eastAsia"/>
          <w:sz w:val="24"/>
          <w:szCs w:val="24"/>
        </w:rPr>
        <w:t>】月【</w:t>
      </w:r>
      <w:r>
        <w:rPr>
          <w:rFonts w:asciiTheme="minorEastAsia" w:hAnsiTheme="minorEastAsia" w:cs="Arial" w:hint="eastAsia"/>
          <w:sz w:val="24"/>
          <w:szCs w:val="24"/>
        </w:rPr>
        <w:t>12</w:t>
      </w:r>
      <w:r>
        <w:rPr>
          <w:rFonts w:asciiTheme="minorEastAsia" w:hAnsiTheme="minorEastAsia" w:cs="Arial" w:hint="eastAsia"/>
          <w:sz w:val="24"/>
          <w:szCs w:val="24"/>
        </w:rPr>
        <w:t>】日经中国证监会证监许可</w:t>
      </w:r>
      <w:r>
        <w:rPr>
          <w:rFonts w:asciiTheme="minorEastAsia" w:hAnsiTheme="minorEastAsia" w:cs="Arial" w:hint="eastAsia"/>
          <w:sz w:val="24"/>
          <w:szCs w:val="24"/>
        </w:rPr>
        <w:t>[2017]700</w:t>
      </w:r>
      <w:r>
        <w:rPr>
          <w:rFonts w:asciiTheme="minorEastAsia" w:hAnsiTheme="minorEastAsia" w:cs="Arial" w:hint="eastAsia"/>
          <w:sz w:val="24"/>
          <w:szCs w:val="24"/>
        </w:rPr>
        <w:t>号文准予注册募集。本基金于</w:t>
      </w:r>
      <w:r>
        <w:rPr>
          <w:rFonts w:asciiTheme="minorEastAsia" w:hAnsiTheme="minorEastAsia" w:cs="Arial" w:hint="eastAsia"/>
          <w:sz w:val="24"/>
          <w:szCs w:val="24"/>
        </w:rPr>
        <w:t>2017</w:t>
      </w:r>
      <w:r>
        <w:rPr>
          <w:rFonts w:asciiTheme="minorEastAsia" w:hAnsiTheme="minorEastAsia" w:cs="Arial" w:hint="eastAsia"/>
          <w:sz w:val="24"/>
          <w:szCs w:val="24"/>
        </w:rPr>
        <w:t>年</w:t>
      </w:r>
      <w:r>
        <w:rPr>
          <w:rFonts w:asciiTheme="minorEastAsia" w:hAnsiTheme="minorEastAsia" w:cs="Arial"/>
          <w:sz w:val="24"/>
          <w:szCs w:val="24"/>
        </w:rPr>
        <w:t>11</w:t>
      </w:r>
      <w:r>
        <w:rPr>
          <w:rFonts w:asciiTheme="minorEastAsia" w:hAnsiTheme="minorEastAsia" w:cs="Arial" w:hint="eastAsia"/>
          <w:sz w:val="24"/>
          <w:szCs w:val="24"/>
        </w:rPr>
        <w:t>月</w:t>
      </w:r>
      <w:r>
        <w:rPr>
          <w:rFonts w:asciiTheme="minorEastAsia" w:hAnsiTheme="minorEastAsia" w:cs="Arial"/>
          <w:sz w:val="24"/>
          <w:szCs w:val="24"/>
        </w:rPr>
        <w:t>10</w:t>
      </w:r>
      <w:r>
        <w:rPr>
          <w:rFonts w:asciiTheme="minorEastAsia" w:hAnsiTheme="minorEastAsia" w:cs="Arial" w:hint="eastAsia"/>
          <w:sz w:val="24"/>
          <w:szCs w:val="24"/>
        </w:rPr>
        <w:t>日起通过各销售机构向社会公开募集，截至</w:t>
      </w:r>
      <w:r>
        <w:rPr>
          <w:rFonts w:asciiTheme="minorEastAsia" w:hAnsiTheme="minorEastAsia" w:cs="Arial" w:hint="eastAsia"/>
          <w:sz w:val="24"/>
          <w:szCs w:val="24"/>
        </w:rPr>
        <w:t>2018</w:t>
      </w:r>
      <w:r>
        <w:rPr>
          <w:rFonts w:asciiTheme="minorEastAsia" w:hAnsiTheme="minorEastAsia" w:cs="Arial" w:hint="eastAsia"/>
          <w:sz w:val="24"/>
          <w:szCs w:val="24"/>
        </w:rPr>
        <w:t>年</w:t>
      </w:r>
      <w:r>
        <w:rPr>
          <w:rFonts w:asciiTheme="minorEastAsia" w:hAnsiTheme="minorEastAsia" w:cs="Arial"/>
          <w:sz w:val="24"/>
          <w:szCs w:val="24"/>
        </w:rPr>
        <w:t>2</w:t>
      </w:r>
      <w:r>
        <w:rPr>
          <w:rFonts w:asciiTheme="minorEastAsia" w:hAnsiTheme="minorEastAsia" w:cs="Arial" w:hint="eastAsia"/>
          <w:sz w:val="24"/>
          <w:szCs w:val="24"/>
        </w:rPr>
        <w:t>月</w:t>
      </w:r>
      <w:r>
        <w:rPr>
          <w:rFonts w:asciiTheme="minorEastAsia" w:hAnsiTheme="minorEastAsia" w:cs="Arial"/>
          <w:sz w:val="24"/>
          <w:szCs w:val="24"/>
        </w:rPr>
        <w:t>8</w:t>
      </w:r>
      <w:r>
        <w:rPr>
          <w:rFonts w:asciiTheme="minorEastAsia" w:hAnsiTheme="minorEastAsia" w:cs="Arial" w:hint="eastAsia"/>
          <w:sz w:val="24"/>
          <w:szCs w:val="24"/>
        </w:rPr>
        <w:t>日，基金募集工作已顺利结束。</w:t>
      </w:r>
    </w:p>
    <w:p w14:paraId="3A48761B" w14:textId="77777777" w:rsidR="007B7C2A" w:rsidRDefault="00072812">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08E7CCF1" w14:textId="77777777" w:rsidR="007B7C2A" w:rsidRDefault="00072812">
      <w:pPr>
        <w:pStyle w:val="1"/>
        <w:ind w:firstLine="602"/>
        <w:jc w:val="center"/>
        <w:rPr>
          <w:sz w:val="30"/>
          <w:szCs w:val="30"/>
          <w:lang w:val="en-US"/>
        </w:rPr>
      </w:pPr>
      <w:bookmarkStart w:id="136" w:name="_Toc263092315"/>
      <w:bookmarkStart w:id="137" w:name="_Toc214873596"/>
      <w:bookmarkStart w:id="138" w:name="_Toc416264543"/>
      <w:bookmarkStart w:id="139" w:name="_Toc146096524"/>
      <w:bookmarkStart w:id="140" w:name="_Toc3771"/>
      <w:bookmarkStart w:id="141" w:name="_Toc9706"/>
      <w:bookmarkStart w:id="142" w:name="_Toc11030"/>
      <w:bookmarkStart w:id="143" w:name="_Toc123051454"/>
      <w:bookmarkStart w:id="144" w:name="_Toc7058"/>
      <w:bookmarkStart w:id="145" w:name="_Toc10650"/>
      <w:bookmarkStart w:id="146" w:name="_Toc79392583"/>
      <w:bookmarkStart w:id="147" w:name="_Toc98560354"/>
      <w:bookmarkStart w:id="148" w:name="_Toc139991738"/>
      <w:bookmarkStart w:id="149" w:name="_Toc352229754"/>
      <w:bookmarkStart w:id="150" w:name="_Toc18567"/>
      <w:bookmarkStart w:id="151" w:name="_Toc141703888"/>
      <w:bookmarkStart w:id="152" w:name="_Toc20768"/>
      <w:bookmarkStart w:id="153" w:name="_Toc123102455"/>
      <w:bookmarkStart w:id="154" w:name="_Toc3321"/>
      <w:bookmarkStart w:id="155" w:name="_Toc25783"/>
      <w:bookmarkStart w:id="156" w:name="_Toc123112236"/>
      <w:bookmarkStart w:id="157" w:name="_Toc4559"/>
      <w:bookmarkStart w:id="158" w:name="_Toc644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sz w:val="30"/>
          <w:szCs w:val="30"/>
        </w:rPr>
        <w:t>第七部分</w:t>
      </w:r>
      <w:r>
        <w:rPr>
          <w:sz w:val="30"/>
          <w:szCs w:val="30"/>
          <w:lang w:val="en-US"/>
        </w:rPr>
        <w:t xml:space="preserve">  </w:t>
      </w:r>
      <w:r>
        <w:rPr>
          <w:rFonts w:hint="eastAsia"/>
          <w:sz w:val="30"/>
          <w:szCs w:val="30"/>
        </w:rPr>
        <w:t>基金</w:t>
      </w:r>
      <w:bookmarkEnd w:id="136"/>
      <w:bookmarkEnd w:id="137"/>
      <w:r>
        <w:rPr>
          <w:rFonts w:hint="eastAsia"/>
          <w:sz w:val="30"/>
          <w:szCs w:val="30"/>
        </w:rPr>
        <w:t>合同的生效</w:t>
      </w:r>
      <w:bookmarkEnd w:id="138"/>
      <w:bookmarkEnd w:id="139"/>
    </w:p>
    <w:p w14:paraId="3FADF8F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根据《基金法》、《运作办法》以及基金合同、招募说明书、基金份额发售公告的有关规定，本基金募集结果符合有关条件，本基金管理人于</w:t>
      </w:r>
      <w:r>
        <w:rPr>
          <w:rFonts w:asciiTheme="minorEastAsia" w:hAnsiTheme="minorEastAsia" w:cs="Arial" w:hint="eastAsia"/>
          <w:sz w:val="24"/>
          <w:szCs w:val="24"/>
        </w:rPr>
        <w:t>2018</w:t>
      </w:r>
      <w:r>
        <w:rPr>
          <w:rFonts w:asciiTheme="minorEastAsia" w:hAnsiTheme="minorEastAsia" w:cs="Arial" w:hint="eastAsia"/>
          <w:sz w:val="24"/>
          <w:szCs w:val="24"/>
        </w:rPr>
        <w:t>年</w:t>
      </w:r>
      <w:r>
        <w:rPr>
          <w:rFonts w:asciiTheme="minorEastAsia" w:hAnsiTheme="minorEastAsia" w:cs="Arial" w:hint="eastAsia"/>
          <w:sz w:val="24"/>
          <w:szCs w:val="24"/>
        </w:rPr>
        <w:t>2</w:t>
      </w:r>
      <w:r>
        <w:rPr>
          <w:rFonts w:asciiTheme="minorEastAsia" w:hAnsiTheme="minorEastAsia" w:cs="Arial" w:hint="eastAsia"/>
          <w:sz w:val="24"/>
          <w:szCs w:val="24"/>
        </w:rPr>
        <w:t>月</w:t>
      </w:r>
      <w:r>
        <w:rPr>
          <w:rFonts w:asciiTheme="minorEastAsia" w:hAnsiTheme="minorEastAsia" w:cs="Arial" w:hint="eastAsia"/>
          <w:sz w:val="24"/>
          <w:szCs w:val="24"/>
        </w:rPr>
        <w:t>13</w:t>
      </w:r>
      <w:r>
        <w:rPr>
          <w:rFonts w:asciiTheme="minorEastAsia" w:hAnsiTheme="minorEastAsia" w:cs="Arial" w:hint="eastAsia"/>
          <w:sz w:val="24"/>
          <w:szCs w:val="24"/>
        </w:rPr>
        <w:t>日向中国证监会办理完毕基金备案手续并已获书面确认，基金合同自该日期正式生效。自基金合同生效之日起，本基金管理人正式开始管理本基金。</w:t>
      </w:r>
    </w:p>
    <w:p w14:paraId="103402A8" w14:textId="77777777" w:rsidR="007B7C2A" w:rsidRDefault="00072812">
      <w:pPr>
        <w:adjustRightInd w:val="0"/>
        <w:snapToGrid w:val="0"/>
        <w:spacing w:line="360" w:lineRule="auto"/>
        <w:ind w:firstLineChars="200" w:firstLine="480"/>
        <w:jc w:val="left"/>
        <w:rPr>
          <w:rFonts w:asciiTheme="minorEastAsia" w:hAnsiTheme="minorEastAsia" w:cs="Times New Roman" w:hint="eastAsia"/>
          <w:sz w:val="24"/>
          <w:szCs w:val="24"/>
        </w:rPr>
      </w:pPr>
      <w:bookmarkStart w:id="159" w:name="_Toc12357171"/>
      <w:bookmarkStart w:id="160" w:name="_Toc263092316"/>
      <w:bookmarkStart w:id="161" w:name="_Toc147463118"/>
      <w:bookmarkStart w:id="162" w:name="_Toc416264544"/>
      <w:bookmarkStart w:id="163" w:name="_Toc214873597"/>
      <w:bookmarkStart w:id="164" w:name="_Toc21073391"/>
      <w:bookmarkStart w:id="165" w:name="_Toc123102456"/>
      <w:bookmarkStart w:id="166" w:name="_Toc31821"/>
      <w:bookmarkStart w:id="167" w:name="_Toc3963"/>
      <w:bookmarkStart w:id="168" w:name="_Toc3080"/>
      <w:bookmarkStart w:id="169" w:name="_Toc18206"/>
      <w:bookmarkStart w:id="170" w:name="_Toc725"/>
      <w:bookmarkStart w:id="171" w:name="_Toc16164"/>
      <w:bookmarkStart w:id="172" w:name="_Toc3572"/>
      <w:bookmarkStart w:id="173" w:name="_Toc141703889"/>
      <w:bookmarkStart w:id="174" w:name="_Toc123112237"/>
      <w:bookmarkStart w:id="175" w:name="_Toc18769"/>
      <w:bookmarkStart w:id="176" w:name="_Toc139991739"/>
      <w:bookmarkStart w:id="177" w:name="_Toc21735"/>
      <w:bookmarkStart w:id="178" w:name="_Toc123051455"/>
      <w:bookmarkStart w:id="179" w:name="_Toc98560355"/>
      <w:bookmarkStart w:id="180" w:name="_Toc352229755"/>
      <w:bookmarkStart w:id="181" w:name="_Toc10398"/>
      <w:bookmarkStart w:id="182" w:name="_Toc1745"/>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heme="minorEastAsia" w:hAnsiTheme="minorEastAsia" w:cs="Times New Roman" w:hint="eastAsia"/>
          <w:sz w:val="24"/>
          <w:szCs w:val="24"/>
        </w:rPr>
        <w:t>《基金合同》生效后，连续</w:t>
      </w:r>
      <w:r>
        <w:rPr>
          <w:rFonts w:asciiTheme="minorEastAsia" w:hAnsiTheme="minorEastAsia" w:cs="Times New Roman" w:hint="eastAsia"/>
          <w:sz w:val="24"/>
          <w:szCs w:val="24"/>
        </w:rPr>
        <w:t>20</w:t>
      </w:r>
      <w:r>
        <w:rPr>
          <w:rFonts w:asciiTheme="minorEastAsia" w:hAnsiTheme="minorEastAsia" w:cs="Times New Roman" w:hint="eastAsia"/>
          <w:sz w:val="24"/>
          <w:szCs w:val="24"/>
        </w:rPr>
        <w:t>个工作日出现基金份额持有人数量不满</w:t>
      </w:r>
      <w:r>
        <w:rPr>
          <w:rFonts w:asciiTheme="minorEastAsia" w:hAnsiTheme="minorEastAsia" w:cs="Times New Roman" w:hint="eastAsia"/>
          <w:sz w:val="24"/>
          <w:szCs w:val="24"/>
        </w:rPr>
        <w:t>200</w:t>
      </w:r>
      <w:r>
        <w:rPr>
          <w:rFonts w:asciiTheme="minorEastAsia" w:hAnsiTheme="minorEastAsia" w:cs="Times New Roman" w:hint="eastAsia"/>
          <w:sz w:val="24"/>
          <w:szCs w:val="24"/>
        </w:rPr>
        <w:t>人或者基金资产净值低于</w:t>
      </w:r>
      <w:r>
        <w:rPr>
          <w:rFonts w:asciiTheme="minorEastAsia" w:hAnsiTheme="minorEastAsia" w:cs="Times New Roman" w:hint="eastAsia"/>
          <w:sz w:val="24"/>
          <w:szCs w:val="24"/>
        </w:rPr>
        <w:t>5000</w:t>
      </w:r>
      <w:r>
        <w:rPr>
          <w:rFonts w:asciiTheme="minorEastAsia" w:hAnsiTheme="minorEastAsia" w:cs="Times New Roman" w:hint="eastAsia"/>
          <w:sz w:val="24"/>
          <w:szCs w:val="24"/>
        </w:rPr>
        <w:t>万元情形的，基金管理人应当在定期报告中予以披露；连续</w:t>
      </w:r>
      <w:r>
        <w:rPr>
          <w:rFonts w:asciiTheme="minorEastAsia" w:hAnsiTheme="minorEastAsia" w:cs="Times New Roman" w:hint="eastAsia"/>
          <w:sz w:val="24"/>
          <w:szCs w:val="24"/>
        </w:rPr>
        <w:t>60</w:t>
      </w:r>
      <w:r>
        <w:rPr>
          <w:rFonts w:asciiTheme="minorEastAsia" w:hAnsiTheme="minorEastAsia" w:cs="Times New Roman" w:hint="eastAsia"/>
          <w:sz w:val="24"/>
          <w:szCs w:val="24"/>
        </w:rPr>
        <w:t>个工作日出现前述情形的，基金管理人应当</w:t>
      </w:r>
      <w:r>
        <w:rPr>
          <w:rFonts w:asciiTheme="minorEastAsia" w:hAnsiTheme="minorEastAsia" w:cs="Times New Roman" w:hint="eastAsia"/>
          <w:sz w:val="24"/>
          <w:szCs w:val="24"/>
        </w:rPr>
        <w:t>10</w:t>
      </w:r>
      <w:r>
        <w:rPr>
          <w:rFonts w:asciiTheme="minorEastAsia" w:hAnsiTheme="minorEastAsia" w:cs="Times New Roman" w:hint="eastAsia"/>
          <w:sz w:val="24"/>
          <w:szCs w:val="24"/>
        </w:rPr>
        <w:t>个工作日内向中国证监会报告并提出解决方案，如持续运作、转换运作方式、与其他基金合并或者终止基金合同等，并</w:t>
      </w:r>
      <w:r>
        <w:rPr>
          <w:rFonts w:asciiTheme="minorEastAsia" w:hAnsiTheme="minorEastAsia" w:cs="Times New Roman" w:hint="eastAsia"/>
          <w:sz w:val="24"/>
          <w:szCs w:val="24"/>
        </w:rPr>
        <w:t>6</w:t>
      </w:r>
      <w:r>
        <w:rPr>
          <w:rFonts w:asciiTheme="minorEastAsia" w:hAnsiTheme="minorEastAsia" w:cs="Times New Roman" w:hint="eastAsia"/>
          <w:sz w:val="24"/>
          <w:szCs w:val="24"/>
        </w:rPr>
        <w:t>个月内召开基金份额持有人大会。</w:t>
      </w:r>
    </w:p>
    <w:p w14:paraId="365696FC" w14:textId="77777777" w:rsidR="007B7C2A" w:rsidRDefault="00072812">
      <w:pPr>
        <w:widowControl/>
        <w:ind w:firstLineChars="200" w:firstLine="480"/>
        <w:jc w:val="left"/>
        <w:rPr>
          <w:rFonts w:asciiTheme="minorEastAsia" w:hAnsiTheme="minorEastAsia" w:cs="Times New Roman" w:hint="eastAsia"/>
          <w:sz w:val="24"/>
          <w:szCs w:val="24"/>
        </w:rPr>
      </w:pPr>
      <w:r>
        <w:rPr>
          <w:rFonts w:asciiTheme="minorEastAsia" w:hAnsiTheme="minorEastAsia" w:cs="Times New Roman" w:hint="eastAsia"/>
          <w:sz w:val="24"/>
          <w:szCs w:val="24"/>
        </w:rPr>
        <w:t>法律法规另有规定时，从其规定。</w:t>
      </w:r>
      <w:r>
        <w:rPr>
          <w:rFonts w:asciiTheme="minorEastAsia" w:hAnsiTheme="minorEastAsia" w:cs="Times New Roman"/>
          <w:sz w:val="24"/>
          <w:szCs w:val="24"/>
        </w:rPr>
        <w:br w:type="page"/>
      </w:r>
    </w:p>
    <w:p w14:paraId="32EB24FA" w14:textId="77777777" w:rsidR="007B7C2A" w:rsidRDefault="00072812">
      <w:pPr>
        <w:pStyle w:val="1"/>
        <w:ind w:firstLine="602"/>
        <w:jc w:val="center"/>
        <w:rPr>
          <w:rFonts w:ascii="Arial" w:hAnsi="Arial" w:cs="Arial"/>
          <w:bCs/>
          <w:sz w:val="30"/>
          <w:szCs w:val="30"/>
        </w:rPr>
      </w:pPr>
      <w:bookmarkStart w:id="183" w:name="_Toc146096525"/>
      <w:r>
        <w:rPr>
          <w:rFonts w:hint="eastAsia"/>
          <w:sz w:val="30"/>
          <w:szCs w:val="30"/>
        </w:rPr>
        <w:t>第八部分</w:t>
      </w:r>
      <w:r>
        <w:rPr>
          <w:sz w:val="30"/>
          <w:szCs w:val="30"/>
        </w:rPr>
        <w:t xml:space="preserve">  </w:t>
      </w:r>
      <w:r>
        <w:rPr>
          <w:rFonts w:hint="eastAsia"/>
          <w:sz w:val="30"/>
          <w:szCs w:val="30"/>
        </w:rPr>
        <w:t>基金份额的申购与赎回</w:t>
      </w:r>
      <w:bookmarkEnd w:id="159"/>
      <w:bookmarkEnd w:id="160"/>
      <w:bookmarkEnd w:id="161"/>
      <w:bookmarkEnd w:id="162"/>
      <w:bookmarkEnd w:id="163"/>
      <w:bookmarkEnd w:id="164"/>
      <w:bookmarkEnd w:id="183"/>
    </w:p>
    <w:p w14:paraId="01F66616" w14:textId="77777777" w:rsidR="007B7C2A" w:rsidRDefault="00072812">
      <w:pPr>
        <w:adjustRightInd w:val="0"/>
        <w:snapToGrid w:val="0"/>
        <w:spacing w:line="360" w:lineRule="auto"/>
        <w:ind w:firstLineChars="200" w:firstLine="482"/>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一、申购和赎回场所</w:t>
      </w:r>
    </w:p>
    <w:p w14:paraId="64B7169B" w14:textId="77777777" w:rsidR="007B7C2A" w:rsidRDefault="00072812">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申购与赎回将通过销售机构进行。具体的销售网点将由基金管理人在其他相关公告中列明。基金管理人可根据情况变更或增减销售机构，并在管理人网站公示。基金投资者应当在销售机构办理基金销售业务的营业场所或按销售机构提供的其他方式办理基金份额的申购与赎回。</w:t>
      </w:r>
    </w:p>
    <w:p w14:paraId="5EEB367D" w14:textId="77777777" w:rsidR="007B7C2A" w:rsidRDefault="00072812">
      <w:pPr>
        <w:spacing w:line="360" w:lineRule="auto"/>
        <w:ind w:firstLineChars="200" w:firstLine="480"/>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若基金</w:t>
      </w:r>
      <w:proofErr w:type="gramEnd"/>
      <w:r>
        <w:rPr>
          <w:rFonts w:asciiTheme="minorEastAsia" w:hAnsiTheme="minorEastAsia" w:cs="Times New Roman" w:hint="eastAsia"/>
          <w:bCs/>
          <w:sz w:val="24"/>
          <w:szCs w:val="24"/>
        </w:rPr>
        <w:t>管理人或其指定的销售机构开通电话、传真或网上等交易方式，投资人可以通过上述方式进行申购与赎回，具体办法由基金管理人或其指定的销售机构另行公告。</w:t>
      </w:r>
    </w:p>
    <w:p w14:paraId="009645C3" w14:textId="77777777" w:rsidR="007B7C2A" w:rsidRDefault="00072812">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二、申购和赎回的开放日及时间</w:t>
      </w:r>
    </w:p>
    <w:p w14:paraId="1FFEEFFB"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bookmarkStart w:id="184" w:name="_Toc510842719"/>
      <w:r>
        <w:rPr>
          <w:rFonts w:asciiTheme="minorEastAsia" w:hAnsiTheme="minorEastAsia" w:cs="Arial" w:hint="eastAsia"/>
          <w:sz w:val="24"/>
          <w:szCs w:val="24"/>
        </w:rPr>
        <w:t>1</w:t>
      </w:r>
      <w:r>
        <w:rPr>
          <w:rFonts w:asciiTheme="minorEastAsia" w:hAnsiTheme="minorEastAsia" w:cs="Arial" w:hint="eastAsia"/>
          <w:sz w:val="24"/>
          <w:szCs w:val="24"/>
        </w:rPr>
        <w:t>、开放日及开放时间</w:t>
      </w:r>
    </w:p>
    <w:p w14:paraId="1249351F"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1D87A970"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基金合同生效后，若出现新的证券</w:t>
      </w:r>
      <w:r>
        <w:rPr>
          <w:rFonts w:asciiTheme="minorEastAsia" w:hAnsiTheme="minorEastAsia" w:cs="Arial" w:hint="eastAsia"/>
          <w:sz w:val="24"/>
          <w:szCs w:val="24"/>
        </w:rPr>
        <w:t>/</w:t>
      </w:r>
      <w:r>
        <w:rPr>
          <w:rFonts w:asciiTheme="minorEastAsia" w:hAnsiTheme="minorEastAsia" w:cs="Arial" w:hint="eastAsia"/>
          <w:sz w:val="24"/>
          <w:szCs w:val="24"/>
        </w:rPr>
        <w:t>期货交易市场、证券</w:t>
      </w:r>
      <w:r>
        <w:rPr>
          <w:rFonts w:asciiTheme="minorEastAsia" w:hAnsiTheme="minorEastAsia" w:cs="Arial" w:hint="eastAsia"/>
          <w:sz w:val="24"/>
          <w:szCs w:val="24"/>
        </w:rPr>
        <w:t>/</w:t>
      </w:r>
      <w:r>
        <w:rPr>
          <w:rFonts w:asciiTheme="minorEastAsia" w:hAnsiTheme="minorEastAsia" w:cs="Arial" w:hint="eastAsia"/>
          <w:sz w:val="24"/>
          <w:szCs w:val="24"/>
        </w:rPr>
        <w:t>期货交易所交易时间变更或其他特殊情况，基金管理人将视情况对前述开放日及开放时间进行相应的调整，但应在实施日前依照《信息披露办法》的有关规定在指定媒介上公告。</w:t>
      </w:r>
    </w:p>
    <w:p w14:paraId="787BEE3C"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、申购、赎回开始日及业务办理时间</w:t>
      </w:r>
    </w:p>
    <w:p w14:paraId="456F735D"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本基金已于</w:t>
      </w:r>
      <w:r>
        <w:rPr>
          <w:rFonts w:asciiTheme="minorEastAsia" w:hAnsiTheme="minorEastAsia" w:cs="Arial" w:hint="eastAsia"/>
          <w:sz w:val="24"/>
          <w:szCs w:val="24"/>
        </w:rPr>
        <w:t>2018</w:t>
      </w:r>
      <w:r>
        <w:rPr>
          <w:rFonts w:asciiTheme="minorEastAsia" w:hAnsiTheme="minorEastAsia" w:cs="Arial" w:hint="eastAsia"/>
          <w:sz w:val="24"/>
          <w:szCs w:val="24"/>
        </w:rPr>
        <w:t>年</w:t>
      </w:r>
      <w:r>
        <w:rPr>
          <w:rFonts w:asciiTheme="minorEastAsia" w:hAnsiTheme="minorEastAsia" w:cs="Arial" w:hint="eastAsia"/>
          <w:sz w:val="24"/>
          <w:szCs w:val="24"/>
        </w:rPr>
        <w:t>2</w:t>
      </w:r>
      <w:r>
        <w:rPr>
          <w:rFonts w:asciiTheme="minorEastAsia" w:hAnsiTheme="minorEastAsia" w:cs="Arial" w:hint="eastAsia"/>
          <w:sz w:val="24"/>
          <w:szCs w:val="24"/>
        </w:rPr>
        <w:t>月</w:t>
      </w:r>
      <w:r>
        <w:rPr>
          <w:rFonts w:asciiTheme="minorEastAsia" w:hAnsiTheme="minorEastAsia" w:cs="Arial" w:hint="eastAsia"/>
          <w:sz w:val="24"/>
          <w:szCs w:val="24"/>
        </w:rPr>
        <w:t>26</w:t>
      </w:r>
      <w:r>
        <w:rPr>
          <w:rFonts w:asciiTheme="minorEastAsia" w:hAnsiTheme="minorEastAsia" w:cs="Arial" w:hint="eastAsia"/>
          <w:sz w:val="24"/>
          <w:szCs w:val="24"/>
        </w:rPr>
        <w:t>日开始办理申购、赎回业务。</w:t>
      </w:r>
    </w:p>
    <w:p w14:paraId="5FA986E2"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Pr>
          <w:rFonts w:asciiTheme="minorEastAsia" w:hAnsiTheme="minorEastAsia" w:cs="Arial" w:hint="eastAsia"/>
          <w:sz w:val="24"/>
          <w:szCs w:val="24"/>
        </w:rPr>
        <w:t>且登记</w:t>
      </w:r>
      <w:proofErr w:type="gramEnd"/>
      <w:r>
        <w:rPr>
          <w:rFonts w:asciiTheme="minorEastAsia" w:hAnsiTheme="minorEastAsia" w:cs="Arial" w:hint="eastAsia"/>
          <w:sz w:val="24"/>
          <w:szCs w:val="24"/>
        </w:rPr>
        <w:t>机构确认接受的，其基金份额申购、赎回价格为下一开放日该类别基金份额申购、赎回的价格。</w:t>
      </w:r>
    </w:p>
    <w:bookmarkEnd w:id="184"/>
    <w:p w14:paraId="05A86C9D" w14:textId="77777777" w:rsidR="007B7C2A" w:rsidRDefault="00072812">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三、申购与赎回的原则</w:t>
      </w:r>
    </w:p>
    <w:p w14:paraId="295B74B7"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、“未知价”原则，即申购、赎回价格以申请当日收市后计算的某一类别基金份额净值为基准进行计算；</w:t>
      </w:r>
    </w:p>
    <w:p w14:paraId="3499545E"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、“金额申购、份额赎回”原则，即申购以金额申请，赎回以份额申请；</w:t>
      </w:r>
    </w:p>
    <w:p w14:paraId="7946635A"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、当日的申购与赎回申请可以在基金管理人规定的时间以内撤销；</w:t>
      </w:r>
    </w:p>
    <w:p w14:paraId="1C5E5F4B"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、赎回遵循“先进先出”原则，即按照投资人认购、申购的先后次序进行顺序赎回；</w:t>
      </w:r>
    </w:p>
    <w:p w14:paraId="6B7A93CA"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w:t>
      </w:r>
      <w:r>
        <w:rPr>
          <w:rFonts w:asciiTheme="minorEastAsia" w:hAnsiTheme="minorEastAsia" w:cs="Arial" w:hint="eastAsia"/>
          <w:sz w:val="24"/>
          <w:szCs w:val="24"/>
        </w:rPr>
        <w:t>、投资者办理申购、赎回等业务时应提交的文件和办理手续、办理时间、处理规则等在遵守基金合同和招募说明书规定的前提下，以各销售机构的具体规定为准。</w:t>
      </w:r>
    </w:p>
    <w:p w14:paraId="58849A87"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基金管理人可在法律法规允许的情况下，对上述原则进行调整。基金管理人必须在新规则开始实施前依照《信息披露办法》的有关规定进行公告。</w:t>
      </w:r>
    </w:p>
    <w:p w14:paraId="7229077B" w14:textId="77777777" w:rsidR="007B7C2A" w:rsidRDefault="00072812">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四、申购与赎回的程序</w:t>
      </w:r>
    </w:p>
    <w:p w14:paraId="2B10DCBE"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、申购和赎回的申请方式</w:t>
      </w:r>
    </w:p>
    <w:p w14:paraId="40F11D98"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投资人必须根据销售机构规定的程序，在开放日的具体业务办理时间内提出申购或赎回的申请。</w:t>
      </w:r>
    </w:p>
    <w:p w14:paraId="7D092F60"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、申购和赎回的款项支付</w:t>
      </w:r>
    </w:p>
    <w:p w14:paraId="646B69F0"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投资人申购基金份额时，必须全额交付申购款项，投资人在规定时间前全额交付申购款项，申购成立；登记机构确认基金份额时，申购生效。</w:t>
      </w:r>
    </w:p>
    <w:p w14:paraId="07CC03F8"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基金份额持有人递交赎回申请，赎回成立；登记机构确认赎回时，赎回生效。投资人赎回申请成功后，基金管理人将在</w:t>
      </w:r>
      <w:r>
        <w:rPr>
          <w:rFonts w:asciiTheme="minorEastAsia" w:hAnsiTheme="minorEastAsia" w:cs="Arial"/>
          <w:sz w:val="24"/>
          <w:szCs w:val="24"/>
        </w:rPr>
        <w:t>T</w:t>
      </w:r>
      <w:r>
        <w:rPr>
          <w:rFonts w:asciiTheme="minorEastAsia" w:hAnsiTheme="minorEastAsia" w:cs="Arial" w:hint="eastAsia"/>
          <w:sz w:val="24"/>
          <w:szCs w:val="24"/>
        </w:rPr>
        <w:t>＋</w:t>
      </w:r>
      <w:r>
        <w:rPr>
          <w:rFonts w:asciiTheme="minorEastAsia" w:hAnsiTheme="minorEastAsia" w:cs="Arial"/>
          <w:sz w:val="24"/>
          <w:szCs w:val="24"/>
        </w:rPr>
        <w:t>7</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内支付赎回款项。在发生巨额赎回时，款项的支付办法参照基金合同有关条款处理。</w:t>
      </w:r>
    </w:p>
    <w:p w14:paraId="38C0E429"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、申购和赎回申请的确认</w:t>
      </w:r>
    </w:p>
    <w:p w14:paraId="5AFDD308"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基金管理人应以交易时间结束前受理有效申购和赎回申请的当天作为申购或赎回申请日</w:t>
      </w:r>
      <w:r>
        <w:rPr>
          <w:rFonts w:asciiTheme="minorEastAsia" w:hAnsiTheme="minorEastAsia" w:cs="Arial"/>
          <w:sz w:val="24"/>
          <w:szCs w:val="24"/>
        </w:rPr>
        <w:t>(T</w:t>
      </w:r>
      <w:r>
        <w:rPr>
          <w:rFonts w:asciiTheme="minorEastAsia" w:hAnsiTheme="minorEastAsia" w:cs="Arial" w:hint="eastAsia"/>
          <w:sz w:val="24"/>
          <w:szCs w:val="24"/>
        </w:rPr>
        <w:t>日</w:t>
      </w:r>
      <w:r>
        <w:rPr>
          <w:rFonts w:asciiTheme="minorEastAsia" w:hAnsiTheme="minorEastAsia" w:cs="Arial"/>
          <w:sz w:val="24"/>
          <w:szCs w:val="24"/>
        </w:rPr>
        <w:t>)</w:t>
      </w:r>
      <w:r>
        <w:rPr>
          <w:rFonts w:asciiTheme="minorEastAsia" w:hAnsiTheme="minorEastAsia" w:cs="Arial" w:hint="eastAsia"/>
          <w:sz w:val="24"/>
          <w:szCs w:val="24"/>
        </w:rPr>
        <w:t>，在正常情况下，本基金登记机构在</w:t>
      </w:r>
      <w:r>
        <w:rPr>
          <w:rFonts w:asciiTheme="minorEastAsia" w:hAnsiTheme="minorEastAsia" w:cs="Arial"/>
          <w:sz w:val="24"/>
          <w:szCs w:val="24"/>
        </w:rPr>
        <w:t>T+1</w:t>
      </w:r>
      <w:r>
        <w:rPr>
          <w:rFonts w:asciiTheme="minorEastAsia" w:hAnsiTheme="minorEastAsia" w:cs="Arial" w:hint="eastAsia"/>
          <w:sz w:val="24"/>
          <w:szCs w:val="24"/>
        </w:rPr>
        <w:t>日内对该交易的有效性进行确认。</w:t>
      </w:r>
      <w:r>
        <w:rPr>
          <w:rFonts w:asciiTheme="minorEastAsia" w:hAnsiTheme="minorEastAsia" w:cs="Arial"/>
          <w:sz w:val="24"/>
          <w:szCs w:val="24"/>
        </w:rPr>
        <w:t>T</w:t>
      </w:r>
      <w:r>
        <w:rPr>
          <w:rFonts w:asciiTheme="minorEastAsia" w:hAnsiTheme="minorEastAsia" w:cs="Arial" w:hint="eastAsia"/>
          <w:sz w:val="24"/>
          <w:szCs w:val="24"/>
        </w:rPr>
        <w:t>日提交的有效申请，投资人应在</w:t>
      </w:r>
      <w:r>
        <w:rPr>
          <w:rFonts w:asciiTheme="minorEastAsia" w:hAnsiTheme="minorEastAsia" w:cs="Arial"/>
          <w:sz w:val="24"/>
          <w:szCs w:val="24"/>
        </w:rPr>
        <w:t>T+2</w:t>
      </w:r>
      <w:r>
        <w:rPr>
          <w:rFonts w:asciiTheme="minorEastAsia" w:hAnsiTheme="minorEastAsia" w:cs="Arial" w:hint="eastAsia"/>
          <w:sz w:val="24"/>
          <w:szCs w:val="24"/>
        </w:rPr>
        <w:t>日后</w:t>
      </w:r>
      <w:r>
        <w:rPr>
          <w:rFonts w:asciiTheme="minorEastAsia" w:hAnsiTheme="minorEastAsia" w:cs="Arial"/>
          <w:sz w:val="24"/>
          <w:szCs w:val="24"/>
        </w:rPr>
        <w:t>(</w:t>
      </w:r>
      <w:r>
        <w:rPr>
          <w:rFonts w:asciiTheme="minorEastAsia" w:hAnsiTheme="minorEastAsia" w:cs="Arial" w:hint="eastAsia"/>
          <w:sz w:val="24"/>
          <w:szCs w:val="24"/>
        </w:rPr>
        <w:t>包括该日</w:t>
      </w:r>
      <w:r>
        <w:rPr>
          <w:rFonts w:asciiTheme="minorEastAsia" w:hAnsiTheme="minorEastAsia" w:cs="Arial"/>
          <w:sz w:val="24"/>
          <w:szCs w:val="24"/>
        </w:rPr>
        <w:t>)</w:t>
      </w:r>
      <w:r>
        <w:rPr>
          <w:rFonts w:asciiTheme="minorEastAsia" w:hAnsiTheme="minorEastAsia" w:cs="Arial" w:hint="eastAsia"/>
          <w:sz w:val="24"/>
          <w:szCs w:val="24"/>
        </w:rPr>
        <w:t>及时到销售网点柜台或以销售机构规定的其他方式查询申请的确认情况。若申购不成功，则申购款项退还给投资人。</w:t>
      </w:r>
    </w:p>
    <w:p w14:paraId="5695C773"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基金销售机构对申购、赎回申请的受理并不代表申请一定成功，而仅代表销售机构确实接收到申请。申购、赎回申请的确认以登记机构的确认结果为准。对于申请的确认情况，投资者应及时查询。</w:t>
      </w:r>
    </w:p>
    <w:p w14:paraId="4B11760C"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基金管理人可以在法律法规和基金合同允许的范围内，对上述业务办理时间进行调整，并在调整实施前依照《信息披露办法》的有关规定在指定媒介上公告。</w:t>
      </w:r>
    </w:p>
    <w:p w14:paraId="77EA7A14" w14:textId="77777777" w:rsidR="007B7C2A" w:rsidRDefault="00072812">
      <w:pPr>
        <w:tabs>
          <w:tab w:val="left" w:pos="1110"/>
        </w:tabs>
        <w:adjustRightInd w:val="0"/>
        <w:snapToGrid w:val="0"/>
        <w:spacing w:line="360" w:lineRule="auto"/>
        <w:ind w:firstLineChars="200" w:firstLine="482"/>
        <w:rPr>
          <w:rFonts w:asciiTheme="minorEastAsia" w:hAnsiTheme="minorEastAsia" w:cs="Arial" w:hint="eastAsia"/>
          <w:sz w:val="24"/>
          <w:szCs w:val="24"/>
        </w:rPr>
      </w:pPr>
      <w:r>
        <w:rPr>
          <w:rFonts w:asciiTheme="minorEastAsia" w:hAnsiTheme="minorEastAsia" w:cs="Arial" w:hint="eastAsia"/>
          <w:b/>
          <w:bCs/>
          <w:sz w:val="24"/>
          <w:szCs w:val="24"/>
        </w:rPr>
        <w:t>五、申购与赎回的数额限制</w:t>
      </w:r>
    </w:p>
    <w:p w14:paraId="795A5BA8"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、投资人申购</w:t>
      </w:r>
      <w:r>
        <w:rPr>
          <w:rFonts w:asciiTheme="minorEastAsia" w:hAnsiTheme="minorEastAsia" w:cs="Arial" w:hint="eastAsia"/>
          <w:sz w:val="24"/>
          <w:szCs w:val="24"/>
        </w:rPr>
        <w:t xml:space="preserve"> A </w:t>
      </w:r>
      <w:r>
        <w:rPr>
          <w:rFonts w:asciiTheme="minorEastAsia" w:hAnsiTheme="minorEastAsia" w:cs="Arial" w:hint="eastAsia"/>
          <w:sz w:val="24"/>
          <w:szCs w:val="24"/>
        </w:rPr>
        <w:t>类基金份额，首次单笔最低申购金额为人民币</w:t>
      </w:r>
      <w:r>
        <w:rPr>
          <w:rFonts w:asciiTheme="minorEastAsia" w:hAnsiTheme="minorEastAsia" w:cs="Arial" w:hint="eastAsia"/>
          <w:sz w:val="24"/>
          <w:szCs w:val="24"/>
        </w:rPr>
        <w:t>1.00</w:t>
      </w:r>
      <w:r>
        <w:rPr>
          <w:rFonts w:asciiTheme="minorEastAsia" w:hAnsiTheme="minorEastAsia" w:cs="Arial" w:hint="eastAsia"/>
          <w:sz w:val="24"/>
          <w:szCs w:val="24"/>
        </w:rPr>
        <w:t>元，追加申购单笔最低金额为人民币</w:t>
      </w:r>
      <w:r>
        <w:rPr>
          <w:rFonts w:asciiTheme="minorEastAsia" w:hAnsiTheme="minorEastAsia" w:cs="Arial" w:hint="eastAsia"/>
          <w:sz w:val="24"/>
          <w:szCs w:val="24"/>
        </w:rPr>
        <w:t>1.00</w:t>
      </w:r>
      <w:r>
        <w:rPr>
          <w:rFonts w:asciiTheme="minorEastAsia" w:hAnsiTheme="minorEastAsia" w:cs="Arial" w:hint="eastAsia"/>
          <w:sz w:val="24"/>
          <w:szCs w:val="24"/>
        </w:rPr>
        <w:t>元。投资人申购</w:t>
      </w:r>
      <w:r>
        <w:rPr>
          <w:rFonts w:asciiTheme="minorEastAsia" w:hAnsiTheme="minorEastAsia" w:cs="Arial" w:hint="eastAsia"/>
          <w:sz w:val="24"/>
          <w:szCs w:val="24"/>
        </w:rPr>
        <w:t xml:space="preserve"> C </w:t>
      </w:r>
      <w:r>
        <w:rPr>
          <w:rFonts w:asciiTheme="minorEastAsia" w:hAnsiTheme="minorEastAsia" w:cs="Arial" w:hint="eastAsia"/>
          <w:sz w:val="24"/>
          <w:szCs w:val="24"/>
        </w:rPr>
        <w:t>类基金份额，首次单笔最低申购金额为人民币</w:t>
      </w:r>
      <w:r>
        <w:rPr>
          <w:rFonts w:asciiTheme="minorEastAsia" w:hAnsiTheme="minorEastAsia" w:cs="Arial"/>
          <w:kern w:val="0"/>
          <w:sz w:val="24"/>
          <w:szCs w:val="24"/>
        </w:rPr>
        <w:t>1.00</w:t>
      </w:r>
      <w:r>
        <w:rPr>
          <w:rFonts w:asciiTheme="minorEastAsia" w:hAnsiTheme="minorEastAsia" w:cs="Arial" w:hint="eastAsia"/>
          <w:sz w:val="24"/>
          <w:szCs w:val="24"/>
        </w:rPr>
        <w:t>元，追加申购单笔最低金额为人民币</w:t>
      </w:r>
      <w:r>
        <w:rPr>
          <w:rFonts w:asciiTheme="minorEastAsia" w:hAnsiTheme="minorEastAsia" w:cs="Arial" w:hint="eastAsia"/>
          <w:sz w:val="24"/>
          <w:szCs w:val="24"/>
        </w:rPr>
        <w:t xml:space="preserve"> 1.00 </w:t>
      </w:r>
      <w:r>
        <w:rPr>
          <w:rFonts w:asciiTheme="minorEastAsia" w:hAnsiTheme="minorEastAsia" w:cs="Arial" w:hint="eastAsia"/>
          <w:sz w:val="24"/>
          <w:szCs w:val="24"/>
        </w:rPr>
        <w:t>元。各销售机构在不低于上述规定的前提下，</w:t>
      </w:r>
      <w:r>
        <w:rPr>
          <w:rFonts w:asciiTheme="minorEastAsia" w:hAnsiTheme="minorEastAsia" w:cs="Arial" w:hint="eastAsia"/>
          <w:sz w:val="24"/>
          <w:szCs w:val="24"/>
        </w:rPr>
        <w:t xml:space="preserve"> </w:t>
      </w:r>
      <w:r>
        <w:rPr>
          <w:rFonts w:asciiTheme="minorEastAsia" w:hAnsiTheme="minorEastAsia" w:cs="Arial" w:hint="eastAsia"/>
          <w:sz w:val="24"/>
          <w:szCs w:val="24"/>
        </w:rPr>
        <w:t>可根据自己的情况调整首次最低申购金额和追加最低申购金额和追加最低申购金额限制，具体以销售机构公布的为准。</w:t>
      </w:r>
    </w:p>
    <w:p w14:paraId="1A7B28C1"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、基金份额持有人在销售机构赎回时，每个交易账户最低持有某一类别基金份额余额为</w:t>
      </w:r>
      <w:r>
        <w:rPr>
          <w:rFonts w:asciiTheme="minorEastAsia" w:hAnsiTheme="minorEastAsia" w:cs="Arial" w:hint="eastAsia"/>
          <w:sz w:val="24"/>
          <w:szCs w:val="24"/>
        </w:rPr>
        <w:t xml:space="preserve"> 1.00 </w:t>
      </w:r>
      <w:r>
        <w:rPr>
          <w:rFonts w:asciiTheme="minorEastAsia" w:hAnsiTheme="minorEastAsia" w:cs="Arial" w:hint="eastAsia"/>
          <w:sz w:val="24"/>
          <w:szCs w:val="24"/>
        </w:rPr>
        <w:t>份，若某笔赎回导致单个交易账户的某一类别基金份额余额少于</w:t>
      </w:r>
      <w:r>
        <w:rPr>
          <w:rFonts w:asciiTheme="minorEastAsia" w:hAnsiTheme="minorEastAsia" w:cs="Arial" w:hint="eastAsia"/>
          <w:sz w:val="24"/>
          <w:szCs w:val="24"/>
        </w:rPr>
        <w:t xml:space="preserve"> 1.00 </w:t>
      </w:r>
      <w:r>
        <w:rPr>
          <w:rFonts w:asciiTheme="minorEastAsia" w:hAnsiTheme="minorEastAsia" w:cs="Arial" w:hint="eastAsia"/>
          <w:sz w:val="24"/>
          <w:szCs w:val="24"/>
        </w:rPr>
        <w:t>份时，该类份额余额部分基金份额必须一同赎回。</w:t>
      </w:r>
    </w:p>
    <w:p w14:paraId="01D73D2C"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、基金管理人可以规定单个投资者累计持有的某一类别基金份额数量限制，具体规定见定期更新的招募说明书或相关公告。</w:t>
      </w:r>
    </w:p>
    <w:p w14:paraId="39527848" w14:textId="77777777" w:rsidR="007B7C2A" w:rsidRDefault="00072812">
      <w:pPr>
        <w:spacing w:line="360" w:lineRule="auto"/>
        <w:ind w:firstLineChars="200" w:firstLine="480"/>
        <w:rPr>
          <w:bCs/>
          <w:sz w:val="24"/>
          <w:szCs w:val="24"/>
        </w:rPr>
      </w:pPr>
      <w:r>
        <w:rPr>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BDD3DF3" w14:textId="77777777" w:rsidR="007B7C2A" w:rsidRDefault="00072812">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基金管理人可在法律法规允许的情况下，调整上述规定申购金额和赎回份额</w:t>
      </w:r>
      <w:r>
        <w:rPr>
          <w:rFonts w:hint="eastAsia"/>
          <w:bCs/>
          <w:sz w:val="24"/>
          <w:szCs w:val="24"/>
        </w:rPr>
        <w:t>等</w:t>
      </w:r>
      <w:r>
        <w:rPr>
          <w:bCs/>
          <w:sz w:val="24"/>
          <w:szCs w:val="24"/>
        </w:rPr>
        <w:t>数量限制。基金管理人必须在调整</w:t>
      </w:r>
      <w:r>
        <w:rPr>
          <w:rFonts w:hint="eastAsia"/>
          <w:bCs/>
          <w:sz w:val="24"/>
          <w:szCs w:val="24"/>
        </w:rPr>
        <w:t>实施</w:t>
      </w:r>
      <w:r>
        <w:rPr>
          <w:bCs/>
          <w:sz w:val="24"/>
          <w:szCs w:val="24"/>
        </w:rPr>
        <w:t>前依照《信息披露办法》的有关规定在指定</w:t>
      </w:r>
      <w:r>
        <w:rPr>
          <w:rFonts w:hint="eastAsia"/>
          <w:bCs/>
          <w:sz w:val="24"/>
          <w:szCs w:val="24"/>
        </w:rPr>
        <w:t>媒介</w:t>
      </w:r>
      <w:r>
        <w:rPr>
          <w:bCs/>
          <w:sz w:val="24"/>
          <w:szCs w:val="24"/>
        </w:rPr>
        <w:t>上公告。</w:t>
      </w:r>
    </w:p>
    <w:p w14:paraId="619E4AF3" w14:textId="77777777" w:rsidR="007B7C2A" w:rsidRDefault="00072812">
      <w:pPr>
        <w:tabs>
          <w:tab w:val="left" w:pos="1110"/>
          <w:tab w:val="left" w:pos="630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六、申购费用、赎回费用</w:t>
      </w:r>
    </w:p>
    <w:p w14:paraId="10AE248C"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、申购费用</w:t>
      </w:r>
    </w:p>
    <w:p w14:paraId="03BCC14A" w14:textId="77777777" w:rsidR="007B7C2A" w:rsidRDefault="00072812">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类基金份额申购均采用金额申购方式，申购费率如下表。投资者在一天之内如果有多笔申购，费率按单笔分别计算。</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4312"/>
      </w:tblGrid>
      <w:tr w:rsidR="007B7C2A" w14:paraId="44D2D5EE" w14:textId="77777777">
        <w:trPr>
          <w:trHeight w:val="190"/>
          <w:jc w:val="center"/>
        </w:trPr>
        <w:tc>
          <w:tcPr>
            <w:tcW w:w="8296" w:type="dxa"/>
            <w:gridSpan w:val="2"/>
            <w:tcBorders>
              <w:top w:val="single" w:sz="4" w:space="0" w:color="auto"/>
              <w:left w:val="single" w:sz="4" w:space="0" w:color="auto"/>
              <w:bottom w:val="single" w:sz="4" w:space="0" w:color="auto"/>
              <w:right w:val="single" w:sz="4" w:space="0" w:color="auto"/>
            </w:tcBorders>
          </w:tcPr>
          <w:p w14:paraId="7B4FF0B9" w14:textId="77777777" w:rsidR="007B7C2A" w:rsidRDefault="00072812">
            <w:pPr>
              <w:widowControl/>
              <w:spacing w:line="264" w:lineRule="auto"/>
              <w:ind w:firstLine="482"/>
              <w:jc w:val="center"/>
              <w:rPr>
                <w:rFonts w:asciiTheme="minorEastAsia" w:hAnsiTheme="minorEastAsia" w:cs="Arial" w:hint="eastAsia"/>
                <w:bCs/>
                <w:kern w:val="0"/>
                <w:sz w:val="24"/>
                <w:szCs w:val="24"/>
              </w:rPr>
            </w:pPr>
            <w:r>
              <w:rPr>
                <w:rFonts w:asciiTheme="minorEastAsia" w:hAnsiTheme="minorEastAsia" w:cs="Arial" w:hint="eastAsia"/>
                <w:b/>
                <w:bCs/>
                <w:kern w:val="0"/>
                <w:sz w:val="24"/>
                <w:szCs w:val="24"/>
              </w:rPr>
              <w:t>A</w:t>
            </w:r>
            <w:r>
              <w:rPr>
                <w:rFonts w:asciiTheme="minorEastAsia" w:hAnsiTheme="minorEastAsia" w:cs="Arial" w:hint="eastAsia"/>
                <w:b/>
                <w:bCs/>
                <w:kern w:val="0"/>
                <w:sz w:val="24"/>
                <w:szCs w:val="24"/>
              </w:rPr>
              <w:t>类基金份额</w:t>
            </w:r>
          </w:p>
        </w:tc>
      </w:tr>
      <w:tr w:rsidR="007B7C2A" w14:paraId="56F5C7D2"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6765D484"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申购金额（</w:t>
            </w:r>
            <w:r>
              <w:rPr>
                <w:rFonts w:asciiTheme="minorEastAsia" w:hAnsiTheme="minorEastAsia" w:cs="Arial" w:hint="eastAsia"/>
                <w:bCs/>
                <w:kern w:val="0"/>
                <w:sz w:val="24"/>
                <w:szCs w:val="24"/>
              </w:rPr>
              <w:t>M</w:t>
            </w:r>
            <w:r>
              <w:rPr>
                <w:rFonts w:asciiTheme="minorEastAsia" w:hAnsiTheme="minorEastAsia" w:cs="Arial" w:hint="eastAsia"/>
                <w:bCs/>
                <w:kern w:val="0"/>
                <w:sz w:val="24"/>
                <w:szCs w:val="24"/>
              </w:rPr>
              <w:t>）</w:t>
            </w:r>
          </w:p>
        </w:tc>
        <w:tc>
          <w:tcPr>
            <w:tcW w:w="4312" w:type="dxa"/>
            <w:tcBorders>
              <w:top w:val="single" w:sz="4" w:space="0" w:color="auto"/>
              <w:left w:val="single" w:sz="4" w:space="0" w:color="auto"/>
              <w:bottom w:val="single" w:sz="4" w:space="0" w:color="auto"/>
              <w:right w:val="single" w:sz="4" w:space="0" w:color="auto"/>
            </w:tcBorders>
          </w:tcPr>
          <w:p w14:paraId="4896A99D"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申购费率</w:t>
            </w:r>
          </w:p>
        </w:tc>
      </w:tr>
      <w:tr w:rsidR="007B7C2A" w14:paraId="78F13E3E"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2DFFB0B0" w14:textId="77777777" w:rsidR="007B7C2A" w:rsidRDefault="00072812">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w:t>
            </w:r>
            <w:r>
              <w:rPr>
                <w:rFonts w:asciiTheme="minorEastAsia" w:hAnsiTheme="minorEastAsia" w:cs="Arial" w:hint="eastAsia"/>
                <w:kern w:val="0"/>
                <w:sz w:val="24"/>
                <w:szCs w:val="24"/>
              </w:rPr>
              <w:t>＜</w:t>
            </w:r>
            <w:r>
              <w:rPr>
                <w:rFonts w:asciiTheme="minorEastAsia" w:hAnsiTheme="minorEastAsia" w:cs="Arial" w:hint="eastAsia"/>
                <w:kern w:val="0"/>
                <w:sz w:val="24"/>
                <w:szCs w:val="24"/>
              </w:rPr>
              <w:t>100</w:t>
            </w:r>
            <w:r>
              <w:rPr>
                <w:rFonts w:asciiTheme="minorEastAsia" w:hAnsiTheme="minorEastAsia" w:cs="Arial" w:hint="eastAsia"/>
                <w:kern w:val="0"/>
                <w:sz w:val="24"/>
                <w:szCs w:val="24"/>
              </w:rPr>
              <w:t>万元</w:t>
            </w:r>
          </w:p>
        </w:tc>
        <w:tc>
          <w:tcPr>
            <w:tcW w:w="4312" w:type="dxa"/>
            <w:tcBorders>
              <w:top w:val="single" w:sz="4" w:space="0" w:color="auto"/>
              <w:left w:val="single" w:sz="4" w:space="0" w:color="auto"/>
              <w:bottom w:val="single" w:sz="4" w:space="0" w:color="auto"/>
              <w:right w:val="single" w:sz="4" w:space="0" w:color="auto"/>
            </w:tcBorders>
          </w:tcPr>
          <w:p w14:paraId="452A0AE8" w14:textId="77777777" w:rsidR="007B7C2A" w:rsidRDefault="00072812">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1.50%</w:t>
            </w:r>
          </w:p>
        </w:tc>
      </w:tr>
      <w:tr w:rsidR="007B7C2A" w14:paraId="2817BF02"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59EDDA2A" w14:textId="77777777" w:rsidR="007B7C2A" w:rsidRDefault="00072812">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w:t>
            </w:r>
            <w:r>
              <w:rPr>
                <w:rFonts w:asciiTheme="minorEastAsia" w:hAnsiTheme="minorEastAsia" w:cs="Arial" w:hint="eastAsia"/>
                <w:kern w:val="0"/>
                <w:sz w:val="24"/>
                <w:szCs w:val="24"/>
              </w:rPr>
              <w:t>万元≤</w:t>
            </w:r>
            <w:r>
              <w:rPr>
                <w:rFonts w:asciiTheme="minorEastAsia" w:hAnsiTheme="minorEastAsia" w:cs="Arial" w:hint="eastAsia"/>
                <w:kern w:val="0"/>
                <w:sz w:val="24"/>
                <w:szCs w:val="24"/>
              </w:rPr>
              <w:t>M</w:t>
            </w:r>
            <w:r>
              <w:rPr>
                <w:rFonts w:asciiTheme="minorEastAsia" w:hAnsiTheme="minorEastAsia" w:cs="Arial" w:hint="eastAsia"/>
                <w:kern w:val="0"/>
                <w:sz w:val="24"/>
                <w:szCs w:val="24"/>
              </w:rPr>
              <w:t>＜</w:t>
            </w:r>
            <w:r>
              <w:rPr>
                <w:rFonts w:asciiTheme="minorEastAsia" w:hAnsiTheme="minorEastAsia" w:cs="Arial" w:hint="eastAsia"/>
                <w:kern w:val="0"/>
                <w:sz w:val="24"/>
                <w:szCs w:val="24"/>
              </w:rPr>
              <w:t>500</w:t>
            </w:r>
            <w:r>
              <w:rPr>
                <w:rFonts w:asciiTheme="minorEastAsia" w:hAnsiTheme="minorEastAsia" w:cs="Arial" w:hint="eastAsia"/>
                <w:kern w:val="0"/>
                <w:sz w:val="24"/>
                <w:szCs w:val="24"/>
              </w:rPr>
              <w:t>万元</w:t>
            </w:r>
          </w:p>
        </w:tc>
        <w:tc>
          <w:tcPr>
            <w:tcW w:w="4312" w:type="dxa"/>
            <w:tcBorders>
              <w:top w:val="single" w:sz="4" w:space="0" w:color="auto"/>
              <w:left w:val="single" w:sz="4" w:space="0" w:color="auto"/>
              <w:bottom w:val="single" w:sz="4" w:space="0" w:color="auto"/>
              <w:right w:val="single" w:sz="4" w:space="0" w:color="auto"/>
            </w:tcBorders>
          </w:tcPr>
          <w:p w14:paraId="14D77106" w14:textId="77777777" w:rsidR="007B7C2A" w:rsidRDefault="00072812">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w:t>
            </w:r>
          </w:p>
        </w:tc>
      </w:tr>
      <w:tr w:rsidR="007B7C2A" w14:paraId="05308EC9"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320782AC" w14:textId="77777777" w:rsidR="007B7C2A" w:rsidRDefault="00072812">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500</w:t>
            </w:r>
            <w:r>
              <w:rPr>
                <w:rFonts w:asciiTheme="minorEastAsia" w:hAnsiTheme="minorEastAsia" w:cs="Arial" w:hint="eastAsia"/>
                <w:kern w:val="0"/>
                <w:sz w:val="24"/>
                <w:szCs w:val="24"/>
              </w:rPr>
              <w:t>万元≤</w:t>
            </w:r>
            <w:r>
              <w:rPr>
                <w:rFonts w:asciiTheme="minorEastAsia" w:hAnsiTheme="minorEastAsia" w:cs="Arial" w:hint="eastAsia"/>
                <w:kern w:val="0"/>
                <w:sz w:val="24"/>
                <w:szCs w:val="24"/>
              </w:rPr>
              <w:t>M</w:t>
            </w:r>
            <w:r>
              <w:rPr>
                <w:rFonts w:asciiTheme="minorEastAsia" w:hAnsiTheme="minorEastAsia" w:cs="Arial" w:hint="eastAsia"/>
                <w:kern w:val="0"/>
                <w:sz w:val="24"/>
                <w:szCs w:val="24"/>
              </w:rPr>
              <w:t>＜</w:t>
            </w:r>
            <w:r>
              <w:rPr>
                <w:rFonts w:asciiTheme="minorEastAsia" w:hAnsiTheme="minorEastAsia" w:cs="Arial" w:hint="eastAsia"/>
                <w:kern w:val="0"/>
                <w:sz w:val="24"/>
                <w:szCs w:val="24"/>
              </w:rPr>
              <w:t>1000</w:t>
            </w:r>
            <w:r>
              <w:rPr>
                <w:rFonts w:asciiTheme="minorEastAsia" w:hAnsiTheme="minorEastAsia" w:cs="Arial" w:hint="eastAsia"/>
                <w:kern w:val="0"/>
                <w:sz w:val="24"/>
                <w:szCs w:val="24"/>
              </w:rPr>
              <w:t>万元</w:t>
            </w:r>
          </w:p>
        </w:tc>
        <w:tc>
          <w:tcPr>
            <w:tcW w:w="4312" w:type="dxa"/>
            <w:tcBorders>
              <w:top w:val="single" w:sz="4" w:space="0" w:color="auto"/>
              <w:left w:val="single" w:sz="4" w:space="0" w:color="auto"/>
              <w:bottom w:val="single" w:sz="4" w:space="0" w:color="auto"/>
              <w:right w:val="single" w:sz="4" w:space="0" w:color="auto"/>
            </w:tcBorders>
          </w:tcPr>
          <w:p w14:paraId="652CDD3E" w14:textId="77777777" w:rsidR="007B7C2A" w:rsidRDefault="00072812">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0.30%</w:t>
            </w:r>
          </w:p>
        </w:tc>
      </w:tr>
      <w:tr w:rsidR="007B7C2A" w14:paraId="042AC0DB" w14:textId="77777777">
        <w:trPr>
          <w:trHeight w:val="190"/>
          <w:jc w:val="center"/>
        </w:trPr>
        <w:tc>
          <w:tcPr>
            <w:tcW w:w="3984" w:type="dxa"/>
            <w:tcBorders>
              <w:top w:val="single" w:sz="4" w:space="0" w:color="auto"/>
              <w:left w:val="single" w:sz="4" w:space="0" w:color="auto"/>
              <w:bottom w:val="single" w:sz="4" w:space="0" w:color="auto"/>
              <w:right w:val="single" w:sz="4" w:space="0" w:color="auto"/>
            </w:tcBorders>
          </w:tcPr>
          <w:p w14:paraId="32E260C7" w14:textId="77777777" w:rsidR="007B7C2A" w:rsidRDefault="00072812">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M</w:t>
            </w:r>
            <w:r>
              <w:rPr>
                <w:rFonts w:asciiTheme="minorEastAsia" w:hAnsiTheme="minorEastAsia" w:cs="Arial" w:hint="eastAsia"/>
                <w:kern w:val="0"/>
                <w:sz w:val="24"/>
                <w:szCs w:val="24"/>
              </w:rPr>
              <w:t>≥</w:t>
            </w:r>
            <w:r>
              <w:rPr>
                <w:rFonts w:asciiTheme="minorEastAsia" w:hAnsiTheme="minorEastAsia" w:cs="Arial" w:hint="eastAsia"/>
                <w:kern w:val="0"/>
                <w:sz w:val="24"/>
                <w:szCs w:val="24"/>
              </w:rPr>
              <w:t>1000</w:t>
            </w:r>
            <w:r>
              <w:rPr>
                <w:rFonts w:asciiTheme="minorEastAsia" w:hAnsiTheme="minorEastAsia" w:cs="Arial" w:hint="eastAsia"/>
                <w:kern w:val="0"/>
                <w:sz w:val="24"/>
                <w:szCs w:val="24"/>
              </w:rPr>
              <w:t>万元</w:t>
            </w:r>
          </w:p>
        </w:tc>
        <w:tc>
          <w:tcPr>
            <w:tcW w:w="4312" w:type="dxa"/>
            <w:tcBorders>
              <w:top w:val="single" w:sz="4" w:space="0" w:color="auto"/>
              <w:left w:val="single" w:sz="4" w:space="0" w:color="auto"/>
              <w:bottom w:val="single" w:sz="4" w:space="0" w:color="auto"/>
              <w:right w:val="single" w:sz="4" w:space="0" w:color="auto"/>
            </w:tcBorders>
          </w:tcPr>
          <w:p w14:paraId="31A78F21" w14:textId="77777777" w:rsidR="007B7C2A" w:rsidRDefault="00072812">
            <w:pPr>
              <w:widowControl/>
              <w:spacing w:line="336" w:lineRule="auto"/>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1000</w:t>
            </w:r>
            <w:r>
              <w:rPr>
                <w:rFonts w:asciiTheme="minorEastAsia" w:hAnsiTheme="minorEastAsia" w:cs="Arial" w:hint="eastAsia"/>
                <w:kern w:val="0"/>
                <w:sz w:val="24"/>
                <w:szCs w:val="24"/>
              </w:rPr>
              <w:t>元</w:t>
            </w:r>
            <w:r>
              <w:rPr>
                <w:rFonts w:asciiTheme="minorEastAsia" w:hAnsiTheme="minorEastAsia" w:cs="Arial" w:hint="eastAsia"/>
                <w:kern w:val="0"/>
                <w:sz w:val="24"/>
                <w:szCs w:val="24"/>
              </w:rPr>
              <w:t>/</w:t>
            </w:r>
            <w:r>
              <w:rPr>
                <w:rFonts w:asciiTheme="minorEastAsia" w:hAnsiTheme="minorEastAsia" w:cs="Arial" w:hint="eastAsia"/>
                <w:kern w:val="0"/>
                <w:sz w:val="24"/>
                <w:szCs w:val="24"/>
              </w:rPr>
              <w:t>笔</w:t>
            </w:r>
          </w:p>
        </w:tc>
      </w:tr>
      <w:tr w:rsidR="007B7C2A" w14:paraId="4FE01060" w14:textId="77777777">
        <w:trPr>
          <w:trHeight w:val="415"/>
          <w:jc w:val="center"/>
        </w:trPr>
        <w:tc>
          <w:tcPr>
            <w:tcW w:w="8296" w:type="dxa"/>
            <w:gridSpan w:val="2"/>
            <w:tcBorders>
              <w:top w:val="single" w:sz="4" w:space="0" w:color="auto"/>
              <w:left w:val="single" w:sz="4" w:space="0" w:color="auto"/>
              <w:bottom w:val="single" w:sz="4" w:space="0" w:color="auto"/>
              <w:right w:val="single" w:sz="4" w:space="0" w:color="auto"/>
            </w:tcBorders>
            <w:vAlign w:val="center"/>
          </w:tcPr>
          <w:p w14:paraId="77353931" w14:textId="77777777" w:rsidR="007B7C2A" w:rsidRDefault="00072812">
            <w:pPr>
              <w:widowControl/>
              <w:spacing w:line="264" w:lineRule="auto"/>
              <w:ind w:firstLine="482"/>
              <w:jc w:val="center"/>
              <w:rPr>
                <w:rFonts w:asciiTheme="minorEastAsia" w:hAnsiTheme="minorEastAsia" w:cs="Arial" w:hint="eastAsia"/>
                <w:b/>
                <w:kern w:val="0"/>
                <w:sz w:val="24"/>
                <w:szCs w:val="24"/>
              </w:rPr>
            </w:pPr>
            <w:r>
              <w:rPr>
                <w:rFonts w:asciiTheme="minorEastAsia" w:hAnsiTheme="minorEastAsia" w:cs="Arial" w:hint="eastAsia"/>
                <w:b/>
                <w:bCs/>
                <w:kern w:val="0"/>
                <w:sz w:val="24"/>
                <w:szCs w:val="24"/>
              </w:rPr>
              <w:t>C</w:t>
            </w:r>
            <w:r>
              <w:rPr>
                <w:rFonts w:asciiTheme="minorEastAsia" w:hAnsiTheme="minorEastAsia" w:cs="Arial" w:hint="eastAsia"/>
                <w:b/>
                <w:bCs/>
                <w:kern w:val="0"/>
                <w:sz w:val="24"/>
                <w:szCs w:val="24"/>
              </w:rPr>
              <w:t>类基金份额</w:t>
            </w:r>
          </w:p>
        </w:tc>
      </w:tr>
      <w:tr w:rsidR="007B7C2A" w14:paraId="11781CBE" w14:textId="77777777">
        <w:trPr>
          <w:trHeight w:val="415"/>
          <w:jc w:val="center"/>
        </w:trPr>
        <w:tc>
          <w:tcPr>
            <w:tcW w:w="8296" w:type="dxa"/>
            <w:gridSpan w:val="2"/>
            <w:tcBorders>
              <w:top w:val="single" w:sz="4" w:space="0" w:color="auto"/>
              <w:left w:val="single" w:sz="4" w:space="0" w:color="auto"/>
              <w:bottom w:val="single" w:sz="4" w:space="0" w:color="auto"/>
              <w:right w:val="single" w:sz="4" w:space="0" w:color="auto"/>
            </w:tcBorders>
            <w:vAlign w:val="center"/>
          </w:tcPr>
          <w:p w14:paraId="61E10B37" w14:textId="77777777" w:rsidR="007B7C2A" w:rsidRDefault="00072812">
            <w:pPr>
              <w:widowControl/>
              <w:spacing w:line="264" w:lineRule="auto"/>
              <w:jc w:val="center"/>
              <w:rPr>
                <w:rFonts w:asciiTheme="minorEastAsia" w:hAnsiTheme="minorEastAsia" w:cs="Arial" w:hint="eastAsia"/>
                <w:kern w:val="0"/>
                <w:sz w:val="24"/>
                <w:szCs w:val="24"/>
              </w:rPr>
            </w:pPr>
            <w:r>
              <w:rPr>
                <w:rFonts w:asciiTheme="minorEastAsia" w:hAnsiTheme="minorEastAsia" w:cs="Arial" w:hint="eastAsia"/>
                <w:bCs/>
                <w:kern w:val="0"/>
                <w:sz w:val="24"/>
                <w:szCs w:val="24"/>
              </w:rPr>
              <w:t>申</w:t>
            </w:r>
            <w:r>
              <w:rPr>
                <w:rFonts w:asciiTheme="minorEastAsia" w:hAnsiTheme="minorEastAsia" w:cs="Arial" w:hint="eastAsia"/>
                <w:kern w:val="0"/>
                <w:sz w:val="24"/>
                <w:szCs w:val="24"/>
              </w:rPr>
              <w:t>购费率为零</w:t>
            </w:r>
          </w:p>
        </w:tc>
      </w:tr>
    </w:tbl>
    <w:p w14:paraId="47F35DBE" w14:textId="77777777" w:rsidR="007B7C2A" w:rsidRDefault="007B7C2A">
      <w:pPr>
        <w:tabs>
          <w:tab w:val="left" w:pos="1110"/>
          <w:tab w:val="left" w:pos="6300"/>
        </w:tabs>
        <w:adjustRightInd w:val="0"/>
        <w:snapToGrid w:val="0"/>
        <w:spacing w:line="360" w:lineRule="auto"/>
        <w:ind w:firstLineChars="200" w:firstLine="480"/>
        <w:rPr>
          <w:rFonts w:asciiTheme="minorEastAsia" w:hAnsiTheme="minorEastAsia" w:cs="Arial" w:hint="eastAsia"/>
          <w:sz w:val="24"/>
          <w:szCs w:val="24"/>
        </w:rPr>
      </w:pPr>
    </w:p>
    <w:p w14:paraId="5E602F1E" w14:textId="77777777" w:rsidR="007B7C2A" w:rsidRDefault="00072812">
      <w:pPr>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本基金的申购费用由申购基金份额的投资人承担，不列入基金资产，用于基金的市场推广、销售、登记等各项费用。</w:t>
      </w:r>
    </w:p>
    <w:p w14:paraId="2AFC7DB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、赎回费用</w:t>
      </w:r>
    </w:p>
    <w:p w14:paraId="336FE44B"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本基金的</w:t>
      </w:r>
      <w:r>
        <w:rPr>
          <w:rFonts w:asciiTheme="minorEastAsia" w:hAnsiTheme="minorEastAsia" w:cs="Arial"/>
          <w:sz w:val="24"/>
          <w:szCs w:val="24"/>
        </w:rPr>
        <w:t>A</w:t>
      </w:r>
      <w:r>
        <w:rPr>
          <w:rFonts w:asciiTheme="minorEastAsia" w:hAnsiTheme="minorEastAsia" w:cs="Arial" w:hint="eastAsia"/>
          <w:sz w:val="24"/>
          <w:szCs w:val="24"/>
        </w:rPr>
        <w:t>类基金份额、</w:t>
      </w:r>
      <w:r>
        <w:rPr>
          <w:rFonts w:asciiTheme="minorEastAsia" w:hAnsiTheme="minorEastAsia" w:cs="Arial"/>
          <w:sz w:val="24"/>
          <w:szCs w:val="24"/>
        </w:rPr>
        <w:t>C</w:t>
      </w:r>
      <w:r>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3"/>
        <w:gridCol w:w="2127"/>
        <w:gridCol w:w="2284"/>
      </w:tblGrid>
      <w:tr w:rsidR="007B7C2A" w14:paraId="1F7F3886"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695F307" w14:textId="77777777" w:rsidR="007B7C2A" w:rsidRDefault="00072812">
            <w:pPr>
              <w:ind w:firstLine="482"/>
              <w:jc w:val="center"/>
              <w:rPr>
                <w:rFonts w:asciiTheme="minorEastAsia" w:hAnsiTheme="minorEastAsia" w:cs="Arial" w:hint="eastAsia"/>
                <w:b/>
                <w:color w:val="000000"/>
                <w:sz w:val="24"/>
                <w:szCs w:val="24"/>
              </w:rPr>
            </w:pPr>
            <w:r>
              <w:rPr>
                <w:rFonts w:asciiTheme="minorEastAsia" w:hAnsiTheme="minorEastAsia" w:cs="Arial" w:hint="eastAsia"/>
                <w:b/>
                <w:color w:val="000000"/>
                <w:sz w:val="24"/>
                <w:szCs w:val="24"/>
              </w:rPr>
              <w:t>持有基金份额期限（</w:t>
            </w:r>
            <w:r>
              <w:rPr>
                <w:rFonts w:asciiTheme="minorEastAsia" w:hAnsiTheme="minorEastAsia" w:cs="Arial"/>
                <w:b/>
                <w:color w:val="000000"/>
                <w:sz w:val="24"/>
                <w:szCs w:val="24"/>
              </w:rPr>
              <w:t>Y</w:t>
            </w:r>
            <w:r>
              <w:rPr>
                <w:rFonts w:asciiTheme="minorEastAsia" w:hAnsiTheme="minorEastAsia" w:cs="Arial"/>
                <w:b/>
                <w:color w:val="000000"/>
                <w:sz w:val="24"/>
                <w:szCs w:val="24"/>
              </w:rPr>
              <w:t>）</w:t>
            </w:r>
          </w:p>
        </w:tc>
        <w:tc>
          <w:tcPr>
            <w:tcW w:w="2127" w:type="dxa"/>
            <w:tcBorders>
              <w:top w:val="single" w:sz="4" w:space="0" w:color="auto"/>
              <w:left w:val="single" w:sz="4" w:space="0" w:color="auto"/>
              <w:bottom w:val="single" w:sz="4" w:space="0" w:color="auto"/>
              <w:right w:val="single" w:sz="4" w:space="0" w:color="auto"/>
            </w:tcBorders>
          </w:tcPr>
          <w:p w14:paraId="21992EF5" w14:textId="77777777" w:rsidR="007B7C2A" w:rsidRDefault="00072812">
            <w:pPr>
              <w:ind w:firstLine="482"/>
              <w:jc w:val="center"/>
              <w:rPr>
                <w:rFonts w:asciiTheme="minorEastAsia" w:hAnsiTheme="minorEastAsia" w:cs="Arial" w:hint="eastAsia"/>
                <w:b/>
                <w:color w:val="000000"/>
                <w:sz w:val="24"/>
                <w:szCs w:val="24"/>
              </w:rPr>
            </w:pPr>
            <w:r>
              <w:rPr>
                <w:rFonts w:asciiTheme="minorEastAsia" w:hAnsiTheme="minorEastAsia" w:cs="Arial"/>
                <w:b/>
                <w:color w:val="000000"/>
                <w:sz w:val="24"/>
                <w:szCs w:val="24"/>
              </w:rPr>
              <w:t>A</w:t>
            </w:r>
            <w:r>
              <w:rPr>
                <w:rFonts w:asciiTheme="minorEastAsia" w:hAnsiTheme="minorEastAsia" w:cs="Arial"/>
                <w:b/>
                <w:color w:val="000000"/>
                <w:sz w:val="24"/>
                <w:szCs w:val="24"/>
              </w:rPr>
              <w:t>类份额赎回费率</w:t>
            </w:r>
          </w:p>
        </w:tc>
        <w:tc>
          <w:tcPr>
            <w:tcW w:w="2284" w:type="dxa"/>
            <w:tcBorders>
              <w:top w:val="single" w:sz="4" w:space="0" w:color="auto"/>
              <w:left w:val="single" w:sz="4" w:space="0" w:color="auto"/>
              <w:bottom w:val="single" w:sz="4" w:space="0" w:color="auto"/>
              <w:right w:val="single" w:sz="4" w:space="0" w:color="auto"/>
            </w:tcBorders>
          </w:tcPr>
          <w:p w14:paraId="0CAB3790" w14:textId="77777777" w:rsidR="007B7C2A" w:rsidRDefault="00072812">
            <w:pPr>
              <w:ind w:firstLine="482"/>
              <w:jc w:val="center"/>
              <w:rPr>
                <w:rFonts w:asciiTheme="minorEastAsia" w:hAnsiTheme="minorEastAsia" w:cs="Arial" w:hint="eastAsia"/>
                <w:b/>
                <w:color w:val="000000"/>
                <w:sz w:val="24"/>
                <w:szCs w:val="24"/>
              </w:rPr>
            </w:pPr>
            <w:r>
              <w:rPr>
                <w:rFonts w:asciiTheme="minorEastAsia" w:hAnsiTheme="minorEastAsia" w:cs="Arial"/>
                <w:b/>
                <w:color w:val="000000"/>
                <w:sz w:val="24"/>
                <w:szCs w:val="24"/>
              </w:rPr>
              <w:t>C</w:t>
            </w:r>
            <w:r>
              <w:rPr>
                <w:rFonts w:asciiTheme="minorEastAsia" w:hAnsiTheme="minorEastAsia" w:cs="Arial"/>
                <w:b/>
                <w:color w:val="000000"/>
                <w:sz w:val="24"/>
                <w:szCs w:val="24"/>
              </w:rPr>
              <w:t>类份额赎回费率</w:t>
            </w:r>
          </w:p>
        </w:tc>
      </w:tr>
      <w:tr w:rsidR="007B7C2A" w14:paraId="2D45DA10"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EA842C5"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w:t>
            </w:r>
            <w:r>
              <w:rPr>
                <w:rFonts w:asciiTheme="minorEastAsia" w:hAnsiTheme="minorEastAsia" w:cs="Arial" w:hint="eastAsia"/>
                <w:bCs/>
                <w:kern w:val="0"/>
                <w:sz w:val="24"/>
                <w:szCs w:val="24"/>
              </w:rPr>
              <w:t>＜</w:t>
            </w:r>
            <w:r>
              <w:rPr>
                <w:rFonts w:asciiTheme="minorEastAsia" w:hAnsiTheme="minorEastAsia" w:cs="Arial" w:hint="eastAsia"/>
                <w:bCs/>
                <w:kern w:val="0"/>
                <w:sz w:val="24"/>
                <w:szCs w:val="24"/>
              </w:rPr>
              <w:t>7</w:t>
            </w:r>
            <w:r>
              <w:rPr>
                <w:rFonts w:asciiTheme="minorEastAsia" w:hAnsiTheme="minorEastAsia" w:cs="Arial" w:hint="eastAsia"/>
                <w:bCs/>
                <w:kern w:val="0"/>
                <w:sz w:val="24"/>
                <w:szCs w:val="24"/>
              </w:rPr>
              <w:t>日</w:t>
            </w:r>
          </w:p>
        </w:tc>
        <w:tc>
          <w:tcPr>
            <w:tcW w:w="2127" w:type="dxa"/>
            <w:tcBorders>
              <w:top w:val="single" w:sz="4" w:space="0" w:color="auto"/>
              <w:left w:val="single" w:sz="4" w:space="0" w:color="auto"/>
              <w:bottom w:val="single" w:sz="4" w:space="0" w:color="auto"/>
              <w:right w:val="single" w:sz="4" w:space="0" w:color="auto"/>
            </w:tcBorders>
          </w:tcPr>
          <w:p w14:paraId="48167474"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tcPr>
          <w:p w14:paraId="207E6DC5" w14:textId="77777777" w:rsidR="007B7C2A" w:rsidRDefault="00072812">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1.50%</w:t>
            </w:r>
          </w:p>
        </w:tc>
      </w:tr>
      <w:tr w:rsidR="007B7C2A" w14:paraId="41F13B3C"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6BCB53D4"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7</w:t>
            </w:r>
            <w:r>
              <w:rPr>
                <w:rFonts w:asciiTheme="minorEastAsia" w:hAnsiTheme="minorEastAsia" w:cs="Arial" w:hint="eastAsia"/>
                <w:bCs/>
                <w:kern w:val="0"/>
                <w:sz w:val="24"/>
                <w:szCs w:val="24"/>
              </w:rPr>
              <w:t>日</w:t>
            </w:r>
            <w:r>
              <w:rPr>
                <w:rFonts w:asciiTheme="minorEastAsia" w:hAnsiTheme="minorEastAsia" w:cs="Arial" w:hint="eastAsia"/>
                <w:bCs/>
                <w:kern w:val="0"/>
                <w:sz w:val="24"/>
                <w:szCs w:val="24"/>
              </w:rPr>
              <w:t xml:space="preserve"> </w:t>
            </w:r>
            <w:r>
              <w:rPr>
                <w:rFonts w:asciiTheme="minorEastAsia" w:hAnsiTheme="minorEastAsia" w:cs="Arial" w:hint="eastAsia"/>
                <w:bCs/>
                <w:kern w:val="0"/>
                <w:sz w:val="24"/>
                <w:szCs w:val="24"/>
              </w:rPr>
              <w:t>≤</w:t>
            </w:r>
            <w:r>
              <w:rPr>
                <w:rFonts w:asciiTheme="minorEastAsia" w:hAnsiTheme="minorEastAsia" w:cs="Arial" w:hint="eastAsia"/>
                <w:bCs/>
                <w:kern w:val="0"/>
                <w:sz w:val="24"/>
                <w:szCs w:val="24"/>
              </w:rPr>
              <w:t xml:space="preserve"> Y </w:t>
            </w:r>
            <w:r>
              <w:rPr>
                <w:rFonts w:asciiTheme="minorEastAsia" w:hAnsiTheme="minorEastAsia" w:cs="Arial" w:hint="eastAsia"/>
                <w:bCs/>
                <w:kern w:val="0"/>
                <w:sz w:val="24"/>
                <w:szCs w:val="24"/>
              </w:rPr>
              <w:t>＜</w:t>
            </w:r>
            <w:r>
              <w:rPr>
                <w:rFonts w:asciiTheme="minorEastAsia" w:hAnsiTheme="minorEastAsia" w:cs="Arial" w:hint="eastAsia"/>
                <w:bCs/>
                <w:kern w:val="0"/>
                <w:sz w:val="24"/>
                <w:szCs w:val="24"/>
              </w:rPr>
              <w:t xml:space="preserve"> 30</w:t>
            </w:r>
            <w:r>
              <w:rPr>
                <w:rFonts w:asciiTheme="minorEastAsia" w:hAnsiTheme="minorEastAsia" w:cs="Arial" w:hint="eastAsia"/>
                <w:bCs/>
                <w:kern w:val="0"/>
                <w:sz w:val="24"/>
                <w:szCs w:val="24"/>
              </w:rPr>
              <w:t>日</w:t>
            </w:r>
          </w:p>
        </w:tc>
        <w:tc>
          <w:tcPr>
            <w:tcW w:w="2127" w:type="dxa"/>
            <w:tcBorders>
              <w:top w:val="single" w:sz="4" w:space="0" w:color="auto"/>
              <w:left w:val="single" w:sz="4" w:space="0" w:color="auto"/>
              <w:bottom w:val="single" w:sz="4" w:space="0" w:color="auto"/>
              <w:right w:val="single" w:sz="4" w:space="0" w:color="auto"/>
            </w:tcBorders>
          </w:tcPr>
          <w:p w14:paraId="725BD8CF"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tcPr>
          <w:p w14:paraId="48997383" w14:textId="77777777" w:rsidR="007B7C2A" w:rsidRDefault="00072812">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r>
      <w:tr w:rsidR="007B7C2A" w14:paraId="60750914"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5E7A540C"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30</w:t>
            </w:r>
            <w:r>
              <w:rPr>
                <w:rFonts w:asciiTheme="minorEastAsia" w:hAnsiTheme="minorEastAsia" w:cs="Arial" w:hint="eastAsia"/>
                <w:bCs/>
                <w:kern w:val="0"/>
                <w:sz w:val="24"/>
                <w:szCs w:val="24"/>
              </w:rPr>
              <w:t>日</w:t>
            </w:r>
            <w:r>
              <w:rPr>
                <w:rFonts w:asciiTheme="minorEastAsia" w:hAnsiTheme="minorEastAsia" w:cs="Arial" w:hint="eastAsia"/>
                <w:bCs/>
                <w:kern w:val="0"/>
                <w:sz w:val="24"/>
                <w:szCs w:val="24"/>
              </w:rPr>
              <w:t xml:space="preserve"> </w:t>
            </w:r>
            <w:r>
              <w:rPr>
                <w:rFonts w:asciiTheme="minorEastAsia" w:hAnsiTheme="minorEastAsia" w:cs="Arial" w:hint="eastAsia"/>
                <w:bCs/>
                <w:kern w:val="0"/>
                <w:sz w:val="24"/>
                <w:szCs w:val="24"/>
              </w:rPr>
              <w:t>≤</w:t>
            </w:r>
            <w:r>
              <w:rPr>
                <w:rFonts w:asciiTheme="minorEastAsia" w:hAnsiTheme="minorEastAsia" w:cs="Arial" w:hint="eastAsia"/>
                <w:bCs/>
                <w:kern w:val="0"/>
                <w:sz w:val="24"/>
                <w:szCs w:val="24"/>
              </w:rPr>
              <w:t xml:space="preserve"> Y </w:t>
            </w:r>
            <w:r>
              <w:rPr>
                <w:rFonts w:asciiTheme="minorEastAsia" w:hAnsiTheme="minorEastAsia" w:cs="Arial" w:hint="eastAsia"/>
                <w:bCs/>
                <w:kern w:val="0"/>
                <w:sz w:val="24"/>
                <w:szCs w:val="24"/>
              </w:rPr>
              <w:t>＜</w:t>
            </w:r>
            <w:r>
              <w:rPr>
                <w:rFonts w:asciiTheme="minorEastAsia" w:hAnsiTheme="minorEastAsia" w:cs="Arial" w:hint="eastAsia"/>
                <w:bCs/>
                <w:kern w:val="0"/>
                <w:sz w:val="24"/>
                <w:szCs w:val="24"/>
              </w:rPr>
              <w:t xml:space="preserve"> 6</w:t>
            </w:r>
            <w:r>
              <w:rPr>
                <w:rFonts w:asciiTheme="minorEastAsia" w:hAnsiTheme="minorEastAsia" w:cs="Arial" w:hint="eastAsia"/>
                <w:bCs/>
                <w:kern w:val="0"/>
                <w:sz w:val="24"/>
                <w:szCs w:val="24"/>
              </w:rPr>
              <w:t>个月</w:t>
            </w:r>
          </w:p>
        </w:tc>
        <w:tc>
          <w:tcPr>
            <w:tcW w:w="2127" w:type="dxa"/>
            <w:tcBorders>
              <w:top w:val="single" w:sz="4" w:space="0" w:color="auto"/>
              <w:left w:val="single" w:sz="4" w:space="0" w:color="auto"/>
              <w:bottom w:val="single" w:sz="4" w:space="0" w:color="auto"/>
              <w:right w:val="single" w:sz="4" w:space="0" w:color="auto"/>
            </w:tcBorders>
          </w:tcPr>
          <w:p w14:paraId="15F735BE"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tcPr>
          <w:p w14:paraId="47D56448" w14:textId="77777777" w:rsidR="007B7C2A" w:rsidRDefault="00072812">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r w:rsidR="007B7C2A" w14:paraId="3E3A2F03" w14:textId="77777777">
        <w:trPr>
          <w:trHeight w:val="113"/>
          <w:jc w:val="center"/>
        </w:trPr>
        <w:tc>
          <w:tcPr>
            <w:tcW w:w="4043" w:type="dxa"/>
            <w:tcBorders>
              <w:top w:val="single" w:sz="4" w:space="0" w:color="auto"/>
              <w:left w:val="single" w:sz="4" w:space="0" w:color="auto"/>
              <w:bottom w:val="single" w:sz="4" w:space="0" w:color="auto"/>
              <w:right w:val="single" w:sz="4" w:space="0" w:color="auto"/>
            </w:tcBorders>
          </w:tcPr>
          <w:p w14:paraId="04EA25D4"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Y</w:t>
            </w:r>
            <w:r>
              <w:rPr>
                <w:rFonts w:asciiTheme="minorEastAsia" w:hAnsiTheme="minorEastAsia" w:cs="Arial" w:hint="eastAsia"/>
                <w:bCs/>
                <w:kern w:val="0"/>
                <w:sz w:val="24"/>
                <w:szCs w:val="24"/>
              </w:rPr>
              <w:t>≥</w:t>
            </w:r>
            <w:r>
              <w:rPr>
                <w:rFonts w:asciiTheme="minorEastAsia" w:hAnsiTheme="minorEastAsia" w:cs="Arial" w:hint="eastAsia"/>
                <w:bCs/>
                <w:kern w:val="0"/>
                <w:sz w:val="24"/>
                <w:szCs w:val="24"/>
              </w:rPr>
              <w:t>6</w:t>
            </w:r>
            <w:r>
              <w:rPr>
                <w:rFonts w:asciiTheme="minorEastAsia" w:hAnsiTheme="minorEastAsia" w:cs="Arial" w:hint="eastAsia"/>
                <w:bCs/>
                <w:kern w:val="0"/>
                <w:sz w:val="24"/>
                <w:szCs w:val="24"/>
              </w:rPr>
              <w:t>个月</w:t>
            </w:r>
          </w:p>
        </w:tc>
        <w:tc>
          <w:tcPr>
            <w:tcW w:w="2127" w:type="dxa"/>
            <w:tcBorders>
              <w:top w:val="single" w:sz="4" w:space="0" w:color="auto"/>
              <w:left w:val="single" w:sz="4" w:space="0" w:color="auto"/>
              <w:bottom w:val="single" w:sz="4" w:space="0" w:color="auto"/>
              <w:right w:val="single" w:sz="4" w:space="0" w:color="auto"/>
            </w:tcBorders>
          </w:tcPr>
          <w:p w14:paraId="25B9D629" w14:textId="77777777" w:rsidR="007B7C2A" w:rsidRDefault="00072812">
            <w:pPr>
              <w:widowControl/>
              <w:spacing w:line="336" w:lineRule="auto"/>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tcPr>
          <w:p w14:paraId="6559B9CF" w14:textId="77777777" w:rsidR="007B7C2A" w:rsidRDefault="00072812">
            <w:pPr>
              <w:jc w:val="center"/>
              <w:rPr>
                <w:rFonts w:asciiTheme="minorEastAsia" w:hAnsiTheme="minorEastAsia" w:cs="Arial" w:hint="eastAsia"/>
                <w:bCs/>
                <w:kern w:val="0"/>
                <w:sz w:val="24"/>
                <w:szCs w:val="24"/>
              </w:rPr>
            </w:pPr>
            <w:r>
              <w:rPr>
                <w:rFonts w:asciiTheme="minorEastAsia" w:hAnsiTheme="minorEastAsia" w:cs="Arial" w:hint="eastAsia"/>
                <w:bCs/>
                <w:kern w:val="0"/>
                <w:sz w:val="24"/>
                <w:szCs w:val="24"/>
              </w:rPr>
              <w:t>0</w:t>
            </w:r>
          </w:p>
        </w:tc>
      </w:tr>
    </w:tbl>
    <w:p w14:paraId="592A66BF" w14:textId="77777777" w:rsidR="007B7C2A" w:rsidRDefault="00072812">
      <w:pPr>
        <w:adjustRightInd w:val="0"/>
        <w:snapToGrid w:val="0"/>
        <w:spacing w:line="360" w:lineRule="auto"/>
        <w:rPr>
          <w:rFonts w:asciiTheme="minorEastAsia" w:hAnsiTheme="minorEastAsia" w:cs="Arial" w:hint="eastAsia"/>
          <w:sz w:val="24"/>
          <w:szCs w:val="24"/>
        </w:rPr>
      </w:pPr>
      <w:r>
        <w:rPr>
          <w:rFonts w:asciiTheme="minorEastAsia" w:hAnsiTheme="minorEastAsia" w:cs="Arial" w:hint="eastAsia"/>
          <w:sz w:val="24"/>
          <w:szCs w:val="24"/>
        </w:rPr>
        <w:t>（注：一月为</w:t>
      </w:r>
      <w:r>
        <w:rPr>
          <w:rFonts w:asciiTheme="minorEastAsia" w:hAnsiTheme="minorEastAsia" w:cs="Arial"/>
          <w:sz w:val="24"/>
          <w:szCs w:val="24"/>
        </w:rPr>
        <w:t>3</w:t>
      </w:r>
      <w:r>
        <w:rPr>
          <w:rFonts w:asciiTheme="minorEastAsia" w:hAnsiTheme="minorEastAsia" w:cs="Arial" w:hint="eastAsia"/>
          <w:sz w:val="24"/>
          <w:szCs w:val="24"/>
        </w:rPr>
        <w:t>0</w:t>
      </w:r>
      <w:r>
        <w:rPr>
          <w:rFonts w:asciiTheme="minorEastAsia" w:hAnsiTheme="minorEastAsia" w:cs="Arial" w:hint="eastAsia"/>
          <w:sz w:val="24"/>
          <w:szCs w:val="24"/>
        </w:rPr>
        <w:t>日）</w:t>
      </w:r>
    </w:p>
    <w:p w14:paraId="4AB4935D"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赎回费用由赎回基金份额的基金份额持有人承担，在基金份额持有人赎回基金份额时收取。</w:t>
      </w:r>
    </w:p>
    <w:p w14:paraId="0C8638CB"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就</w:t>
      </w:r>
      <w:r>
        <w:rPr>
          <w:rFonts w:asciiTheme="minorEastAsia" w:hAnsiTheme="minorEastAsia" w:cs="Arial" w:hint="eastAsia"/>
          <w:sz w:val="24"/>
          <w:szCs w:val="24"/>
        </w:rPr>
        <w:t>A</w:t>
      </w:r>
      <w:r>
        <w:rPr>
          <w:rFonts w:asciiTheme="minorEastAsia" w:hAnsiTheme="minorEastAsia" w:cs="Arial" w:hint="eastAsia"/>
          <w:sz w:val="24"/>
          <w:szCs w:val="24"/>
        </w:rPr>
        <w:t>类基金份额，对持续持有期少于</w:t>
      </w:r>
      <w:r>
        <w:rPr>
          <w:rFonts w:asciiTheme="minorEastAsia" w:hAnsiTheme="minorEastAsia" w:cs="Arial" w:hint="eastAsia"/>
          <w:sz w:val="24"/>
          <w:szCs w:val="24"/>
        </w:rPr>
        <w:t>30</w:t>
      </w:r>
      <w:r>
        <w:rPr>
          <w:rFonts w:asciiTheme="minorEastAsia" w:hAnsiTheme="minorEastAsia" w:cs="Arial" w:hint="eastAsia"/>
          <w:sz w:val="24"/>
          <w:szCs w:val="24"/>
        </w:rPr>
        <w:t>日的投资人收取的赎回费全额计入基金财产；对持续持有期不少于</w:t>
      </w:r>
      <w:r>
        <w:rPr>
          <w:rFonts w:asciiTheme="minorEastAsia" w:hAnsiTheme="minorEastAsia" w:cs="Arial" w:hint="eastAsia"/>
          <w:sz w:val="24"/>
          <w:szCs w:val="24"/>
        </w:rPr>
        <w:t>30</w:t>
      </w:r>
      <w:r>
        <w:rPr>
          <w:rFonts w:asciiTheme="minorEastAsia" w:hAnsiTheme="minorEastAsia" w:cs="Arial" w:hint="eastAsia"/>
          <w:sz w:val="24"/>
          <w:szCs w:val="24"/>
        </w:rPr>
        <w:t>日但少于</w:t>
      </w:r>
      <w:r>
        <w:rPr>
          <w:rFonts w:asciiTheme="minorEastAsia" w:hAnsiTheme="minorEastAsia" w:cs="Arial" w:hint="eastAsia"/>
          <w:sz w:val="24"/>
          <w:szCs w:val="24"/>
        </w:rPr>
        <w:t>3</w:t>
      </w:r>
      <w:r>
        <w:rPr>
          <w:rFonts w:asciiTheme="minorEastAsia" w:hAnsiTheme="minorEastAsia" w:cs="Arial" w:hint="eastAsia"/>
          <w:sz w:val="24"/>
          <w:szCs w:val="24"/>
        </w:rPr>
        <w:t>个月的投资人收取的赎回费总额的</w:t>
      </w:r>
      <w:r>
        <w:rPr>
          <w:rFonts w:asciiTheme="minorEastAsia" w:hAnsiTheme="minorEastAsia" w:cs="Arial" w:hint="eastAsia"/>
          <w:sz w:val="24"/>
          <w:szCs w:val="24"/>
        </w:rPr>
        <w:t>75%</w:t>
      </w:r>
      <w:r>
        <w:rPr>
          <w:rFonts w:asciiTheme="minorEastAsia" w:hAnsiTheme="minorEastAsia" w:cs="Arial" w:hint="eastAsia"/>
          <w:sz w:val="24"/>
          <w:szCs w:val="24"/>
        </w:rPr>
        <w:t>计入基金财产；对持续持有期不少于</w:t>
      </w:r>
      <w:r>
        <w:rPr>
          <w:rFonts w:asciiTheme="minorEastAsia" w:hAnsiTheme="minorEastAsia" w:cs="Arial" w:hint="eastAsia"/>
          <w:sz w:val="24"/>
          <w:szCs w:val="24"/>
        </w:rPr>
        <w:t>3</w:t>
      </w:r>
      <w:r>
        <w:rPr>
          <w:rFonts w:asciiTheme="minorEastAsia" w:hAnsiTheme="minorEastAsia" w:cs="Arial" w:hint="eastAsia"/>
          <w:sz w:val="24"/>
          <w:szCs w:val="24"/>
        </w:rPr>
        <w:t>个月但少于</w:t>
      </w:r>
      <w:r>
        <w:rPr>
          <w:rFonts w:asciiTheme="minorEastAsia" w:hAnsiTheme="minorEastAsia" w:cs="Arial" w:hint="eastAsia"/>
          <w:sz w:val="24"/>
          <w:szCs w:val="24"/>
        </w:rPr>
        <w:t>6</w:t>
      </w:r>
      <w:r>
        <w:rPr>
          <w:rFonts w:asciiTheme="minorEastAsia" w:hAnsiTheme="minorEastAsia" w:cs="Arial" w:hint="eastAsia"/>
          <w:sz w:val="24"/>
          <w:szCs w:val="24"/>
        </w:rPr>
        <w:t>个月的投资人收取的赎回费总额的</w:t>
      </w:r>
      <w:r>
        <w:rPr>
          <w:rFonts w:asciiTheme="minorEastAsia" w:hAnsiTheme="minorEastAsia" w:cs="Arial" w:hint="eastAsia"/>
          <w:sz w:val="24"/>
          <w:szCs w:val="24"/>
        </w:rPr>
        <w:t>50%</w:t>
      </w:r>
      <w:r>
        <w:rPr>
          <w:rFonts w:asciiTheme="minorEastAsia" w:hAnsiTheme="minorEastAsia" w:cs="Arial" w:hint="eastAsia"/>
          <w:sz w:val="24"/>
          <w:szCs w:val="24"/>
        </w:rPr>
        <w:t>计入基金财产；就</w:t>
      </w:r>
      <w:r>
        <w:rPr>
          <w:rFonts w:asciiTheme="minorEastAsia" w:hAnsiTheme="minorEastAsia" w:cs="Arial" w:hint="eastAsia"/>
          <w:sz w:val="24"/>
          <w:szCs w:val="24"/>
        </w:rPr>
        <w:t>C</w:t>
      </w:r>
      <w:r>
        <w:rPr>
          <w:rFonts w:asciiTheme="minorEastAsia" w:hAnsiTheme="minorEastAsia" w:cs="Arial" w:hint="eastAsia"/>
          <w:sz w:val="24"/>
          <w:szCs w:val="24"/>
        </w:rPr>
        <w:t>类基金份额，收取的赎回费全额计入基金财产。上述未纳入基金财产的赎回费用于支付登记费和其他必要的手续费。</w:t>
      </w:r>
    </w:p>
    <w:p w14:paraId="143D8DB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1871F095" w14:textId="77777777" w:rsidR="007B7C2A" w:rsidRDefault="00072812">
      <w:pPr>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w:t>
      </w:r>
      <w:r>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赎回费率。</w:t>
      </w:r>
    </w:p>
    <w:p w14:paraId="662754D3" w14:textId="77777777" w:rsidR="007B7C2A" w:rsidRDefault="00072812">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七、</w:t>
      </w:r>
      <w:r>
        <w:rPr>
          <w:rFonts w:asciiTheme="minorEastAsia" w:hAnsiTheme="minorEastAsia" w:cs="Arial"/>
          <w:b/>
          <w:bCs/>
          <w:sz w:val="24"/>
          <w:szCs w:val="24"/>
        </w:rPr>
        <w:t>A</w:t>
      </w:r>
      <w:r>
        <w:rPr>
          <w:rFonts w:asciiTheme="minorEastAsia" w:hAnsiTheme="minorEastAsia" w:cs="Arial" w:hint="eastAsia"/>
          <w:b/>
          <w:bCs/>
          <w:sz w:val="24"/>
          <w:szCs w:val="24"/>
        </w:rPr>
        <w:t>类基金份额与</w:t>
      </w:r>
      <w:r>
        <w:rPr>
          <w:rFonts w:asciiTheme="minorEastAsia" w:hAnsiTheme="minorEastAsia" w:cs="Arial"/>
          <w:b/>
          <w:bCs/>
          <w:sz w:val="24"/>
          <w:szCs w:val="24"/>
        </w:rPr>
        <w:t>C</w:t>
      </w:r>
      <w:r>
        <w:rPr>
          <w:rFonts w:asciiTheme="minorEastAsia" w:hAnsiTheme="minorEastAsia" w:cs="Arial" w:hint="eastAsia"/>
          <w:b/>
          <w:bCs/>
          <w:sz w:val="24"/>
          <w:szCs w:val="24"/>
        </w:rPr>
        <w:t>类基金份额的申购份额与赎回金额的计算方式</w:t>
      </w:r>
    </w:p>
    <w:p w14:paraId="0DEE148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w:t>
      </w:r>
      <w:r>
        <w:rPr>
          <w:rFonts w:asciiTheme="minorEastAsia" w:hAnsiTheme="minorEastAsia" w:cs="Arial" w:hint="eastAsia"/>
          <w:sz w:val="24"/>
          <w:szCs w:val="24"/>
        </w:rPr>
        <w:t>A</w:t>
      </w:r>
      <w:r>
        <w:rPr>
          <w:rFonts w:asciiTheme="minorEastAsia" w:hAnsiTheme="minorEastAsia" w:cs="Arial" w:hint="eastAsia"/>
          <w:sz w:val="24"/>
          <w:szCs w:val="24"/>
        </w:rPr>
        <w:t>类基金份额申购份额的计算方式：</w:t>
      </w:r>
    </w:p>
    <w:p w14:paraId="0196F5F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1</w:t>
      </w:r>
      <w:r>
        <w:rPr>
          <w:rFonts w:asciiTheme="minorEastAsia" w:hAnsiTheme="minorEastAsia" w:cs="Arial" w:hint="eastAsia"/>
          <w:sz w:val="24"/>
          <w:szCs w:val="24"/>
        </w:rPr>
        <w:t>）当申购费用适用比例费率时，申购份额的计算公式如下：</w:t>
      </w:r>
    </w:p>
    <w:p w14:paraId="176598B6"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w:t>
      </w:r>
      <w:r>
        <w:rPr>
          <w:rFonts w:asciiTheme="minorEastAsia" w:hAnsiTheme="minorEastAsia" w:cs="Arial" w:hint="eastAsia"/>
          <w:sz w:val="24"/>
          <w:szCs w:val="24"/>
        </w:rPr>
        <w:t>=</w:t>
      </w:r>
      <w:r>
        <w:rPr>
          <w:rFonts w:asciiTheme="minorEastAsia" w:hAnsiTheme="minorEastAsia" w:cs="Arial" w:hint="eastAsia"/>
          <w:sz w:val="24"/>
          <w:szCs w:val="24"/>
        </w:rPr>
        <w:t>申购金额</w:t>
      </w:r>
      <w:r>
        <w:rPr>
          <w:rFonts w:asciiTheme="minorEastAsia" w:hAnsiTheme="minorEastAsia" w:cs="Arial" w:hint="eastAsia"/>
          <w:sz w:val="24"/>
          <w:szCs w:val="24"/>
        </w:rPr>
        <w:t>/</w:t>
      </w:r>
      <w:r>
        <w:rPr>
          <w:rFonts w:asciiTheme="minorEastAsia" w:hAnsiTheme="minorEastAsia" w:cs="Arial" w:hint="eastAsia"/>
          <w:sz w:val="24"/>
          <w:szCs w:val="24"/>
        </w:rPr>
        <w:t>（</w:t>
      </w:r>
      <w:r>
        <w:rPr>
          <w:rFonts w:asciiTheme="minorEastAsia" w:hAnsiTheme="minorEastAsia" w:cs="Arial" w:hint="eastAsia"/>
          <w:sz w:val="24"/>
          <w:szCs w:val="24"/>
        </w:rPr>
        <w:t>1+</w:t>
      </w:r>
      <w:r>
        <w:rPr>
          <w:rFonts w:asciiTheme="minorEastAsia" w:hAnsiTheme="minorEastAsia" w:cs="Arial" w:hint="eastAsia"/>
          <w:sz w:val="24"/>
          <w:szCs w:val="24"/>
        </w:rPr>
        <w:t>申购费率）</w:t>
      </w:r>
    </w:p>
    <w:p w14:paraId="2FA02B27"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w:t>
      </w:r>
      <w:r>
        <w:rPr>
          <w:rFonts w:asciiTheme="minorEastAsia" w:hAnsiTheme="minorEastAsia" w:cs="Arial" w:hint="eastAsia"/>
          <w:sz w:val="24"/>
          <w:szCs w:val="24"/>
        </w:rPr>
        <w:t>=</w:t>
      </w:r>
      <w:r>
        <w:rPr>
          <w:rFonts w:asciiTheme="minorEastAsia" w:hAnsiTheme="minorEastAsia" w:cs="Arial" w:hint="eastAsia"/>
          <w:sz w:val="24"/>
          <w:szCs w:val="24"/>
        </w:rPr>
        <w:t>申购金额－净申购金额</w:t>
      </w:r>
    </w:p>
    <w:p w14:paraId="2EA43C8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hint="eastAsia"/>
          <w:sz w:val="24"/>
          <w:szCs w:val="24"/>
        </w:rPr>
        <w:t>=</w:t>
      </w:r>
      <w:r>
        <w:rPr>
          <w:rFonts w:asciiTheme="minorEastAsia" w:hAnsiTheme="minorEastAsia" w:cs="Arial" w:hint="eastAsia"/>
          <w:sz w:val="24"/>
          <w:szCs w:val="24"/>
        </w:rPr>
        <w:t>净申购金额</w:t>
      </w:r>
      <w:r>
        <w:rPr>
          <w:rFonts w:asciiTheme="minorEastAsia" w:hAnsiTheme="minorEastAsia" w:cs="Arial" w:hint="eastAsia"/>
          <w:sz w:val="24"/>
          <w:szCs w:val="24"/>
        </w:rPr>
        <w:t xml:space="preserve">/T </w:t>
      </w:r>
      <w:r>
        <w:rPr>
          <w:rFonts w:asciiTheme="minorEastAsia" w:hAnsiTheme="minorEastAsia" w:cs="Arial" w:hint="eastAsia"/>
          <w:sz w:val="24"/>
          <w:szCs w:val="24"/>
        </w:rPr>
        <w:t>日</w:t>
      </w:r>
      <w:r>
        <w:rPr>
          <w:rFonts w:asciiTheme="minorEastAsia" w:hAnsiTheme="minorEastAsia" w:cs="Arial" w:hint="eastAsia"/>
          <w:sz w:val="24"/>
          <w:szCs w:val="24"/>
        </w:rPr>
        <w:t>A</w:t>
      </w:r>
      <w:r>
        <w:rPr>
          <w:rFonts w:asciiTheme="minorEastAsia" w:hAnsiTheme="minorEastAsia" w:cs="Arial" w:hint="eastAsia"/>
          <w:sz w:val="24"/>
          <w:szCs w:val="24"/>
        </w:rPr>
        <w:t>类基金份额净值</w:t>
      </w:r>
    </w:p>
    <w:p w14:paraId="6DB25EC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2</w:t>
      </w:r>
      <w:r>
        <w:rPr>
          <w:rFonts w:asciiTheme="minorEastAsia" w:hAnsiTheme="minorEastAsia" w:cs="Arial" w:hint="eastAsia"/>
          <w:sz w:val="24"/>
          <w:szCs w:val="24"/>
        </w:rPr>
        <w:t>）当申购费用为固定金额时，申购份额的计算方法如下：</w:t>
      </w:r>
    </w:p>
    <w:p w14:paraId="6EEA8058"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申购费用＝固定费用</w:t>
      </w:r>
    </w:p>
    <w:p w14:paraId="354AB13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净申购金额＝申购金额－申购费用</w:t>
      </w:r>
    </w:p>
    <w:p w14:paraId="0D7D97ED"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申购份额＝净申购金额</w:t>
      </w:r>
      <w:r>
        <w:rPr>
          <w:rFonts w:asciiTheme="minorEastAsia" w:hAnsiTheme="minorEastAsia" w:cs="Arial" w:hint="eastAsia"/>
          <w:sz w:val="24"/>
          <w:szCs w:val="24"/>
        </w:rPr>
        <w:t>/T</w:t>
      </w:r>
      <w:r>
        <w:rPr>
          <w:rFonts w:asciiTheme="minorEastAsia" w:hAnsiTheme="minorEastAsia" w:cs="Arial" w:hint="eastAsia"/>
          <w:sz w:val="24"/>
          <w:szCs w:val="24"/>
        </w:rPr>
        <w:t>日</w:t>
      </w:r>
      <w:r>
        <w:rPr>
          <w:rFonts w:asciiTheme="minorEastAsia" w:hAnsiTheme="minorEastAsia" w:cs="Arial" w:hint="eastAsia"/>
          <w:sz w:val="24"/>
          <w:szCs w:val="24"/>
        </w:rPr>
        <w:t>A</w:t>
      </w:r>
      <w:r>
        <w:rPr>
          <w:rFonts w:asciiTheme="minorEastAsia" w:hAnsiTheme="minorEastAsia" w:cs="Arial" w:hint="eastAsia"/>
          <w:sz w:val="24"/>
          <w:szCs w:val="24"/>
        </w:rPr>
        <w:t>类基金份额净值</w:t>
      </w:r>
    </w:p>
    <w:p w14:paraId="263A05C3"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上述计算结果按照四舍五入方法，保留小数点后两位，由此误差产生的收益或损失由基金财产承担。</w:t>
      </w:r>
    </w:p>
    <w:p w14:paraId="1AFBD93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w:t>
      </w:r>
      <w:r>
        <w:rPr>
          <w:rFonts w:asciiTheme="minorEastAsia" w:hAnsiTheme="minorEastAsia" w:cs="Arial" w:hint="eastAsia"/>
          <w:sz w:val="24"/>
          <w:szCs w:val="24"/>
        </w:rPr>
        <w:t xml:space="preserve">50,000 </w:t>
      </w:r>
      <w:r>
        <w:rPr>
          <w:rFonts w:asciiTheme="minorEastAsia" w:hAnsiTheme="minorEastAsia" w:cs="Arial" w:hint="eastAsia"/>
          <w:sz w:val="24"/>
          <w:szCs w:val="24"/>
        </w:rPr>
        <w:t>元申购本基金</w:t>
      </w:r>
      <w:r>
        <w:rPr>
          <w:rFonts w:asciiTheme="minorEastAsia" w:hAnsiTheme="minorEastAsia" w:cs="Arial" w:hint="eastAsia"/>
          <w:sz w:val="24"/>
          <w:szCs w:val="24"/>
        </w:rPr>
        <w:t>A</w:t>
      </w:r>
      <w:r>
        <w:rPr>
          <w:rFonts w:asciiTheme="minorEastAsia" w:hAnsiTheme="minorEastAsia" w:cs="Arial" w:hint="eastAsia"/>
          <w:sz w:val="24"/>
          <w:szCs w:val="24"/>
        </w:rPr>
        <w:t>类基金份额，且该申购申请被全额确认，对应的申购费率为</w:t>
      </w:r>
      <w:r>
        <w:rPr>
          <w:rFonts w:asciiTheme="minorEastAsia" w:hAnsiTheme="minorEastAsia" w:cs="Arial" w:hint="eastAsia"/>
          <w:sz w:val="24"/>
          <w:szCs w:val="24"/>
        </w:rPr>
        <w:t>1.5%</w:t>
      </w:r>
      <w:r>
        <w:rPr>
          <w:rFonts w:asciiTheme="minorEastAsia" w:hAnsiTheme="minorEastAsia" w:cs="Arial" w:hint="eastAsia"/>
          <w:sz w:val="24"/>
          <w:szCs w:val="24"/>
        </w:rPr>
        <w:t>，假定申购当日</w:t>
      </w:r>
      <w:r>
        <w:rPr>
          <w:rFonts w:asciiTheme="minorEastAsia" w:hAnsiTheme="minorEastAsia" w:cs="Arial" w:hint="eastAsia"/>
          <w:sz w:val="24"/>
          <w:szCs w:val="24"/>
        </w:rPr>
        <w:t>A</w:t>
      </w:r>
      <w:r>
        <w:rPr>
          <w:rFonts w:asciiTheme="minorEastAsia" w:hAnsiTheme="minorEastAsia" w:cs="Arial" w:hint="eastAsia"/>
          <w:sz w:val="24"/>
          <w:szCs w:val="24"/>
        </w:rPr>
        <w:t>类基金份额净值为</w:t>
      </w:r>
      <w:r>
        <w:rPr>
          <w:rFonts w:asciiTheme="minorEastAsia" w:hAnsiTheme="minorEastAsia" w:cs="Arial" w:hint="eastAsia"/>
          <w:sz w:val="24"/>
          <w:szCs w:val="24"/>
        </w:rPr>
        <w:t>1.0500</w:t>
      </w:r>
      <w:r>
        <w:rPr>
          <w:rFonts w:asciiTheme="minorEastAsia" w:hAnsiTheme="minorEastAsia" w:cs="Arial" w:hint="eastAsia"/>
          <w:sz w:val="24"/>
          <w:szCs w:val="24"/>
        </w:rPr>
        <w:t>元，则可得到的申购份额为：</w:t>
      </w:r>
    </w:p>
    <w:p w14:paraId="4AC7EDFD"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净申购金额＝</w:t>
      </w:r>
      <w:r>
        <w:rPr>
          <w:rFonts w:asciiTheme="minorEastAsia" w:hAnsiTheme="minorEastAsia" w:cs="Arial" w:hint="eastAsia"/>
          <w:sz w:val="24"/>
          <w:szCs w:val="24"/>
        </w:rPr>
        <w:t>50,000/(1+1.5%)</w:t>
      </w:r>
      <w:r>
        <w:rPr>
          <w:rFonts w:asciiTheme="minorEastAsia" w:hAnsiTheme="minorEastAsia" w:cs="Arial" w:hint="eastAsia"/>
          <w:sz w:val="24"/>
          <w:szCs w:val="24"/>
        </w:rPr>
        <w:t>＝</w:t>
      </w:r>
      <w:r>
        <w:rPr>
          <w:rFonts w:asciiTheme="minorEastAsia" w:hAnsiTheme="minorEastAsia" w:cs="Arial" w:hint="eastAsia"/>
          <w:sz w:val="24"/>
          <w:szCs w:val="24"/>
        </w:rPr>
        <w:t>49,261.08</w:t>
      </w:r>
      <w:r>
        <w:rPr>
          <w:rFonts w:asciiTheme="minorEastAsia" w:hAnsiTheme="minorEastAsia" w:cs="Arial" w:hint="eastAsia"/>
          <w:sz w:val="24"/>
          <w:szCs w:val="24"/>
        </w:rPr>
        <w:t>元</w:t>
      </w:r>
    </w:p>
    <w:p w14:paraId="7301DDC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申购费用＝</w:t>
      </w:r>
      <w:r>
        <w:rPr>
          <w:rFonts w:asciiTheme="minorEastAsia" w:hAnsiTheme="minorEastAsia" w:cs="Arial" w:hint="eastAsia"/>
          <w:sz w:val="24"/>
          <w:szCs w:val="24"/>
        </w:rPr>
        <w:t>50,000</w:t>
      </w:r>
      <w:r>
        <w:rPr>
          <w:rFonts w:asciiTheme="minorEastAsia" w:hAnsiTheme="minorEastAsia" w:cs="Arial" w:hint="eastAsia"/>
          <w:sz w:val="24"/>
          <w:szCs w:val="24"/>
        </w:rPr>
        <w:t>－</w:t>
      </w:r>
      <w:r>
        <w:rPr>
          <w:rFonts w:asciiTheme="minorEastAsia" w:hAnsiTheme="minorEastAsia" w:cs="Arial" w:hint="eastAsia"/>
          <w:sz w:val="24"/>
          <w:szCs w:val="24"/>
        </w:rPr>
        <w:t>49,261.08</w:t>
      </w:r>
      <w:r>
        <w:rPr>
          <w:rFonts w:asciiTheme="minorEastAsia" w:hAnsiTheme="minorEastAsia" w:cs="Arial" w:hint="eastAsia"/>
          <w:sz w:val="24"/>
          <w:szCs w:val="24"/>
        </w:rPr>
        <w:t>＝</w:t>
      </w:r>
      <w:r>
        <w:rPr>
          <w:rFonts w:asciiTheme="minorEastAsia" w:hAnsiTheme="minorEastAsia" w:cs="Arial" w:hint="eastAsia"/>
          <w:sz w:val="24"/>
          <w:szCs w:val="24"/>
        </w:rPr>
        <w:t>738.92</w:t>
      </w:r>
      <w:r>
        <w:rPr>
          <w:rFonts w:asciiTheme="minorEastAsia" w:hAnsiTheme="minorEastAsia" w:cs="Arial" w:hint="eastAsia"/>
          <w:sz w:val="24"/>
          <w:szCs w:val="24"/>
        </w:rPr>
        <w:t>元</w:t>
      </w:r>
    </w:p>
    <w:p w14:paraId="29A6C19D"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hint="eastAsia"/>
          <w:sz w:val="24"/>
          <w:szCs w:val="24"/>
        </w:rPr>
        <w:t>49,261.08/1.0500</w:t>
      </w:r>
      <w:r>
        <w:rPr>
          <w:rFonts w:asciiTheme="minorEastAsia" w:hAnsiTheme="minorEastAsia" w:cs="Arial" w:hint="eastAsia"/>
          <w:sz w:val="24"/>
          <w:szCs w:val="24"/>
        </w:rPr>
        <w:t>＝</w:t>
      </w:r>
      <w:r>
        <w:rPr>
          <w:rFonts w:asciiTheme="minorEastAsia" w:hAnsiTheme="minorEastAsia" w:cs="Arial" w:hint="eastAsia"/>
          <w:sz w:val="24"/>
          <w:szCs w:val="24"/>
        </w:rPr>
        <w:t xml:space="preserve">46,915.31 </w:t>
      </w:r>
      <w:r>
        <w:rPr>
          <w:rFonts w:asciiTheme="minorEastAsia" w:hAnsiTheme="minorEastAsia" w:cs="Arial" w:hint="eastAsia"/>
          <w:sz w:val="24"/>
          <w:szCs w:val="24"/>
        </w:rPr>
        <w:t>份</w:t>
      </w:r>
    </w:p>
    <w:p w14:paraId="7D5E6A17"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kern w:val="0"/>
          <w:sz w:val="24"/>
          <w:szCs w:val="24"/>
        </w:rPr>
        <w:t>即投资者投资</w:t>
      </w:r>
      <w:r>
        <w:rPr>
          <w:rFonts w:asciiTheme="minorEastAsia" w:hAnsiTheme="minorEastAsia" w:cs="Arial" w:hint="eastAsia"/>
          <w:kern w:val="0"/>
          <w:sz w:val="24"/>
          <w:szCs w:val="24"/>
        </w:rPr>
        <w:t xml:space="preserve">50,000 </w:t>
      </w:r>
      <w:r>
        <w:rPr>
          <w:rFonts w:asciiTheme="minorEastAsia" w:hAnsiTheme="minorEastAsia" w:cs="Arial" w:hint="eastAsia"/>
          <w:kern w:val="0"/>
          <w:sz w:val="24"/>
          <w:szCs w:val="24"/>
        </w:rPr>
        <w:t>元申购本基金</w:t>
      </w:r>
      <w:r>
        <w:rPr>
          <w:rFonts w:asciiTheme="minorEastAsia" w:hAnsiTheme="minorEastAsia" w:cs="Arial" w:hint="eastAsia"/>
          <w:kern w:val="0"/>
          <w:sz w:val="24"/>
          <w:szCs w:val="24"/>
        </w:rPr>
        <w:t>A</w:t>
      </w:r>
      <w:r>
        <w:rPr>
          <w:rFonts w:asciiTheme="minorEastAsia" w:hAnsiTheme="minorEastAsia" w:cs="Arial" w:hint="eastAsia"/>
          <w:kern w:val="0"/>
          <w:sz w:val="24"/>
          <w:szCs w:val="24"/>
        </w:rPr>
        <w:t>类基金份额，假定申购当日</w:t>
      </w:r>
      <w:r>
        <w:rPr>
          <w:rFonts w:asciiTheme="minorEastAsia" w:hAnsiTheme="minorEastAsia" w:cs="Arial" w:hint="eastAsia"/>
          <w:kern w:val="0"/>
          <w:sz w:val="24"/>
          <w:szCs w:val="24"/>
        </w:rPr>
        <w:t>A</w:t>
      </w:r>
      <w:r>
        <w:rPr>
          <w:rFonts w:asciiTheme="minorEastAsia" w:hAnsiTheme="minorEastAsia" w:cs="Arial" w:hint="eastAsia"/>
          <w:kern w:val="0"/>
          <w:sz w:val="24"/>
          <w:szCs w:val="24"/>
        </w:rPr>
        <w:t>类基金份额净值为</w:t>
      </w:r>
      <w:r>
        <w:rPr>
          <w:rFonts w:asciiTheme="minorEastAsia" w:hAnsiTheme="minorEastAsia" w:cs="Arial" w:hint="eastAsia"/>
          <w:kern w:val="0"/>
          <w:sz w:val="24"/>
          <w:szCs w:val="24"/>
        </w:rPr>
        <w:t>1.0500</w:t>
      </w:r>
      <w:r>
        <w:rPr>
          <w:rFonts w:asciiTheme="minorEastAsia" w:hAnsiTheme="minorEastAsia" w:cs="Arial" w:hint="eastAsia"/>
          <w:kern w:val="0"/>
          <w:sz w:val="24"/>
          <w:szCs w:val="24"/>
        </w:rPr>
        <w:t>元，可得到</w:t>
      </w:r>
      <w:r>
        <w:rPr>
          <w:rFonts w:asciiTheme="minorEastAsia" w:hAnsiTheme="minorEastAsia" w:cs="Arial" w:hint="eastAsia"/>
          <w:kern w:val="0"/>
          <w:sz w:val="24"/>
          <w:szCs w:val="24"/>
        </w:rPr>
        <w:t>46,915.31</w:t>
      </w:r>
      <w:r>
        <w:rPr>
          <w:rFonts w:asciiTheme="minorEastAsia" w:hAnsiTheme="minorEastAsia" w:cs="Arial" w:hint="eastAsia"/>
          <w:kern w:val="0"/>
          <w:sz w:val="24"/>
          <w:szCs w:val="24"/>
        </w:rPr>
        <w:t>份</w:t>
      </w:r>
      <w:r>
        <w:rPr>
          <w:rFonts w:asciiTheme="minorEastAsia" w:hAnsiTheme="minorEastAsia" w:cs="Arial" w:hint="eastAsia"/>
          <w:kern w:val="0"/>
          <w:sz w:val="24"/>
          <w:szCs w:val="24"/>
        </w:rPr>
        <w:t>A</w:t>
      </w:r>
      <w:r>
        <w:rPr>
          <w:rFonts w:asciiTheme="minorEastAsia" w:hAnsiTheme="minorEastAsia" w:cs="Arial" w:hint="eastAsia"/>
          <w:kern w:val="0"/>
          <w:sz w:val="24"/>
          <w:szCs w:val="24"/>
        </w:rPr>
        <w:t>类基金份额。</w:t>
      </w:r>
    </w:p>
    <w:p w14:paraId="2A18EE3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w:t>
      </w:r>
      <w:r>
        <w:rPr>
          <w:rFonts w:asciiTheme="minorEastAsia" w:hAnsiTheme="minorEastAsia" w:cs="Arial" w:hint="eastAsia"/>
          <w:sz w:val="24"/>
          <w:szCs w:val="24"/>
        </w:rPr>
        <w:t>C</w:t>
      </w:r>
      <w:r>
        <w:rPr>
          <w:rFonts w:asciiTheme="minorEastAsia" w:hAnsiTheme="minorEastAsia" w:cs="Arial" w:hint="eastAsia"/>
          <w:sz w:val="24"/>
          <w:szCs w:val="24"/>
        </w:rPr>
        <w:t>类基金份额申购份额的计算方式：</w:t>
      </w:r>
    </w:p>
    <w:p w14:paraId="19768EC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申购份额＝申购金额</w:t>
      </w:r>
      <w:r>
        <w:rPr>
          <w:rFonts w:asciiTheme="minorEastAsia" w:hAnsiTheme="minorEastAsia" w:cs="Arial" w:hint="eastAsia"/>
          <w:sz w:val="24"/>
          <w:szCs w:val="24"/>
        </w:rPr>
        <w:t>/T</w:t>
      </w:r>
      <w:r>
        <w:rPr>
          <w:rFonts w:asciiTheme="minorEastAsia" w:hAnsiTheme="minorEastAsia" w:cs="Arial" w:hint="eastAsia"/>
          <w:sz w:val="24"/>
          <w:szCs w:val="24"/>
        </w:rPr>
        <w:t>日</w:t>
      </w:r>
      <w:r>
        <w:rPr>
          <w:rFonts w:asciiTheme="minorEastAsia" w:hAnsiTheme="minorEastAsia" w:cs="Arial" w:hint="eastAsia"/>
          <w:sz w:val="24"/>
          <w:szCs w:val="24"/>
        </w:rPr>
        <w:t>C</w:t>
      </w:r>
      <w:r>
        <w:rPr>
          <w:rFonts w:asciiTheme="minorEastAsia" w:hAnsiTheme="minorEastAsia" w:cs="Arial" w:hint="eastAsia"/>
          <w:sz w:val="24"/>
          <w:szCs w:val="24"/>
        </w:rPr>
        <w:t>类基金份额净值</w:t>
      </w:r>
    </w:p>
    <w:p w14:paraId="744FBB2F"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上述计算结果按照四舍五入方法，保留小数点后两位，由此误差产生的收益或损失由基金财产承担。</w:t>
      </w:r>
    </w:p>
    <w:p w14:paraId="31CCECF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例：某投资者投资</w:t>
      </w:r>
      <w:r>
        <w:rPr>
          <w:rFonts w:asciiTheme="minorEastAsia" w:hAnsiTheme="minorEastAsia" w:cs="Arial" w:hint="eastAsia"/>
          <w:sz w:val="24"/>
          <w:szCs w:val="24"/>
        </w:rPr>
        <w:t>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w:t>
      </w:r>
      <w:r>
        <w:rPr>
          <w:rFonts w:asciiTheme="minorEastAsia" w:hAnsiTheme="minorEastAsia" w:cs="Arial" w:hint="eastAsia"/>
          <w:sz w:val="24"/>
          <w:szCs w:val="24"/>
        </w:rPr>
        <w:t>C</w:t>
      </w:r>
      <w:r>
        <w:rPr>
          <w:rFonts w:asciiTheme="minorEastAsia" w:hAnsiTheme="minorEastAsia" w:cs="Arial" w:hint="eastAsia"/>
          <w:sz w:val="24"/>
          <w:szCs w:val="24"/>
        </w:rPr>
        <w:t>类基金份额，且该申购申请被全额确认，假定申购当日</w:t>
      </w:r>
      <w:r>
        <w:rPr>
          <w:rFonts w:asciiTheme="minorEastAsia" w:hAnsiTheme="minorEastAsia" w:cs="Arial" w:hint="eastAsia"/>
          <w:sz w:val="24"/>
          <w:szCs w:val="24"/>
        </w:rPr>
        <w:t>C</w:t>
      </w:r>
      <w:r>
        <w:rPr>
          <w:rFonts w:asciiTheme="minorEastAsia" w:hAnsiTheme="minorEastAsia" w:cs="Arial" w:hint="eastAsia"/>
          <w:sz w:val="24"/>
          <w:szCs w:val="24"/>
        </w:rPr>
        <w:t>类基金份额净值为</w:t>
      </w:r>
      <w:r>
        <w:rPr>
          <w:rFonts w:asciiTheme="minorEastAsia" w:hAnsiTheme="minorEastAsia" w:cs="Arial"/>
          <w:sz w:val="24"/>
          <w:szCs w:val="24"/>
        </w:rPr>
        <w:t>1.</w:t>
      </w:r>
      <w:r>
        <w:rPr>
          <w:rFonts w:asciiTheme="minorEastAsia" w:hAnsiTheme="minorEastAsia" w:cs="Arial" w:hint="eastAsia"/>
          <w:sz w:val="24"/>
          <w:szCs w:val="24"/>
        </w:rPr>
        <w:t>2300</w:t>
      </w:r>
      <w:r>
        <w:rPr>
          <w:rFonts w:asciiTheme="minorEastAsia" w:hAnsiTheme="minorEastAsia" w:cs="Arial" w:hint="eastAsia"/>
          <w:sz w:val="24"/>
          <w:szCs w:val="24"/>
        </w:rPr>
        <w:t>元，则可得到的申购份额为：</w:t>
      </w:r>
    </w:p>
    <w:p w14:paraId="1DAA9E9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申购份额＝</w:t>
      </w:r>
      <w:r>
        <w:rPr>
          <w:rFonts w:asciiTheme="minorEastAsia" w:hAnsiTheme="minorEastAsia" w:cs="Arial" w:hint="eastAsia"/>
          <w:sz w:val="24"/>
          <w:szCs w:val="24"/>
        </w:rPr>
        <w:t>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1.</w:t>
      </w:r>
      <w:r>
        <w:rPr>
          <w:rFonts w:asciiTheme="minorEastAsia" w:hAnsiTheme="minorEastAsia" w:cs="Arial" w:hint="eastAsia"/>
          <w:sz w:val="24"/>
          <w:szCs w:val="24"/>
        </w:rPr>
        <w:t>2500=4</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hint="eastAsia"/>
          <w:sz w:val="24"/>
          <w:szCs w:val="24"/>
        </w:rPr>
        <w:t>份</w:t>
      </w:r>
    </w:p>
    <w:p w14:paraId="3591B8F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即投资者投资</w:t>
      </w:r>
      <w:r>
        <w:rPr>
          <w:rFonts w:asciiTheme="minorEastAsia" w:hAnsiTheme="minorEastAsia" w:cs="Arial" w:hint="eastAsia"/>
          <w:sz w:val="24"/>
          <w:szCs w:val="24"/>
        </w:rPr>
        <w:t>5</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sz w:val="24"/>
          <w:szCs w:val="24"/>
        </w:rPr>
        <w:t xml:space="preserve"> </w:t>
      </w:r>
      <w:r>
        <w:rPr>
          <w:rFonts w:asciiTheme="minorEastAsia" w:hAnsiTheme="minorEastAsia" w:cs="Arial" w:hint="eastAsia"/>
          <w:sz w:val="24"/>
          <w:szCs w:val="24"/>
        </w:rPr>
        <w:t>元申购本基金</w:t>
      </w:r>
      <w:r>
        <w:rPr>
          <w:rFonts w:asciiTheme="minorEastAsia" w:hAnsiTheme="minorEastAsia" w:cs="Arial" w:hint="eastAsia"/>
          <w:sz w:val="24"/>
          <w:szCs w:val="24"/>
        </w:rPr>
        <w:t>C</w:t>
      </w:r>
      <w:r>
        <w:rPr>
          <w:rFonts w:asciiTheme="minorEastAsia" w:hAnsiTheme="minorEastAsia" w:cs="Arial" w:hint="eastAsia"/>
          <w:sz w:val="24"/>
          <w:szCs w:val="24"/>
        </w:rPr>
        <w:t>类基金份额，假定申购当日</w:t>
      </w:r>
      <w:r>
        <w:rPr>
          <w:rFonts w:asciiTheme="minorEastAsia" w:hAnsiTheme="minorEastAsia" w:cs="Arial" w:hint="eastAsia"/>
          <w:sz w:val="24"/>
          <w:szCs w:val="24"/>
        </w:rPr>
        <w:t>C</w:t>
      </w:r>
      <w:r>
        <w:rPr>
          <w:rFonts w:asciiTheme="minorEastAsia" w:hAnsiTheme="minorEastAsia" w:cs="Arial" w:hint="eastAsia"/>
          <w:sz w:val="24"/>
          <w:szCs w:val="24"/>
        </w:rPr>
        <w:t>类基金份额净值为</w:t>
      </w:r>
      <w:r>
        <w:rPr>
          <w:rFonts w:asciiTheme="minorEastAsia" w:hAnsiTheme="minorEastAsia" w:cs="Arial"/>
          <w:sz w:val="24"/>
          <w:szCs w:val="24"/>
        </w:rPr>
        <w:t>1.</w:t>
      </w:r>
      <w:r>
        <w:rPr>
          <w:rFonts w:asciiTheme="minorEastAsia" w:hAnsiTheme="minorEastAsia" w:cs="Arial" w:hint="eastAsia"/>
          <w:sz w:val="24"/>
          <w:szCs w:val="24"/>
        </w:rPr>
        <w:t>2500</w:t>
      </w:r>
      <w:r>
        <w:rPr>
          <w:rFonts w:asciiTheme="minorEastAsia" w:hAnsiTheme="minorEastAsia" w:cs="Arial" w:hint="eastAsia"/>
          <w:sz w:val="24"/>
          <w:szCs w:val="24"/>
        </w:rPr>
        <w:t>元，可得到</w:t>
      </w:r>
      <w:r>
        <w:rPr>
          <w:rFonts w:asciiTheme="minorEastAsia" w:hAnsiTheme="minorEastAsia" w:cs="Arial" w:hint="eastAsia"/>
          <w:sz w:val="24"/>
          <w:szCs w:val="24"/>
        </w:rPr>
        <w:t>4</w:t>
      </w:r>
      <w:r>
        <w:rPr>
          <w:rFonts w:asciiTheme="minorEastAsia" w:hAnsiTheme="minorEastAsia" w:cs="Arial"/>
          <w:sz w:val="24"/>
          <w:szCs w:val="24"/>
        </w:rPr>
        <w:t>,000</w:t>
      </w:r>
      <w:r>
        <w:rPr>
          <w:rFonts w:asciiTheme="minorEastAsia" w:hAnsiTheme="minorEastAsia" w:cs="Arial" w:hint="eastAsia"/>
          <w:sz w:val="24"/>
          <w:szCs w:val="24"/>
        </w:rPr>
        <w:t>,000</w:t>
      </w:r>
      <w:r>
        <w:rPr>
          <w:rFonts w:asciiTheme="minorEastAsia" w:hAnsiTheme="minorEastAsia" w:cs="Arial" w:hint="eastAsia"/>
          <w:sz w:val="24"/>
          <w:szCs w:val="24"/>
        </w:rPr>
        <w:t>份</w:t>
      </w:r>
      <w:r>
        <w:rPr>
          <w:rFonts w:asciiTheme="minorEastAsia" w:hAnsiTheme="minorEastAsia" w:cs="Arial" w:hint="eastAsia"/>
          <w:sz w:val="24"/>
          <w:szCs w:val="24"/>
        </w:rPr>
        <w:t>C</w:t>
      </w:r>
      <w:r>
        <w:rPr>
          <w:rFonts w:asciiTheme="minorEastAsia" w:hAnsiTheme="minorEastAsia" w:cs="Arial" w:hint="eastAsia"/>
          <w:sz w:val="24"/>
          <w:szCs w:val="24"/>
        </w:rPr>
        <w:t>类基金份额。</w:t>
      </w:r>
    </w:p>
    <w:p w14:paraId="32713CC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、赎回金额的计算方式：</w:t>
      </w:r>
    </w:p>
    <w:p w14:paraId="3D35C42F"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w:t>
      </w:r>
      <w:r>
        <w:rPr>
          <w:rFonts w:asciiTheme="minorEastAsia" w:hAnsiTheme="minorEastAsia" w:cs="Arial" w:hint="eastAsia"/>
          <w:sz w:val="24"/>
          <w:szCs w:val="24"/>
        </w:rPr>
        <w:t>赎回份额×</w:t>
      </w:r>
      <w:r>
        <w:rPr>
          <w:rFonts w:asciiTheme="minorEastAsia" w:hAnsiTheme="minorEastAsia" w:cs="Arial"/>
          <w:sz w:val="24"/>
          <w:szCs w:val="24"/>
        </w:rPr>
        <w:t>T</w:t>
      </w:r>
      <w:r>
        <w:rPr>
          <w:rFonts w:asciiTheme="minorEastAsia" w:hAnsiTheme="minorEastAsia" w:cs="Arial" w:hint="eastAsia"/>
          <w:sz w:val="24"/>
          <w:szCs w:val="24"/>
        </w:rPr>
        <w:t>日该类别基金份额净值</w:t>
      </w:r>
    </w:p>
    <w:p w14:paraId="52B41EC2"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w:t>
      </w:r>
      <w:r>
        <w:rPr>
          <w:rFonts w:asciiTheme="minorEastAsia" w:hAnsiTheme="minorEastAsia" w:cs="Arial" w:hint="eastAsia"/>
          <w:sz w:val="24"/>
          <w:szCs w:val="24"/>
        </w:rPr>
        <w:t>赎回总额×赎回费率</w:t>
      </w:r>
    </w:p>
    <w:p w14:paraId="630CD097"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w:t>
      </w:r>
      <w:r>
        <w:rPr>
          <w:rFonts w:asciiTheme="minorEastAsia" w:hAnsiTheme="minorEastAsia" w:cs="Arial" w:hint="eastAsia"/>
          <w:sz w:val="24"/>
          <w:szCs w:val="24"/>
        </w:rPr>
        <w:t>赎回总额－赎回费用</w:t>
      </w:r>
    </w:p>
    <w:p w14:paraId="7DAB2212"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上述计算结果均按四舍五入方法，保留到小数点后</w:t>
      </w:r>
      <w:r>
        <w:rPr>
          <w:rFonts w:asciiTheme="minorEastAsia" w:hAnsiTheme="minorEastAsia" w:cs="Arial" w:hint="eastAsia"/>
          <w:sz w:val="24"/>
          <w:szCs w:val="24"/>
        </w:rPr>
        <w:t>2</w:t>
      </w:r>
      <w:r>
        <w:rPr>
          <w:rFonts w:asciiTheme="minorEastAsia" w:hAnsiTheme="minorEastAsia" w:cs="Arial" w:hint="eastAsia"/>
          <w:sz w:val="24"/>
          <w:szCs w:val="24"/>
        </w:rPr>
        <w:t>位，由此产生的收益或损失由基金财产承担。</w:t>
      </w:r>
    </w:p>
    <w:p w14:paraId="2946F7FD"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w:t>
      </w:r>
      <w:r>
        <w:rPr>
          <w:rFonts w:asciiTheme="minorEastAsia" w:hAnsiTheme="minorEastAsia" w:cs="Arial" w:hint="eastAsia"/>
          <w:sz w:val="24"/>
          <w:szCs w:val="24"/>
        </w:rPr>
        <w:t>1</w:t>
      </w:r>
      <w:r>
        <w:rPr>
          <w:rFonts w:asciiTheme="minorEastAsia" w:hAnsiTheme="minorEastAsia" w:cs="Arial" w:hint="eastAsia"/>
          <w:sz w:val="24"/>
          <w:szCs w:val="24"/>
        </w:rPr>
        <w:t>：某投资者赎回</w:t>
      </w:r>
      <w:r>
        <w:rPr>
          <w:rFonts w:asciiTheme="minorEastAsia" w:hAnsiTheme="minorEastAsia" w:cs="Arial"/>
          <w:sz w:val="24"/>
          <w:szCs w:val="24"/>
        </w:rPr>
        <w:t xml:space="preserve">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w:t>
      </w:r>
      <w:r>
        <w:rPr>
          <w:rFonts w:asciiTheme="minorEastAsia" w:hAnsiTheme="minorEastAsia" w:cs="Arial" w:hint="eastAsia"/>
          <w:sz w:val="24"/>
          <w:szCs w:val="24"/>
        </w:rPr>
        <w:t>3</w:t>
      </w:r>
      <w:r>
        <w:rPr>
          <w:rFonts w:asciiTheme="minorEastAsia" w:hAnsiTheme="minorEastAsia" w:cs="Arial" w:hint="eastAsia"/>
          <w:sz w:val="24"/>
          <w:szCs w:val="24"/>
        </w:rPr>
        <w:t>个月，赎回费率为</w:t>
      </w:r>
      <w:r>
        <w:rPr>
          <w:rFonts w:asciiTheme="minorEastAsia" w:hAnsiTheme="minorEastAsia" w:cs="Arial"/>
          <w:sz w:val="24"/>
          <w:szCs w:val="24"/>
        </w:rPr>
        <w:t>0.5%</w:t>
      </w:r>
      <w:r>
        <w:rPr>
          <w:rFonts w:asciiTheme="minorEastAsia" w:hAnsiTheme="minorEastAsia" w:cs="Arial" w:hint="eastAsia"/>
          <w:sz w:val="24"/>
          <w:szCs w:val="24"/>
        </w:rPr>
        <w:t>，假设赎回申请当日</w:t>
      </w:r>
      <w:r>
        <w:rPr>
          <w:rFonts w:asciiTheme="minorEastAsia" w:hAnsiTheme="minorEastAsia" w:cs="Arial"/>
          <w:sz w:val="24"/>
          <w:szCs w:val="24"/>
        </w:rPr>
        <w:t>A</w:t>
      </w:r>
      <w:r>
        <w:rPr>
          <w:rFonts w:asciiTheme="minorEastAsia" w:hAnsiTheme="minorEastAsia" w:cs="Arial" w:hint="eastAsia"/>
          <w:sz w:val="24"/>
          <w:szCs w:val="24"/>
        </w:rPr>
        <w:t>类基金份额净值是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元，则可得到的赎回金额为：</w:t>
      </w:r>
    </w:p>
    <w:p w14:paraId="22A46AA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赎回总额</w:t>
      </w:r>
      <w:r>
        <w:rPr>
          <w:rFonts w:asciiTheme="minorEastAsia" w:hAnsiTheme="minorEastAsia" w:cs="Arial"/>
          <w:sz w:val="24"/>
          <w:szCs w:val="24"/>
        </w:rPr>
        <w:t xml:space="preserve"> = 10,000 </w:t>
      </w:r>
      <w:r>
        <w:rPr>
          <w:rFonts w:asciiTheme="minorEastAsia" w:hAnsiTheme="minorEastAsia" w:cs="Arial" w:hint="eastAsia"/>
          <w:sz w:val="24"/>
          <w:szCs w:val="24"/>
        </w:rPr>
        <w:t>×</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10,680.00 </w:t>
      </w:r>
      <w:r>
        <w:rPr>
          <w:rFonts w:asciiTheme="minorEastAsia" w:hAnsiTheme="minorEastAsia" w:cs="Arial" w:hint="eastAsia"/>
          <w:sz w:val="24"/>
          <w:szCs w:val="24"/>
        </w:rPr>
        <w:t>元</w:t>
      </w:r>
    </w:p>
    <w:p w14:paraId="189D0015"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sz w:val="24"/>
          <w:szCs w:val="24"/>
        </w:rPr>
        <w:t xml:space="preserve"> = 10,680.00 </w:t>
      </w:r>
      <w:r>
        <w:rPr>
          <w:rFonts w:asciiTheme="minorEastAsia" w:hAnsiTheme="minorEastAsia" w:cs="Arial" w:hint="eastAsia"/>
          <w:sz w:val="24"/>
          <w:szCs w:val="24"/>
        </w:rPr>
        <w:t>×</w:t>
      </w:r>
      <w:r>
        <w:rPr>
          <w:rFonts w:asciiTheme="minorEastAsia" w:hAnsiTheme="minorEastAsia" w:cs="Arial"/>
          <w:sz w:val="24"/>
          <w:szCs w:val="24"/>
        </w:rPr>
        <w:t xml:space="preserve">0.5% = 53.40 </w:t>
      </w:r>
      <w:r>
        <w:rPr>
          <w:rFonts w:asciiTheme="minorEastAsia" w:hAnsiTheme="minorEastAsia" w:cs="Arial" w:hint="eastAsia"/>
          <w:sz w:val="24"/>
          <w:szCs w:val="24"/>
        </w:rPr>
        <w:t>元</w:t>
      </w:r>
    </w:p>
    <w:p w14:paraId="5A18F6ED"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sz w:val="24"/>
          <w:szCs w:val="24"/>
        </w:rPr>
        <w:t xml:space="preserve"> = 10,680.00 - 53.40 = 10,626.60 </w:t>
      </w:r>
      <w:r>
        <w:rPr>
          <w:rFonts w:asciiTheme="minorEastAsia" w:hAnsiTheme="minorEastAsia" w:cs="Arial" w:hint="eastAsia"/>
          <w:sz w:val="24"/>
          <w:szCs w:val="24"/>
        </w:rPr>
        <w:t>元</w:t>
      </w:r>
    </w:p>
    <w:p w14:paraId="0AC5BF03"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即：投资者赎回</w:t>
      </w:r>
      <w:r>
        <w:rPr>
          <w:rFonts w:asciiTheme="minorEastAsia" w:hAnsiTheme="minorEastAsia" w:cs="Arial"/>
          <w:sz w:val="24"/>
          <w:szCs w:val="24"/>
        </w:rPr>
        <w:t xml:space="preserve"> 10,000 </w:t>
      </w:r>
      <w:r>
        <w:rPr>
          <w:rFonts w:asciiTheme="minorEastAsia" w:hAnsiTheme="minorEastAsia" w:cs="Arial" w:hint="eastAsia"/>
          <w:sz w:val="24"/>
          <w:szCs w:val="24"/>
        </w:rPr>
        <w:t>份</w:t>
      </w:r>
      <w:r>
        <w:rPr>
          <w:rFonts w:asciiTheme="minorEastAsia" w:hAnsiTheme="minorEastAsia" w:cs="Arial"/>
          <w:sz w:val="24"/>
          <w:szCs w:val="24"/>
        </w:rPr>
        <w:t>A</w:t>
      </w:r>
      <w:r>
        <w:rPr>
          <w:rFonts w:asciiTheme="minorEastAsia" w:hAnsiTheme="minorEastAsia" w:cs="Arial" w:hint="eastAsia"/>
          <w:sz w:val="24"/>
          <w:szCs w:val="24"/>
        </w:rPr>
        <w:t>类基金份额且持有时间为</w:t>
      </w:r>
      <w:r>
        <w:rPr>
          <w:rFonts w:asciiTheme="minorEastAsia" w:hAnsiTheme="minorEastAsia" w:cs="Arial" w:hint="eastAsia"/>
          <w:sz w:val="24"/>
          <w:szCs w:val="24"/>
        </w:rPr>
        <w:t>3</w:t>
      </w:r>
      <w:r>
        <w:rPr>
          <w:rFonts w:asciiTheme="minorEastAsia" w:hAnsiTheme="minorEastAsia" w:cs="Arial" w:hint="eastAsia"/>
          <w:sz w:val="24"/>
          <w:szCs w:val="24"/>
        </w:rPr>
        <w:t>个月，假设赎回申请当日</w:t>
      </w:r>
      <w:r>
        <w:rPr>
          <w:rFonts w:asciiTheme="minorEastAsia" w:hAnsiTheme="minorEastAsia" w:cs="Arial"/>
          <w:sz w:val="24"/>
          <w:szCs w:val="24"/>
        </w:rPr>
        <w:t>A</w:t>
      </w:r>
      <w:r>
        <w:rPr>
          <w:rFonts w:asciiTheme="minorEastAsia" w:hAnsiTheme="minorEastAsia" w:cs="Arial" w:hint="eastAsia"/>
          <w:sz w:val="24"/>
          <w:szCs w:val="24"/>
        </w:rPr>
        <w:t>类基金份额的基金份额净值是</w:t>
      </w:r>
      <w:r>
        <w:rPr>
          <w:rFonts w:asciiTheme="minorEastAsia" w:hAnsiTheme="minorEastAsia" w:cs="Arial"/>
          <w:sz w:val="24"/>
          <w:szCs w:val="24"/>
        </w:rPr>
        <w:t>1.068</w:t>
      </w:r>
      <w:r>
        <w:rPr>
          <w:rFonts w:asciiTheme="minorEastAsia" w:hAnsiTheme="minorEastAsia" w:cs="Arial" w:hint="eastAsia"/>
          <w:sz w:val="24"/>
          <w:szCs w:val="24"/>
        </w:rPr>
        <w:t>0</w:t>
      </w:r>
      <w:r>
        <w:rPr>
          <w:rFonts w:asciiTheme="minorEastAsia" w:hAnsiTheme="minorEastAsia" w:cs="Arial"/>
          <w:sz w:val="24"/>
          <w:szCs w:val="24"/>
        </w:rPr>
        <w:t xml:space="preserve"> </w:t>
      </w:r>
      <w:r>
        <w:rPr>
          <w:rFonts w:asciiTheme="minorEastAsia" w:hAnsiTheme="minorEastAsia" w:cs="Arial" w:hint="eastAsia"/>
          <w:sz w:val="24"/>
          <w:szCs w:val="24"/>
        </w:rPr>
        <w:t>元，则其可得到的赎回金额为</w:t>
      </w:r>
      <w:r>
        <w:rPr>
          <w:rFonts w:asciiTheme="minorEastAsia" w:hAnsiTheme="minorEastAsia" w:cs="Arial"/>
          <w:sz w:val="24"/>
          <w:szCs w:val="24"/>
        </w:rPr>
        <w:t xml:space="preserve">10,626.60 </w:t>
      </w:r>
      <w:r>
        <w:rPr>
          <w:rFonts w:asciiTheme="minorEastAsia" w:hAnsiTheme="minorEastAsia" w:cs="Arial" w:hint="eastAsia"/>
          <w:sz w:val="24"/>
          <w:szCs w:val="24"/>
        </w:rPr>
        <w:t>元。</w:t>
      </w:r>
    </w:p>
    <w:p w14:paraId="5F3D928E"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例</w:t>
      </w:r>
      <w:r>
        <w:rPr>
          <w:rFonts w:asciiTheme="minorEastAsia" w:hAnsiTheme="minorEastAsia" w:cs="Arial" w:hint="eastAsia"/>
          <w:sz w:val="24"/>
          <w:szCs w:val="24"/>
        </w:rPr>
        <w:t>2</w:t>
      </w:r>
      <w:r>
        <w:rPr>
          <w:rFonts w:asciiTheme="minorEastAsia" w:hAnsiTheme="minorEastAsia" w:cs="Arial" w:hint="eastAsia"/>
          <w:sz w:val="24"/>
          <w:szCs w:val="24"/>
        </w:rPr>
        <w:t>：某投资人赎回本基金</w:t>
      </w:r>
      <w:r>
        <w:rPr>
          <w:rFonts w:asciiTheme="minorEastAsia" w:hAnsiTheme="minorEastAsia" w:cs="Arial" w:hint="eastAsia"/>
          <w:sz w:val="24"/>
          <w:szCs w:val="24"/>
        </w:rPr>
        <w:t>10,000</w:t>
      </w:r>
      <w:r>
        <w:rPr>
          <w:rFonts w:asciiTheme="minorEastAsia" w:hAnsiTheme="minorEastAsia" w:cs="Arial" w:hint="eastAsia"/>
          <w:sz w:val="24"/>
          <w:szCs w:val="24"/>
        </w:rPr>
        <w:t>份</w:t>
      </w:r>
      <w:r>
        <w:rPr>
          <w:rFonts w:asciiTheme="minorEastAsia" w:hAnsiTheme="minorEastAsia" w:cs="Arial" w:hint="eastAsia"/>
          <w:sz w:val="24"/>
          <w:szCs w:val="24"/>
        </w:rPr>
        <w:t>C</w:t>
      </w:r>
      <w:r>
        <w:rPr>
          <w:rFonts w:asciiTheme="minorEastAsia" w:hAnsiTheme="minorEastAsia" w:cs="Arial" w:hint="eastAsia"/>
          <w:sz w:val="24"/>
          <w:szCs w:val="24"/>
        </w:rPr>
        <w:t>类基金份额，持有时间为</w:t>
      </w:r>
      <w:r>
        <w:rPr>
          <w:rFonts w:asciiTheme="minorEastAsia" w:hAnsiTheme="minorEastAsia" w:cs="Arial" w:hint="eastAsia"/>
          <w:sz w:val="24"/>
          <w:szCs w:val="24"/>
        </w:rPr>
        <w:t>20</w:t>
      </w:r>
      <w:r>
        <w:rPr>
          <w:rFonts w:asciiTheme="minorEastAsia" w:hAnsiTheme="minorEastAsia" w:cs="Arial" w:hint="eastAsia"/>
          <w:sz w:val="24"/>
          <w:szCs w:val="24"/>
        </w:rPr>
        <w:t>日，对应的赎回费率为</w:t>
      </w:r>
      <w:r>
        <w:rPr>
          <w:rFonts w:asciiTheme="minorEastAsia" w:hAnsiTheme="minorEastAsia" w:cs="Arial" w:hint="eastAsia"/>
          <w:sz w:val="24"/>
          <w:szCs w:val="24"/>
        </w:rPr>
        <w:t>0.5%</w:t>
      </w:r>
      <w:r>
        <w:rPr>
          <w:rFonts w:asciiTheme="minorEastAsia" w:hAnsiTheme="minorEastAsia" w:cs="Arial" w:hint="eastAsia"/>
          <w:sz w:val="24"/>
          <w:szCs w:val="24"/>
        </w:rPr>
        <w:t>，假设赎回当日</w:t>
      </w:r>
      <w:r>
        <w:rPr>
          <w:rFonts w:asciiTheme="minorEastAsia" w:hAnsiTheme="minorEastAsia" w:cs="Arial" w:hint="eastAsia"/>
          <w:sz w:val="24"/>
          <w:szCs w:val="24"/>
        </w:rPr>
        <w:t>C</w:t>
      </w:r>
      <w:r>
        <w:rPr>
          <w:rFonts w:asciiTheme="minorEastAsia" w:hAnsiTheme="minorEastAsia" w:cs="Arial" w:hint="eastAsia"/>
          <w:sz w:val="24"/>
          <w:szCs w:val="24"/>
        </w:rPr>
        <w:t>类基金份额净值是</w:t>
      </w:r>
      <w:r>
        <w:rPr>
          <w:rFonts w:asciiTheme="minorEastAsia" w:hAnsiTheme="minorEastAsia" w:cs="Arial" w:hint="eastAsia"/>
          <w:sz w:val="24"/>
          <w:szCs w:val="24"/>
        </w:rPr>
        <w:t>1.0680</w:t>
      </w:r>
      <w:r>
        <w:rPr>
          <w:rFonts w:asciiTheme="minorEastAsia" w:hAnsiTheme="minorEastAsia" w:cs="Arial" w:hint="eastAsia"/>
          <w:sz w:val="24"/>
          <w:szCs w:val="24"/>
        </w:rPr>
        <w:t>元，则其可得到的赎回金额为：</w:t>
      </w:r>
    </w:p>
    <w:p w14:paraId="582C41D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赎回金额</w:t>
      </w:r>
      <w:r>
        <w:rPr>
          <w:rFonts w:asciiTheme="minorEastAsia" w:hAnsiTheme="minorEastAsia" w:cs="Arial" w:hint="eastAsia"/>
          <w:sz w:val="24"/>
          <w:szCs w:val="24"/>
        </w:rPr>
        <w:t>=10,000</w:t>
      </w:r>
      <w:r>
        <w:rPr>
          <w:rFonts w:asciiTheme="minorEastAsia" w:hAnsiTheme="minorEastAsia" w:cs="Arial" w:hint="eastAsia"/>
          <w:sz w:val="24"/>
          <w:szCs w:val="24"/>
        </w:rPr>
        <w:t>×</w:t>
      </w:r>
      <w:r>
        <w:rPr>
          <w:rFonts w:asciiTheme="minorEastAsia" w:hAnsiTheme="minorEastAsia" w:cs="Arial" w:hint="eastAsia"/>
          <w:sz w:val="24"/>
          <w:szCs w:val="24"/>
        </w:rPr>
        <w:t>1.0680=10,680</w:t>
      </w:r>
      <w:r>
        <w:rPr>
          <w:rFonts w:asciiTheme="minorEastAsia" w:hAnsiTheme="minorEastAsia" w:cs="Arial" w:hint="eastAsia"/>
          <w:sz w:val="24"/>
          <w:szCs w:val="24"/>
        </w:rPr>
        <w:t>元</w:t>
      </w:r>
    </w:p>
    <w:p w14:paraId="34E63F9A"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赎回费用</w:t>
      </w:r>
      <w:r>
        <w:rPr>
          <w:rFonts w:asciiTheme="minorEastAsia" w:hAnsiTheme="minorEastAsia" w:cs="Arial" w:hint="eastAsia"/>
          <w:sz w:val="24"/>
          <w:szCs w:val="24"/>
        </w:rPr>
        <w:t>=10,680</w:t>
      </w:r>
      <w:r>
        <w:rPr>
          <w:rFonts w:asciiTheme="minorEastAsia" w:hAnsiTheme="minorEastAsia" w:cs="Arial" w:hint="eastAsia"/>
          <w:sz w:val="24"/>
          <w:szCs w:val="24"/>
        </w:rPr>
        <w:t>×</w:t>
      </w:r>
      <w:r>
        <w:rPr>
          <w:rFonts w:asciiTheme="minorEastAsia" w:hAnsiTheme="minorEastAsia" w:cs="Arial" w:hint="eastAsia"/>
          <w:sz w:val="24"/>
          <w:szCs w:val="24"/>
        </w:rPr>
        <w:t>0.5%=53.40</w:t>
      </w:r>
      <w:r>
        <w:rPr>
          <w:rFonts w:asciiTheme="minorEastAsia" w:hAnsiTheme="minorEastAsia" w:cs="Arial" w:hint="eastAsia"/>
          <w:sz w:val="24"/>
          <w:szCs w:val="24"/>
        </w:rPr>
        <w:t>元</w:t>
      </w:r>
    </w:p>
    <w:p w14:paraId="0022CBC5"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净赎回金额</w:t>
      </w:r>
      <w:r>
        <w:rPr>
          <w:rFonts w:asciiTheme="minorEastAsia" w:hAnsiTheme="minorEastAsia" w:cs="Arial" w:hint="eastAsia"/>
          <w:sz w:val="24"/>
          <w:szCs w:val="24"/>
        </w:rPr>
        <w:t>=10,680-53.40=10,626.60</w:t>
      </w:r>
      <w:r>
        <w:rPr>
          <w:rFonts w:asciiTheme="minorEastAsia" w:hAnsiTheme="minorEastAsia" w:cs="Arial" w:hint="eastAsia"/>
          <w:sz w:val="24"/>
          <w:szCs w:val="24"/>
        </w:rPr>
        <w:t>元</w:t>
      </w:r>
    </w:p>
    <w:p w14:paraId="51EFE95B"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即：投资人赎回本基金</w:t>
      </w:r>
      <w:r>
        <w:rPr>
          <w:rFonts w:asciiTheme="minorEastAsia" w:hAnsiTheme="minorEastAsia" w:cs="Arial" w:hint="eastAsia"/>
          <w:sz w:val="24"/>
          <w:szCs w:val="24"/>
        </w:rPr>
        <w:t>10,000</w:t>
      </w:r>
      <w:r>
        <w:rPr>
          <w:rFonts w:asciiTheme="minorEastAsia" w:hAnsiTheme="minorEastAsia" w:cs="Arial" w:hint="eastAsia"/>
          <w:sz w:val="24"/>
          <w:szCs w:val="24"/>
        </w:rPr>
        <w:t>份</w:t>
      </w:r>
      <w:r>
        <w:rPr>
          <w:rFonts w:asciiTheme="minorEastAsia" w:hAnsiTheme="minorEastAsia" w:cs="Arial" w:hint="eastAsia"/>
          <w:sz w:val="24"/>
          <w:szCs w:val="24"/>
        </w:rPr>
        <w:t>C</w:t>
      </w:r>
      <w:r>
        <w:rPr>
          <w:rFonts w:asciiTheme="minorEastAsia" w:hAnsiTheme="minorEastAsia" w:cs="Arial" w:hint="eastAsia"/>
          <w:sz w:val="24"/>
          <w:szCs w:val="24"/>
        </w:rPr>
        <w:t>类基金份额，持有期限为</w:t>
      </w:r>
      <w:r>
        <w:rPr>
          <w:rFonts w:asciiTheme="minorEastAsia" w:hAnsiTheme="minorEastAsia" w:cs="Arial" w:hint="eastAsia"/>
          <w:sz w:val="24"/>
          <w:szCs w:val="24"/>
        </w:rPr>
        <w:t>20</w:t>
      </w:r>
      <w:r>
        <w:rPr>
          <w:rFonts w:asciiTheme="minorEastAsia" w:hAnsiTheme="minorEastAsia" w:cs="Arial" w:hint="eastAsia"/>
          <w:sz w:val="24"/>
          <w:szCs w:val="24"/>
        </w:rPr>
        <w:t>日，假设赎回当日本基金</w:t>
      </w:r>
      <w:r>
        <w:rPr>
          <w:rFonts w:asciiTheme="minorEastAsia" w:hAnsiTheme="minorEastAsia" w:cs="Arial" w:hint="eastAsia"/>
          <w:sz w:val="24"/>
          <w:szCs w:val="24"/>
        </w:rPr>
        <w:t>C</w:t>
      </w:r>
      <w:r>
        <w:rPr>
          <w:rFonts w:asciiTheme="minorEastAsia" w:hAnsiTheme="minorEastAsia" w:cs="Arial" w:hint="eastAsia"/>
          <w:sz w:val="24"/>
          <w:szCs w:val="24"/>
        </w:rPr>
        <w:t>类基金份额净值是</w:t>
      </w:r>
      <w:r>
        <w:rPr>
          <w:rFonts w:asciiTheme="minorEastAsia" w:hAnsiTheme="minorEastAsia" w:cs="Arial" w:hint="eastAsia"/>
          <w:sz w:val="24"/>
          <w:szCs w:val="24"/>
        </w:rPr>
        <w:t>1.0680</w:t>
      </w:r>
      <w:r>
        <w:rPr>
          <w:rFonts w:asciiTheme="minorEastAsia" w:hAnsiTheme="minorEastAsia" w:cs="Arial" w:hint="eastAsia"/>
          <w:sz w:val="24"/>
          <w:szCs w:val="24"/>
        </w:rPr>
        <w:t>元，则其可得到的净赎回金额为</w:t>
      </w:r>
      <w:r>
        <w:rPr>
          <w:rFonts w:asciiTheme="minorEastAsia" w:hAnsiTheme="minorEastAsia" w:cs="Arial" w:hint="eastAsia"/>
          <w:sz w:val="24"/>
          <w:szCs w:val="24"/>
        </w:rPr>
        <w:t>10,626.60</w:t>
      </w:r>
      <w:r>
        <w:rPr>
          <w:rFonts w:asciiTheme="minorEastAsia" w:hAnsiTheme="minorEastAsia" w:cs="Arial" w:hint="eastAsia"/>
          <w:sz w:val="24"/>
          <w:szCs w:val="24"/>
        </w:rPr>
        <w:t>元。</w:t>
      </w:r>
    </w:p>
    <w:p w14:paraId="7BD82904"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Arial" w:hint="eastAsia"/>
          <w:sz w:val="24"/>
          <w:szCs w:val="24"/>
        </w:rPr>
        <w:t>4</w:t>
      </w:r>
      <w:r>
        <w:rPr>
          <w:rFonts w:asciiTheme="minorEastAsia" w:hAnsiTheme="minorEastAsia" w:cs="Arial" w:hint="eastAsia"/>
          <w:sz w:val="24"/>
          <w:szCs w:val="24"/>
        </w:rPr>
        <w:t>、</w:t>
      </w:r>
      <w:r>
        <w:rPr>
          <w:rFonts w:asciiTheme="minorEastAsia" w:hAnsiTheme="minorEastAsia" w:cs="Arial" w:hint="eastAsia"/>
          <w:bCs/>
          <w:sz w:val="24"/>
          <w:szCs w:val="24"/>
        </w:rPr>
        <w:t>本基金</w:t>
      </w:r>
      <w:r>
        <w:rPr>
          <w:rFonts w:asciiTheme="minorEastAsia" w:hAnsiTheme="minorEastAsia" w:cs="Arial"/>
          <w:bCs/>
          <w:sz w:val="24"/>
          <w:szCs w:val="24"/>
        </w:rPr>
        <w:t>A</w:t>
      </w:r>
      <w:r>
        <w:rPr>
          <w:rFonts w:asciiTheme="minorEastAsia" w:hAnsiTheme="minorEastAsia" w:cs="Arial" w:hint="eastAsia"/>
          <w:bCs/>
          <w:sz w:val="24"/>
          <w:szCs w:val="24"/>
        </w:rPr>
        <w:t>类基金份额和</w:t>
      </w:r>
      <w:r>
        <w:rPr>
          <w:rFonts w:asciiTheme="minorEastAsia" w:hAnsiTheme="minorEastAsia" w:cs="Arial"/>
          <w:bCs/>
          <w:sz w:val="24"/>
          <w:szCs w:val="24"/>
        </w:rPr>
        <w:t>C</w:t>
      </w:r>
      <w:r>
        <w:rPr>
          <w:rFonts w:asciiTheme="minorEastAsia" w:hAnsiTheme="minorEastAsia" w:cs="Arial" w:hint="eastAsia"/>
          <w:bCs/>
          <w:sz w:val="24"/>
          <w:szCs w:val="24"/>
        </w:rPr>
        <w:t>类基金份额分别设置代码，分别计算和公告两类基金份额净值和两类基金份额累计净值。</w:t>
      </w:r>
      <w:r>
        <w:rPr>
          <w:rFonts w:asciiTheme="minorEastAsia" w:hAnsiTheme="minorEastAsia" w:cs="Times New Roman" w:hint="eastAsia"/>
          <w:sz w:val="24"/>
          <w:szCs w:val="24"/>
        </w:rPr>
        <w:t>本基金两类基金份额净值的计算，保留到小数点后</w:t>
      </w:r>
      <w:r>
        <w:rPr>
          <w:rFonts w:asciiTheme="minorEastAsia" w:hAnsiTheme="minorEastAsia" w:cs="Times New Roman" w:hint="eastAsia"/>
          <w:sz w:val="24"/>
          <w:szCs w:val="24"/>
        </w:rPr>
        <w:t>4</w:t>
      </w:r>
      <w:r>
        <w:rPr>
          <w:rFonts w:asciiTheme="minorEastAsia" w:hAnsiTheme="minorEastAsia" w:cs="Times New Roman" w:hint="eastAsia"/>
          <w:sz w:val="24"/>
          <w:szCs w:val="24"/>
        </w:rPr>
        <w:t>位，小数点后第</w:t>
      </w:r>
      <w:r>
        <w:rPr>
          <w:rFonts w:asciiTheme="minorEastAsia" w:hAnsiTheme="minorEastAsia" w:cs="Times New Roman" w:hint="eastAsia"/>
          <w:sz w:val="24"/>
          <w:szCs w:val="24"/>
        </w:rPr>
        <w:t>5</w:t>
      </w:r>
      <w:r>
        <w:rPr>
          <w:rFonts w:asciiTheme="minorEastAsia" w:hAnsiTheme="minorEastAsia" w:cs="Times New Roman" w:hint="eastAsia"/>
          <w:sz w:val="24"/>
          <w:szCs w:val="24"/>
        </w:rPr>
        <w:t>位四舍五入，由此产生的收益或损失由基金财产承担。</w:t>
      </w:r>
      <w:r>
        <w:rPr>
          <w:rFonts w:asciiTheme="minorEastAsia" w:hAnsiTheme="minorEastAsia" w:cs="Times New Roman"/>
          <w:sz w:val="24"/>
          <w:szCs w:val="24"/>
        </w:rPr>
        <w:t>T</w:t>
      </w:r>
      <w:r>
        <w:rPr>
          <w:rFonts w:asciiTheme="minorEastAsia" w:hAnsiTheme="minorEastAsia" w:cs="Times New Roman" w:hint="eastAsia"/>
          <w:sz w:val="24"/>
          <w:szCs w:val="24"/>
        </w:rPr>
        <w:t>日的基金份额净值在当天收市后计算，并在</w:t>
      </w:r>
      <w:r>
        <w:rPr>
          <w:rFonts w:asciiTheme="minorEastAsia" w:hAnsiTheme="minorEastAsia" w:cs="Times New Roman"/>
          <w:sz w:val="24"/>
          <w:szCs w:val="24"/>
        </w:rPr>
        <w:t>T+1</w:t>
      </w:r>
      <w:r>
        <w:rPr>
          <w:rFonts w:asciiTheme="minorEastAsia" w:hAnsiTheme="minorEastAsia" w:cs="Times New Roman" w:hint="eastAsia"/>
          <w:sz w:val="24"/>
          <w:szCs w:val="24"/>
        </w:rPr>
        <w:t>日内公告。遇特殊情况，经中国证监会同意，可以适当延迟计算或公告。</w:t>
      </w:r>
    </w:p>
    <w:p w14:paraId="2EAA6854" w14:textId="77777777" w:rsidR="007B7C2A" w:rsidRDefault="00072812">
      <w:pPr>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t>八、申购与赎回的登记业务</w:t>
      </w:r>
    </w:p>
    <w:p w14:paraId="5A712B5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、投资人</w:t>
      </w:r>
      <w:r>
        <w:rPr>
          <w:rFonts w:asciiTheme="minorEastAsia" w:hAnsiTheme="minorEastAsia" w:cs="Times New Roman" w:hint="eastAsia"/>
          <w:sz w:val="24"/>
          <w:szCs w:val="24"/>
        </w:rPr>
        <w:t>申购基金成功后，在正常情况下，基金登记机构在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日为投资者登记权益并办理登记手续，投资者自</w:t>
      </w:r>
      <w:r>
        <w:rPr>
          <w:rFonts w:asciiTheme="minorEastAsia" w:hAnsiTheme="minorEastAsia" w:cs="Arial"/>
          <w:sz w:val="24"/>
          <w:szCs w:val="24"/>
        </w:rPr>
        <w:t>T+2</w:t>
      </w:r>
      <w:r>
        <w:rPr>
          <w:rFonts w:asciiTheme="minorEastAsia" w:hAnsiTheme="minorEastAsia" w:cs="Times New Roman" w:hint="eastAsia"/>
          <w:sz w:val="24"/>
          <w:szCs w:val="24"/>
        </w:rPr>
        <w:t>日（含该日）后有权赎回该部分基金份额。</w:t>
      </w:r>
    </w:p>
    <w:p w14:paraId="4297A33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、投资人</w:t>
      </w:r>
      <w:r>
        <w:rPr>
          <w:rFonts w:asciiTheme="minorEastAsia" w:hAnsiTheme="minorEastAsia" w:cs="Times New Roman" w:hint="eastAsia"/>
          <w:sz w:val="24"/>
          <w:szCs w:val="24"/>
        </w:rPr>
        <w:t>赎回基金成功后，在正常情况下，基金登记机构在</w:t>
      </w:r>
      <w:r>
        <w:rPr>
          <w:rFonts w:asciiTheme="minorEastAsia" w:hAnsiTheme="minorEastAsia" w:cs="Arial"/>
          <w:sz w:val="24"/>
          <w:szCs w:val="24"/>
        </w:rPr>
        <w:t>T+1</w:t>
      </w:r>
      <w:r>
        <w:rPr>
          <w:rFonts w:asciiTheme="minorEastAsia" w:hAnsiTheme="minorEastAsia" w:cs="Times New Roman" w:hint="eastAsia"/>
          <w:sz w:val="24"/>
          <w:szCs w:val="24"/>
        </w:rPr>
        <w:t>日为投资者办理扣除权益的登记手续。</w:t>
      </w:r>
    </w:p>
    <w:p w14:paraId="4E5E025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Times New Roman"/>
          <w:sz w:val="24"/>
          <w:szCs w:val="24"/>
        </w:rPr>
        <w:t>3</w:t>
      </w:r>
      <w:r>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Pr>
          <w:rFonts w:asciiTheme="minorEastAsia" w:hAnsiTheme="minorEastAsia" w:cs="Arial" w:hint="eastAsia"/>
          <w:sz w:val="24"/>
          <w:szCs w:val="24"/>
        </w:rPr>
        <w:t>依照《信息披露办法》的有关规定</w:t>
      </w:r>
      <w:r>
        <w:rPr>
          <w:rFonts w:asciiTheme="minorEastAsia" w:hAnsiTheme="minorEastAsia" w:cs="Times New Roman" w:hint="eastAsia"/>
          <w:sz w:val="24"/>
          <w:szCs w:val="24"/>
        </w:rPr>
        <w:t>在指定媒介公告。</w:t>
      </w:r>
    </w:p>
    <w:p w14:paraId="078CEA1A" w14:textId="77777777" w:rsidR="007B7C2A" w:rsidRDefault="00072812">
      <w:pPr>
        <w:tabs>
          <w:tab w:val="left" w:pos="1110"/>
        </w:tabs>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九、拒绝或暂停申购的情形及处理</w:t>
      </w:r>
    </w:p>
    <w:p w14:paraId="43FD8BC9" w14:textId="77777777" w:rsidR="007B7C2A" w:rsidRDefault="00072812">
      <w:pPr>
        <w:tabs>
          <w:tab w:val="left" w:pos="1110"/>
        </w:tabs>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发生下列情况时，基金管理人可拒绝或暂停接受投资人的申购申请：</w:t>
      </w:r>
    </w:p>
    <w:p w14:paraId="70E87B87"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1</w:t>
      </w:r>
      <w:r>
        <w:rPr>
          <w:rFonts w:asciiTheme="minorEastAsia" w:hAnsiTheme="minorEastAsia" w:cs="Arial" w:hint="eastAsia"/>
          <w:sz w:val="24"/>
          <w:szCs w:val="24"/>
        </w:rPr>
        <w:t>、因不可抗力导致基金无法正常运作。</w:t>
      </w:r>
    </w:p>
    <w:p w14:paraId="21D7DE42"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2</w:t>
      </w:r>
      <w:r>
        <w:rPr>
          <w:rFonts w:asciiTheme="minorEastAsia" w:hAnsiTheme="minorEastAsia" w:cs="Arial" w:hint="eastAsia"/>
          <w:sz w:val="24"/>
          <w:szCs w:val="24"/>
        </w:rPr>
        <w:t>、发生基金合同规定的暂停基金资产估值情况时，基金管理人可暂停接受投资人的申购申请。</w:t>
      </w:r>
    </w:p>
    <w:p w14:paraId="71765953"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3</w:t>
      </w:r>
      <w:r>
        <w:rPr>
          <w:rFonts w:asciiTheme="minorEastAsia" w:hAnsiTheme="minorEastAsia" w:cs="Arial" w:hint="eastAsia"/>
          <w:sz w:val="24"/>
          <w:szCs w:val="24"/>
        </w:rPr>
        <w:t>、证券、期货交易所交易时间非正常停市，导致基金管理人无法计算当日基金资产净值。</w:t>
      </w:r>
    </w:p>
    <w:p w14:paraId="644DACB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4</w:t>
      </w:r>
      <w:r>
        <w:rPr>
          <w:rFonts w:asciiTheme="minorEastAsia" w:hAnsiTheme="minorEastAsia" w:cs="Arial" w:hint="eastAsia"/>
          <w:sz w:val="24"/>
          <w:szCs w:val="24"/>
        </w:rPr>
        <w:t>、基金管理人接受某笔或某些申购申请会损害现有基金份额持有人利益或对存量基金份额持有人利益构成潜在重大不利影响时。</w:t>
      </w:r>
    </w:p>
    <w:p w14:paraId="12E7506E"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sz w:val="24"/>
          <w:szCs w:val="24"/>
        </w:rPr>
        <w:t>5</w:t>
      </w:r>
      <w:r>
        <w:rPr>
          <w:rFonts w:asciiTheme="minorEastAsia" w:hAnsiTheme="minorEastAsia" w:cs="Arial" w:hint="eastAsia"/>
          <w:sz w:val="24"/>
          <w:szCs w:val="24"/>
        </w:rPr>
        <w:t>、基金资产规模过大，使基金管理人无法找到合适的投资品种，或其他可能对基金业绩产生负面影响，或发生其他损害现有基金份额持有人利益的情形。</w:t>
      </w:r>
    </w:p>
    <w:p w14:paraId="4F055A09" w14:textId="77777777" w:rsidR="007B7C2A" w:rsidRDefault="00072812">
      <w:pPr>
        <w:spacing w:line="360" w:lineRule="auto"/>
        <w:ind w:firstLineChars="200" w:firstLine="480"/>
        <w:rPr>
          <w:bCs/>
          <w:sz w:val="24"/>
          <w:szCs w:val="24"/>
        </w:rPr>
      </w:pPr>
      <w:r>
        <w:rPr>
          <w:rFonts w:asciiTheme="minorEastAsia" w:hAnsiTheme="minorEastAsia" w:cs="Arial"/>
          <w:sz w:val="24"/>
          <w:szCs w:val="24"/>
        </w:rPr>
        <w:t>6</w:t>
      </w:r>
      <w:r>
        <w:rPr>
          <w:rFonts w:asciiTheme="minorEastAsia" w:hAnsiTheme="minorEastAsia" w:cs="Arial" w:hint="eastAsia"/>
          <w:sz w:val="24"/>
          <w:szCs w:val="24"/>
        </w:rPr>
        <w:t>、基金管理人、基金托管人、销售机构或登记机构的技术故障等异常情况</w:t>
      </w:r>
    </w:p>
    <w:p w14:paraId="1B5BEF74" w14:textId="77777777" w:rsidR="007B7C2A" w:rsidRDefault="00072812">
      <w:pPr>
        <w:spacing w:line="360" w:lineRule="auto"/>
        <w:ind w:firstLineChars="200" w:firstLine="480"/>
        <w:rPr>
          <w:bCs/>
          <w:sz w:val="24"/>
          <w:szCs w:val="24"/>
        </w:rPr>
      </w:pPr>
      <w:r>
        <w:rPr>
          <w:rFonts w:hint="eastAsia"/>
          <w:bCs/>
          <w:sz w:val="24"/>
          <w:szCs w:val="24"/>
        </w:rPr>
        <w:t>7</w:t>
      </w:r>
      <w:r>
        <w:rPr>
          <w:rFonts w:hint="eastAsia"/>
          <w:bCs/>
          <w:sz w:val="24"/>
          <w:szCs w:val="24"/>
        </w:rPr>
        <w:t>、基金管理人接受某笔或者某些申购申请有可能导致单一投资者持有基金份额的比例达到或者超过</w:t>
      </w:r>
      <w:r>
        <w:rPr>
          <w:rFonts w:hint="eastAsia"/>
          <w:bCs/>
          <w:sz w:val="24"/>
          <w:szCs w:val="24"/>
        </w:rPr>
        <w:t>50%</w:t>
      </w:r>
      <w:r>
        <w:rPr>
          <w:rFonts w:hint="eastAsia"/>
          <w:bCs/>
          <w:sz w:val="24"/>
          <w:szCs w:val="24"/>
        </w:rPr>
        <w:t>，或者变相规避</w:t>
      </w:r>
      <w:r>
        <w:rPr>
          <w:rFonts w:hint="eastAsia"/>
          <w:bCs/>
          <w:sz w:val="24"/>
          <w:szCs w:val="24"/>
        </w:rPr>
        <w:t>50%</w:t>
      </w:r>
      <w:r>
        <w:rPr>
          <w:rFonts w:hint="eastAsia"/>
          <w:bCs/>
          <w:sz w:val="24"/>
          <w:szCs w:val="24"/>
        </w:rPr>
        <w:t>集中度的情形时。</w:t>
      </w:r>
    </w:p>
    <w:p w14:paraId="30FDE2FF" w14:textId="77777777" w:rsidR="007B7C2A" w:rsidRDefault="00072812">
      <w:pPr>
        <w:spacing w:line="360" w:lineRule="auto"/>
        <w:ind w:firstLineChars="200" w:firstLine="480"/>
        <w:rPr>
          <w:bCs/>
          <w:sz w:val="24"/>
          <w:szCs w:val="24"/>
        </w:rPr>
      </w:pPr>
      <w:r>
        <w:rPr>
          <w:rFonts w:hint="eastAsia"/>
          <w:bCs/>
          <w:sz w:val="24"/>
          <w:szCs w:val="24"/>
        </w:rPr>
        <w:t>8</w:t>
      </w:r>
      <w:r>
        <w:rPr>
          <w:rFonts w:hint="eastAsia"/>
          <w:bCs/>
          <w:sz w:val="24"/>
          <w:szCs w:val="24"/>
        </w:rPr>
        <w:t>、当前一估值日基金资产净值</w:t>
      </w:r>
      <w:r>
        <w:rPr>
          <w:rFonts w:hint="eastAsia"/>
          <w:bCs/>
          <w:sz w:val="24"/>
          <w:szCs w:val="24"/>
        </w:rPr>
        <w:t>50%</w:t>
      </w:r>
      <w:r>
        <w:rPr>
          <w:rFonts w:hint="eastAsia"/>
          <w:bCs/>
          <w:sz w:val="24"/>
          <w:szCs w:val="24"/>
        </w:rPr>
        <w:t>以上的资产出现无可参考的活跃市场价格且采用估值技术</w:t>
      </w:r>
      <w:proofErr w:type="gramStart"/>
      <w:r>
        <w:rPr>
          <w:rFonts w:hint="eastAsia"/>
          <w:bCs/>
          <w:sz w:val="24"/>
          <w:szCs w:val="24"/>
        </w:rPr>
        <w:t>仍导致</w:t>
      </w:r>
      <w:proofErr w:type="gramEnd"/>
      <w:r>
        <w:rPr>
          <w:rFonts w:hint="eastAsia"/>
          <w:bCs/>
          <w:sz w:val="24"/>
          <w:szCs w:val="24"/>
        </w:rPr>
        <w:t>公允价值存在重大不确定性时，经与基金托管人协商确认后，基金管理人应当采取延缓支付赎回款项或暂停接受基金申购赎回申请的措施。</w:t>
      </w:r>
    </w:p>
    <w:p w14:paraId="16FA30C6" w14:textId="77777777" w:rsidR="007B7C2A" w:rsidRDefault="00072812">
      <w:pPr>
        <w:spacing w:line="360" w:lineRule="auto"/>
        <w:ind w:firstLineChars="200" w:firstLine="480"/>
        <w:rPr>
          <w:bCs/>
          <w:sz w:val="24"/>
          <w:szCs w:val="24"/>
        </w:rPr>
      </w:pPr>
      <w:r>
        <w:rPr>
          <w:rFonts w:hint="eastAsia"/>
          <w:bCs/>
          <w:sz w:val="24"/>
          <w:szCs w:val="24"/>
        </w:rPr>
        <w:t>9</w:t>
      </w:r>
      <w:r>
        <w:rPr>
          <w:rFonts w:hint="eastAsia"/>
          <w:bCs/>
          <w:sz w:val="24"/>
          <w:szCs w:val="24"/>
        </w:rPr>
        <w:t>、</w:t>
      </w:r>
      <w:r>
        <w:rPr>
          <w:bCs/>
          <w:sz w:val="24"/>
          <w:szCs w:val="24"/>
        </w:rPr>
        <w:t>法律法规规定或中国证监会认定的其他情形。</w:t>
      </w:r>
    </w:p>
    <w:p w14:paraId="172DD122" w14:textId="77777777" w:rsidR="007B7C2A" w:rsidRDefault="00072812">
      <w:pPr>
        <w:spacing w:line="360" w:lineRule="auto"/>
        <w:ind w:firstLineChars="200" w:firstLine="480"/>
        <w:rPr>
          <w:bCs/>
          <w:sz w:val="24"/>
          <w:szCs w:val="24"/>
        </w:rPr>
      </w:pPr>
      <w:r>
        <w:rPr>
          <w:bCs/>
          <w:sz w:val="24"/>
          <w:szCs w:val="24"/>
        </w:rPr>
        <w:t>发生上述第</w:t>
      </w:r>
      <w:r>
        <w:rPr>
          <w:bCs/>
          <w:sz w:val="24"/>
          <w:szCs w:val="24"/>
        </w:rPr>
        <w:t>1</w:t>
      </w:r>
      <w:r>
        <w:rPr>
          <w:bCs/>
          <w:sz w:val="24"/>
          <w:szCs w:val="24"/>
        </w:rPr>
        <w:t>、</w:t>
      </w:r>
      <w:r>
        <w:rPr>
          <w:bCs/>
          <w:sz w:val="24"/>
          <w:szCs w:val="24"/>
        </w:rPr>
        <w:t>2</w:t>
      </w:r>
      <w:r>
        <w:rPr>
          <w:bCs/>
          <w:sz w:val="24"/>
          <w:szCs w:val="24"/>
        </w:rPr>
        <w:t>、</w:t>
      </w:r>
      <w:r>
        <w:rPr>
          <w:rFonts w:hint="eastAsia"/>
          <w:bCs/>
          <w:sz w:val="24"/>
          <w:szCs w:val="24"/>
        </w:rPr>
        <w:t>3</w:t>
      </w:r>
      <w:r>
        <w:rPr>
          <w:bCs/>
          <w:sz w:val="24"/>
          <w:szCs w:val="24"/>
        </w:rPr>
        <w:t>、</w:t>
      </w:r>
      <w:r>
        <w:rPr>
          <w:bCs/>
          <w:sz w:val="24"/>
          <w:szCs w:val="24"/>
        </w:rPr>
        <w:t>5</w:t>
      </w:r>
      <w:r>
        <w:rPr>
          <w:rFonts w:hint="eastAsia"/>
          <w:bCs/>
          <w:sz w:val="24"/>
          <w:szCs w:val="24"/>
        </w:rPr>
        <w:t>、</w:t>
      </w:r>
      <w:r>
        <w:rPr>
          <w:rFonts w:hint="eastAsia"/>
          <w:bCs/>
          <w:sz w:val="24"/>
          <w:szCs w:val="24"/>
        </w:rPr>
        <w:t>6</w:t>
      </w:r>
      <w:r>
        <w:rPr>
          <w:rFonts w:hint="eastAsia"/>
          <w:bCs/>
          <w:sz w:val="24"/>
          <w:szCs w:val="24"/>
        </w:rPr>
        <w:t>、</w:t>
      </w:r>
      <w:r>
        <w:rPr>
          <w:rFonts w:hint="eastAsia"/>
          <w:bCs/>
          <w:sz w:val="24"/>
          <w:szCs w:val="24"/>
        </w:rPr>
        <w:t>8</w:t>
      </w:r>
      <w:r>
        <w:rPr>
          <w:rFonts w:hint="eastAsia"/>
          <w:bCs/>
          <w:sz w:val="24"/>
          <w:szCs w:val="24"/>
        </w:rPr>
        <w:t>、</w:t>
      </w:r>
      <w:r>
        <w:rPr>
          <w:rFonts w:hint="eastAsia"/>
          <w:bCs/>
          <w:sz w:val="24"/>
          <w:szCs w:val="24"/>
        </w:rPr>
        <w:t>9</w:t>
      </w:r>
      <w:r>
        <w:rPr>
          <w:bCs/>
          <w:sz w:val="24"/>
          <w:szCs w:val="24"/>
        </w:rPr>
        <w:t>项暂停申购情形</w:t>
      </w:r>
      <w:r>
        <w:rPr>
          <w:rFonts w:hint="eastAsia"/>
          <w:bCs/>
          <w:sz w:val="24"/>
          <w:szCs w:val="24"/>
        </w:rPr>
        <w:t>之一</w:t>
      </w:r>
      <w:proofErr w:type="gramStart"/>
      <w:r>
        <w:rPr>
          <w:rFonts w:hint="eastAsia"/>
          <w:bCs/>
          <w:sz w:val="24"/>
          <w:szCs w:val="24"/>
        </w:rPr>
        <w:t>且基金</w:t>
      </w:r>
      <w:proofErr w:type="gramEnd"/>
      <w:r>
        <w:rPr>
          <w:rFonts w:hint="eastAsia"/>
          <w:bCs/>
          <w:sz w:val="24"/>
          <w:szCs w:val="24"/>
        </w:rPr>
        <w:t>管理人决定暂停接受投资人的申购申请</w:t>
      </w:r>
      <w:r>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53BCB77A" w14:textId="77777777" w:rsidR="007B7C2A" w:rsidRDefault="00072812">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十、暂停赎回或延缓支付赎回款项的情形及处理</w:t>
      </w:r>
    </w:p>
    <w:p w14:paraId="09D7B105"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发生下列情形时，基金管理人可暂停接受投资人的赎回申请或延缓支付赎回款项：</w:t>
      </w:r>
    </w:p>
    <w:p w14:paraId="32AEBD4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、因不可抗力导致基金管理人不能支付赎回款项。</w:t>
      </w:r>
    </w:p>
    <w:p w14:paraId="74A0D417"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、发生基金合同规定的暂停基金资产估值情况时，基金管理人可暂停接受投资人的赎回申请或延缓支付赎回款项。</w:t>
      </w:r>
    </w:p>
    <w:p w14:paraId="58F55B22"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、证券、期货交易所交易时间非正常停市，导致基金管理人无法计算当日基金资产净值。</w:t>
      </w:r>
    </w:p>
    <w:p w14:paraId="57B60D07"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w:t>
      </w:r>
      <w:r>
        <w:rPr>
          <w:rFonts w:asciiTheme="minorEastAsia" w:hAnsiTheme="minorEastAsia" w:cs="Arial" w:hint="eastAsia"/>
          <w:sz w:val="24"/>
          <w:szCs w:val="24"/>
        </w:rPr>
        <w:t>、连续两个或两个以上开放日发生巨额赎回。</w:t>
      </w:r>
    </w:p>
    <w:p w14:paraId="7E1EB20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w:t>
      </w:r>
      <w:r>
        <w:rPr>
          <w:rFonts w:asciiTheme="minorEastAsia" w:hAnsiTheme="minorEastAsia" w:cs="Arial" w:hint="eastAsia"/>
          <w:sz w:val="24"/>
          <w:szCs w:val="24"/>
        </w:rPr>
        <w:t>、继续接受赎回申请将损害现有基金份额持有人利益的情形时，基金管理人可暂停接受投资人的赎回申请。</w:t>
      </w:r>
    </w:p>
    <w:p w14:paraId="7AA1041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w:t>
      </w:r>
      <w:r>
        <w:rPr>
          <w:rFonts w:asciiTheme="minorEastAsia" w:hAnsiTheme="minorEastAsia" w:cs="Arial" w:hint="eastAsia"/>
          <w:sz w:val="24"/>
          <w:szCs w:val="24"/>
        </w:rPr>
        <w:t>、当前一估值日基金资产净值</w:t>
      </w:r>
      <w:r>
        <w:rPr>
          <w:rFonts w:asciiTheme="minorEastAsia" w:hAnsiTheme="minorEastAsia" w:cs="Arial" w:hint="eastAsia"/>
          <w:sz w:val="24"/>
          <w:szCs w:val="24"/>
        </w:rPr>
        <w:t>50%</w:t>
      </w:r>
      <w:r>
        <w:rPr>
          <w:rFonts w:asciiTheme="minorEastAsia" w:hAnsiTheme="minorEastAsia" w:cs="Arial" w:hint="eastAsia"/>
          <w:sz w:val="24"/>
          <w:szCs w:val="24"/>
        </w:rPr>
        <w:t>以上的资产出现无可参考的活跃市场价格且采用估值技术</w:t>
      </w:r>
      <w:proofErr w:type="gramStart"/>
      <w:r>
        <w:rPr>
          <w:rFonts w:asciiTheme="minorEastAsia" w:hAnsiTheme="minorEastAsia" w:cs="Arial" w:hint="eastAsia"/>
          <w:sz w:val="24"/>
          <w:szCs w:val="24"/>
        </w:rPr>
        <w:t>仍导致</w:t>
      </w:r>
      <w:proofErr w:type="gramEnd"/>
      <w:r>
        <w:rPr>
          <w:rFonts w:asciiTheme="minorEastAsia" w:hAnsiTheme="minorEastAsia" w:cs="Arial" w:hint="eastAsia"/>
          <w:sz w:val="24"/>
          <w:szCs w:val="24"/>
        </w:rPr>
        <w:t>公允价值存在重大不确定性时，经与基金托管人协商确认后，基金管理人暂停基金估值并采取延缓支付赎回款项或暂停接受基金赎回申请的措施。</w:t>
      </w:r>
    </w:p>
    <w:p w14:paraId="0E2609A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7</w:t>
      </w:r>
      <w:r>
        <w:rPr>
          <w:rFonts w:asciiTheme="minorEastAsia" w:hAnsiTheme="minorEastAsia" w:cs="Arial" w:hint="eastAsia"/>
          <w:sz w:val="24"/>
          <w:szCs w:val="24"/>
        </w:rPr>
        <w:t>、法律法规规定或中国证监会认定的其他情形。</w:t>
      </w:r>
    </w:p>
    <w:p w14:paraId="644DCAF2"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发生上述情形之一</w:t>
      </w:r>
      <w:proofErr w:type="gramStart"/>
      <w:r>
        <w:rPr>
          <w:rFonts w:asciiTheme="minorEastAsia" w:hAnsiTheme="minorEastAsia" w:cs="Arial" w:hint="eastAsia"/>
          <w:sz w:val="24"/>
          <w:szCs w:val="24"/>
        </w:rPr>
        <w:t>且基金</w:t>
      </w:r>
      <w:proofErr w:type="gramEnd"/>
      <w:r>
        <w:rPr>
          <w:rFonts w:asciiTheme="minorEastAsia" w:hAnsiTheme="minorEastAsia" w:cs="Arial" w:hint="eastAsia"/>
          <w:sz w:val="24"/>
          <w:szCs w:val="24"/>
        </w:rPr>
        <w:t>管理人决定拒绝接受或暂停接受基金份额持有人的赎回申请时，基金管理人应在当日报中国证监会备案，已确认的赎回申请，基金管理人应足额支付；如暂时不能足额支付，未支付部分可延期支付。若出现上述第</w:t>
      </w:r>
      <w:r>
        <w:rPr>
          <w:rFonts w:asciiTheme="minorEastAsia" w:hAnsiTheme="minorEastAsia" w:cs="Arial" w:hint="eastAsia"/>
          <w:sz w:val="24"/>
          <w:szCs w:val="24"/>
        </w:rPr>
        <w:t>4</w:t>
      </w:r>
      <w:r>
        <w:rPr>
          <w:rFonts w:asciiTheme="minorEastAsia" w:hAnsiTheme="minorEastAsia" w:cs="Arial" w:hint="eastAsia"/>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bookmarkStart w:id="185" w:name="_Toc416264545"/>
      <w:bookmarkStart w:id="186" w:name="_Toc20976"/>
      <w:bookmarkStart w:id="187" w:name="_Toc79392622"/>
      <w:bookmarkStart w:id="188" w:name="_Toc5170"/>
      <w:bookmarkStart w:id="189" w:name="_Toc739"/>
      <w:bookmarkStart w:id="190" w:name="_Toc123051456"/>
      <w:bookmarkStart w:id="191" w:name="_Toc352229756"/>
      <w:bookmarkStart w:id="192" w:name="_Toc17198"/>
      <w:bookmarkStart w:id="193" w:name="_Toc141703890"/>
      <w:bookmarkStart w:id="194" w:name="_Toc139991740"/>
      <w:bookmarkStart w:id="195" w:name="_Toc123102457"/>
      <w:bookmarkStart w:id="196" w:name="_Toc21237"/>
      <w:bookmarkStart w:id="197" w:name="_Toc123112238"/>
      <w:bookmarkStart w:id="198" w:name="_Toc17920"/>
      <w:bookmarkStart w:id="199" w:name="_Toc8791"/>
      <w:bookmarkStart w:id="200" w:name="_Toc29408"/>
      <w:bookmarkStart w:id="201" w:name="_Toc48649708"/>
      <w:bookmarkStart w:id="202" w:name="_Toc32584"/>
      <w:bookmarkStart w:id="203" w:name="_Toc32092"/>
      <w:bookmarkStart w:id="204" w:name="_Toc3329"/>
      <w:bookmarkStart w:id="205" w:name="_Toc98560356"/>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76FA05A" w14:textId="77777777" w:rsidR="007B7C2A" w:rsidRDefault="00072812">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十一、巨额赎回的情形及处理方式</w:t>
      </w:r>
    </w:p>
    <w:p w14:paraId="30674888"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、巨额赎回的认定</w:t>
      </w:r>
    </w:p>
    <w:p w14:paraId="055646DA"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Theme="minorEastAsia" w:hAnsiTheme="minorEastAsia" w:cs="Arial" w:hint="eastAsia"/>
          <w:sz w:val="24"/>
          <w:szCs w:val="24"/>
        </w:rPr>
        <w:t>10%</w:t>
      </w:r>
      <w:r>
        <w:rPr>
          <w:rFonts w:asciiTheme="minorEastAsia" w:hAnsiTheme="minorEastAsia" w:cs="Arial" w:hint="eastAsia"/>
          <w:sz w:val="24"/>
          <w:szCs w:val="24"/>
        </w:rPr>
        <w:t>，即认为是发生了巨额赎回。</w:t>
      </w:r>
    </w:p>
    <w:p w14:paraId="59E8CA92"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、巨额赎回的处理方式</w:t>
      </w:r>
    </w:p>
    <w:p w14:paraId="52B037C7"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当基金出现巨额赎回时，基金管理人可以根据基金当时的资产组合状况决定全额赎回或部分延期赎回。</w:t>
      </w:r>
    </w:p>
    <w:p w14:paraId="4D58A6FB"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1</w:t>
      </w:r>
      <w:r>
        <w:rPr>
          <w:rFonts w:asciiTheme="minorEastAsia" w:hAnsiTheme="minorEastAsia" w:cs="Arial" w:hint="eastAsia"/>
          <w:sz w:val="24"/>
          <w:szCs w:val="24"/>
        </w:rPr>
        <w:t>）全额赎回：当基金管理人认为有能力支付投资人的全部赎回申请时，按正常赎回程序执行。</w:t>
      </w:r>
    </w:p>
    <w:p w14:paraId="5D0AD548" w14:textId="77777777" w:rsidR="007B7C2A" w:rsidRDefault="00072812">
      <w:pPr>
        <w:spacing w:line="360" w:lineRule="auto"/>
        <w:ind w:firstLineChars="200" w:firstLine="480"/>
        <w:rPr>
          <w:bCs/>
          <w:sz w:val="24"/>
          <w:szCs w:val="24"/>
        </w:rPr>
      </w:pPr>
      <w:r>
        <w:rPr>
          <w:bCs/>
          <w:sz w:val="24"/>
          <w:szCs w:val="24"/>
        </w:rPr>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的前提下，可对其余赎回申请延期办理。</w:t>
      </w:r>
      <w:r>
        <w:rPr>
          <w:rFonts w:hint="eastAsia"/>
          <w:bCs/>
          <w:sz w:val="24"/>
          <w:szCs w:val="24"/>
        </w:rPr>
        <w:t>若进行上述延期办理，</w:t>
      </w:r>
      <w:r>
        <w:rPr>
          <w:bCs/>
          <w:sz w:val="24"/>
          <w:szCs w:val="24"/>
        </w:rPr>
        <w:t>对于</w:t>
      </w:r>
      <w:r>
        <w:rPr>
          <w:rFonts w:hint="eastAsia"/>
          <w:bCs/>
          <w:sz w:val="24"/>
          <w:szCs w:val="24"/>
        </w:rPr>
        <w:t>单个基金份额持有人</w:t>
      </w:r>
      <w:r>
        <w:rPr>
          <w:bCs/>
          <w:sz w:val="24"/>
          <w:szCs w:val="24"/>
        </w:rPr>
        <w:t>当日</w:t>
      </w:r>
      <w:r>
        <w:rPr>
          <w:rFonts w:hint="eastAsia"/>
          <w:bCs/>
          <w:sz w:val="24"/>
          <w:szCs w:val="24"/>
        </w:rPr>
        <w:t>赎回申请超过上一开放日基金总份额</w:t>
      </w:r>
      <w:r>
        <w:rPr>
          <w:bCs/>
          <w:sz w:val="24"/>
          <w:szCs w:val="24"/>
        </w:rPr>
        <w:t>50</w:t>
      </w:r>
      <w:r>
        <w:rPr>
          <w:rFonts w:hint="eastAsia"/>
          <w:bCs/>
          <w:sz w:val="24"/>
          <w:szCs w:val="24"/>
        </w:rPr>
        <w:t>%</w:t>
      </w:r>
      <w:r>
        <w:rPr>
          <w:rFonts w:hint="eastAsia"/>
          <w:bCs/>
          <w:sz w:val="24"/>
          <w:szCs w:val="24"/>
        </w:rPr>
        <w:t>以上的部分，基金管理人有权进行延期办理。对于其余当日非自动延期办理</w:t>
      </w:r>
      <w:r>
        <w:rPr>
          <w:bCs/>
          <w:sz w:val="24"/>
          <w:szCs w:val="24"/>
        </w:rPr>
        <w:t>的赎回申请，</w:t>
      </w:r>
      <w:r>
        <w:rPr>
          <w:rFonts w:hint="eastAsia"/>
          <w:bCs/>
          <w:sz w:val="24"/>
          <w:szCs w:val="24"/>
        </w:rPr>
        <w:t>应当</w:t>
      </w:r>
      <w:r>
        <w:rPr>
          <w:bCs/>
          <w:sz w:val="24"/>
          <w:szCs w:val="24"/>
        </w:rPr>
        <w:t>按单个账户</w:t>
      </w:r>
      <w:r>
        <w:rPr>
          <w:rFonts w:hint="eastAsia"/>
          <w:bCs/>
          <w:sz w:val="24"/>
          <w:szCs w:val="24"/>
        </w:rPr>
        <w:t>非自动延期办理的</w:t>
      </w:r>
      <w:r>
        <w:rPr>
          <w:bCs/>
          <w:sz w:val="24"/>
          <w:szCs w:val="24"/>
        </w:rPr>
        <w:t>赎回申请量占</w:t>
      </w:r>
      <w:r>
        <w:rPr>
          <w:rFonts w:hint="eastAsia"/>
          <w:bCs/>
          <w:sz w:val="24"/>
          <w:szCs w:val="24"/>
        </w:rPr>
        <w:t>非自动延期办理的</w:t>
      </w:r>
      <w:r>
        <w:rPr>
          <w:bCs/>
          <w:sz w:val="24"/>
          <w:szCs w:val="24"/>
        </w:rPr>
        <w:t>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szCs w:val="24"/>
        </w:rPr>
        <w:t>并以下</w:t>
      </w:r>
      <w:proofErr w:type="gramEnd"/>
      <w:r>
        <w:rPr>
          <w:bCs/>
          <w:sz w:val="24"/>
          <w:szCs w:val="24"/>
        </w:rPr>
        <w:t>一</w:t>
      </w:r>
      <w:proofErr w:type="gramStart"/>
      <w:r>
        <w:rPr>
          <w:bCs/>
          <w:sz w:val="24"/>
          <w:szCs w:val="24"/>
        </w:rPr>
        <w:t>开放日</w:t>
      </w:r>
      <w:r>
        <w:rPr>
          <w:rFonts w:hint="eastAsia"/>
          <w:bCs/>
          <w:sz w:val="24"/>
          <w:szCs w:val="24"/>
        </w:rPr>
        <w:t>某一类</w:t>
      </w:r>
      <w:proofErr w:type="gramEnd"/>
      <w:r>
        <w:rPr>
          <w:rFonts w:hint="eastAsia"/>
          <w:bCs/>
          <w:sz w:val="24"/>
          <w:szCs w:val="24"/>
        </w:rPr>
        <w:t>别</w:t>
      </w:r>
      <w:r>
        <w:rPr>
          <w:bCs/>
          <w:sz w:val="24"/>
          <w:szCs w:val="24"/>
        </w:rPr>
        <w:t>的基金份额净值为基础计算赎回金额，以此类推，直到全部赎回为止。如投资人在提交赎回申请时未作明确选择，投资人未能赎回部分作自动延期赎回处理。</w:t>
      </w:r>
    </w:p>
    <w:p w14:paraId="03A50CCB"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w:t>
      </w:r>
      <w:r>
        <w:rPr>
          <w:rFonts w:asciiTheme="minorEastAsia" w:hAnsiTheme="minorEastAsia" w:cs="Arial" w:hint="eastAsia"/>
          <w:sz w:val="24"/>
          <w:szCs w:val="24"/>
        </w:rPr>
        <w:t>3</w:t>
      </w:r>
      <w:r>
        <w:rPr>
          <w:rFonts w:asciiTheme="minorEastAsia" w:hAnsiTheme="minorEastAsia" w:cs="Arial" w:hint="eastAsia"/>
          <w:sz w:val="24"/>
          <w:szCs w:val="24"/>
        </w:rPr>
        <w:t>）暂停赎回：连续</w:t>
      </w:r>
      <w:r>
        <w:rPr>
          <w:rFonts w:asciiTheme="minorEastAsia" w:hAnsiTheme="minorEastAsia" w:cs="Arial" w:hint="eastAsia"/>
          <w:sz w:val="24"/>
          <w:szCs w:val="24"/>
        </w:rPr>
        <w:t>2</w:t>
      </w:r>
      <w:r>
        <w:rPr>
          <w:rFonts w:asciiTheme="minorEastAsia" w:hAnsiTheme="minorEastAsia" w:cs="Arial" w:hint="eastAsia"/>
          <w:sz w:val="24"/>
          <w:szCs w:val="24"/>
        </w:rPr>
        <w:t>个开放日以上（含本数）发生巨额赎回，如基金管理人认为有必要，可暂停接受基金的赎回申请；已经接受的赎回申请可以延缓支付赎回款项，但不得超过</w:t>
      </w:r>
      <w:r>
        <w:rPr>
          <w:rFonts w:asciiTheme="minorEastAsia" w:hAnsiTheme="minorEastAsia" w:cs="Arial" w:hint="eastAsia"/>
          <w:sz w:val="24"/>
          <w:szCs w:val="24"/>
        </w:rPr>
        <w:t>20</w:t>
      </w:r>
      <w:r>
        <w:rPr>
          <w:rFonts w:asciiTheme="minorEastAsia" w:hAnsiTheme="minorEastAsia" w:cs="Arial" w:hint="eastAsia"/>
          <w:sz w:val="24"/>
          <w:szCs w:val="24"/>
        </w:rPr>
        <w:t>个工作日，并应当在指定媒介上进行公告。</w:t>
      </w:r>
    </w:p>
    <w:p w14:paraId="6DE86EDB"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、巨额赎回的公告</w:t>
      </w:r>
    </w:p>
    <w:p w14:paraId="08F1C0B9"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当发生上述巨额赎回并延期办理时，基金管理人应当通过邮寄、传真或者招募说明书规定的其他方式在</w:t>
      </w:r>
      <w:r>
        <w:rPr>
          <w:rFonts w:asciiTheme="minorEastAsia" w:hAnsiTheme="minorEastAsia" w:cs="Arial" w:hint="eastAsia"/>
          <w:sz w:val="24"/>
          <w:szCs w:val="24"/>
        </w:rPr>
        <w:t>3</w:t>
      </w:r>
      <w:r>
        <w:rPr>
          <w:rFonts w:asciiTheme="minorEastAsia" w:hAnsiTheme="minorEastAsia" w:cs="Arial" w:hint="eastAsia"/>
          <w:sz w:val="24"/>
          <w:szCs w:val="24"/>
        </w:rPr>
        <w:t>个交易日内通知基金份额持有人，说明有关处理方法，并在</w:t>
      </w:r>
      <w:r>
        <w:rPr>
          <w:rFonts w:asciiTheme="minorEastAsia" w:hAnsiTheme="minorEastAsia" w:cs="Arial" w:hint="eastAsia"/>
          <w:sz w:val="24"/>
          <w:szCs w:val="24"/>
        </w:rPr>
        <w:t>2</w:t>
      </w:r>
      <w:r>
        <w:rPr>
          <w:rFonts w:asciiTheme="minorEastAsia" w:hAnsiTheme="minorEastAsia" w:cs="Arial" w:hint="eastAsia"/>
          <w:sz w:val="24"/>
          <w:szCs w:val="24"/>
        </w:rPr>
        <w:t>日内在指定媒介上刊登公告。</w:t>
      </w:r>
    </w:p>
    <w:p w14:paraId="3D7B21BE" w14:textId="77777777" w:rsidR="007B7C2A" w:rsidRDefault="00072812">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十二、暂停申购或赎回的公告和重新开放申购或赎回的公告</w:t>
      </w:r>
    </w:p>
    <w:p w14:paraId="37CA5A21"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、发生上述暂停申购或赎回情况的，基金管理人应在规定期限内在指定媒介上刊登暂停公告。</w:t>
      </w:r>
    </w:p>
    <w:p w14:paraId="68F0713D"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6B351569"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、上述暂停申购或赎回情况消除的，基金管理人应于重新开放日公布最近</w:t>
      </w:r>
      <w:r>
        <w:rPr>
          <w:rFonts w:asciiTheme="minorEastAsia" w:hAnsiTheme="minorEastAsia" w:cs="Arial" w:hint="eastAsia"/>
          <w:sz w:val="24"/>
          <w:szCs w:val="24"/>
        </w:rPr>
        <w:t>1</w:t>
      </w:r>
      <w:r>
        <w:rPr>
          <w:rFonts w:asciiTheme="minorEastAsia" w:hAnsiTheme="minorEastAsia" w:cs="Arial" w:hint="eastAsia"/>
          <w:sz w:val="24"/>
          <w:szCs w:val="24"/>
        </w:rPr>
        <w:t>个工作日两类基金份额净值。</w:t>
      </w:r>
    </w:p>
    <w:p w14:paraId="6E835EB1" w14:textId="77777777" w:rsidR="007B7C2A" w:rsidRDefault="00072812">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十三、基金转换</w:t>
      </w:r>
    </w:p>
    <w:p w14:paraId="40D4AEC0"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3A40DEBB" w14:textId="77777777" w:rsidR="007B7C2A" w:rsidRDefault="00072812">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十四、基金份额的转让</w:t>
      </w:r>
    </w:p>
    <w:p w14:paraId="65AD83BF"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CA43218" w14:textId="77777777" w:rsidR="007B7C2A" w:rsidRDefault="00072812">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十五、基金的</w:t>
      </w:r>
      <w:proofErr w:type="gramStart"/>
      <w:r>
        <w:rPr>
          <w:rFonts w:asciiTheme="minorEastAsia" w:hAnsiTheme="minorEastAsia" w:cs="Arial" w:hint="eastAsia"/>
          <w:b/>
          <w:sz w:val="24"/>
          <w:szCs w:val="24"/>
        </w:rPr>
        <w:t>非交易</w:t>
      </w:r>
      <w:proofErr w:type="gramEnd"/>
      <w:r>
        <w:rPr>
          <w:rFonts w:asciiTheme="minorEastAsia" w:hAnsiTheme="minorEastAsia" w:cs="Arial" w:hint="eastAsia"/>
          <w:b/>
          <w:sz w:val="24"/>
          <w:szCs w:val="24"/>
        </w:rPr>
        <w:t>过户</w:t>
      </w:r>
    </w:p>
    <w:p w14:paraId="52229849"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过户是指基金登记机构受理继承、捐赠和司法强制执行等情形而产生的</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过户以及登记机构认可、符合法律法规的其它</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过户。无论在上述何种情况下，接受划转的主体必须是依法可以持有本</w:t>
      </w:r>
      <w:proofErr w:type="gramStart"/>
      <w:r>
        <w:rPr>
          <w:rFonts w:asciiTheme="minorEastAsia" w:hAnsiTheme="minorEastAsia" w:cs="Arial" w:hint="eastAsia"/>
          <w:sz w:val="24"/>
          <w:szCs w:val="24"/>
        </w:rPr>
        <w:t>基金基金</w:t>
      </w:r>
      <w:proofErr w:type="gramEnd"/>
      <w:r>
        <w:rPr>
          <w:rFonts w:asciiTheme="minorEastAsia" w:hAnsiTheme="minorEastAsia" w:cs="Arial" w:hint="eastAsia"/>
          <w:sz w:val="24"/>
          <w:szCs w:val="24"/>
        </w:rPr>
        <w:t>份额的投资人。</w:t>
      </w:r>
    </w:p>
    <w:p w14:paraId="143912FF"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继承是指基金份额持有人死亡，其持有的基金份额由其合法的继承人继承；</w:t>
      </w:r>
      <w:proofErr w:type="gramStart"/>
      <w:r>
        <w:rPr>
          <w:rFonts w:asciiTheme="minorEastAsia" w:hAnsiTheme="minorEastAsia" w:cs="Arial" w:hint="eastAsia"/>
          <w:sz w:val="24"/>
          <w:szCs w:val="24"/>
        </w:rPr>
        <w:t>捐赠指</w:t>
      </w:r>
      <w:proofErr w:type="gramEnd"/>
      <w:r>
        <w:rPr>
          <w:rFonts w:asciiTheme="minorEastAsia" w:hAnsiTheme="minorEastAsia" w:cs="Arial"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heme="minorEastAsia" w:hAnsiTheme="minorEastAsia" w:cs="Arial" w:hint="eastAsia"/>
          <w:sz w:val="24"/>
          <w:szCs w:val="24"/>
        </w:rPr>
        <w:t>非交易</w:t>
      </w:r>
      <w:proofErr w:type="gramEnd"/>
      <w:r>
        <w:rPr>
          <w:rFonts w:asciiTheme="minorEastAsia" w:hAnsiTheme="minorEastAsia" w:cs="Arial" w:hint="eastAsia"/>
          <w:sz w:val="24"/>
          <w:szCs w:val="24"/>
        </w:rPr>
        <w:t>过户必须提供基金登记机构要求提供的相关资料，对于符合条件的</w:t>
      </w:r>
      <w:proofErr w:type="gramStart"/>
      <w:r>
        <w:rPr>
          <w:rFonts w:asciiTheme="minorEastAsia" w:hAnsiTheme="minorEastAsia" w:cs="Arial" w:hint="eastAsia"/>
          <w:sz w:val="24"/>
          <w:szCs w:val="24"/>
        </w:rPr>
        <w:t>非交易过户申请按</w:t>
      </w:r>
      <w:proofErr w:type="gramEnd"/>
      <w:r>
        <w:rPr>
          <w:rFonts w:asciiTheme="minorEastAsia" w:hAnsiTheme="minorEastAsia" w:cs="Arial" w:hint="eastAsia"/>
          <w:sz w:val="24"/>
          <w:szCs w:val="24"/>
        </w:rPr>
        <w:t>基金登记机构的规定办理，并按基金登记机构规定的标准收费。</w:t>
      </w:r>
    </w:p>
    <w:p w14:paraId="6C9A7862" w14:textId="77777777" w:rsidR="007B7C2A" w:rsidRDefault="00072812">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十六、基金的转托管</w:t>
      </w:r>
    </w:p>
    <w:p w14:paraId="7D0926D5"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6323B47C" w14:textId="77777777" w:rsidR="007B7C2A" w:rsidRDefault="00072812">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十七、定期定额投资计划</w:t>
      </w:r>
    </w:p>
    <w:p w14:paraId="6BCFE3AB"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15E032B" w14:textId="77777777" w:rsidR="007B7C2A" w:rsidRDefault="00072812">
      <w:pPr>
        <w:widowControl/>
        <w:spacing w:line="360" w:lineRule="auto"/>
        <w:ind w:firstLineChars="200" w:firstLine="482"/>
        <w:jc w:val="left"/>
        <w:rPr>
          <w:rFonts w:asciiTheme="minorEastAsia" w:hAnsiTheme="minorEastAsia" w:cs="Arial" w:hint="eastAsia"/>
          <w:b/>
          <w:sz w:val="24"/>
          <w:szCs w:val="24"/>
        </w:rPr>
      </w:pPr>
      <w:r>
        <w:rPr>
          <w:rFonts w:asciiTheme="minorEastAsia" w:hAnsiTheme="minorEastAsia" w:cs="Arial" w:hint="eastAsia"/>
          <w:b/>
          <w:sz w:val="24"/>
          <w:szCs w:val="24"/>
        </w:rPr>
        <w:t>十八、基金份额的冻结、解冻与质押</w:t>
      </w:r>
    </w:p>
    <w:p w14:paraId="2EAC5FC4"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p>
    <w:p w14:paraId="25E29F32" w14:textId="77777777" w:rsidR="007B7C2A" w:rsidRDefault="00072812">
      <w:pPr>
        <w:widowControl/>
        <w:spacing w:line="360" w:lineRule="auto"/>
        <w:ind w:firstLineChars="200" w:firstLine="480"/>
        <w:jc w:val="left"/>
        <w:rPr>
          <w:rFonts w:asciiTheme="minorEastAsia" w:hAnsiTheme="minorEastAsia" w:cs="Arial" w:hint="eastAsia"/>
          <w:sz w:val="24"/>
          <w:szCs w:val="24"/>
        </w:rPr>
      </w:pPr>
      <w:r>
        <w:rPr>
          <w:rFonts w:asciiTheme="minorEastAsia" w:hAnsiTheme="minorEastAsia" w:cs="Arial" w:hint="eastAsia"/>
          <w:sz w:val="24"/>
          <w:szCs w:val="24"/>
        </w:rPr>
        <w:t>如相关法律法规允许基金管理人办理基金份额的质押业务或其他基金业务，基金管理人将制定和实施相应的业务规则。</w:t>
      </w:r>
    </w:p>
    <w:p w14:paraId="02021576" w14:textId="77777777" w:rsidR="007B7C2A" w:rsidRDefault="00072812">
      <w:pPr>
        <w:widowControl/>
        <w:jc w:val="left"/>
        <w:rPr>
          <w:rFonts w:asciiTheme="minorEastAsia" w:hAnsiTheme="minorEastAsia" w:cs="Arial" w:hint="eastAsia"/>
          <w:sz w:val="24"/>
          <w:szCs w:val="24"/>
        </w:rPr>
      </w:pPr>
      <w:r>
        <w:rPr>
          <w:rFonts w:asciiTheme="minorEastAsia" w:hAnsiTheme="minorEastAsia" w:cs="Arial"/>
          <w:sz w:val="24"/>
          <w:szCs w:val="24"/>
        </w:rPr>
        <w:br w:type="page"/>
      </w:r>
    </w:p>
    <w:p w14:paraId="24FE109B" w14:textId="77777777" w:rsidR="007B7C2A" w:rsidRDefault="00072812">
      <w:pPr>
        <w:pStyle w:val="1"/>
        <w:ind w:firstLine="602"/>
        <w:jc w:val="center"/>
        <w:rPr>
          <w:sz w:val="30"/>
          <w:szCs w:val="30"/>
        </w:rPr>
      </w:pPr>
      <w:bookmarkStart w:id="206" w:name="_Toc146096526"/>
      <w:r>
        <w:rPr>
          <w:rFonts w:hint="eastAsia"/>
          <w:sz w:val="30"/>
          <w:szCs w:val="30"/>
        </w:rPr>
        <w:t>第九部分</w:t>
      </w:r>
      <w:r>
        <w:rPr>
          <w:sz w:val="30"/>
          <w:szCs w:val="30"/>
        </w:rPr>
        <w:t xml:space="preserve">  </w:t>
      </w:r>
      <w:r>
        <w:rPr>
          <w:rFonts w:hint="eastAsia"/>
          <w:sz w:val="30"/>
          <w:szCs w:val="30"/>
        </w:rPr>
        <w:t>基金的投资</w:t>
      </w:r>
      <w:bookmarkEnd w:id="185"/>
      <w:bookmarkEnd w:id="206"/>
    </w:p>
    <w:p w14:paraId="41CFE1C1" w14:textId="77777777" w:rsidR="007B7C2A" w:rsidRDefault="00072812">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一、投资目标</w:t>
      </w:r>
    </w:p>
    <w:p w14:paraId="5F14729E" w14:textId="77777777" w:rsidR="007B7C2A" w:rsidRDefault="00072812">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本基金通过对多种投资策略的有机结合，在严格控制风险的基础上，力求取得超越基金业绩比较基准的收益。</w:t>
      </w:r>
    </w:p>
    <w:p w14:paraId="2E7DF882" w14:textId="77777777" w:rsidR="007B7C2A" w:rsidRDefault="00072812">
      <w:pPr>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二、投资范围</w:t>
      </w:r>
    </w:p>
    <w:p w14:paraId="31B3564A" w14:textId="77777777" w:rsidR="007B7C2A" w:rsidRDefault="00072812">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投资范围主要为具有良好流动性的金融工具，包括国内依法发行上市的股票（包括中小板、创业板及其他经中国证监会核准上市的股票）、存托凭证，债券（含国债、金融债、企业债、公司债、央行票据、中期票据、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、超短期融资</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、政府支持机构债、地方政府债、次级债、可转换债券、可交换债券、中小企业私募</w:t>
      </w:r>
      <w:proofErr w:type="gramStart"/>
      <w:r>
        <w:rPr>
          <w:rFonts w:asciiTheme="minorEastAsia" w:hAnsiTheme="minorEastAsia" w:cs="Times New Roman" w:hint="eastAsia"/>
          <w:bCs/>
          <w:sz w:val="24"/>
          <w:szCs w:val="24"/>
        </w:rPr>
        <w:t>债及其</w:t>
      </w:r>
      <w:proofErr w:type="gramEnd"/>
      <w:r>
        <w:rPr>
          <w:rFonts w:asciiTheme="minorEastAsia" w:hAnsiTheme="minorEastAsia" w:cs="Times New Roman" w:hint="eastAsia"/>
          <w:bCs/>
          <w:sz w:val="24"/>
          <w:szCs w:val="24"/>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48021E2A" w14:textId="77777777" w:rsidR="007B7C2A" w:rsidRDefault="00072812">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基金的投资组合比例为：股票资产占基金资产的</w:t>
      </w:r>
      <w:r>
        <w:rPr>
          <w:rFonts w:asciiTheme="minorEastAsia" w:hAnsiTheme="minorEastAsia" w:cs="Times New Roman" w:hint="eastAsia"/>
          <w:bCs/>
          <w:sz w:val="24"/>
          <w:szCs w:val="24"/>
        </w:rPr>
        <w:t>0%-95%</w:t>
      </w:r>
      <w:r>
        <w:rPr>
          <w:rFonts w:asciiTheme="minorEastAsia" w:hAnsiTheme="minorEastAsia" w:cs="Times New Roman" w:hint="eastAsia"/>
          <w:bCs/>
          <w:sz w:val="24"/>
          <w:szCs w:val="24"/>
        </w:rPr>
        <w:t>；每个交易日日终在扣除股指期货、国债期货合约需缴纳的保证金以后，本基金保留的现金或到期日在一年以内的政府债券不低于基金资产净值的</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，其中现金不包括结算备付金、存出保证金、应收申购款等；权证投资占基金资产净值的</w:t>
      </w:r>
      <w:r>
        <w:rPr>
          <w:rFonts w:asciiTheme="minorEastAsia" w:hAnsiTheme="minorEastAsia" w:cs="Times New Roman" w:hint="eastAsia"/>
          <w:bCs/>
          <w:sz w:val="24"/>
          <w:szCs w:val="24"/>
        </w:rPr>
        <w:t>0-3%</w:t>
      </w:r>
      <w:r>
        <w:rPr>
          <w:rFonts w:asciiTheme="minorEastAsia" w:hAnsiTheme="minorEastAsia" w:cs="Times New Roman" w:hint="eastAsia"/>
          <w:bCs/>
          <w:sz w:val="24"/>
          <w:szCs w:val="24"/>
        </w:rPr>
        <w:t>。</w:t>
      </w:r>
    </w:p>
    <w:p w14:paraId="144BFD76" w14:textId="77777777" w:rsidR="007B7C2A" w:rsidRDefault="00072812">
      <w:pPr>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4247674B"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三、投资策略</w:t>
      </w:r>
    </w:p>
    <w:p w14:paraId="4852706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（一）资产配置策略</w:t>
      </w:r>
    </w:p>
    <w:p w14:paraId="1DAEF63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本基金将通过跟踪</w:t>
      </w:r>
      <w:proofErr w:type="gramStart"/>
      <w:r>
        <w:rPr>
          <w:rFonts w:asciiTheme="minorEastAsia" w:hAnsiTheme="minorEastAsia" w:cs="Times New Roman" w:hint="eastAsia"/>
          <w:bCs/>
          <w:sz w:val="24"/>
          <w:szCs w:val="24"/>
        </w:rPr>
        <w:t>考量</w:t>
      </w:r>
      <w:proofErr w:type="gramEnd"/>
      <w:r>
        <w:rPr>
          <w:rFonts w:asciiTheme="minorEastAsia" w:hAnsiTheme="minorEastAsia" w:cs="Times New Roman" w:hint="eastAsia"/>
          <w:bCs/>
          <w:sz w:val="24"/>
          <w:szCs w:val="24"/>
        </w:rPr>
        <w:t>通常的宏观经济变量（包括</w:t>
      </w:r>
      <w:r>
        <w:rPr>
          <w:rFonts w:asciiTheme="minorEastAsia" w:hAnsiTheme="minorEastAsia" w:cs="Times New Roman" w:hint="eastAsia"/>
          <w:bCs/>
          <w:sz w:val="24"/>
          <w:szCs w:val="24"/>
        </w:rPr>
        <w:t>GDP</w:t>
      </w:r>
      <w:r>
        <w:rPr>
          <w:rFonts w:asciiTheme="minorEastAsia" w:hAnsiTheme="minorEastAsia" w:cs="Times New Roman" w:hint="eastAsia"/>
          <w:bCs/>
          <w:sz w:val="24"/>
          <w:szCs w:val="24"/>
        </w:rPr>
        <w:t>增长率、</w:t>
      </w:r>
      <w:r>
        <w:rPr>
          <w:rFonts w:asciiTheme="minorEastAsia" w:hAnsiTheme="minorEastAsia" w:cs="Times New Roman" w:hint="eastAsia"/>
          <w:bCs/>
          <w:sz w:val="24"/>
          <w:szCs w:val="24"/>
        </w:rPr>
        <w:t>CPI</w:t>
      </w:r>
      <w:r>
        <w:rPr>
          <w:rFonts w:asciiTheme="minorEastAsia" w:hAnsiTheme="minorEastAsia" w:cs="Times New Roman" w:hint="eastAsia"/>
          <w:bCs/>
          <w:sz w:val="24"/>
          <w:szCs w:val="24"/>
        </w:rPr>
        <w:t>走势、</w:t>
      </w:r>
      <w:r>
        <w:rPr>
          <w:rFonts w:asciiTheme="minorEastAsia" w:hAnsiTheme="minorEastAsia" w:cs="Times New Roman" w:hint="eastAsia"/>
          <w:bCs/>
          <w:sz w:val="24"/>
          <w:szCs w:val="24"/>
        </w:rPr>
        <w:t>M2</w:t>
      </w:r>
      <w:r>
        <w:rPr>
          <w:rFonts w:asciiTheme="minorEastAsia" w:hAnsiTheme="minorEastAsia" w:cs="Times New Roman" w:hint="eastAsia"/>
          <w:bCs/>
          <w:sz w:val="24"/>
          <w:szCs w:val="24"/>
        </w:rPr>
        <w:t>的绝对水平和增长率、利率水平与走势等）以及各项国家政策（包括财政、税收、货币、汇率政策等），并</w:t>
      </w:r>
      <w:proofErr w:type="gramStart"/>
      <w:r>
        <w:rPr>
          <w:rFonts w:asciiTheme="minorEastAsia" w:hAnsiTheme="minorEastAsia" w:cs="Times New Roman" w:hint="eastAsia"/>
          <w:bCs/>
          <w:sz w:val="24"/>
          <w:szCs w:val="24"/>
        </w:rPr>
        <w:t>结合美</w:t>
      </w:r>
      <w:proofErr w:type="gramEnd"/>
      <w:r>
        <w:rPr>
          <w:rFonts w:asciiTheme="minorEastAsia" w:hAnsiTheme="minorEastAsia" w:cs="Times New Roman" w:hint="eastAsia"/>
          <w:bCs/>
          <w:sz w:val="24"/>
          <w:szCs w:val="24"/>
        </w:rPr>
        <w:t>林时钟等科学严谨的资产配置模型，动态评估不同资产大类在不同时期的投资价值及其风险收益特征，追求股票、债券和货币等大类资产的灵活配置和稳健收益。</w:t>
      </w:r>
    </w:p>
    <w:p w14:paraId="5C274FF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（二）债券投资策略</w:t>
      </w:r>
    </w:p>
    <w:p w14:paraId="6B33062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本基金债券投资将</w:t>
      </w:r>
      <w:proofErr w:type="gramStart"/>
      <w:r>
        <w:rPr>
          <w:rFonts w:asciiTheme="minorEastAsia" w:hAnsiTheme="minorEastAsia" w:cs="Times New Roman" w:hint="eastAsia"/>
          <w:bCs/>
          <w:sz w:val="24"/>
          <w:szCs w:val="24"/>
        </w:rPr>
        <w:t>采取久期策略</w:t>
      </w:r>
      <w:proofErr w:type="gramEnd"/>
      <w:r>
        <w:rPr>
          <w:rFonts w:asciiTheme="minorEastAsia" w:hAnsiTheme="minorEastAsia" w:cs="Times New Roman" w:hint="eastAsia"/>
          <w:bCs/>
          <w:sz w:val="24"/>
          <w:szCs w:val="24"/>
        </w:rPr>
        <w:t>、收益率曲线策略、骑乘策略、息差策略、</w:t>
      </w:r>
      <w:proofErr w:type="gramStart"/>
      <w:r>
        <w:rPr>
          <w:rFonts w:asciiTheme="minorEastAsia" w:hAnsiTheme="minorEastAsia" w:cs="Times New Roman" w:hint="eastAsia"/>
          <w:bCs/>
          <w:sz w:val="24"/>
          <w:szCs w:val="24"/>
        </w:rPr>
        <w:t>个券</w:t>
      </w:r>
      <w:proofErr w:type="gramEnd"/>
      <w:r>
        <w:rPr>
          <w:rFonts w:asciiTheme="minorEastAsia" w:hAnsiTheme="minorEastAsia" w:cs="Times New Roman" w:hint="eastAsia"/>
          <w:bCs/>
          <w:sz w:val="24"/>
          <w:szCs w:val="24"/>
        </w:rPr>
        <w:t>选择策略、信用策略、中小企业私募债投资策略等积极投资策略，灵活地调整组合的券种搭配，精选个</w:t>
      </w:r>
      <w:proofErr w:type="gramStart"/>
      <w:r>
        <w:rPr>
          <w:rFonts w:asciiTheme="minorEastAsia" w:hAnsiTheme="minorEastAsia" w:cs="Times New Roman" w:hint="eastAsia"/>
          <w:bCs/>
          <w:sz w:val="24"/>
          <w:szCs w:val="24"/>
        </w:rPr>
        <w:t>券</w:t>
      </w:r>
      <w:proofErr w:type="gramEnd"/>
      <w:r>
        <w:rPr>
          <w:rFonts w:asciiTheme="minorEastAsia" w:hAnsiTheme="minorEastAsia" w:cs="Times New Roman" w:hint="eastAsia"/>
          <w:bCs/>
          <w:sz w:val="24"/>
          <w:szCs w:val="24"/>
        </w:rPr>
        <w:t>，力争实现投资组合的保值增值。</w:t>
      </w:r>
    </w:p>
    <w:p w14:paraId="1F80D19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久期策略</w:t>
      </w:r>
      <w:proofErr w:type="gramEnd"/>
    </w:p>
    <w:p w14:paraId="2BF4DD8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proofErr w:type="gramStart"/>
      <w:r>
        <w:rPr>
          <w:rFonts w:asciiTheme="minorEastAsia" w:hAnsiTheme="minorEastAsia" w:cs="Times New Roman" w:hint="eastAsia"/>
          <w:bCs/>
          <w:sz w:val="24"/>
          <w:szCs w:val="24"/>
        </w:rPr>
        <w:t>久期管理</w:t>
      </w:r>
      <w:proofErr w:type="gramEnd"/>
      <w:r>
        <w:rPr>
          <w:rFonts w:asciiTheme="minorEastAsia" w:hAnsiTheme="minorEastAsia" w:cs="Times New Roman" w:hint="eastAsia"/>
          <w:bCs/>
          <w:sz w:val="24"/>
          <w:szCs w:val="24"/>
        </w:rPr>
        <w:t>是债券投资的重要</w:t>
      </w:r>
      <w:proofErr w:type="gramStart"/>
      <w:r>
        <w:rPr>
          <w:rFonts w:asciiTheme="minorEastAsia" w:hAnsiTheme="minorEastAsia" w:cs="Times New Roman" w:hint="eastAsia"/>
          <w:bCs/>
          <w:sz w:val="24"/>
          <w:szCs w:val="24"/>
        </w:rPr>
        <w:t>考量</w:t>
      </w:r>
      <w:proofErr w:type="gramEnd"/>
      <w:r>
        <w:rPr>
          <w:rFonts w:asciiTheme="minorEastAsia" w:hAnsiTheme="minorEastAsia" w:cs="Times New Roman" w:hint="eastAsia"/>
          <w:bCs/>
          <w:sz w:val="24"/>
          <w:szCs w:val="24"/>
        </w:rPr>
        <w:t>因素，本基金将采用以“目标久期”为中心、</w:t>
      </w:r>
      <w:r>
        <w:rPr>
          <w:rFonts w:asciiTheme="minorEastAsia" w:hAnsiTheme="minorEastAsia" w:cs="Times New Roman" w:hint="eastAsia"/>
          <w:bCs/>
          <w:sz w:val="24"/>
          <w:szCs w:val="24"/>
        </w:rPr>
        <w:t xml:space="preserve"> </w:t>
      </w:r>
      <w:r>
        <w:rPr>
          <w:rFonts w:asciiTheme="minorEastAsia" w:hAnsiTheme="minorEastAsia" w:cs="Times New Roman" w:hint="eastAsia"/>
          <w:bCs/>
          <w:sz w:val="24"/>
          <w:szCs w:val="24"/>
        </w:rPr>
        <w:t>自上而下的</w:t>
      </w:r>
      <w:proofErr w:type="gramStart"/>
      <w:r>
        <w:rPr>
          <w:rFonts w:asciiTheme="minorEastAsia" w:hAnsiTheme="minorEastAsia" w:cs="Times New Roman" w:hint="eastAsia"/>
          <w:bCs/>
          <w:sz w:val="24"/>
          <w:szCs w:val="24"/>
        </w:rPr>
        <w:t>组合久期管理</w:t>
      </w:r>
      <w:proofErr w:type="gramEnd"/>
      <w:r>
        <w:rPr>
          <w:rFonts w:asciiTheme="minorEastAsia" w:hAnsiTheme="minorEastAsia" w:cs="Times New Roman" w:hint="eastAsia"/>
          <w:bCs/>
          <w:sz w:val="24"/>
          <w:szCs w:val="24"/>
        </w:rPr>
        <w:t>策略。</w:t>
      </w:r>
    </w:p>
    <w:p w14:paraId="6BE357C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、收益率曲线策略</w:t>
      </w:r>
    </w:p>
    <w:p w14:paraId="0BACA34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收益率曲线的形状变化是判断市场整体走向的一个重要依据，本基金将据此调整组合长、中、短期债券的搭配，并进行动态调整。</w:t>
      </w:r>
    </w:p>
    <w:p w14:paraId="78FF9C3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、骑乘策略</w:t>
      </w:r>
    </w:p>
    <w:p w14:paraId="011A207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本基金将采用基于收益率曲线分析对债券组合进行适时调整的骑乘策略，</w:t>
      </w:r>
      <w:r>
        <w:rPr>
          <w:rFonts w:asciiTheme="minorEastAsia" w:hAnsiTheme="minorEastAsia" w:cs="Times New Roman" w:hint="eastAsia"/>
          <w:bCs/>
          <w:sz w:val="24"/>
          <w:szCs w:val="24"/>
        </w:rPr>
        <w:t xml:space="preserve"> </w:t>
      </w:r>
      <w:r>
        <w:rPr>
          <w:rFonts w:asciiTheme="minorEastAsia" w:hAnsiTheme="minorEastAsia" w:cs="Times New Roman" w:hint="eastAsia"/>
          <w:bCs/>
          <w:sz w:val="24"/>
          <w:szCs w:val="24"/>
        </w:rPr>
        <w:t>以达到增强组合的持有期收益的目的。</w:t>
      </w:r>
    </w:p>
    <w:p w14:paraId="625C273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、息差策略</w:t>
      </w:r>
    </w:p>
    <w:p w14:paraId="0458FC0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w:t>
      </w:r>
      <w:proofErr w:type="gramStart"/>
      <w:r>
        <w:rPr>
          <w:rFonts w:asciiTheme="minorEastAsia" w:hAnsiTheme="minorEastAsia" w:cs="Times New Roman" w:hint="eastAsia"/>
          <w:bCs/>
          <w:sz w:val="24"/>
          <w:szCs w:val="24"/>
        </w:rPr>
        <w:t>采用息</w:t>
      </w:r>
      <w:proofErr w:type="gramEnd"/>
      <w:r>
        <w:rPr>
          <w:rFonts w:asciiTheme="minorEastAsia" w:hAnsiTheme="minorEastAsia" w:cs="Times New Roman" w:hint="eastAsia"/>
          <w:bCs/>
          <w:sz w:val="24"/>
          <w:szCs w:val="24"/>
        </w:rPr>
        <w:t>差策略，以达到更好地利用杠杆放大债券投资的收益的目的。</w:t>
      </w:r>
    </w:p>
    <w:p w14:paraId="64C8E9A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个券</w:t>
      </w:r>
      <w:proofErr w:type="gramEnd"/>
      <w:r>
        <w:rPr>
          <w:rFonts w:asciiTheme="minorEastAsia" w:hAnsiTheme="minorEastAsia" w:cs="Times New Roman" w:hint="eastAsia"/>
          <w:bCs/>
          <w:sz w:val="24"/>
          <w:szCs w:val="24"/>
        </w:rPr>
        <w:t>选择策略</w:t>
      </w:r>
    </w:p>
    <w:p w14:paraId="0AB7F74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本基金将根据单个债券到期收益率相对于市场收益率曲线的偏离程度，结合信用等级、流动性、选择权条款、税赋特点等因素，确定其投资价值，选择定价合理或价值被低估的债券进行投资。</w:t>
      </w:r>
    </w:p>
    <w:p w14:paraId="4E96D35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、信用策略</w:t>
      </w:r>
    </w:p>
    <w:p w14:paraId="0B37457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本基金通过主动承担适度的信用风险来获取信用溢价，根据内、外部信用评级结果，结合对类似债券信用利差的分析以及对未来信用利差走势的判断，选择信用利差被高估、未来信用利差可能下降的信用</w:t>
      </w:r>
      <w:proofErr w:type="gramStart"/>
      <w:r>
        <w:rPr>
          <w:rFonts w:asciiTheme="minorEastAsia" w:hAnsiTheme="minorEastAsia" w:cs="Times New Roman" w:hint="eastAsia"/>
          <w:bCs/>
          <w:sz w:val="24"/>
          <w:szCs w:val="24"/>
        </w:rPr>
        <w:t>债进行</w:t>
      </w:r>
      <w:proofErr w:type="gramEnd"/>
      <w:r>
        <w:rPr>
          <w:rFonts w:asciiTheme="minorEastAsia" w:hAnsiTheme="minorEastAsia" w:cs="Times New Roman" w:hint="eastAsia"/>
          <w:bCs/>
          <w:sz w:val="24"/>
          <w:szCs w:val="24"/>
        </w:rPr>
        <w:t>投资。</w:t>
      </w:r>
    </w:p>
    <w:p w14:paraId="6270C64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w:t>
      </w:r>
      <w:r>
        <w:rPr>
          <w:rFonts w:asciiTheme="minorEastAsia" w:hAnsiTheme="minorEastAsia" w:cs="Times New Roman" w:hint="eastAsia"/>
          <w:bCs/>
          <w:sz w:val="24"/>
          <w:szCs w:val="24"/>
        </w:rPr>
        <w:t>、中小企业私募债券策略</w:t>
      </w:r>
    </w:p>
    <w:p w14:paraId="1B73D97B"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中小企业私募债券是在中国境内以非公开方式发行和转让，约定在一定期限还本付息的公司债券。由于其非公开性及条款可协商性，普遍具有较高收益。</w:t>
      </w:r>
      <w:r>
        <w:rPr>
          <w:rFonts w:asciiTheme="minorEastAsia" w:hAnsiTheme="minorEastAsia" w:cs="Times New Roman" w:hint="eastAsia"/>
          <w:bCs/>
          <w:sz w:val="24"/>
          <w:szCs w:val="24"/>
        </w:rPr>
        <w:t xml:space="preserve"> </w:t>
      </w:r>
      <w:r>
        <w:rPr>
          <w:rFonts w:asciiTheme="minorEastAsia" w:hAnsiTheme="minorEastAsia" w:cs="Times New Roman" w:hint="eastAsia"/>
          <w:bCs/>
          <w:sz w:val="24"/>
          <w:szCs w:val="24"/>
        </w:rPr>
        <w:t>本基金将深入研究发行人资信及公司运营情况，合理合</w:t>
      </w:r>
      <w:proofErr w:type="gramStart"/>
      <w:r>
        <w:rPr>
          <w:rFonts w:asciiTheme="minorEastAsia" w:hAnsiTheme="minorEastAsia" w:cs="Times New Roman" w:hint="eastAsia"/>
          <w:bCs/>
          <w:sz w:val="24"/>
          <w:szCs w:val="24"/>
        </w:rPr>
        <w:t>规</w:t>
      </w:r>
      <w:proofErr w:type="gramEnd"/>
      <w:r>
        <w:rPr>
          <w:rFonts w:asciiTheme="minorEastAsia" w:hAnsiTheme="minorEastAsia" w:cs="Times New Roman" w:hint="eastAsia"/>
          <w:bCs/>
          <w:sz w:val="24"/>
          <w:szCs w:val="24"/>
        </w:rPr>
        <w:t>合格地进行中小企业私募债券投资。本基金在投资过程中密切监控债券信用等级或发行人信用等级变化情况，尽力规避风险，并获取超额收益。</w:t>
      </w:r>
    </w:p>
    <w:p w14:paraId="466AF9E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（三）股票投资策略</w:t>
      </w:r>
    </w:p>
    <w:p w14:paraId="11030CC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通过自上而下及自下而上相结合的方法挖掘优质的上市公司构建投资组合：自上而下地分析行业的增长前景、行业结构、商业模式、竞争要素等分析把握其投资机会；自下而上地评判企业的产品、核心竞争力、管理层、治理结构等；并结合企业基本面和估值水平进行综合的</w:t>
      </w:r>
      <w:proofErr w:type="gramStart"/>
      <w:r>
        <w:rPr>
          <w:rFonts w:asciiTheme="minorEastAsia" w:hAnsiTheme="minorEastAsia" w:cs="Times New Roman" w:hint="eastAsia"/>
          <w:bCs/>
          <w:sz w:val="24"/>
          <w:szCs w:val="24"/>
        </w:rPr>
        <w:t>研</w:t>
      </w:r>
      <w:proofErr w:type="gramEnd"/>
      <w:r>
        <w:rPr>
          <w:rFonts w:asciiTheme="minorEastAsia" w:hAnsiTheme="minorEastAsia" w:cs="Times New Roman" w:hint="eastAsia"/>
          <w:bCs/>
          <w:sz w:val="24"/>
          <w:szCs w:val="24"/>
        </w:rPr>
        <w:t>判，力争实现组合的保值增值。</w:t>
      </w:r>
    </w:p>
    <w:p w14:paraId="3D0E2F0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、自上而下的行业遴选</w:t>
      </w:r>
    </w:p>
    <w:p w14:paraId="642EAEE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w:t>
      </w:r>
      <w:r>
        <w:rPr>
          <w:rFonts w:asciiTheme="minorEastAsia" w:hAnsiTheme="minorEastAsia" w:cs="Times New Roman" w:hint="eastAsia"/>
          <w:bCs/>
          <w:sz w:val="24"/>
          <w:szCs w:val="24"/>
        </w:rPr>
        <w:t xml:space="preserve"> </w:t>
      </w:r>
      <w:r>
        <w:rPr>
          <w:rFonts w:asciiTheme="minorEastAsia" w:hAnsiTheme="minorEastAsia" w:cs="Times New Roman" w:hint="eastAsia"/>
          <w:bCs/>
          <w:sz w:val="24"/>
          <w:szCs w:val="24"/>
        </w:rPr>
        <w:t>特别是业内竞争的方式、业内竞争的激烈程度、以及业内厂商的谈判能力等。基于对行业结构的分析形成对业内竞争的关键成功要素的判断，为预测企业经营环境的变化建立起扎实的基础。</w:t>
      </w:r>
    </w:p>
    <w:p w14:paraId="6DF8B6D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、自下而上的个股选择</w:t>
      </w:r>
    </w:p>
    <w:p w14:paraId="798A8D7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w:t>
      </w:r>
      <w:proofErr w:type="gramStart"/>
      <w:r>
        <w:rPr>
          <w:rFonts w:asciiTheme="minorEastAsia" w:hAnsiTheme="minorEastAsia" w:cs="Times New Roman" w:hint="eastAsia"/>
          <w:bCs/>
          <w:sz w:val="24"/>
          <w:szCs w:val="24"/>
        </w:rPr>
        <w:t>就核心</w:t>
      </w:r>
      <w:proofErr w:type="gramEnd"/>
      <w:r>
        <w:rPr>
          <w:rFonts w:asciiTheme="minorEastAsia" w:hAnsiTheme="minorEastAsia" w:cs="Times New Roman" w:hint="eastAsia"/>
          <w:bCs/>
          <w:sz w:val="24"/>
          <w:szCs w:val="24"/>
        </w:rPr>
        <w:t>竞争力，分析公司的现有核心竞争力，并判断公司能否利用现有的资源、能力和定位取得可持续竞争优势。</w:t>
      </w:r>
    </w:p>
    <w:p w14:paraId="5363410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另一方面是管理层分析，在国内监管体系落后、公司治理结构不完善的基础上，上市公司的命运对管理团队的依赖度大大增加。本基金将着重考察公司的管理层以及管理制度。</w:t>
      </w:r>
    </w:p>
    <w:p w14:paraId="21C2F8D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、综合</w:t>
      </w:r>
      <w:proofErr w:type="gramStart"/>
      <w:r>
        <w:rPr>
          <w:rFonts w:asciiTheme="minorEastAsia" w:hAnsiTheme="minorEastAsia" w:cs="Times New Roman" w:hint="eastAsia"/>
          <w:bCs/>
          <w:sz w:val="24"/>
          <w:szCs w:val="24"/>
        </w:rPr>
        <w:t>研</w:t>
      </w:r>
      <w:proofErr w:type="gramEnd"/>
      <w:r>
        <w:rPr>
          <w:rFonts w:asciiTheme="minorEastAsia" w:hAnsiTheme="minorEastAsia" w:cs="Times New Roman" w:hint="eastAsia"/>
          <w:bCs/>
          <w:sz w:val="24"/>
          <w:szCs w:val="24"/>
        </w:rPr>
        <w:t>判</w:t>
      </w:r>
    </w:p>
    <w:p w14:paraId="4FD24D7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在自上而下和自下而上的基础上，结合估值分析，力争实现组合的保值增值。通过对估值方法的选择和估值倍数的比较，选择股价相对低估的股票。就估值方法而言，基于行业的特点确定对股价最有影响力的关键估值方法（包括</w:t>
      </w:r>
      <w:r>
        <w:rPr>
          <w:rFonts w:asciiTheme="minorEastAsia" w:hAnsiTheme="minorEastAsia" w:cs="Times New Roman" w:hint="eastAsia"/>
          <w:bCs/>
          <w:sz w:val="24"/>
          <w:szCs w:val="24"/>
        </w:rPr>
        <w:t>PE</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PEG</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PB</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PS</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EV/EBITDA</w:t>
      </w:r>
      <w:r>
        <w:rPr>
          <w:rFonts w:asciiTheme="minorEastAsia" w:hAnsiTheme="minorEastAsia" w:cs="Times New Roman" w:hint="eastAsia"/>
          <w:bCs/>
          <w:sz w:val="24"/>
          <w:szCs w:val="24"/>
        </w:rPr>
        <w:t>等）；就估值倍数而言，通过业内比较、历史比较和增长性分析，确定具有上升基础的股价水平。</w:t>
      </w:r>
    </w:p>
    <w:p w14:paraId="51F3A36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（四）金融衍生</w:t>
      </w:r>
      <w:proofErr w:type="gramStart"/>
      <w:r>
        <w:rPr>
          <w:rFonts w:asciiTheme="minorEastAsia" w:hAnsiTheme="minorEastAsia" w:cs="Times New Roman" w:hint="eastAsia"/>
          <w:bCs/>
          <w:sz w:val="24"/>
          <w:szCs w:val="24"/>
        </w:rPr>
        <w:t>品投资</w:t>
      </w:r>
      <w:proofErr w:type="gramEnd"/>
      <w:r>
        <w:rPr>
          <w:rFonts w:asciiTheme="minorEastAsia" w:hAnsiTheme="minorEastAsia" w:cs="Times New Roman" w:hint="eastAsia"/>
          <w:bCs/>
          <w:sz w:val="24"/>
          <w:szCs w:val="24"/>
        </w:rPr>
        <w:t>策略</w:t>
      </w:r>
    </w:p>
    <w:p w14:paraId="0ACF9A7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、权证投资策略</w:t>
      </w:r>
    </w:p>
    <w:p w14:paraId="5965224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权证为本基金辅助性投资工具，投资原则为有利于基金资产增值、控制下跌风险。本基金在权证投资方面将以价值分析为基础，在采用数量化模型分析其合理定价的基础上，立足于无风险套利，力求稳健的投资收益。</w:t>
      </w:r>
    </w:p>
    <w:p w14:paraId="17E15C0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、股指期货投资策略</w:t>
      </w:r>
    </w:p>
    <w:p w14:paraId="3B946F0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本基金将根据风险管理的原则，以套期保值为目的，在风险可控的前提下，本着谨慎原则，参与股指期货的投资，以管理投资组合的系统性风险，改善组合的风险收益特性。</w:t>
      </w:r>
    </w:p>
    <w:p w14:paraId="487359DF" w14:textId="77777777" w:rsidR="007B7C2A" w:rsidRDefault="00072812">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、股票期权投资策略</w:t>
      </w:r>
    </w:p>
    <w:p w14:paraId="0C4B980E" w14:textId="77777777" w:rsidR="007B7C2A" w:rsidRDefault="00072812">
      <w:pPr>
        <w:autoSpaceDE w:val="0"/>
        <w:autoSpaceDN w:val="0"/>
        <w:spacing w:line="360" w:lineRule="auto"/>
        <w:ind w:firstLineChars="200" w:firstLine="480"/>
        <w:textAlignment w:val="bottom"/>
        <w:rPr>
          <w:bCs/>
          <w:sz w:val="24"/>
        </w:rPr>
      </w:pPr>
      <w:r>
        <w:rPr>
          <w:rFonts w:hint="eastAsia"/>
          <w:bCs/>
          <w:sz w:val="24"/>
        </w:rPr>
        <w:t>本基金按照风险管理的原则，在严格控制风险的前提下，</w:t>
      </w:r>
      <w:r>
        <w:rPr>
          <w:bCs/>
          <w:sz w:val="24"/>
        </w:rPr>
        <w:t>以套期保值为目的，</w:t>
      </w:r>
      <w:r>
        <w:rPr>
          <w:rFonts w:hint="eastAsia"/>
          <w:bCs/>
          <w:sz w:val="24"/>
        </w:rPr>
        <w:t>选择流动性好、交易活跃的股票期权合约进行投资。本基金基于证券市场的判断，结合期权定价模型，选择估值合理的股票期权合约。</w:t>
      </w:r>
    </w:p>
    <w:p w14:paraId="4B1514F8" w14:textId="77777777" w:rsidR="007B7C2A" w:rsidRDefault="00072812">
      <w:pPr>
        <w:autoSpaceDE w:val="0"/>
        <w:autoSpaceDN w:val="0"/>
        <w:spacing w:line="360" w:lineRule="auto"/>
        <w:ind w:firstLineChars="200" w:firstLine="480"/>
        <w:textAlignment w:val="bottom"/>
        <w:rPr>
          <w:bCs/>
          <w:sz w:val="24"/>
        </w:rPr>
      </w:pPr>
      <w:r>
        <w:rPr>
          <w:rFonts w:hint="eastAsia"/>
          <w:bCs/>
          <w:sz w:val="24"/>
        </w:rPr>
        <w:t>本基金投资股票期权，基金管理人将根据审慎原则，建立期权交易决策部门或小组，授权特定的管理人员负责期权的投资审批事项，以防范期权投资的风险。</w:t>
      </w:r>
    </w:p>
    <w:p w14:paraId="02D25DAB" w14:textId="77777777" w:rsidR="007B7C2A" w:rsidRDefault="00072812">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、国债期货投资策略</w:t>
      </w:r>
    </w:p>
    <w:p w14:paraId="5B6007FD" w14:textId="77777777" w:rsidR="007B7C2A" w:rsidRDefault="00072812">
      <w:pPr>
        <w:autoSpaceDE w:val="0"/>
        <w:autoSpaceDN w:val="0"/>
        <w:spacing w:line="360" w:lineRule="auto"/>
        <w:ind w:firstLineChars="200" w:firstLine="480"/>
        <w:textAlignment w:val="bottom"/>
        <w:rPr>
          <w:bCs/>
          <w:sz w:val="24"/>
        </w:rPr>
      </w:pPr>
      <w:r>
        <w:rPr>
          <w:rFonts w:hint="eastAsia"/>
          <w:bCs/>
          <w:sz w:val="24"/>
        </w:rPr>
        <w:t>本基金投资国债期货，将根据风险管理的原则，</w:t>
      </w:r>
      <w:r>
        <w:rPr>
          <w:bCs/>
          <w:sz w:val="24"/>
        </w:rPr>
        <w:t>以套期保值为目的，</w:t>
      </w:r>
      <w:r>
        <w:rPr>
          <w:rFonts w:hint="eastAsia"/>
          <w:bCs/>
          <w:sz w:val="24"/>
        </w:rPr>
        <w:t>充分考虑国债期货的流动性和风险收益特征，在风险可控的前提下，适度参与国债期货投资。</w:t>
      </w:r>
    </w:p>
    <w:p w14:paraId="0E1F6ED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hint="eastAsia"/>
          <w:bCs/>
          <w:sz w:val="24"/>
        </w:rPr>
        <w:t>未来，根据市场情况，基金可相应调整和更新相关投资策略，并在招募说明书更新中公告。</w:t>
      </w:r>
    </w:p>
    <w:p w14:paraId="66EB4D1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（五）资产支持证券投资策略</w:t>
      </w:r>
    </w:p>
    <w:p w14:paraId="6BF8A31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3C96D89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（六）存托凭证投资策略</w:t>
      </w:r>
    </w:p>
    <w:p w14:paraId="01FF19B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本基金将在控制风险的前提下，依照基金投资目标和股票投资策略，基于对基础证券投资价值的深入研究和判断，通过定性分析和定量分析相结合的方式，精选出具有比较优势的存托凭证。</w:t>
      </w:r>
    </w:p>
    <w:p w14:paraId="3289DED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未来随着证券市场投资工具的发展和丰富，在符合有关法律法规规定的前提下，本基金可相应调整和更新相关投资策略。</w:t>
      </w:r>
    </w:p>
    <w:p w14:paraId="6E37A145"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四、投资限制</w:t>
      </w:r>
    </w:p>
    <w:p w14:paraId="6732D4D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、组合限制</w:t>
      </w:r>
    </w:p>
    <w:p w14:paraId="241D2BC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基金的投资组合应遵循以下限制：</w:t>
      </w:r>
    </w:p>
    <w:p w14:paraId="0E25570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）股票投资占基金资产的比例为</w:t>
      </w:r>
      <w:r>
        <w:rPr>
          <w:rFonts w:asciiTheme="minorEastAsia" w:hAnsiTheme="minorEastAsia" w:cs="Times New Roman" w:hint="eastAsia"/>
          <w:bCs/>
          <w:sz w:val="24"/>
          <w:szCs w:val="24"/>
        </w:rPr>
        <w:t>0%</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95%</w:t>
      </w:r>
      <w:r>
        <w:rPr>
          <w:rFonts w:asciiTheme="minorEastAsia" w:hAnsiTheme="minorEastAsia" w:cs="Times New Roman" w:hint="eastAsia"/>
          <w:bCs/>
          <w:sz w:val="24"/>
          <w:szCs w:val="24"/>
        </w:rPr>
        <w:t>；</w:t>
      </w:r>
    </w:p>
    <w:p w14:paraId="4989347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）每个交易日日终在扣除股指期货、国债期货合约需缴纳的交易保证金后，保持不低于基金资产净值</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％的现金或者到期日在一年以内的政府债券，其中现金不包括结算备付金、存出保证金、应收申购款等；</w:t>
      </w:r>
    </w:p>
    <w:p w14:paraId="2FAE693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）本基金持有一家公司发行的证券，其市值不超过基金资产净值的</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w:t>
      </w:r>
    </w:p>
    <w:p w14:paraId="5106138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）本基金管理人管理的全部基金持有一家公司发行的证券，不超过该证券的</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w:t>
      </w:r>
    </w:p>
    <w:p w14:paraId="7127172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）本基金持有的全部权证，其市值不得超过基金资产净值的</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w:t>
      </w:r>
    </w:p>
    <w:p w14:paraId="03AF099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）本基金管理人管理的全部基金持有的同一权证，不得超过该权证的</w:t>
      </w:r>
      <w:r>
        <w:rPr>
          <w:rFonts w:asciiTheme="minorEastAsia" w:hAnsiTheme="minorEastAsia" w:cs="Times New Roman" w:hint="eastAsia"/>
          <w:bCs/>
          <w:sz w:val="24"/>
          <w:szCs w:val="24"/>
        </w:rPr>
        <w:t xml:space="preserve">   10</w:t>
      </w:r>
      <w:r>
        <w:rPr>
          <w:rFonts w:asciiTheme="minorEastAsia" w:hAnsiTheme="minorEastAsia" w:cs="Times New Roman" w:hint="eastAsia"/>
          <w:bCs/>
          <w:sz w:val="24"/>
          <w:szCs w:val="24"/>
        </w:rPr>
        <w:t>％；</w:t>
      </w:r>
    </w:p>
    <w:p w14:paraId="6D10573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）本基金在任何交易日买入权证的总金额，不得超过上一交易日基金资产净值的</w:t>
      </w:r>
      <w:r>
        <w:rPr>
          <w:rFonts w:asciiTheme="minorEastAsia" w:hAnsiTheme="minorEastAsia" w:cs="Times New Roman" w:hint="eastAsia"/>
          <w:bCs/>
          <w:sz w:val="24"/>
          <w:szCs w:val="24"/>
        </w:rPr>
        <w:t>0.5</w:t>
      </w:r>
      <w:r>
        <w:rPr>
          <w:rFonts w:asciiTheme="minorEastAsia" w:hAnsiTheme="minorEastAsia" w:cs="Times New Roman" w:hint="eastAsia"/>
          <w:bCs/>
          <w:sz w:val="24"/>
          <w:szCs w:val="24"/>
        </w:rPr>
        <w:t>％；</w:t>
      </w:r>
    </w:p>
    <w:p w14:paraId="26EE1BD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8</w:t>
      </w:r>
      <w:r>
        <w:rPr>
          <w:rFonts w:asciiTheme="minorEastAsia" w:hAnsiTheme="minorEastAsia" w:cs="Times New Roman" w:hint="eastAsia"/>
          <w:bCs/>
          <w:sz w:val="24"/>
          <w:szCs w:val="24"/>
        </w:rPr>
        <w:t>）本基金投资于同一原始权益人的各类资产支持证券的比例，不得超过基金资产净值的</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w:t>
      </w:r>
    </w:p>
    <w:p w14:paraId="17AED88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9</w:t>
      </w:r>
      <w:r>
        <w:rPr>
          <w:rFonts w:asciiTheme="minorEastAsia" w:hAnsiTheme="minorEastAsia" w:cs="Times New Roman" w:hint="eastAsia"/>
          <w:bCs/>
          <w:sz w:val="24"/>
          <w:szCs w:val="24"/>
        </w:rPr>
        <w:t>）本基金持有的全部资产支持证券，其市值不得超过基金资产净值的</w:t>
      </w:r>
      <w:r>
        <w:rPr>
          <w:rFonts w:asciiTheme="minorEastAsia" w:hAnsiTheme="minorEastAsia" w:cs="Times New Roman" w:hint="eastAsia"/>
          <w:bCs/>
          <w:sz w:val="24"/>
          <w:szCs w:val="24"/>
        </w:rPr>
        <w:t>20</w:t>
      </w:r>
      <w:r>
        <w:rPr>
          <w:rFonts w:asciiTheme="minorEastAsia" w:hAnsiTheme="minorEastAsia" w:cs="Times New Roman" w:hint="eastAsia"/>
          <w:bCs/>
          <w:sz w:val="24"/>
          <w:szCs w:val="24"/>
        </w:rPr>
        <w:t>％，中国证监会规定的特殊品种除外；</w:t>
      </w:r>
    </w:p>
    <w:p w14:paraId="29B6841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）本基金持有的同一</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指同一信用级别</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资产支持证券的比例，不得超过该资产支持证券规模的</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w:t>
      </w:r>
    </w:p>
    <w:p w14:paraId="59F5812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11</w:t>
      </w:r>
      <w:r>
        <w:rPr>
          <w:rFonts w:asciiTheme="minorEastAsia" w:hAnsiTheme="minorEastAsia" w:cs="Times New Roman" w:hint="eastAsia"/>
          <w:bCs/>
          <w:sz w:val="24"/>
          <w:szCs w:val="24"/>
        </w:rPr>
        <w:t>）本基金管理人管理的全部基金投资于同一原始权益人的各类资产支持证券，不得超过其各类资产支持证券合计规模的</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w:t>
      </w:r>
    </w:p>
    <w:p w14:paraId="3A67999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12</w:t>
      </w:r>
      <w:r>
        <w:rPr>
          <w:rFonts w:asciiTheme="minorEastAsia" w:hAnsiTheme="minorEastAsia" w:cs="Times New Roman" w:hint="eastAsia"/>
          <w:bCs/>
          <w:sz w:val="24"/>
          <w:szCs w:val="24"/>
        </w:rPr>
        <w:t>）本基金应投资于信用级别评级为</w:t>
      </w:r>
      <w:r>
        <w:rPr>
          <w:rFonts w:asciiTheme="minorEastAsia" w:hAnsiTheme="minorEastAsia" w:cs="Times New Roman" w:hint="eastAsia"/>
          <w:bCs/>
          <w:sz w:val="24"/>
          <w:szCs w:val="24"/>
        </w:rPr>
        <w:t>BBB</w:t>
      </w:r>
      <w:r>
        <w:rPr>
          <w:rFonts w:asciiTheme="minorEastAsia" w:hAnsiTheme="minorEastAsia" w:cs="Times New Roman" w:hint="eastAsia"/>
          <w:bCs/>
          <w:sz w:val="24"/>
          <w:szCs w:val="24"/>
        </w:rPr>
        <w:t>以上</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含</w:t>
      </w:r>
      <w:r>
        <w:rPr>
          <w:rFonts w:asciiTheme="minorEastAsia" w:hAnsiTheme="minorEastAsia" w:cs="Times New Roman" w:hint="eastAsia"/>
          <w:bCs/>
          <w:sz w:val="24"/>
          <w:szCs w:val="24"/>
        </w:rPr>
        <w:t>BBB)</w:t>
      </w:r>
      <w:r>
        <w:rPr>
          <w:rFonts w:asciiTheme="minorEastAsia" w:hAnsiTheme="minorEastAsia" w:cs="Times New Roman" w:hint="eastAsia"/>
          <w:bCs/>
          <w:sz w:val="24"/>
          <w:szCs w:val="24"/>
        </w:rPr>
        <w:t>的资产支持证券。基金持有资产支持证券期间，如果其信用等级下降、不再符合投资标准，应在评级报告发布之日起</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个月内予以全部卖出；</w:t>
      </w:r>
    </w:p>
    <w:p w14:paraId="337D18F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13</w:t>
      </w:r>
      <w:r>
        <w:rPr>
          <w:rFonts w:asciiTheme="minorEastAsia" w:hAnsiTheme="minorEastAsia" w:cs="Times New Roman" w:hint="eastAsia"/>
          <w:bCs/>
          <w:sz w:val="24"/>
          <w:szCs w:val="24"/>
        </w:rPr>
        <w:t>）基金财产参与股票发行申购，本基金所申报的金额不超过本基金的总资产，本基金所申报的股票数量不超过拟发行股票公司本次发行股票的总量；</w:t>
      </w:r>
    </w:p>
    <w:p w14:paraId="6132A78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14</w:t>
      </w:r>
      <w:r>
        <w:rPr>
          <w:rFonts w:asciiTheme="minorEastAsia" w:hAnsiTheme="minorEastAsia" w:cs="Times New Roman" w:hint="eastAsia"/>
          <w:bCs/>
          <w:sz w:val="24"/>
          <w:szCs w:val="24"/>
        </w:rPr>
        <w:t>）本基金进入全国银行间同业市场进行债券回购的资金余额不得超过基金资产净值的</w:t>
      </w:r>
      <w:r>
        <w:rPr>
          <w:rFonts w:asciiTheme="minorEastAsia" w:hAnsiTheme="minorEastAsia" w:cs="Times New Roman" w:hint="eastAsia"/>
          <w:bCs/>
          <w:sz w:val="24"/>
          <w:szCs w:val="24"/>
        </w:rPr>
        <w:t>40%</w:t>
      </w:r>
      <w:r>
        <w:rPr>
          <w:rFonts w:asciiTheme="minorEastAsia" w:hAnsiTheme="minorEastAsia" w:cs="Times New Roman" w:hint="eastAsia"/>
          <w:bCs/>
          <w:sz w:val="24"/>
          <w:szCs w:val="24"/>
        </w:rPr>
        <w:t>，在全国银行间同业市场的债券回购最长期限为</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年，债券回购到期后不得展期；</w:t>
      </w:r>
    </w:p>
    <w:p w14:paraId="6F518E9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）本基金总资产不得超过基金净资产的</w:t>
      </w:r>
      <w:r>
        <w:rPr>
          <w:rFonts w:asciiTheme="minorEastAsia" w:hAnsiTheme="minorEastAsia" w:cs="Times New Roman" w:hint="eastAsia"/>
          <w:bCs/>
          <w:sz w:val="24"/>
          <w:szCs w:val="24"/>
        </w:rPr>
        <w:t xml:space="preserve"> 140%</w:t>
      </w:r>
      <w:r>
        <w:rPr>
          <w:rFonts w:asciiTheme="minorEastAsia" w:hAnsiTheme="minorEastAsia" w:cs="Times New Roman" w:hint="eastAsia"/>
          <w:bCs/>
          <w:sz w:val="24"/>
          <w:szCs w:val="24"/>
        </w:rPr>
        <w:t>；</w:t>
      </w:r>
    </w:p>
    <w:p w14:paraId="26D7A7DF" w14:textId="77777777" w:rsidR="007B7C2A" w:rsidRDefault="00072812">
      <w:pPr>
        <w:autoSpaceDE w:val="0"/>
        <w:autoSpaceDN w:val="0"/>
        <w:spacing w:line="276"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16</w:t>
      </w:r>
      <w:r>
        <w:rPr>
          <w:rFonts w:asciiTheme="minorEastAsia" w:hAnsiTheme="minorEastAsia" w:cs="Times New Roman" w:hint="eastAsia"/>
          <w:bCs/>
          <w:sz w:val="24"/>
          <w:szCs w:val="24"/>
        </w:rPr>
        <w:t>）</w:t>
      </w:r>
      <w:r>
        <w:rPr>
          <w:rFonts w:hint="eastAsia"/>
          <w:bCs/>
          <w:sz w:val="24"/>
        </w:rPr>
        <w:t>本基金持有单只中小企业私募债券，其市值不得超过本基金资产净值的</w:t>
      </w:r>
      <w:r>
        <w:rPr>
          <w:rFonts w:hint="eastAsia"/>
          <w:bCs/>
          <w:sz w:val="24"/>
        </w:rPr>
        <w:t>10%</w:t>
      </w:r>
      <w:r>
        <w:rPr>
          <w:rFonts w:hint="eastAsia"/>
          <w:bCs/>
          <w:sz w:val="24"/>
        </w:rPr>
        <w:t>；</w:t>
      </w:r>
      <w:r>
        <w:rPr>
          <w:rFonts w:asciiTheme="minorEastAsia" w:hAnsiTheme="minorEastAsia" w:cs="Times New Roman" w:hint="eastAsia"/>
          <w:bCs/>
          <w:sz w:val="24"/>
          <w:szCs w:val="24"/>
        </w:rPr>
        <w:t>基金投资于中小企业私募债的比例不超过基金资产净值的</w:t>
      </w:r>
      <w:r>
        <w:rPr>
          <w:rFonts w:asciiTheme="minorEastAsia" w:hAnsiTheme="minorEastAsia" w:cs="Times New Roman" w:hint="eastAsia"/>
          <w:bCs/>
          <w:sz w:val="24"/>
          <w:szCs w:val="24"/>
        </w:rPr>
        <w:t>20%</w:t>
      </w:r>
      <w:r>
        <w:rPr>
          <w:rFonts w:asciiTheme="minorEastAsia" w:hAnsiTheme="minorEastAsia" w:cs="Times New Roman" w:hint="eastAsia"/>
          <w:bCs/>
          <w:sz w:val="24"/>
          <w:szCs w:val="24"/>
        </w:rPr>
        <w:t>；</w:t>
      </w:r>
    </w:p>
    <w:p w14:paraId="3A4FE34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17</w:t>
      </w:r>
      <w:r>
        <w:rPr>
          <w:rFonts w:asciiTheme="minorEastAsia" w:hAnsiTheme="minorEastAsia" w:cs="Times New Roman" w:hint="eastAsia"/>
          <w:bCs/>
          <w:sz w:val="24"/>
          <w:szCs w:val="24"/>
        </w:rPr>
        <w:t>）本基金参与股指期货、国债期货交易，需遵守下列规定：</w:t>
      </w:r>
    </w:p>
    <w:p w14:paraId="25CE659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）本基金在任何交易日日终，持有的买入股指期货合约价值，不得超过基金资产净值的</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w:t>
      </w:r>
    </w:p>
    <w:p w14:paraId="7A1C536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）本基金在任何交易日日终，持有的买入股指期货、国债期货合约价值与有价证券市值之和，不得超过基金资产净值的</w:t>
      </w:r>
      <w:r>
        <w:rPr>
          <w:rFonts w:asciiTheme="minorEastAsia" w:hAnsiTheme="minorEastAsia" w:cs="Times New Roman" w:hint="eastAsia"/>
          <w:bCs/>
          <w:sz w:val="24"/>
          <w:szCs w:val="24"/>
        </w:rPr>
        <w:t>95%</w:t>
      </w:r>
      <w:r>
        <w:rPr>
          <w:rFonts w:asciiTheme="minorEastAsia" w:hAnsiTheme="minorEastAsia" w:cs="Times New Roman" w:hint="eastAsia"/>
          <w:bCs/>
          <w:sz w:val="24"/>
          <w:szCs w:val="24"/>
        </w:rPr>
        <w:t>，其中，有价证券指股票、债券（不含到期日在一年以内的政府债券）、权证、资产支持证券、买入返售金融资产（不含质押式回购）等；</w:t>
      </w:r>
    </w:p>
    <w:p w14:paraId="2BB898CB"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）本基金在任何交易日日终，持有的卖出股指期货合约价值不得超过基金持有的股票总市值的</w:t>
      </w:r>
      <w:r>
        <w:rPr>
          <w:rFonts w:asciiTheme="minorEastAsia" w:hAnsiTheme="minorEastAsia" w:cs="Times New Roman" w:hint="eastAsia"/>
          <w:bCs/>
          <w:sz w:val="24"/>
          <w:szCs w:val="24"/>
        </w:rPr>
        <w:t>20%</w:t>
      </w:r>
      <w:r>
        <w:rPr>
          <w:rFonts w:asciiTheme="minorEastAsia" w:hAnsiTheme="minorEastAsia" w:cs="Times New Roman" w:hint="eastAsia"/>
          <w:bCs/>
          <w:sz w:val="24"/>
          <w:szCs w:val="24"/>
        </w:rPr>
        <w:t>；</w:t>
      </w:r>
    </w:p>
    <w:p w14:paraId="63CA7FA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）本基金在任何交易日内交易（不包括平仓）的股指期货合约的成交金额不得超过上一交易日基金资产净值的</w:t>
      </w:r>
      <w:r>
        <w:rPr>
          <w:rFonts w:asciiTheme="minorEastAsia" w:hAnsiTheme="minorEastAsia" w:cs="Times New Roman" w:hint="eastAsia"/>
          <w:bCs/>
          <w:sz w:val="24"/>
          <w:szCs w:val="24"/>
        </w:rPr>
        <w:t>20%</w:t>
      </w:r>
      <w:r>
        <w:rPr>
          <w:rFonts w:asciiTheme="minorEastAsia" w:hAnsiTheme="minorEastAsia" w:cs="Times New Roman" w:hint="eastAsia"/>
          <w:bCs/>
          <w:sz w:val="24"/>
          <w:szCs w:val="24"/>
        </w:rPr>
        <w:t>；</w:t>
      </w:r>
    </w:p>
    <w:p w14:paraId="6A91318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）本基金所持有的股票市值和买入、卖出股指期货合约价值，合计（轧差计算）应当符合基金合同关于股票投资比例的有关规定；</w:t>
      </w:r>
    </w:p>
    <w:p w14:paraId="5F267A9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w:t>
      </w:r>
      <w:r>
        <w:rPr>
          <w:rFonts w:asciiTheme="minorEastAsia" w:hAnsiTheme="minorEastAsia" w:cs="Times New Roman" w:hint="eastAsia"/>
          <w:bCs/>
          <w:sz w:val="24"/>
          <w:szCs w:val="24"/>
        </w:rPr>
        <w:t>）本基金在任何交易日日终，持有的买入国债期货合约价值，不得超过基金资产净值的</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w:t>
      </w:r>
    </w:p>
    <w:p w14:paraId="6239A53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w:t>
      </w:r>
      <w:r>
        <w:rPr>
          <w:rFonts w:asciiTheme="minorEastAsia" w:hAnsiTheme="minorEastAsia" w:cs="Times New Roman" w:hint="eastAsia"/>
          <w:bCs/>
          <w:sz w:val="24"/>
          <w:szCs w:val="24"/>
        </w:rPr>
        <w:t>）本基金在任何交易日日终，持有的卖出国债期货合约价值不得超过基金持有的债券总市值的</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w:t>
      </w:r>
    </w:p>
    <w:p w14:paraId="5883BE7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8</w:t>
      </w:r>
      <w:r>
        <w:rPr>
          <w:rFonts w:asciiTheme="minorEastAsia" w:hAnsiTheme="minorEastAsia" w:cs="Times New Roman" w:hint="eastAsia"/>
          <w:bCs/>
          <w:sz w:val="24"/>
          <w:szCs w:val="24"/>
        </w:rPr>
        <w:t>）本基金在任何交易日内交易（不包括平仓）的国债期货合约的成交金额不得超过上一交易日基金资产净值的</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w:t>
      </w:r>
    </w:p>
    <w:p w14:paraId="512FB24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18</w:t>
      </w:r>
      <w:r>
        <w:rPr>
          <w:rFonts w:asciiTheme="minorEastAsia" w:hAnsiTheme="minorEastAsia" w:cs="Times New Roman" w:hint="eastAsia"/>
          <w:bCs/>
          <w:sz w:val="24"/>
          <w:szCs w:val="24"/>
        </w:rPr>
        <w:t>）本基金参与股票期权交易，需遵守下列投资比例限制：</w:t>
      </w:r>
    </w:p>
    <w:p w14:paraId="2DD6303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）本基金因未平仓的期权合约支付和收取的权利金总额不得超过基金资产净值的</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w:t>
      </w:r>
    </w:p>
    <w:p w14:paraId="0D04AE9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）本基金开仓卖出认购期权的，应持有足额标的证券；开仓卖出认沽期权的，应持有合约行权所需的全额现金或交易所规则认可的可冲抵期权保证金的现金等价物；</w:t>
      </w:r>
    </w:p>
    <w:p w14:paraId="07A9721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）本基金未平仓的期权合约面值不得超过基金资产净值的</w:t>
      </w:r>
      <w:r>
        <w:rPr>
          <w:rFonts w:asciiTheme="minorEastAsia" w:hAnsiTheme="minorEastAsia" w:cs="Times New Roman" w:hint="eastAsia"/>
          <w:bCs/>
          <w:sz w:val="24"/>
          <w:szCs w:val="24"/>
        </w:rPr>
        <w:t>20%</w:t>
      </w:r>
      <w:r>
        <w:rPr>
          <w:rFonts w:asciiTheme="minorEastAsia" w:hAnsiTheme="minorEastAsia" w:cs="Times New Roman" w:hint="eastAsia"/>
          <w:bCs/>
          <w:sz w:val="24"/>
          <w:szCs w:val="24"/>
        </w:rPr>
        <w:t>。其中，合约面值按照行权价乘以合约乘数计算；</w:t>
      </w:r>
    </w:p>
    <w:p w14:paraId="0A8B143C" w14:textId="77777777" w:rsidR="007B7C2A" w:rsidRDefault="00072812">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1493EB89" w14:textId="77777777" w:rsidR="007B7C2A" w:rsidRDefault="00072812">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09BFA0EB" w14:textId="77777777" w:rsidR="007B7C2A" w:rsidRDefault="00072812">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178D090D" w14:textId="77777777" w:rsidR="007B7C2A" w:rsidRDefault="00072812">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18A0FB9C" w14:textId="77777777" w:rsidR="007B7C2A" w:rsidRDefault="000728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72E158E0" w14:textId="77777777" w:rsidR="007B7C2A" w:rsidRDefault="000728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4A1B74F9" w14:textId="77777777" w:rsidR="007B7C2A" w:rsidRDefault="00072812">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1A63480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基金管理人应当自基金合同生效之日起</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6DCE162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法律法规或监管部门取消或调整上述限制，如适用于本基金，基金管理人在履行适当程序后，则本基金投资不再受相关限制或按调整后的规定执行。</w:t>
      </w:r>
    </w:p>
    <w:p w14:paraId="163463B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、禁止行为</w:t>
      </w:r>
    </w:p>
    <w:p w14:paraId="72E2D22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为维护基金份额持有人的合法权益，基金财产不得用于下列投资或者活动：</w:t>
      </w:r>
    </w:p>
    <w:p w14:paraId="02A403A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）承销证券；</w:t>
      </w:r>
    </w:p>
    <w:p w14:paraId="692BB71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）违反规定向他人贷款或者提供担保；</w:t>
      </w:r>
    </w:p>
    <w:p w14:paraId="4D1CB0E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）从事承担无限责任的投资；</w:t>
      </w:r>
    </w:p>
    <w:p w14:paraId="60BB3E7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）买卖其他基金份额，但是中国证监会另有规定的除外；</w:t>
      </w:r>
    </w:p>
    <w:p w14:paraId="0A58766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）向其基金管理人、基金托管人出资；</w:t>
      </w:r>
    </w:p>
    <w:p w14:paraId="7EC3546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）从事内幕交易、操纵证券交易价格及其他不正当的证券交易活动；</w:t>
      </w:r>
    </w:p>
    <w:p w14:paraId="268B32AB"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）法律、行政法规和中国证监会规定禁止的其他活动。</w:t>
      </w:r>
    </w:p>
    <w:p w14:paraId="452385D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ED25A0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法律、行政法规或监管部门取消上述禁止性规定，如适用于本基金，则本基金投资不再受相关限制。</w:t>
      </w:r>
    </w:p>
    <w:p w14:paraId="66D49EF9"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五、业绩比较基准</w:t>
      </w:r>
    </w:p>
    <w:p w14:paraId="05E3ADF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本基金的业绩比较基准为：中</w:t>
      </w:r>
      <w:proofErr w:type="gramStart"/>
      <w:r>
        <w:rPr>
          <w:rFonts w:asciiTheme="minorEastAsia" w:hAnsiTheme="minorEastAsia" w:cs="Times New Roman" w:hint="eastAsia"/>
          <w:bCs/>
          <w:sz w:val="24"/>
          <w:szCs w:val="24"/>
        </w:rPr>
        <w:t>证全债指数</w:t>
      </w:r>
      <w:proofErr w:type="gramEnd"/>
      <w:r>
        <w:rPr>
          <w:rFonts w:asciiTheme="minorEastAsia" w:hAnsiTheme="minorEastAsia" w:cs="Times New Roman" w:hint="eastAsia"/>
          <w:bCs/>
          <w:sz w:val="24"/>
          <w:szCs w:val="24"/>
        </w:rPr>
        <w:t>收益率×</w:t>
      </w:r>
      <w:r>
        <w:rPr>
          <w:rFonts w:asciiTheme="minorEastAsia" w:hAnsiTheme="minorEastAsia" w:cs="Times New Roman" w:hint="eastAsia"/>
          <w:bCs/>
          <w:sz w:val="24"/>
          <w:szCs w:val="24"/>
        </w:rPr>
        <w:t>70%+</w:t>
      </w:r>
      <w:r>
        <w:rPr>
          <w:rFonts w:asciiTheme="minorEastAsia" w:hAnsiTheme="minorEastAsia" w:cs="Times New Roman" w:hint="eastAsia"/>
          <w:bCs/>
          <w:sz w:val="24"/>
          <w:szCs w:val="24"/>
        </w:rPr>
        <w:t>沪深</w:t>
      </w:r>
      <w:r>
        <w:rPr>
          <w:rFonts w:asciiTheme="minorEastAsia" w:hAnsiTheme="minorEastAsia" w:cs="Times New Roman" w:hint="eastAsia"/>
          <w:bCs/>
          <w:sz w:val="24"/>
          <w:szCs w:val="24"/>
        </w:rPr>
        <w:t>300</w:t>
      </w:r>
      <w:r>
        <w:rPr>
          <w:rFonts w:asciiTheme="minorEastAsia" w:hAnsiTheme="minorEastAsia" w:cs="Times New Roman" w:hint="eastAsia"/>
          <w:bCs/>
          <w:sz w:val="24"/>
          <w:szCs w:val="24"/>
        </w:rPr>
        <w:t>指数收益率×</w:t>
      </w:r>
      <w:r>
        <w:rPr>
          <w:rFonts w:asciiTheme="minorEastAsia" w:hAnsiTheme="minorEastAsia" w:cs="Times New Roman" w:hint="eastAsia"/>
          <w:bCs/>
          <w:sz w:val="24"/>
          <w:szCs w:val="24"/>
        </w:rPr>
        <w:t>30%</w:t>
      </w:r>
    </w:p>
    <w:p w14:paraId="0A95D21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中</w:t>
      </w:r>
      <w:proofErr w:type="gramStart"/>
      <w:r>
        <w:rPr>
          <w:rFonts w:asciiTheme="minorEastAsia" w:hAnsiTheme="minorEastAsia" w:cs="Times New Roman" w:hint="eastAsia"/>
          <w:bCs/>
          <w:sz w:val="24"/>
          <w:szCs w:val="24"/>
        </w:rPr>
        <w:t>证全债指数</w:t>
      </w:r>
      <w:proofErr w:type="gramEnd"/>
      <w:r>
        <w:rPr>
          <w:rFonts w:asciiTheme="minorEastAsia" w:hAnsiTheme="minorEastAsia" w:cs="Times New Roman" w:hint="eastAsia"/>
          <w:bCs/>
          <w:sz w:val="24"/>
          <w:szCs w:val="24"/>
        </w:rPr>
        <w:t>的选样债券的信用类别覆盖全面，期限构成宽泛，适于</w:t>
      </w:r>
      <w:proofErr w:type="gramStart"/>
      <w:r>
        <w:rPr>
          <w:rFonts w:asciiTheme="minorEastAsia" w:hAnsiTheme="minorEastAsia" w:cs="Times New Roman" w:hint="eastAsia"/>
          <w:bCs/>
          <w:sz w:val="24"/>
          <w:szCs w:val="24"/>
        </w:rPr>
        <w:t>做基金</w:t>
      </w:r>
      <w:proofErr w:type="gramEnd"/>
      <w:r>
        <w:rPr>
          <w:rFonts w:asciiTheme="minorEastAsia" w:hAnsiTheme="minorEastAsia" w:cs="Times New Roman" w:hint="eastAsia"/>
          <w:bCs/>
          <w:sz w:val="24"/>
          <w:szCs w:val="24"/>
        </w:rPr>
        <w:t>债券资产的业绩比较基准。沪深</w:t>
      </w:r>
      <w:r>
        <w:rPr>
          <w:rFonts w:asciiTheme="minorEastAsia" w:hAnsiTheme="minorEastAsia" w:cs="Times New Roman" w:hint="eastAsia"/>
          <w:bCs/>
          <w:sz w:val="24"/>
          <w:szCs w:val="24"/>
        </w:rPr>
        <w:t xml:space="preserve"> 300 </w:t>
      </w:r>
      <w:r>
        <w:rPr>
          <w:rFonts w:asciiTheme="minorEastAsia" w:hAnsiTheme="minorEastAsia" w:cs="Times New Roman" w:hint="eastAsia"/>
          <w:bCs/>
          <w:sz w:val="24"/>
          <w:szCs w:val="24"/>
        </w:rPr>
        <w:t>指数选样科学客观，行业代表性好，流动性高，抗操纵性强，是目前市场上较有影响力的股票投资业绩比较基准。基于本基金的投资范围和投资比例限制，选用上述业绩比较基准能够忠实反映本基金的风险收益特征。</w:t>
      </w:r>
    </w:p>
    <w:p w14:paraId="30A8C14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如果今后法律法规发生变化，或者有更权威的、更能为市场普遍接受的业绩比较基准推出，或者是市场上出现更加适合用于本基金的业绩比较基准时，基金管理人经与基金托管人协商一致，在履行适当程序后变更本基金业绩比较基准并及时公告，而无需召开基金份额持有人大会。</w:t>
      </w:r>
    </w:p>
    <w:p w14:paraId="550A7D61"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六、风险收益特征</w:t>
      </w:r>
    </w:p>
    <w:p w14:paraId="0E78D6D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本基金属于混合型基金，其预期风险和预期收益高于货币市场基金、债券基金，低于股票型基金，属于证券投资基金中</w:t>
      </w:r>
      <w:proofErr w:type="gramStart"/>
      <w:r>
        <w:rPr>
          <w:rFonts w:asciiTheme="minorEastAsia" w:hAnsiTheme="minorEastAsia" w:cs="Times New Roman" w:hint="eastAsia"/>
          <w:bCs/>
          <w:sz w:val="24"/>
          <w:szCs w:val="24"/>
        </w:rPr>
        <w:t>中</w:t>
      </w:r>
      <w:proofErr w:type="gramEnd"/>
      <w:r>
        <w:rPr>
          <w:rFonts w:asciiTheme="minorEastAsia" w:hAnsiTheme="minorEastAsia" w:cs="Times New Roman" w:hint="eastAsia"/>
          <w:bCs/>
          <w:sz w:val="24"/>
          <w:szCs w:val="24"/>
        </w:rPr>
        <w:t>高风险、中高预期收益的品种。</w:t>
      </w:r>
    </w:p>
    <w:p w14:paraId="4CD7DA50"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七、基金管理人代表基金行使股东和债权人权利的处理原则及方法</w:t>
      </w:r>
    </w:p>
    <w:p w14:paraId="0FDF1CD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、基金管理人按照国家有关规定代表基金独立行使股东和债权人权利，保护基金份额持有人的利益；</w:t>
      </w:r>
    </w:p>
    <w:p w14:paraId="7D61F53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、不谋求对上市公司的控股，不参与所投资上市公司的经营管理；</w:t>
      </w:r>
    </w:p>
    <w:p w14:paraId="32081C2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、有利于基金财产的安全与增值；</w:t>
      </w:r>
    </w:p>
    <w:p w14:paraId="7C2D361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、不通过关联交易为自身、雇员、授权代理人或任何存在利害关系的第三人牟取任何不当利益。</w:t>
      </w:r>
    </w:p>
    <w:p w14:paraId="6D822C4F" w14:textId="77777777" w:rsidR="007B7C2A" w:rsidRDefault="00072812">
      <w:pPr>
        <w:spacing w:line="360" w:lineRule="auto"/>
        <w:ind w:firstLineChars="200" w:firstLine="482"/>
        <w:jc w:val="left"/>
        <w:rPr>
          <w:rFonts w:ascii="宋体" w:hAnsi="宋体" w:cs="Arial" w:hint="eastAsia"/>
          <w:b/>
          <w:bCs/>
          <w:sz w:val="24"/>
        </w:rPr>
      </w:pPr>
      <w:r>
        <w:rPr>
          <w:rFonts w:ascii="宋体" w:hAnsi="宋体" w:cs="Arial" w:hint="eastAsia"/>
          <w:b/>
          <w:bCs/>
          <w:sz w:val="24"/>
        </w:rPr>
        <w:t>八、基金投资组合报告</w:t>
      </w:r>
    </w:p>
    <w:p w14:paraId="35EAC604"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基金管理人的董事会及董事保证本报告所载资料不存在虚假记载、误导性陈述或重大遗漏，并对其内容的真实性、准确性和完整性承担个别及连带责任。</w:t>
      </w:r>
    </w:p>
    <w:p w14:paraId="0ABB4FEA"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基金托管人平安银行股份有限公司根据本基金合同规定，已复核了本报告中的财务指标、净值表现和投资组合报告等内容，保证复核内容不存在虚假记载、误导性陈述或者重大遗漏。</w:t>
      </w:r>
    </w:p>
    <w:p w14:paraId="4EF569EC"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本投资组合报告所载数据</w:t>
      </w:r>
      <w:r>
        <w:rPr>
          <w:rFonts w:asciiTheme="minorEastAsia" w:hAnsiTheme="minorEastAsia" w:hint="eastAsia"/>
          <w:bCs/>
          <w:sz w:val="24"/>
          <w:szCs w:val="24"/>
        </w:rPr>
        <w:t>取自本基金</w:t>
      </w:r>
      <w:r>
        <w:rPr>
          <w:rFonts w:asciiTheme="minorEastAsia" w:hAnsiTheme="minorEastAsia" w:hint="eastAsia"/>
          <w:bCs/>
          <w:sz w:val="24"/>
          <w:szCs w:val="24"/>
        </w:rPr>
        <w:t>2025</w:t>
      </w:r>
      <w:r>
        <w:rPr>
          <w:rFonts w:asciiTheme="minorEastAsia" w:hAnsiTheme="minorEastAsia" w:hint="eastAsia"/>
          <w:bCs/>
          <w:sz w:val="24"/>
          <w:szCs w:val="24"/>
        </w:rPr>
        <w:t>年第</w:t>
      </w:r>
      <w:r>
        <w:rPr>
          <w:rFonts w:asciiTheme="minorEastAsia" w:hAnsiTheme="minorEastAsia" w:hint="eastAsia"/>
          <w:bCs/>
          <w:sz w:val="24"/>
          <w:szCs w:val="24"/>
        </w:rPr>
        <w:t>2</w:t>
      </w:r>
      <w:r>
        <w:rPr>
          <w:rFonts w:asciiTheme="minorEastAsia" w:hAnsiTheme="minorEastAsia" w:hint="eastAsia"/>
          <w:bCs/>
          <w:sz w:val="24"/>
          <w:szCs w:val="24"/>
        </w:rPr>
        <w:t>季度报告</w:t>
      </w:r>
      <w:r>
        <w:rPr>
          <w:rFonts w:ascii="宋体" w:hAnsi="宋体" w:cs="Arial" w:hint="eastAsia"/>
          <w:bCs/>
          <w:sz w:val="24"/>
        </w:rPr>
        <w:t>，本报告中所列财务数据未经审计。</w:t>
      </w:r>
    </w:p>
    <w:p w14:paraId="37ED5921" w14:textId="77777777" w:rsidR="007B7C2A" w:rsidRDefault="00072812">
      <w:pPr>
        <w:autoSpaceDE w:val="0"/>
        <w:autoSpaceDN w:val="0"/>
        <w:spacing w:line="360" w:lineRule="auto"/>
        <w:ind w:firstLineChars="50" w:firstLine="120"/>
        <w:textAlignment w:val="bottom"/>
        <w:rPr>
          <w:rFonts w:cs="Arial"/>
          <w:bCs/>
          <w:sz w:val="24"/>
          <w:szCs w:val="24"/>
        </w:rPr>
      </w:pPr>
      <w:r>
        <w:rPr>
          <w:rFonts w:cs="Arial"/>
          <w:bCs/>
          <w:sz w:val="24"/>
          <w:szCs w:val="24"/>
        </w:rPr>
        <w:t>1</w:t>
      </w:r>
      <w:r>
        <w:rPr>
          <w:rFonts w:cs="Arial" w:hint="eastAsia"/>
          <w:bCs/>
          <w:sz w:val="24"/>
          <w:szCs w:val="24"/>
        </w:rPr>
        <w:t>、报告期末基金资产组合情况</w:t>
      </w:r>
    </w:p>
    <w:tbl>
      <w:tblPr>
        <w:tblW w:w="0" w:type="auto"/>
        <w:tblInd w:w="108" w:type="dxa"/>
        <w:tblLook w:val="04A0" w:firstRow="1" w:lastRow="0" w:firstColumn="1" w:lastColumn="0" w:noHBand="0" w:noVBand="1"/>
      </w:tblPr>
      <w:tblGrid>
        <w:gridCol w:w="851"/>
        <w:gridCol w:w="2262"/>
        <w:gridCol w:w="3096"/>
        <w:gridCol w:w="2205"/>
      </w:tblGrid>
      <w:tr w:rsidR="007B7C2A" w14:paraId="1BDFDB5F"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1C90BC53" w14:textId="77777777" w:rsidR="007B7C2A" w:rsidRDefault="00072812">
            <w:pPr>
              <w:spacing w:line="360" w:lineRule="auto"/>
              <w:rPr>
                <w:rFonts w:ascii="宋体" w:hAnsi="宋体" w:cs="Arial" w:hint="eastAsia"/>
                <w:bCs/>
                <w:sz w:val="24"/>
              </w:rPr>
            </w:pPr>
            <w:r>
              <w:rPr>
                <w:rFonts w:ascii="宋体" w:hAnsi="宋体" w:cs="Arial" w:hint="eastAsia"/>
                <w:bCs/>
                <w:sz w:val="24"/>
              </w:rPr>
              <w:t>序号</w:t>
            </w:r>
          </w:p>
        </w:tc>
        <w:tc>
          <w:tcPr>
            <w:tcW w:w="2262" w:type="dxa"/>
            <w:tcBorders>
              <w:top w:val="single" w:sz="8" w:space="0" w:color="000000"/>
              <w:left w:val="single" w:sz="8" w:space="0" w:color="000000"/>
              <w:bottom w:val="single" w:sz="6" w:space="0" w:color="000000"/>
              <w:right w:val="single" w:sz="8" w:space="0" w:color="000000"/>
            </w:tcBorders>
            <w:vAlign w:val="center"/>
          </w:tcPr>
          <w:p w14:paraId="77957924" w14:textId="77777777" w:rsidR="007B7C2A" w:rsidRDefault="00072812">
            <w:pPr>
              <w:spacing w:line="360" w:lineRule="auto"/>
              <w:rPr>
                <w:rFonts w:ascii="宋体" w:hAnsi="宋体" w:cs="Arial" w:hint="eastAsia"/>
                <w:bCs/>
                <w:sz w:val="24"/>
              </w:rPr>
            </w:pPr>
            <w:r>
              <w:rPr>
                <w:rFonts w:ascii="宋体" w:hAnsi="宋体" w:cs="Arial" w:hint="eastAsia"/>
                <w:bCs/>
                <w:sz w:val="24"/>
              </w:rPr>
              <w:t>项目</w:t>
            </w:r>
          </w:p>
        </w:tc>
        <w:tc>
          <w:tcPr>
            <w:tcW w:w="3096" w:type="dxa"/>
            <w:tcBorders>
              <w:top w:val="single" w:sz="8" w:space="0" w:color="000000"/>
              <w:left w:val="single" w:sz="8" w:space="0" w:color="000000"/>
              <w:bottom w:val="single" w:sz="6" w:space="0" w:color="000000"/>
              <w:right w:val="single" w:sz="8" w:space="0" w:color="000000"/>
            </w:tcBorders>
            <w:vAlign w:val="center"/>
          </w:tcPr>
          <w:p w14:paraId="3C5554BC" w14:textId="77777777" w:rsidR="007B7C2A" w:rsidRDefault="00072812">
            <w:pPr>
              <w:spacing w:line="360" w:lineRule="auto"/>
              <w:rPr>
                <w:rFonts w:ascii="宋体" w:hAnsi="宋体" w:cs="Arial" w:hint="eastAsia"/>
                <w:bCs/>
                <w:sz w:val="24"/>
              </w:rPr>
            </w:pPr>
            <w:r>
              <w:rPr>
                <w:rFonts w:ascii="宋体" w:hAnsi="宋体" w:cs="Arial" w:hint="eastAsia"/>
                <w:bCs/>
                <w:sz w:val="24"/>
              </w:rPr>
              <w:t>金额</w:t>
            </w:r>
            <w:r>
              <w:rPr>
                <w:rFonts w:ascii="宋体" w:hAnsi="宋体" w:cs="Arial" w:hint="eastAsia"/>
                <w:bCs/>
                <w:sz w:val="24"/>
              </w:rPr>
              <w:t>(</w:t>
            </w:r>
            <w:r>
              <w:rPr>
                <w:rFonts w:ascii="宋体" w:hAnsi="宋体" w:cs="Arial" w:hint="eastAsia"/>
                <w:bCs/>
                <w:sz w:val="24"/>
              </w:rPr>
              <w:t>元</w:t>
            </w:r>
            <w:r>
              <w:rPr>
                <w:rFonts w:ascii="宋体" w:hAnsi="宋体" w:cs="Arial" w:hint="eastAsia"/>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30A09779" w14:textId="77777777" w:rsidR="007B7C2A" w:rsidRDefault="00072812">
            <w:pPr>
              <w:spacing w:line="360" w:lineRule="auto"/>
              <w:rPr>
                <w:rFonts w:ascii="宋体" w:hAnsi="宋体" w:cs="Arial" w:hint="eastAsia"/>
                <w:bCs/>
                <w:sz w:val="24"/>
              </w:rPr>
            </w:pPr>
            <w:r>
              <w:rPr>
                <w:rFonts w:ascii="宋体" w:hAnsi="宋体" w:cs="Arial" w:hint="eastAsia"/>
                <w:bCs/>
                <w:sz w:val="24"/>
              </w:rPr>
              <w:t>占基金总资产的比例（</w:t>
            </w:r>
            <w:r>
              <w:rPr>
                <w:rFonts w:ascii="宋体" w:hAnsi="宋体" w:cs="Arial" w:hint="eastAsia"/>
                <w:bCs/>
                <w:sz w:val="24"/>
              </w:rPr>
              <w:t>%</w:t>
            </w:r>
            <w:r>
              <w:rPr>
                <w:rFonts w:ascii="宋体" w:hAnsi="宋体" w:cs="Arial" w:hint="eastAsia"/>
                <w:bCs/>
                <w:sz w:val="24"/>
              </w:rPr>
              <w:t>）</w:t>
            </w:r>
          </w:p>
        </w:tc>
      </w:tr>
      <w:tr w:rsidR="007B7C2A" w14:paraId="74E944CE"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75EF79E4" w14:textId="77777777" w:rsidR="007B7C2A" w:rsidRDefault="00072812">
            <w:pPr>
              <w:spacing w:line="360" w:lineRule="auto"/>
              <w:rPr>
                <w:rFonts w:ascii="宋体" w:hAnsi="宋体" w:cs="Arial" w:hint="eastAsia"/>
                <w:bCs/>
                <w:sz w:val="24"/>
              </w:rPr>
            </w:pPr>
            <w:r>
              <w:rPr>
                <w:rFonts w:ascii="宋体" w:hAnsi="宋体" w:cs="Arial" w:hint="eastAsia"/>
                <w:bCs/>
                <w:sz w:val="24"/>
              </w:rPr>
              <w:t>1</w:t>
            </w:r>
          </w:p>
        </w:tc>
        <w:tc>
          <w:tcPr>
            <w:tcW w:w="2262" w:type="dxa"/>
            <w:tcBorders>
              <w:top w:val="single" w:sz="8" w:space="0" w:color="000000"/>
              <w:left w:val="single" w:sz="8" w:space="0" w:color="000000"/>
              <w:bottom w:val="single" w:sz="6" w:space="0" w:color="000000"/>
              <w:right w:val="single" w:sz="8" w:space="0" w:color="000000"/>
            </w:tcBorders>
            <w:vAlign w:val="center"/>
          </w:tcPr>
          <w:p w14:paraId="7F240A5F" w14:textId="77777777" w:rsidR="007B7C2A" w:rsidRDefault="00072812">
            <w:pPr>
              <w:spacing w:line="360" w:lineRule="auto"/>
              <w:rPr>
                <w:rFonts w:ascii="宋体" w:hAnsi="宋体" w:cs="Arial" w:hint="eastAsia"/>
                <w:bCs/>
                <w:sz w:val="24"/>
              </w:rPr>
            </w:pPr>
            <w:r>
              <w:rPr>
                <w:rFonts w:ascii="宋体" w:hAnsi="宋体" w:cs="Arial" w:hint="eastAsia"/>
                <w:bCs/>
                <w:sz w:val="24"/>
              </w:rPr>
              <w:t>权益投资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24AEEA1B" w14:textId="77777777" w:rsidR="007B7C2A" w:rsidRDefault="00072812">
            <w:pPr>
              <w:spacing w:line="360" w:lineRule="auto"/>
              <w:rPr>
                <w:rFonts w:ascii="宋体" w:hAnsi="宋体" w:cs="Arial" w:hint="eastAsia"/>
                <w:bCs/>
                <w:sz w:val="24"/>
              </w:rPr>
            </w:pPr>
            <w:r>
              <w:rPr>
                <w:rFonts w:ascii="宋体" w:hAnsi="宋体" w:cs="Arial"/>
                <w:bCs/>
                <w:sz w:val="24"/>
              </w:rPr>
              <w:t>677,978.20</w:t>
            </w:r>
          </w:p>
        </w:tc>
        <w:tc>
          <w:tcPr>
            <w:tcW w:w="2205" w:type="dxa"/>
            <w:tcBorders>
              <w:top w:val="single" w:sz="8" w:space="0" w:color="000000"/>
              <w:left w:val="single" w:sz="8" w:space="0" w:color="000000"/>
              <w:bottom w:val="single" w:sz="6" w:space="0" w:color="000000"/>
              <w:right w:val="single" w:sz="8" w:space="0" w:color="000000"/>
            </w:tcBorders>
            <w:vAlign w:val="center"/>
          </w:tcPr>
          <w:p w14:paraId="6557D091" w14:textId="77777777" w:rsidR="007B7C2A" w:rsidRDefault="00072812">
            <w:pPr>
              <w:spacing w:line="360" w:lineRule="auto"/>
              <w:rPr>
                <w:rFonts w:ascii="宋体" w:hAnsi="宋体" w:cs="Arial" w:hint="eastAsia"/>
                <w:bCs/>
                <w:sz w:val="24"/>
              </w:rPr>
            </w:pPr>
            <w:r>
              <w:rPr>
                <w:rFonts w:ascii="宋体" w:hAnsi="宋体" w:cs="Arial"/>
                <w:bCs/>
                <w:sz w:val="24"/>
              </w:rPr>
              <w:t>62.84</w:t>
            </w:r>
          </w:p>
        </w:tc>
      </w:tr>
      <w:tr w:rsidR="007B7C2A" w14:paraId="0D32A817"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340195E3" w14:textId="77777777" w:rsidR="007B7C2A" w:rsidRDefault="007B7C2A">
            <w:pPr>
              <w:spacing w:line="360" w:lineRule="auto"/>
              <w:rPr>
                <w:rFonts w:ascii="宋体" w:hAnsi="宋体" w:cs="Arial" w:hint="eastAsia"/>
                <w:bCs/>
                <w:sz w:val="24"/>
              </w:rPr>
            </w:pPr>
          </w:p>
        </w:tc>
        <w:tc>
          <w:tcPr>
            <w:tcW w:w="2262" w:type="dxa"/>
            <w:tcBorders>
              <w:top w:val="single" w:sz="8" w:space="0" w:color="000000"/>
              <w:left w:val="single" w:sz="8" w:space="0" w:color="000000"/>
              <w:bottom w:val="single" w:sz="6" w:space="0" w:color="000000"/>
              <w:right w:val="single" w:sz="8" w:space="0" w:color="000000"/>
            </w:tcBorders>
            <w:vAlign w:val="center"/>
          </w:tcPr>
          <w:p w14:paraId="3BDFF377" w14:textId="77777777" w:rsidR="007B7C2A" w:rsidRDefault="00072812">
            <w:pPr>
              <w:spacing w:line="360" w:lineRule="auto"/>
              <w:rPr>
                <w:rFonts w:ascii="宋体" w:hAnsi="宋体" w:cs="Arial" w:hint="eastAsia"/>
                <w:bCs/>
                <w:sz w:val="24"/>
              </w:rPr>
            </w:pPr>
            <w:r>
              <w:rPr>
                <w:rFonts w:ascii="宋体" w:hAnsi="宋体" w:cs="Arial" w:hint="eastAsia"/>
                <w:bCs/>
                <w:sz w:val="24"/>
              </w:rPr>
              <w:t>其中：股票</w:t>
            </w:r>
          </w:p>
        </w:tc>
        <w:tc>
          <w:tcPr>
            <w:tcW w:w="3096" w:type="dxa"/>
            <w:tcBorders>
              <w:top w:val="single" w:sz="8" w:space="0" w:color="000000"/>
              <w:left w:val="single" w:sz="8" w:space="0" w:color="000000"/>
              <w:bottom w:val="single" w:sz="6" w:space="0" w:color="000000"/>
              <w:right w:val="single" w:sz="8" w:space="0" w:color="000000"/>
            </w:tcBorders>
            <w:vAlign w:val="center"/>
          </w:tcPr>
          <w:p w14:paraId="198BF972" w14:textId="77777777" w:rsidR="007B7C2A" w:rsidRDefault="00072812">
            <w:pPr>
              <w:spacing w:line="360" w:lineRule="auto"/>
              <w:rPr>
                <w:rFonts w:ascii="宋体" w:hAnsi="宋体" w:cs="Arial" w:hint="eastAsia"/>
                <w:bCs/>
                <w:sz w:val="24"/>
              </w:rPr>
            </w:pPr>
            <w:r>
              <w:rPr>
                <w:rFonts w:ascii="宋体" w:hAnsi="宋体" w:cs="Arial"/>
                <w:bCs/>
                <w:sz w:val="24"/>
              </w:rPr>
              <w:t>677,978.20</w:t>
            </w:r>
          </w:p>
        </w:tc>
        <w:tc>
          <w:tcPr>
            <w:tcW w:w="2205" w:type="dxa"/>
            <w:tcBorders>
              <w:top w:val="single" w:sz="8" w:space="0" w:color="000000"/>
              <w:left w:val="single" w:sz="8" w:space="0" w:color="000000"/>
              <w:bottom w:val="single" w:sz="6" w:space="0" w:color="000000"/>
              <w:right w:val="single" w:sz="8" w:space="0" w:color="000000"/>
            </w:tcBorders>
            <w:vAlign w:val="center"/>
          </w:tcPr>
          <w:p w14:paraId="29ED3C65" w14:textId="77777777" w:rsidR="007B7C2A" w:rsidRDefault="00072812">
            <w:pPr>
              <w:spacing w:line="360" w:lineRule="auto"/>
              <w:rPr>
                <w:rFonts w:ascii="宋体" w:hAnsi="宋体" w:cs="Arial" w:hint="eastAsia"/>
                <w:bCs/>
                <w:sz w:val="24"/>
              </w:rPr>
            </w:pPr>
            <w:r>
              <w:rPr>
                <w:rFonts w:ascii="宋体" w:hAnsi="宋体" w:cs="Arial"/>
                <w:bCs/>
                <w:sz w:val="24"/>
              </w:rPr>
              <w:t>62.84</w:t>
            </w:r>
          </w:p>
        </w:tc>
      </w:tr>
      <w:tr w:rsidR="007B7C2A" w14:paraId="401F304B"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6B673313" w14:textId="77777777" w:rsidR="007B7C2A" w:rsidRDefault="00072812">
            <w:pPr>
              <w:spacing w:line="360" w:lineRule="auto"/>
              <w:rPr>
                <w:rFonts w:ascii="宋体" w:hAnsi="宋体" w:cs="Arial" w:hint="eastAsia"/>
                <w:bCs/>
                <w:sz w:val="24"/>
              </w:rPr>
            </w:pPr>
            <w:r>
              <w:rPr>
                <w:rFonts w:ascii="宋体" w:hAnsi="宋体" w:cs="Arial" w:hint="eastAsia"/>
                <w:bCs/>
                <w:sz w:val="24"/>
              </w:rPr>
              <w:t>2</w:t>
            </w:r>
          </w:p>
        </w:tc>
        <w:tc>
          <w:tcPr>
            <w:tcW w:w="2262" w:type="dxa"/>
            <w:tcBorders>
              <w:top w:val="single" w:sz="8" w:space="0" w:color="000000"/>
              <w:left w:val="single" w:sz="8" w:space="0" w:color="000000"/>
              <w:bottom w:val="single" w:sz="6" w:space="0" w:color="000000"/>
              <w:right w:val="single" w:sz="8" w:space="0" w:color="000000"/>
            </w:tcBorders>
            <w:vAlign w:val="center"/>
          </w:tcPr>
          <w:p w14:paraId="711F4CFF" w14:textId="77777777" w:rsidR="007B7C2A" w:rsidRDefault="00072812">
            <w:pPr>
              <w:spacing w:line="360" w:lineRule="auto"/>
              <w:rPr>
                <w:rFonts w:ascii="宋体" w:hAnsi="宋体" w:cs="Arial" w:hint="eastAsia"/>
                <w:bCs/>
                <w:sz w:val="24"/>
              </w:rPr>
            </w:pPr>
            <w:r>
              <w:rPr>
                <w:rFonts w:ascii="宋体" w:hAnsi="宋体" w:cs="Arial" w:hint="eastAsia"/>
                <w:bCs/>
                <w:sz w:val="24"/>
              </w:rPr>
              <w:t>基金投资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58D9BE75"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346C7708"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70CBD71C"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078C848B" w14:textId="77777777" w:rsidR="007B7C2A" w:rsidRDefault="00072812">
            <w:pPr>
              <w:spacing w:line="360" w:lineRule="auto"/>
              <w:rPr>
                <w:rFonts w:ascii="宋体" w:hAnsi="宋体" w:cs="Arial" w:hint="eastAsia"/>
                <w:bCs/>
                <w:sz w:val="24"/>
              </w:rPr>
            </w:pPr>
            <w:r>
              <w:rPr>
                <w:rFonts w:ascii="宋体" w:hAnsi="宋体" w:cs="Arial" w:hint="eastAsia"/>
                <w:bCs/>
                <w:sz w:val="24"/>
              </w:rPr>
              <w:t>3</w:t>
            </w:r>
          </w:p>
        </w:tc>
        <w:tc>
          <w:tcPr>
            <w:tcW w:w="2262" w:type="dxa"/>
            <w:tcBorders>
              <w:top w:val="single" w:sz="8" w:space="0" w:color="000000"/>
              <w:left w:val="single" w:sz="8" w:space="0" w:color="000000"/>
              <w:bottom w:val="single" w:sz="6" w:space="0" w:color="000000"/>
              <w:right w:val="single" w:sz="8" w:space="0" w:color="000000"/>
            </w:tcBorders>
            <w:vAlign w:val="center"/>
          </w:tcPr>
          <w:p w14:paraId="34C56D10" w14:textId="77777777" w:rsidR="007B7C2A" w:rsidRDefault="00072812">
            <w:pPr>
              <w:spacing w:line="360" w:lineRule="auto"/>
              <w:rPr>
                <w:rFonts w:ascii="宋体" w:hAnsi="宋体" w:cs="Arial" w:hint="eastAsia"/>
                <w:bCs/>
                <w:sz w:val="24"/>
              </w:rPr>
            </w:pPr>
            <w:r>
              <w:rPr>
                <w:rFonts w:ascii="宋体" w:hAnsi="宋体" w:cs="Arial" w:hint="eastAsia"/>
                <w:bCs/>
                <w:sz w:val="24"/>
              </w:rPr>
              <w:t>固定收益投资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14F5CADE"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34746823"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0F37F213"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5708498D" w14:textId="77777777" w:rsidR="007B7C2A" w:rsidRDefault="007B7C2A">
            <w:pPr>
              <w:spacing w:line="360" w:lineRule="auto"/>
              <w:rPr>
                <w:rFonts w:ascii="宋体" w:hAnsi="宋体" w:cs="Arial" w:hint="eastAsia"/>
                <w:bCs/>
                <w:sz w:val="24"/>
              </w:rPr>
            </w:pPr>
          </w:p>
        </w:tc>
        <w:tc>
          <w:tcPr>
            <w:tcW w:w="2262" w:type="dxa"/>
            <w:tcBorders>
              <w:top w:val="single" w:sz="8" w:space="0" w:color="000000"/>
              <w:left w:val="single" w:sz="8" w:space="0" w:color="000000"/>
              <w:bottom w:val="single" w:sz="6" w:space="0" w:color="000000"/>
              <w:right w:val="single" w:sz="8" w:space="0" w:color="000000"/>
            </w:tcBorders>
            <w:vAlign w:val="center"/>
          </w:tcPr>
          <w:p w14:paraId="73FA9424" w14:textId="77777777" w:rsidR="007B7C2A" w:rsidRDefault="00072812">
            <w:pPr>
              <w:spacing w:line="360" w:lineRule="auto"/>
              <w:rPr>
                <w:rFonts w:ascii="宋体" w:hAnsi="宋体" w:cs="Arial" w:hint="eastAsia"/>
                <w:bCs/>
                <w:sz w:val="24"/>
              </w:rPr>
            </w:pPr>
            <w:r>
              <w:rPr>
                <w:rFonts w:ascii="宋体" w:hAnsi="宋体" w:cs="Arial" w:hint="eastAsia"/>
                <w:bCs/>
                <w:sz w:val="24"/>
              </w:rPr>
              <w:t>其中：债券</w:t>
            </w:r>
          </w:p>
        </w:tc>
        <w:tc>
          <w:tcPr>
            <w:tcW w:w="3096" w:type="dxa"/>
            <w:tcBorders>
              <w:top w:val="single" w:sz="8" w:space="0" w:color="000000"/>
              <w:left w:val="single" w:sz="8" w:space="0" w:color="000000"/>
              <w:bottom w:val="single" w:sz="6" w:space="0" w:color="000000"/>
              <w:right w:val="single" w:sz="8" w:space="0" w:color="000000"/>
            </w:tcBorders>
            <w:vAlign w:val="center"/>
          </w:tcPr>
          <w:p w14:paraId="6F1214D3"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23B5C449"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5E498D69"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704E764D" w14:textId="77777777" w:rsidR="007B7C2A" w:rsidRDefault="007B7C2A">
            <w:pPr>
              <w:spacing w:line="360" w:lineRule="auto"/>
              <w:rPr>
                <w:rFonts w:ascii="宋体" w:hAnsi="宋体" w:cs="Arial" w:hint="eastAsia"/>
                <w:bCs/>
                <w:sz w:val="24"/>
              </w:rPr>
            </w:pPr>
          </w:p>
        </w:tc>
        <w:tc>
          <w:tcPr>
            <w:tcW w:w="2262" w:type="dxa"/>
            <w:tcBorders>
              <w:top w:val="single" w:sz="8" w:space="0" w:color="000000"/>
              <w:left w:val="single" w:sz="8" w:space="0" w:color="000000"/>
              <w:bottom w:val="single" w:sz="6" w:space="0" w:color="000000"/>
              <w:right w:val="single" w:sz="8" w:space="0" w:color="000000"/>
            </w:tcBorders>
            <w:vAlign w:val="center"/>
          </w:tcPr>
          <w:p w14:paraId="0D1D590B" w14:textId="77777777" w:rsidR="007B7C2A" w:rsidRDefault="00072812">
            <w:pPr>
              <w:spacing w:line="360" w:lineRule="auto"/>
              <w:rPr>
                <w:rFonts w:ascii="宋体" w:hAnsi="宋体" w:cs="Arial" w:hint="eastAsia"/>
                <w:bCs/>
                <w:sz w:val="24"/>
              </w:rPr>
            </w:pPr>
            <w:r>
              <w:rPr>
                <w:rFonts w:ascii="宋体" w:hAnsi="宋体" w:cs="Arial" w:hint="eastAsia"/>
                <w:bCs/>
                <w:sz w:val="24"/>
              </w:rPr>
              <w:t>资产支持证券</w:t>
            </w:r>
          </w:p>
        </w:tc>
        <w:tc>
          <w:tcPr>
            <w:tcW w:w="3096" w:type="dxa"/>
            <w:tcBorders>
              <w:top w:val="single" w:sz="8" w:space="0" w:color="000000"/>
              <w:left w:val="single" w:sz="8" w:space="0" w:color="000000"/>
              <w:bottom w:val="single" w:sz="6" w:space="0" w:color="000000"/>
              <w:right w:val="single" w:sz="8" w:space="0" w:color="000000"/>
            </w:tcBorders>
            <w:vAlign w:val="center"/>
          </w:tcPr>
          <w:p w14:paraId="39EDB238"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6EDAE329"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407771DB"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46C2D62D" w14:textId="77777777" w:rsidR="007B7C2A" w:rsidRDefault="00072812">
            <w:pPr>
              <w:spacing w:line="360" w:lineRule="auto"/>
              <w:rPr>
                <w:rFonts w:ascii="宋体" w:hAnsi="宋体" w:cs="Arial" w:hint="eastAsia"/>
                <w:bCs/>
                <w:sz w:val="24"/>
              </w:rPr>
            </w:pPr>
            <w:r>
              <w:rPr>
                <w:rFonts w:ascii="宋体" w:hAnsi="宋体" w:cs="Arial" w:hint="eastAsia"/>
                <w:bCs/>
                <w:sz w:val="24"/>
              </w:rPr>
              <w:t>4</w:t>
            </w:r>
          </w:p>
        </w:tc>
        <w:tc>
          <w:tcPr>
            <w:tcW w:w="2262" w:type="dxa"/>
            <w:tcBorders>
              <w:top w:val="single" w:sz="8" w:space="0" w:color="000000"/>
              <w:left w:val="single" w:sz="8" w:space="0" w:color="000000"/>
              <w:bottom w:val="single" w:sz="6" w:space="0" w:color="000000"/>
              <w:right w:val="single" w:sz="8" w:space="0" w:color="000000"/>
            </w:tcBorders>
            <w:vAlign w:val="center"/>
          </w:tcPr>
          <w:p w14:paraId="3B9F5ECE" w14:textId="77777777" w:rsidR="007B7C2A" w:rsidRDefault="00072812">
            <w:pPr>
              <w:spacing w:line="360" w:lineRule="auto"/>
              <w:rPr>
                <w:rFonts w:ascii="宋体" w:hAnsi="宋体" w:cs="Arial" w:hint="eastAsia"/>
                <w:bCs/>
                <w:sz w:val="24"/>
              </w:rPr>
            </w:pPr>
            <w:r>
              <w:rPr>
                <w:rFonts w:ascii="宋体" w:hAnsi="宋体" w:cs="Arial" w:hint="eastAsia"/>
                <w:bCs/>
                <w:sz w:val="24"/>
              </w:rPr>
              <w:t>贵金属投资</w:t>
            </w:r>
          </w:p>
        </w:tc>
        <w:tc>
          <w:tcPr>
            <w:tcW w:w="3096" w:type="dxa"/>
            <w:tcBorders>
              <w:top w:val="single" w:sz="8" w:space="0" w:color="000000"/>
              <w:left w:val="single" w:sz="8" w:space="0" w:color="000000"/>
              <w:bottom w:val="single" w:sz="6" w:space="0" w:color="000000"/>
              <w:right w:val="single" w:sz="8" w:space="0" w:color="000000"/>
            </w:tcBorders>
            <w:vAlign w:val="center"/>
          </w:tcPr>
          <w:p w14:paraId="6C04D23C"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100239FE"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1663B35D"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4157BB52" w14:textId="77777777" w:rsidR="007B7C2A" w:rsidRDefault="00072812">
            <w:pPr>
              <w:spacing w:line="360" w:lineRule="auto"/>
              <w:rPr>
                <w:rFonts w:ascii="宋体" w:hAnsi="宋体" w:cs="Arial" w:hint="eastAsia"/>
                <w:bCs/>
                <w:sz w:val="24"/>
              </w:rPr>
            </w:pPr>
            <w:r>
              <w:rPr>
                <w:rFonts w:ascii="宋体" w:hAnsi="宋体" w:cs="Arial" w:hint="eastAsia"/>
                <w:bCs/>
                <w:sz w:val="24"/>
              </w:rPr>
              <w:t>5</w:t>
            </w:r>
          </w:p>
        </w:tc>
        <w:tc>
          <w:tcPr>
            <w:tcW w:w="2262" w:type="dxa"/>
            <w:tcBorders>
              <w:top w:val="single" w:sz="8" w:space="0" w:color="000000"/>
              <w:left w:val="single" w:sz="8" w:space="0" w:color="000000"/>
              <w:bottom w:val="single" w:sz="6" w:space="0" w:color="000000"/>
              <w:right w:val="single" w:sz="8" w:space="0" w:color="000000"/>
            </w:tcBorders>
            <w:vAlign w:val="center"/>
          </w:tcPr>
          <w:p w14:paraId="5DBA0DAE" w14:textId="77777777" w:rsidR="007B7C2A" w:rsidRDefault="00072812">
            <w:pPr>
              <w:spacing w:line="360" w:lineRule="auto"/>
              <w:rPr>
                <w:rFonts w:ascii="宋体" w:hAnsi="宋体" w:cs="Arial" w:hint="eastAsia"/>
                <w:bCs/>
                <w:sz w:val="24"/>
              </w:rPr>
            </w:pPr>
            <w:r>
              <w:rPr>
                <w:rFonts w:ascii="宋体" w:hAnsi="宋体" w:cs="Arial" w:hint="eastAsia"/>
                <w:bCs/>
                <w:sz w:val="24"/>
              </w:rPr>
              <w:t>金融衍生</w:t>
            </w:r>
            <w:proofErr w:type="gramStart"/>
            <w:r>
              <w:rPr>
                <w:rFonts w:ascii="宋体" w:hAnsi="宋体" w:cs="Arial" w:hint="eastAsia"/>
                <w:bCs/>
                <w:sz w:val="24"/>
              </w:rPr>
              <w:t>品投资</w:t>
            </w:r>
            <w:proofErr w:type="gramEnd"/>
          </w:p>
        </w:tc>
        <w:tc>
          <w:tcPr>
            <w:tcW w:w="3096" w:type="dxa"/>
            <w:tcBorders>
              <w:top w:val="single" w:sz="8" w:space="0" w:color="000000"/>
              <w:left w:val="single" w:sz="8" w:space="0" w:color="000000"/>
              <w:bottom w:val="single" w:sz="6" w:space="0" w:color="000000"/>
              <w:right w:val="single" w:sz="8" w:space="0" w:color="000000"/>
            </w:tcBorders>
            <w:vAlign w:val="center"/>
          </w:tcPr>
          <w:p w14:paraId="45ABC4B2"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69A5BD7F"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10CE1506"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09E4C4CA" w14:textId="77777777" w:rsidR="007B7C2A" w:rsidRDefault="00072812">
            <w:pPr>
              <w:spacing w:line="360" w:lineRule="auto"/>
              <w:rPr>
                <w:rFonts w:ascii="宋体" w:hAnsi="宋体" w:cs="Arial" w:hint="eastAsia"/>
                <w:bCs/>
                <w:sz w:val="24"/>
              </w:rPr>
            </w:pPr>
            <w:r>
              <w:rPr>
                <w:rFonts w:ascii="宋体" w:hAnsi="宋体" w:cs="Arial" w:hint="eastAsia"/>
                <w:bCs/>
                <w:sz w:val="24"/>
              </w:rPr>
              <w:t>6</w:t>
            </w:r>
          </w:p>
        </w:tc>
        <w:tc>
          <w:tcPr>
            <w:tcW w:w="2262" w:type="dxa"/>
            <w:tcBorders>
              <w:top w:val="single" w:sz="8" w:space="0" w:color="000000"/>
              <w:left w:val="single" w:sz="8" w:space="0" w:color="000000"/>
              <w:bottom w:val="single" w:sz="6" w:space="0" w:color="000000"/>
              <w:right w:val="single" w:sz="8" w:space="0" w:color="000000"/>
            </w:tcBorders>
            <w:vAlign w:val="center"/>
          </w:tcPr>
          <w:p w14:paraId="285E303B" w14:textId="77777777" w:rsidR="007B7C2A" w:rsidRDefault="00072812">
            <w:pPr>
              <w:spacing w:line="360" w:lineRule="auto"/>
              <w:rPr>
                <w:rFonts w:ascii="宋体" w:hAnsi="宋体" w:cs="Arial" w:hint="eastAsia"/>
                <w:bCs/>
                <w:sz w:val="24"/>
              </w:rPr>
            </w:pPr>
            <w:r>
              <w:rPr>
                <w:rFonts w:ascii="宋体" w:hAnsi="宋体" w:cs="Arial" w:hint="eastAsia"/>
                <w:bCs/>
                <w:sz w:val="24"/>
              </w:rPr>
              <w:t>买入返售金融资产</w:t>
            </w:r>
          </w:p>
        </w:tc>
        <w:tc>
          <w:tcPr>
            <w:tcW w:w="3096" w:type="dxa"/>
            <w:tcBorders>
              <w:top w:val="single" w:sz="8" w:space="0" w:color="000000"/>
              <w:left w:val="single" w:sz="8" w:space="0" w:color="000000"/>
              <w:bottom w:val="single" w:sz="6" w:space="0" w:color="000000"/>
              <w:right w:val="single" w:sz="8" w:space="0" w:color="000000"/>
            </w:tcBorders>
            <w:vAlign w:val="center"/>
          </w:tcPr>
          <w:p w14:paraId="406D1FC6"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3568CEB0"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4BF4BF6D"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4D094DE9" w14:textId="77777777" w:rsidR="007B7C2A" w:rsidRDefault="007B7C2A">
            <w:pPr>
              <w:spacing w:line="360" w:lineRule="auto"/>
              <w:rPr>
                <w:rFonts w:ascii="宋体" w:hAnsi="宋体" w:cs="Arial" w:hint="eastAsia"/>
                <w:bCs/>
                <w:sz w:val="24"/>
              </w:rPr>
            </w:pPr>
          </w:p>
        </w:tc>
        <w:tc>
          <w:tcPr>
            <w:tcW w:w="2262" w:type="dxa"/>
            <w:tcBorders>
              <w:top w:val="single" w:sz="8" w:space="0" w:color="000000"/>
              <w:left w:val="single" w:sz="8" w:space="0" w:color="000000"/>
              <w:bottom w:val="single" w:sz="6" w:space="0" w:color="000000"/>
              <w:right w:val="single" w:sz="8" w:space="0" w:color="000000"/>
            </w:tcBorders>
            <w:vAlign w:val="center"/>
          </w:tcPr>
          <w:p w14:paraId="78FECF77" w14:textId="77777777" w:rsidR="007B7C2A" w:rsidRDefault="00072812">
            <w:pPr>
              <w:spacing w:line="360" w:lineRule="auto"/>
              <w:rPr>
                <w:rFonts w:ascii="宋体" w:hAnsi="宋体" w:cs="Arial" w:hint="eastAsia"/>
                <w:bCs/>
                <w:sz w:val="24"/>
              </w:rPr>
            </w:pPr>
            <w:r>
              <w:rPr>
                <w:rFonts w:ascii="宋体" w:hAnsi="宋体" w:cs="Arial" w:hint="eastAsia"/>
                <w:bCs/>
                <w:sz w:val="24"/>
              </w:rPr>
              <w:t>其中：买断式回购的买入返售金融资产</w:t>
            </w:r>
          </w:p>
        </w:tc>
        <w:tc>
          <w:tcPr>
            <w:tcW w:w="3096" w:type="dxa"/>
            <w:tcBorders>
              <w:top w:val="single" w:sz="8" w:space="0" w:color="000000"/>
              <w:left w:val="single" w:sz="8" w:space="0" w:color="000000"/>
              <w:bottom w:val="single" w:sz="6" w:space="0" w:color="000000"/>
              <w:right w:val="single" w:sz="8" w:space="0" w:color="000000"/>
            </w:tcBorders>
            <w:vAlign w:val="center"/>
          </w:tcPr>
          <w:p w14:paraId="6269F0AE"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205" w:type="dxa"/>
            <w:tcBorders>
              <w:top w:val="single" w:sz="8" w:space="0" w:color="000000"/>
              <w:left w:val="single" w:sz="8" w:space="0" w:color="000000"/>
              <w:bottom w:val="single" w:sz="6" w:space="0" w:color="000000"/>
              <w:right w:val="single" w:sz="8" w:space="0" w:color="000000"/>
            </w:tcBorders>
            <w:vAlign w:val="center"/>
          </w:tcPr>
          <w:p w14:paraId="15432525"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277D7F33"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0760A147" w14:textId="77777777" w:rsidR="007B7C2A" w:rsidRDefault="00072812">
            <w:pPr>
              <w:spacing w:line="360" w:lineRule="auto"/>
              <w:rPr>
                <w:rFonts w:ascii="宋体" w:hAnsi="宋体" w:cs="Arial" w:hint="eastAsia"/>
                <w:bCs/>
                <w:sz w:val="24"/>
              </w:rPr>
            </w:pPr>
            <w:r>
              <w:rPr>
                <w:rFonts w:ascii="宋体" w:hAnsi="宋体" w:cs="Arial" w:hint="eastAsia"/>
                <w:bCs/>
                <w:sz w:val="24"/>
              </w:rPr>
              <w:t>7</w:t>
            </w:r>
          </w:p>
        </w:tc>
        <w:tc>
          <w:tcPr>
            <w:tcW w:w="2262" w:type="dxa"/>
            <w:tcBorders>
              <w:top w:val="single" w:sz="8" w:space="0" w:color="000000"/>
              <w:left w:val="single" w:sz="8" w:space="0" w:color="000000"/>
              <w:bottom w:val="single" w:sz="6" w:space="0" w:color="000000"/>
              <w:right w:val="single" w:sz="8" w:space="0" w:color="000000"/>
            </w:tcBorders>
            <w:vAlign w:val="center"/>
          </w:tcPr>
          <w:p w14:paraId="2117CAC1" w14:textId="77777777" w:rsidR="007B7C2A" w:rsidRDefault="00072812">
            <w:pPr>
              <w:spacing w:line="360" w:lineRule="auto"/>
              <w:rPr>
                <w:rFonts w:ascii="宋体" w:hAnsi="宋体" w:cs="Arial" w:hint="eastAsia"/>
                <w:bCs/>
                <w:sz w:val="24"/>
              </w:rPr>
            </w:pPr>
            <w:r>
              <w:rPr>
                <w:rFonts w:ascii="宋体" w:hAnsi="宋体" w:cs="Arial" w:hint="eastAsia"/>
                <w:bCs/>
                <w:sz w:val="24"/>
              </w:rPr>
              <w:t>银行存款和结算备付金合计</w:t>
            </w:r>
          </w:p>
        </w:tc>
        <w:tc>
          <w:tcPr>
            <w:tcW w:w="3096" w:type="dxa"/>
            <w:tcBorders>
              <w:top w:val="single" w:sz="8" w:space="0" w:color="000000"/>
              <w:left w:val="single" w:sz="8" w:space="0" w:color="000000"/>
              <w:bottom w:val="single" w:sz="6" w:space="0" w:color="000000"/>
              <w:right w:val="single" w:sz="8" w:space="0" w:color="000000"/>
            </w:tcBorders>
            <w:vAlign w:val="center"/>
          </w:tcPr>
          <w:p w14:paraId="28CA1D2A" w14:textId="77777777" w:rsidR="007B7C2A" w:rsidRDefault="00072812">
            <w:pPr>
              <w:spacing w:line="360" w:lineRule="auto"/>
              <w:rPr>
                <w:rFonts w:ascii="宋体" w:hAnsi="宋体" w:cs="Arial" w:hint="eastAsia"/>
                <w:bCs/>
                <w:sz w:val="24"/>
              </w:rPr>
            </w:pPr>
            <w:r>
              <w:rPr>
                <w:rFonts w:ascii="宋体" w:hAnsi="宋体" w:cs="Arial"/>
                <w:bCs/>
                <w:sz w:val="24"/>
              </w:rPr>
              <w:t>398,939.54</w:t>
            </w:r>
          </w:p>
        </w:tc>
        <w:tc>
          <w:tcPr>
            <w:tcW w:w="2205" w:type="dxa"/>
            <w:tcBorders>
              <w:top w:val="single" w:sz="8" w:space="0" w:color="000000"/>
              <w:left w:val="single" w:sz="8" w:space="0" w:color="000000"/>
              <w:bottom w:val="single" w:sz="6" w:space="0" w:color="000000"/>
              <w:right w:val="single" w:sz="8" w:space="0" w:color="000000"/>
            </w:tcBorders>
            <w:vAlign w:val="center"/>
          </w:tcPr>
          <w:p w14:paraId="6CCD9FEF" w14:textId="77777777" w:rsidR="007B7C2A" w:rsidRDefault="00072812">
            <w:pPr>
              <w:spacing w:line="360" w:lineRule="auto"/>
              <w:rPr>
                <w:rFonts w:ascii="宋体" w:hAnsi="宋体" w:cs="Arial" w:hint="eastAsia"/>
                <w:bCs/>
                <w:sz w:val="24"/>
              </w:rPr>
            </w:pPr>
            <w:r>
              <w:rPr>
                <w:rFonts w:ascii="宋体" w:hAnsi="宋体" w:cs="Arial"/>
                <w:bCs/>
                <w:sz w:val="24"/>
              </w:rPr>
              <w:t>36.97</w:t>
            </w:r>
          </w:p>
        </w:tc>
      </w:tr>
      <w:tr w:rsidR="007B7C2A" w14:paraId="70A952DC"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1485863F" w14:textId="77777777" w:rsidR="007B7C2A" w:rsidRDefault="00072812">
            <w:pPr>
              <w:spacing w:line="360" w:lineRule="auto"/>
              <w:rPr>
                <w:rFonts w:ascii="宋体" w:hAnsi="宋体" w:cs="Arial" w:hint="eastAsia"/>
                <w:bCs/>
                <w:sz w:val="24"/>
              </w:rPr>
            </w:pPr>
            <w:r>
              <w:rPr>
                <w:rFonts w:ascii="宋体" w:hAnsi="宋体" w:cs="Arial" w:hint="eastAsia"/>
                <w:bCs/>
                <w:sz w:val="24"/>
              </w:rPr>
              <w:t>8</w:t>
            </w:r>
          </w:p>
        </w:tc>
        <w:tc>
          <w:tcPr>
            <w:tcW w:w="2262" w:type="dxa"/>
            <w:tcBorders>
              <w:top w:val="single" w:sz="8" w:space="0" w:color="000000"/>
              <w:left w:val="single" w:sz="8" w:space="0" w:color="000000"/>
              <w:bottom w:val="single" w:sz="6" w:space="0" w:color="000000"/>
              <w:right w:val="single" w:sz="8" w:space="0" w:color="000000"/>
            </w:tcBorders>
            <w:vAlign w:val="center"/>
          </w:tcPr>
          <w:p w14:paraId="617BD3A2" w14:textId="77777777" w:rsidR="007B7C2A" w:rsidRDefault="00072812">
            <w:pPr>
              <w:spacing w:line="360" w:lineRule="auto"/>
              <w:rPr>
                <w:rFonts w:ascii="宋体" w:hAnsi="宋体" w:cs="Arial" w:hint="eastAsia"/>
                <w:bCs/>
                <w:sz w:val="24"/>
              </w:rPr>
            </w:pPr>
            <w:r>
              <w:rPr>
                <w:rFonts w:ascii="宋体" w:hAnsi="宋体" w:cs="Arial" w:hint="eastAsia"/>
                <w:bCs/>
                <w:sz w:val="24"/>
              </w:rPr>
              <w:t>其他资产</w:t>
            </w:r>
          </w:p>
        </w:tc>
        <w:tc>
          <w:tcPr>
            <w:tcW w:w="3096" w:type="dxa"/>
            <w:tcBorders>
              <w:top w:val="single" w:sz="8" w:space="0" w:color="000000"/>
              <w:left w:val="single" w:sz="8" w:space="0" w:color="000000"/>
              <w:bottom w:val="single" w:sz="6" w:space="0" w:color="000000"/>
              <w:right w:val="single" w:sz="8" w:space="0" w:color="000000"/>
            </w:tcBorders>
            <w:vAlign w:val="center"/>
          </w:tcPr>
          <w:p w14:paraId="6672E942" w14:textId="77777777" w:rsidR="007B7C2A" w:rsidRDefault="00072812">
            <w:pPr>
              <w:spacing w:line="360" w:lineRule="auto"/>
              <w:rPr>
                <w:rFonts w:ascii="宋体" w:hAnsi="宋体" w:cs="Arial" w:hint="eastAsia"/>
                <w:bCs/>
                <w:sz w:val="24"/>
              </w:rPr>
            </w:pPr>
            <w:r>
              <w:rPr>
                <w:rFonts w:ascii="宋体" w:hAnsi="宋体" w:cs="Arial"/>
                <w:bCs/>
                <w:sz w:val="24"/>
              </w:rPr>
              <w:t>2,052.23</w:t>
            </w:r>
          </w:p>
        </w:tc>
        <w:tc>
          <w:tcPr>
            <w:tcW w:w="2205" w:type="dxa"/>
            <w:tcBorders>
              <w:top w:val="single" w:sz="8" w:space="0" w:color="000000"/>
              <w:left w:val="single" w:sz="8" w:space="0" w:color="000000"/>
              <w:bottom w:val="single" w:sz="6" w:space="0" w:color="000000"/>
              <w:right w:val="single" w:sz="8" w:space="0" w:color="000000"/>
            </w:tcBorders>
            <w:vAlign w:val="center"/>
          </w:tcPr>
          <w:p w14:paraId="616B6908" w14:textId="77777777" w:rsidR="007B7C2A" w:rsidRDefault="00072812">
            <w:pPr>
              <w:spacing w:line="360" w:lineRule="auto"/>
              <w:rPr>
                <w:rFonts w:ascii="宋体" w:hAnsi="宋体" w:cs="Arial" w:hint="eastAsia"/>
                <w:bCs/>
                <w:sz w:val="24"/>
              </w:rPr>
            </w:pPr>
            <w:r>
              <w:rPr>
                <w:rFonts w:ascii="宋体" w:hAnsi="宋体" w:cs="Arial"/>
                <w:bCs/>
                <w:sz w:val="24"/>
              </w:rPr>
              <w:t>0.19</w:t>
            </w:r>
          </w:p>
        </w:tc>
      </w:tr>
      <w:tr w:rsidR="007B7C2A" w14:paraId="39EE8B38" w14:textId="77777777">
        <w:tc>
          <w:tcPr>
            <w:tcW w:w="851" w:type="dxa"/>
            <w:tcBorders>
              <w:top w:val="single" w:sz="8" w:space="0" w:color="000000"/>
              <w:left w:val="single" w:sz="8" w:space="0" w:color="000000"/>
              <w:bottom w:val="single" w:sz="6" w:space="0" w:color="000000"/>
              <w:right w:val="single" w:sz="8" w:space="0" w:color="000000"/>
            </w:tcBorders>
            <w:vAlign w:val="center"/>
          </w:tcPr>
          <w:p w14:paraId="2ADCC4E6" w14:textId="77777777" w:rsidR="007B7C2A" w:rsidRDefault="00072812">
            <w:pPr>
              <w:spacing w:line="360" w:lineRule="auto"/>
              <w:rPr>
                <w:rFonts w:ascii="宋体" w:hAnsi="宋体" w:cs="Arial" w:hint="eastAsia"/>
                <w:bCs/>
                <w:sz w:val="24"/>
              </w:rPr>
            </w:pPr>
            <w:r>
              <w:rPr>
                <w:rFonts w:ascii="宋体" w:hAnsi="宋体" w:cs="Arial" w:hint="eastAsia"/>
                <w:bCs/>
                <w:sz w:val="24"/>
              </w:rPr>
              <w:t>9</w:t>
            </w:r>
          </w:p>
        </w:tc>
        <w:tc>
          <w:tcPr>
            <w:tcW w:w="2262" w:type="dxa"/>
            <w:tcBorders>
              <w:top w:val="single" w:sz="8" w:space="0" w:color="000000"/>
              <w:left w:val="single" w:sz="8" w:space="0" w:color="000000"/>
              <w:bottom w:val="single" w:sz="6" w:space="0" w:color="000000"/>
              <w:right w:val="single" w:sz="8" w:space="0" w:color="000000"/>
            </w:tcBorders>
            <w:vAlign w:val="center"/>
          </w:tcPr>
          <w:p w14:paraId="727A7282" w14:textId="77777777" w:rsidR="007B7C2A" w:rsidRDefault="00072812">
            <w:pPr>
              <w:spacing w:line="360" w:lineRule="auto"/>
              <w:rPr>
                <w:rFonts w:ascii="宋体" w:hAnsi="宋体" w:cs="Arial" w:hint="eastAsia"/>
                <w:bCs/>
                <w:sz w:val="24"/>
              </w:rPr>
            </w:pPr>
            <w:r>
              <w:rPr>
                <w:rFonts w:ascii="宋体" w:hAnsi="宋体" w:cs="Arial" w:hint="eastAsia"/>
                <w:bCs/>
                <w:sz w:val="24"/>
              </w:rPr>
              <w:t>合计</w:t>
            </w:r>
          </w:p>
        </w:tc>
        <w:tc>
          <w:tcPr>
            <w:tcW w:w="3096" w:type="dxa"/>
            <w:tcBorders>
              <w:top w:val="single" w:sz="8" w:space="0" w:color="000000"/>
              <w:left w:val="single" w:sz="8" w:space="0" w:color="000000"/>
              <w:bottom w:val="single" w:sz="6" w:space="0" w:color="000000"/>
              <w:right w:val="single" w:sz="8" w:space="0" w:color="000000"/>
            </w:tcBorders>
            <w:vAlign w:val="center"/>
          </w:tcPr>
          <w:p w14:paraId="5E87E5F4" w14:textId="77777777" w:rsidR="007B7C2A" w:rsidRDefault="00072812">
            <w:pPr>
              <w:spacing w:line="360" w:lineRule="auto"/>
              <w:rPr>
                <w:rFonts w:ascii="宋体" w:hAnsi="宋体" w:cs="Arial" w:hint="eastAsia"/>
                <w:bCs/>
                <w:sz w:val="24"/>
              </w:rPr>
            </w:pPr>
            <w:r>
              <w:rPr>
                <w:rFonts w:ascii="宋体" w:hAnsi="宋体" w:cs="Arial"/>
                <w:bCs/>
                <w:sz w:val="24"/>
              </w:rPr>
              <w:t>1,078,969.97</w:t>
            </w:r>
          </w:p>
        </w:tc>
        <w:tc>
          <w:tcPr>
            <w:tcW w:w="2205" w:type="dxa"/>
            <w:tcBorders>
              <w:top w:val="single" w:sz="8" w:space="0" w:color="000000"/>
              <w:left w:val="single" w:sz="8" w:space="0" w:color="000000"/>
              <w:bottom w:val="single" w:sz="6" w:space="0" w:color="000000"/>
              <w:right w:val="single" w:sz="8" w:space="0" w:color="000000"/>
            </w:tcBorders>
            <w:vAlign w:val="center"/>
          </w:tcPr>
          <w:p w14:paraId="1E8D9DE1" w14:textId="77777777" w:rsidR="007B7C2A" w:rsidRDefault="00072812">
            <w:pPr>
              <w:spacing w:line="360" w:lineRule="auto"/>
              <w:rPr>
                <w:rFonts w:ascii="宋体" w:hAnsi="宋体" w:cs="Arial" w:hint="eastAsia"/>
                <w:bCs/>
                <w:sz w:val="24"/>
              </w:rPr>
            </w:pPr>
            <w:r>
              <w:rPr>
                <w:rFonts w:ascii="宋体" w:hAnsi="宋体" w:cs="Arial"/>
                <w:bCs/>
                <w:sz w:val="24"/>
              </w:rPr>
              <w:t>100.00</w:t>
            </w:r>
          </w:p>
        </w:tc>
      </w:tr>
    </w:tbl>
    <w:p w14:paraId="0F5FABF4" w14:textId="77777777" w:rsidR="007B7C2A" w:rsidRDefault="007B7C2A">
      <w:pPr>
        <w:spacing w:line="360" w:lineRule="auto"/>
        <w:rPr>
          <w:rFonts w:ascii="宋体" w:hAnsi="宋体" w:cs="Arial" w:hint="eastAsia"/>
          <w:bCs/>
          <w:sz w:val="24"/>
        </w:rPr>
      </w:pPr>
    </w:p>
    <w:p w14:paraId="6454637D" w14:textId="77777777" w:rsidR="007B7C2A" w:rsidRDefault="00072812">
      <w:pPr>
        <w:spacing w:line="360" w:lineRule="auto"/>
        <w:rPr>
          <w:rFonts w:ascii="宋体" w:hAnsi="宋体" w:cs="Arial" w:hint="eastAsia"/>
          <w:bCs/>
          <w:sz w:val="24"/>
        </w:rPr>
      </w:pPr>
      <w:r>
        <w:rPr>
          <w:rFonts w:ascii="宋体" w:hAnsi="宋体" w:cs="Arial" w:hint="eastAsia"/>
          <w:bCs/>
          <w:sz w:val="24"/>
        </w:rPr>
        <w:t>2</w:t>
      </w:r>
      <w:r>
        <w:rPr>
          <w:rFonts w:ascii="宋体" w:hAnsi="宋体" w:cs="Arial" w:hint="eastAsia"/>
          <w:bCs/>
          <w:sz w:val="24"/>
        </w:rPr>
        <w:t>、报告期末按行业分类的股票投资组合</w:t>
      </w:r>
    </w:p>
    <w:p w14:paraId="1479A6ED" w14:textId="77777777" w:rsidR="007B7C2A" w:rsidRDefault="00072812">
      <w:pPr>
        <w:spacing w:line="360" w:lineRule="auto"/>
        <w:rPr>
          <w:rFonts w:ascii="宋体" w:hAnsi="宋体" w:cs="Arial" w:hint="eastAsia"/>
          <w:bCs/>
          <w:sz w:val="24"/>
        </w:rPr>
      </w:pPr>
      <w:r>
        <w:rPr>
          <w:rFonts w:ascii="宋体" w:hAnsi="宋体" w:cs="Arial" w:hint="eastAsia"/>
          <w:bCs/>
          <w:sz w:val="24"/>
        </w:rPr>
        <w:t>（</w:t>
      </w:r>
      <w:r>
        <w:rPr>
          <w:rFonts w:ascii="宋体" w:hAnsi="宋体" w:cs="Arial" w:hint="eastAsia"/>
          <w:bCs/>
          <w:sz w:val="24"/>
        </w:rPr>
        <w:t>1</w:t>
      </w:r>
      <w:r>
        <w:rPr>
          <w:rFonts w:ascii="宋体" w:hAnsi="宋体" w:cs="Arial" w:hint="eastAsia"/>
          <w:bCs/>
          <w:sz w:val="24"/>
        </w:rPr>
        <w:t>）报告期末按行业分类的境内股票投资组合</w:t>
      </w:r>
    </w:p>
    <w:tbl>
      <w:tblPr>
        <w:tblW w:w="0" w:type="auto"/>
        <w:tblInd w:w="108" w:type="dxa"/>
        <w:tblLook w:val="04A0" w:firstRow="1" w:lastRow="0" w:firstColumn="1" w:lastColumn="0" w:noHBand="0" w:noVBand="1"/>
      </w:tblPr>
      <w:tblGrid>
        <w:gridCol w:w="734"/>
        <w:gridCol w:w="2373"/>
        <w:gridCol w:w="2834"/>
        <w:gridCol w:w="2473"/>
      </w:tblGrid>
      <w:tr w:rsidR="007B7C2A" w14:paraId="5696D6F2" w14:textId="77777777">
        <w:tc>
          <w:tcPr>
            <w:tcW w:w="734" w:type="dxa"/>
            <w:tcBorders>
              <w:top w:val="single" w:sz="8" w:space="0" w:color="000000"/>
              <w:left w:val="single" w:sz="8" w:space="0" w:color="000000"/>
              <w:bottom w:val="single" w:sz="6" w:space="0" w:color="000000"/>
              <w:right w:val="single" w:sz="8" w:space="0" w:color="000000"/>
            </w:tcBorders>
            <w:vAlign w:val="center"/>
          </w:tcPr>
          <w:p w14:paraId="1A0596E2"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代码</w:t>
            </w:r>
          </w:p>
        </w:tc>
        <w:tc>
          <w:tcPr>
            <w:tcW w:w="2373" w:type="dxa"/>
            <w:tcBorders>
              <w:top w:val="single" w:sz="8" w:space="0" w:color="000000"/>
              <w:left w:val="single" w:sz="8" w:space="0" w:color="000000"/>
              <w:bottom w:val="single" w:sz="6" w:space="0" w:color="000000"/>
              <w:right w:val="single" w:sz="8" w:space="0" w:color="000000"/>
            </w:tcBorders>
            <w:vAlign w:val="center"/>
          </w:tcPr>
          <w:p w14:paraId="637A2C33" w14:textId="77777777" w:rsidR="007B7C2A" w:rsidRDefault="00072812">
            <w:pPr>
              <w:spacing w:line="360" w:lineRule="auto"/>
              <w:ind w:firstLine="420"/>
              <w:rPr>
                <w:rFonts w:asciiTheme="minorEastAsia" w:hAnsiTheme="minorEastAsia" w:hint="eastAsia"/>
                <w:sz w:val="24"/>
                <w:szCs w:val="28"/>
              </w:rPr>
            </w:pPr>
            <w:r>
              <w:rPr>
                <w:rFonts w:asciiTheme="minorEastAsia" w:hAnsiTheme="minorEastAsia" w:hint="eastAsia"/>
                <w:sz w:val="24"/>
                <w:szCs w:val="28"/>
              </w:rPr>
              <w:t>行业类别</w:t>
            </w:r>
          </w:p>
        </w:tc>
        <w:tc>
          <w:tcPr>
            <w:tcW w:w="2834" w:type="dxa"/>
            <w:tcBorders>
              <w:top w:val="single" w:sz="8" w:space="0" w:color="000000"/>
              <w:left w:val="single" w:sz="8" w:space="0" w:color="000000"/>
              <w:bottom w:val="single" w:sz="6" w:space="0" w:color="000000"/>
              <w:right w:val="single" w:sz="8" w:space="0" w:color="000000"/>
            </w:tcBorders>
            <w:vAlign w:val="center"/>
          </w:tcPr>
          <w:p w14:paraId="60FE8109" w14:textId="77777777" w:rsidR="007B7C2A" w:rsidRDefault="00072812">
            <w:pPr>
              <w:spacing w:line="360" w:lineRule="auto"/>
              <w:ind w:firstLine="420"/>
            </w:pPr>
            <w:r>
              <w:rPr>
                <w:rFonts w:hint="eastAsia"/>
              </w:rPr>
              <w:t>公允价值</w:t>
            </w:r>
            <w:r>
              <w:rPr>
                <w:rFonts w:hint="eastAsia"/>
              </w:rPr>
              <w:t>(</w:t>
            </w:r>
            <w:r>
              <w:rPr>
                <w:rFonts w:hint="eastAsia"/>
              </w:rPr>
              <w:t>元</w:t>
            </w:r>
            <w:r>
              <w:rPr>
                <w:rFonts w:hint="eastAsia"/>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1EA90E50" w14:textId="77777777" w:rsidR="007B7C2A" w:rsidRDefault="00072812">
            <w:pPr>
              <w:spacing w:line="360" w:lineRule="auto"/>
              <w:ind w:firstLine="420"/>
            </w:pPr>
            <w:r>
              <w:rPr>
                <w:rFonts w:hint="eastAsia"/>
              </w:rPr>
              <w:t>占基金资产净值比例（</w:t>
            </w:r>
            <w:r>
              <w:rPr>
                <w:rFonts w:hint="eastAsia"/>
              </w:rPr>
              <w:t>%</w:t>
            </w:r>
            <w:r>
              <w:rPr>
                <w:rFonts w:hint="eastAsia"/>
              </w:rPr>
              <w:t>）</w:t>
            </w:r>
          </w:p>
        </w:tc>
      </w:tr>
      <w:tr w:rsidR="007B7C2A" w14:paraId="2C06574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3C0F17B"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A</w:t>
            </w:r>
          </w:p>
        </w:tc>
        <w:tc>
          <w:tcPr>
            <w:tcW w:w="2373" w:type="dxa"/>
            <w:tcBorders>
              <w:top w:val="single" w:sz="8" w:space="0" w:color="000000"/>
              <w:left w:val="single" w:sz="8" w:space="0" w:color="000000"/>
              <w:bottom w:val="single" w:sz="6" w:space="0" w:color="000000"/>
              <w:right w:val="single" w:sz="8" w:space="0" w:color="000000"/>
            </w:tcBorders>
            <w:vAlign w:val="center"/>
          </w:tcPr>
          <w:p w14:paraId="4BFCE748"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农、林、牧、渔业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404188B4"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2D26292C"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0FCCDBC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A4EED8D"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B</w:t>
            </w:r>
          </w:p>
        </w:tc>
        <w:tc>
          <w:tcPr>
            <w:tcW w:w="2373" w:type="dxa"/>
            <w:tcBorders>
              <w:top w:val="single" w:sz="8" w:space="0" w:color="000000"/>
              <w:left w:val="single" w:sz="8" w:space="0" w:color="000000"/>
              <w:bottom w:val="single" w:sz="6" w:space="0" w:color="000000"/>
              <w:right w:val="single" w:sz="8" w:space="0" w:color="000000"/>
            </w:tcBorders>
            <w:vAlign w:val="center"/>
          </w:tcPr>
          <w:p w14:paraId="10FBFAE4"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采矿业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2DD4A6F0"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5215222C"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3D23466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11873C7"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C</w:t>
            </w:r>
          </w:p>
        </w:tc>
        <w:tc>
          <w:tcPr>
            <w:tcW w:w="2373" w:type="dxa"/>
            <w:tcBorders>
              <w:top w:val="single" w:sz="8" w:space="0" w:color="000000"/>
              <w:left w:val="single" w:sz="8" w:space="0" w:color="000000"/>
              <w:bottom w:val="single" w:sz="6" w:space="0" w:color="000000"/>
              <w:right w:val="single" w:sz="8" w:space="0" w:color="000000"/>
            </w:tcBorders>
            <w:vAlign w:val="center"/>
          </w:tcPr>
          <w:p w14:paraId="621E7740"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制造业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45D1C9E9" w14:textId="77777777" w:rsidR="007B7C2A" w:rsidRDefault="00072812">
            <w:pPr>
              <w:spacing w:line="360" w:lineRule="auto"/>
              <w:rPr>
                <w:rFonts w:ascii="宋体" w:hAnsi="宋体" w:cs="Arial" w:hint="eastAsia"/>
                <w:bCs/>
                <w:sz w:val="24"/>
              </w:rPr>
            </w:pPr>
            <w:r>
              <w:rPr>
                <w:rFonts w:ascii="宋体" w:hAnsi="宋体" w:cs="Arial"/>
                <w:bCs/>
                <w:sz w:val="24"/>
              </w:rPr>
              <w:t>522,788.20</w:t>
            </w:r>
          </w:p>
        </w:tc>
        <w:tc>
          <w:tcPr>
            <w:tcW w:w="2473" w:type="dxa"/>
            <w:tcBorders>
              <w:top w:val="single" w:sz="8" w:space="0" w:color="000000"/>
              <w:left w:val="single" w:sz="8" w:space="0" w:color="000000"/>
              <w:bottom w:val="single" w:sz="6" w:space="0" w:color="000000"/>
              <w:right w:val="single" w:sz="8" w:space="0" w:color="000000"/>
            </w:tcBorders>
            <w:vAlign w:val="center"/>
          </w:tcPr>
          <w:p w14:paraId="1C3BCC8F" w14:textId="77777777" w:rsidR="007B7C2A" w:rsidRDefault="00072812">
            <w:pPr>
              <w:spacing w:line="360" w:lineRule="auto"/>
              <w:rPr>
                <w:rFonts w:ascii="宋体" w:hAnsi="宋体" w:cs="Arial" w:hint="eastAsia"/>
                <w:bCs/>
                <w:sz w:val="24"/>
              </w:rPr>
            </w:pPr>
            <w:r>
              <w:rPr>
                <w:rFonts w:ascii="宋体" w:hAnsi="宋体" w:cs="Arial"/>
                <w:bCs/>
                <w:sz w:val="24"/>
              </w:rPr>
              <w:t>48.48</w:t>
            </w:r>
          </w:p>
        </w:tc>
      </w:tr>
      <w:tr w:rsidR="007B7C2A" w14:paraId="351D4727"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D5140C1"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D</w:t>
            </w:r>
          </w:p>
        </w:tc>
        <w:tc>
          <w:tcPr>
            <w:tcW w:w="2373" w:type="dxa"/>
            <w:tcBorders>
              <w:top w:val="single" w:sz="8" w:space="0" w:color="000000"/>
              <w:left w:val="single" w:sz="8" w:space="0" w:color="000000"/>
              <w:bottom w:val="single" w:sz="6" w:space="0" w:color="000000"/>
              <w:right w:val="single" w:sz="8" w:space="0" w:color="000000"/>
            </w:tcBorders>
            <w:vAlign w:val="center"/>
          </w:tcPr>
          <w:p w14:paraId="012DE357"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电力、热力、燃气及水生产和供应业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58772F0F"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6F5543F7"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72EE8BD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F3F76B7"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E</w:t>
            </w:r>
          </w:p>
        </w:tc>
        <w:tc>
          <w:tcPr>
            <w:tcW w:w="2373" w:type="dxa"/>
            <w:tcBorders>
              <w:top w:val="single" w:sz="8" w:space="0" w:color="000000"/>
              <w:left w:val="single" w:sz="8" w:space="0" w:color="000000"/>
              <w:bottom w:val="single" w:sz="6" w:space="0" w:color="000000"/>
              <w:right w:val="single" w:sz="8" w:space="0" w:color="000000"/>
            </w:tcBorders>
            <w:vAlign w:val="center"/>
          </w:tcPr>
          <w:p w14:paraId="00BA1244"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建筑业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7D5B6EA0"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37AFEB9C"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1E58760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478DFCD"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F</w:t>
            </w:r>
          </w:p>
        </w:tc>
        <w:tc>
          <w:tcPr>
            <w:tcW w:w="2373" w:type="dxa"/>
            <w:tcBorders>
              <w:top w:val="single" w:sz="8" w:space="0" w:color="000000"/>
              <w:left w:val="single" w:sz="8" w:space="0" w:color="000000"/>
              <w:bottom w:val="single" w:sz="6" w:space="0" w:color="000000"/>
              <w:right w:val="single" w:sz="8" w:space="0" w:color="000000"/>
            </w:tcBorders>
            <w:vAlign w:val="center"/>
          </w:tcPr>
          <w:p w14:paraId="6C2E83A0"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批发和零售业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4F7C8E41"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786A3AA3"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6BE9827E"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2B5ADDC"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G</w:t>
            </w:r>
          </w:p>
        </w:tc>
        <w:tc>
          <w:tcPr>
            <w:tcW w:w="2373" w:type="dxa"/>
            <w:tcBorders>
              <w:top w:val="single" w:sz="8" w:space="0" w:color="000000"/>
              <w:left w:val="single" w:sz="8" w:space="0" w:color="000000"/>
              <w:bottom w:val="single" w:sz="6" w:space="0" w:color="000000"/>
              <w:right w:val="single" w:sz="8" w:space="0" w:color="000000"/>
            </w:tcBorders>
            <w:vAlign w:val="center"/>
          </w:tcPr>
          <w:p w14:paraId="4EDBA24B"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交通运输、仓储和邮政业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5AEDFB20"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76C7D955"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1042D35F"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78401C46"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H</w:t>
            </w:r>
          </w:p>
        </w:tc>
        <w:tc>
          <w:tcPr>
            <w:tcW w:w="2373" w:type="dxa"/>
            <w:tcBorders>
              <w:top w:val="single" w:sz="8" w:space="0" w:color="000000"/>
              <w:left w:val="single" w:sz="8" w:space="0" w:color="000000"/>
              <w:bottom w:val="single" w:sz="6" w:space="0" w:color="000000"/>
              <w:right w:val="single" w:sz="8" w:space="0" w:color="000000"/>
            </w:tcBorders>
            <w:vAlign w:val="center"/>
          </w:tcPr>
          <w:p w14:paraId="4E89970D"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住宿和餐饮业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0F749DAD"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07D1A20F"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306B7C35"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6EB3A6A5"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I</w:t>
            </w:r>
          </w:p>
        </w:tc>
        <w:tc>
          <w:tcPr>
            <w:tcW w:w="2373" w:type="dxa"/>
            <w:tcBorders>
              <w:top w:val="single" w:sz="8" w:space="0" w:color="000000"/>
              <w:left w:val="single" w:sz="8" w:space="0" w:color="000000"/>
              <w:bottom w:val="single" w:sz="6" w:space="0" w:color="000000"/>
              <w:right w:val="single" w:sz="8" w:space="0" w:color="000000"/>
            </w:tcBorders>
            <w:vAlign w:val="center"/>
          </w:tcPr>
          <w:p w14:paraId="7D0CFE8D"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信息传输、软件和信息技术服务业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768E55BD" w14:textId="77777777" w:rsidR="007B7C2A" w:rsidRDefault="00072812">
            <w:pPr>
              <w:spacing w:line="360" w:lineRule="auto"/>
              <w:rPr>
                <w:rFonts w:ascii="宋体" w:hAnsi="宋体" w:cs="Arial" w:hint="eastAsia"/>
                <w:bCs/>
                <w:sz w:val="24"/>
              </w:rPr>
            </w:pPr>
            <w:r>
              <w:rPr>
                <w:rFonts w:ascii="宋体" w:hAnsi="宋体" w:cs="Arial"/>
                <w:bCs/>
                <w:sz w:val="24"/>
              </w:rPr>
              <w:t>123,240.00</w:t>
            </w:r>
          </w:p>
        </w:tc>
        <w:tc>
          <w:tcPr>
            <w:tcW w:w="2473" w:type="dxa"/>
            <w:tcBorders>
              <w:top w:val="single" w:sz="8" w:space="0" w:color="000000"/>
              <w:left w:val="single" w:sz="8" w:space="0" w:color="000000"/>
              <w:bottom w:val="single" w:sz="6" w:space="0" w:color="000000"/>
              <w:right w:val="single" w:sz="8" w:space="0" w:color="000000"/>
            </w:tcBorders>
            <w:vAlign w:val="center"/>
          </w:tcPr>
          <w:p w14:paraId="4D7C30DD" w14:textId="77777777" w:rsidR="007B7C2A" w:rsidRDefault="00072812">
            <w:pPr>
              <w:spacing w:line="360" w:lineRule="auto"/>
              <w:rPr>
                <w:rFonts w:ascii="宋体" w:hAnsi="宋体" w:cs="Arial" w:hint="eastAsia"/>
                <w:bCs/>
                <w:sz w:val="24"/>
              </w:rPr>
            </w:pPr>
            <w:r>
              <w:rPr>
                <w:rFonts w:ascii="宋体" w:hAnsi="宋体" w:cs="Arial"/>
                <w:bCs/>
                <w:sz w:val="24"/>
              </w:rPr>
              <w:t>11.43</w:t>
            </w:r>
          </w:p>
        </w:tc>
      </w:tr>
      <w:tr w:rsidR="007B7C2A" w14:paraId="4210E5A2"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2688C2A4"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J</w:t>
            </w:r>
          </w:p>
        </w:tc>
        <w:tc>
          <w:tcPr>
            <w:tcW w:w="2373" w:type="dxa"/>
            <w:tcBorders>
              <w:top w:val="single" w:sz="8" w:space="0" w:color="000000"/>
              <w:left w:val="single" w:sz="8" w:space="0" w:color="000000"/>
              <w:bottom w:val="single" w:sz="6" w:space="0" w:color="000000"/>
              <w:right w:val="single" w:sz="8" w:space="0" w:color="000000"/>
            </w:tcBorders>
            <w:vAlign w:val="center"/>
          </w:tcPr>
          <w:p w14:paraId="679FC8B2"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金融业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77E33A90"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634AA7B6"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31AED08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D463CA3"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K</w:t>
            </w:r>
          </w:p>
        </w:tc>
        <w:tc>
          <w:tcPr>
            <w:tcW w:w="2373" w:type="dxa"/>
            <w:tcBorders>
              <w:top w:val="single" w:sz="8" w:space="0" w:color="000000"/>
              <w:left w:val="single" w:sz="8" w:space="0" w:color="000000"/>
              <w:bottom w:val="single" w:sz="6" w:space="0" w:color="000000"/>
              <w:right w:val="single" w:sz="8" w:space="0" w:color="000000"/>
            </w:tcBorders>
            <w:vAlign w:val="center"/>
          </w:tcPr>
          <w:p w14:paraId="2A910951"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房地产业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191F2293"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5A7E1314"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0E0CDE8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A822129"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L</w:t>
            </w:r>
          </w:p>
        </w:tc>
        <w:tc>
          <w:tcPr>
            <w:tcW w:w="2373" w:type="dxa"/>
            <w:tcBorders>
              <w:top w:val="single" w:sz="8" w:space="0" w:color="000000"/>
              <w:left w:val="single" w:sz="8" w:space="0" w:color="000000"/>
              <w:bottom w:val="single" w:sz="6" w:space="0" w:color="000000"/>
              <w:right w:val="single" w:sz="8" w:space="0" w:color="000000"/>
            </w:tcBorders>
            <w:vAlign w:val="center"/>
          </w:tcPr>
          <w:p w14:paraId="0D3EE722"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租赁和商务服务业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4135B089"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43C23F8D"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03A49B0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EC11CB6"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M</w:t>
            </w:r>
          </w:p>
        </w:tc>
        <w:tc>
          <w:tcPr>
            <w:tcW w:w="2373" w:type="dxa"/>
            <w:tcBorders>
              <w:top w:val="single" w:sz="8" w:space="0" w:color="000000"/>
              <w:left w:val="single" w:sz="8" w:space="0" w:color="000000"/>
              <w:bottom w:val="single" w:sz="6" w:space="0" w:color="000000"/>
              <w:right w:val="single" w:sz="8" w:space="0" w:color="000000"/>
            </w:tcBorders>
            <w:vAlign w:val="center"/>
          </w:tcPr>
          <w:p w14:paraId="717732C7"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科学研究和技术服务业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04E3F322" w14:textId="77777777" w:rsidR="007B7C2A" w:rsidRDefault="00072812">
            <w:pPr>
              <w:spacing w:line="360" w:lineRule="auto"/>
              <w:rPr>
                <w:rFonts w:ascii="宋体" w:hAnsi="宋体" w:cs="Arial" w:hint="eastAsia"/>
                <w:bCs/>
                <w:sz w:val="24"/>
              </w:rPr>
            </w:pPr>
            <w:r>
              <w:rPr>
                <w:rFonts w:ascii="宋体" w:hAnsi="宋体" w:cs="Arial"/>
                <w:bCs/>
                <w:sz w:val="24"/>
              </w:rPr>
              <w:t>31,950.00</w:t>
            </w:r>
          </w:p>
        </w:tc>
        <w:tc>
          <w:tcPr>
            <w:tcW w:w="2473" w:type="dxa"/>
            <w:tcBorders>
              <w:top w:val="single" w:sz="8" w:space="0" w:color="000000"/>
              <w:left w:val="single" w:sz="8" w:space="0" w:color="000000"/>
              <w:bottom w:val="single" w:sz="6" w:space="0" w:color="000000"/>
              <w:right w:val="single" w:sz="8" w:space="0" w:color="000000"/>
            </w:tcBorders>
            <w:vAlign w:val="center"/>
          </w:tcPr>
          <w:p w14:paraId="37F31620" w14:textId="77777777" w:rsidR="007B7C2A" w:rsidRDefault="00072812">
            <w:pPr>
              <w:spacing w:line="360" w:lineRule="auto"/>
              <w:rPr>
                <w:rFonts w:ascii="宋体" w:hAnsi="宋体" w:cs="Arial" w:hint="eastAsia"/>
                <w:bCs/>
                <w:sz w:val="24"/>
              </w:rPr>
            </w:pPr>
            <w:r>
              <w:rPr>
                <w:rFonts w:ascii="宋体" w:hAnsi="宋体" w:cs="Arial"/>
                <w:bCs/>
                <w:sz w:val="24"/>
              </w:rPr>
              <w:t>2.96</w:t>
            </w:r>
          </w:p>
        </w:tc>
      </w:tr>
      <w:tr w:rsidR="007B7C2A" w14:paraId="019125C0"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CDB0C84"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N</w:t>
            </w:r>
          </w:p>
        </w:tc>
        <w:tc>
          <w:tcPr>
            <w:tcW w:w="2373" w:type="dxa"/>
            <w:tcBorders>
              <w:top w:val="single" w:sz="8" w:space="0" w:color="000000"/>
              <w:left w:val="single" w:sz="8" w:space="0" w:color="000000"/>
              <w:bottom w:val="single" w:sz="6" w:space="0" w:color="000000"/>
              <w:right w:val="single" w:sz="8" w:space="0" w:color="000000"/>
            </w:tcBorders>
            <w:vAlign w:val="center"/>
          </w:tcPr>
          <w:p w14:paraId="5A7C02A9"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水利、环境和公共设施管理业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627EFE03"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3CE39327"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5C674B39"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3861DD6A"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O</w:t>
            </w:r>
          </w:p>
        </w:tc>
        <w:tc>
          <w:tcPr>
            <w:tcW w:w="2373" w:type="dxa"/>
            <w:tcBorders>
              <w:top w:val="single" w:sz="8" w:space="0" w:color="000000"/>
              <w:left w:val="single" w:sz="8" w:space="0" w:color="000000"/>
              <w:bottom w:val="single" w:sz="6" w:space="0" w:color="000000"/>
              <w:right w:val="single" w:sz="8" w:space="0" w:color="000000"/>
            </w:tcBorders>
            <w:vAlign w:val="center"/>
          </w:tcPr>
          <w:p w14:paraId="1D77FADC"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居民服务、修理和其他服务业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1EDF9693"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02A05847"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5F818D7B"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1BDA2BA"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P</w:t>
            </w:r>
          </w:p>
        </w:tc>
        <w:tc>
          <w:tcPr>
            <w:tcW w:w="2373" w:type="dxa"/>
            <w:tcBorders>
              <w:top w:val="single" w:sz="8" w:space="0" w:color="000000"/>
              <w:left w:val="single" w:sz="8" w:space="0" w:color="000000"/>
              <w:bottom w:val="single" w:sz="6" w:space="0" w:color="000000"/>
              <w:right w:val="single" w:sz="8" w:space="0" w:color="000000"/>
            </w:tcBorders>
            <w:vAlign w:val="center"/>
          </w:tcPr>
          <w:p w14:paraId="63187BF4"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教育</w:t>
            </w:r>
          </w:p>
        </w:tc>
        <w:tc>
          <w:tcPr>
            <w:tcW w:w="2834" w:type="dxa"/>
            <w:tcBorders>
              <w:top w:val="single" w:sz="8" w:space="0" w:color="000000"/>
              <w:left w:val="single" w:sz="8" w:space="0" w:color="000000"/>
              <w:bottom w:val="single" w:sz="6" w:space="0" w:color="000000"/>
              <w:right w:val="single" w:sz="8" w:space="0" w:color="000000"/>
            </w:tcBorders>
            <w:vAlign w:val="center"/>
          </w:tcPr>
          <w:p w14:paraId="3D583D4C"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7D346E8A"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50F318C4"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081D9083"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Q</w:t>
            </w:r>
          </w:p>
        </w:tc>
        <w:tc>
          <w:tcPr>
            <w:tcW w:w="2373" w:type="dxa"/>
            <w:tcBorders>
              <w:top w:val="single" w:sz="8" w:space="0" w:color="000000"/>
              <w:left w:val="single" w:sz="8" w:space="0" w:color="000000"/>
              <w:bottom w:val="single" w:sz="6" w:space="0" w:color="000000"/>
              <w:right w:val="single" w:sz="8" w:space="0" w:color="000000"/>
            </w:tcBorders>
            <w:vAlign w:val="center"/>
          </w:tcPr>
          <w:p w14:paraId="713DA97C"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卫生和社会工作</w:t>
            </w:r>
          </w:p>
        </w:tc>
        <w:tc>
          <w:tcPr>
            <w:tcW w:w="2834" w:type="dxa"/>
            <w:tcBorders>
              <w:top w:val="single" w:sz="8" w:space="0" w:color="000000"/>
              <w:left w:val="single" w:sz="8" w:space="0" w:color="000000"/>
              <w:bottom w:val="single" w:sz="6" w:space="0" w:color="000000"/>
              <w:right w:val="single" w:sz="8" w:space="0" w:color="000000"/>
            </w:tcBorders>
            <w:vAlign w:val="center"/>
          </w:tcPr>
          <w:p w14:paraId="659BE737"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29021BD9"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337CA258"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1909F53E"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R</w:t>
            </w:r>
          </w:p>
        </w:tc>
        <w:tc>
          <w:tcPr>
            <w:tcW w:w="2373" w:type="dxa"/>
            <w:tcBorders>
              <w:top w:val="single" w:sz="8" w:space="0" w:color="000000"/>
              <w:left w:val="single" w:sz="8" w:space="0" w:color="000000"/>
              <w:bottom w:val="single" w:sz="6" w:space="0" w:color="000000"/>
              <w:right w:val="single" w:sz="8" w:space="0" w:color="000000"/>
            </w:tcBorders>
            <w:vAlign w:val="center"/>
          </w:tcPr>
          <w:p w14:paraId="2E11FD6D"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文化、体育和娱乐业</w:t>
            </w:r>
          </w:p>
        </w:tc>
        <w:tc>
          <w:tcPr>
            <w:tcW w:w="2834" w:type="dxa"/>
            <w:tcBorders>
              <w:top w:val="single" w:sz="8" w:space="0" w:color="000000"/>
              <w:left w:val="single" w:sz="8" w:space="0" w:color="000000"/>
              <w:bottom w:val="single" w:sz="6" w:space="0" w:color="000000"/>
              <w:right w:val="single" w:sz="8" w:space="0" w:color="000000"/>
            </w:tcBorders>
            <w:vAlign w:val="center"/>
          </w:tcPr>
          <w:p w14:paraId="03341764"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0072142D"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44A05146"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4F6CE9F2" w14:textId="77777777" w:rsidR="007B7C2A" w:rsidRDefault="00072812">
            <w:pPr>
              <w:spacing w:line="360" w:lineRule="auto"/>
              <w:rPr>
                <w:rFonts w:asciiTheme="minorEastAsia" w:hAnsiTheme="minorEastAsia" w:hint="eastAsia"/>
                <w:sz w:val="24"/>
                <w:szCs w:val="28"/>
              </w:rPr>
            </w:pPr>
            <w:r>
              <w:rPr>
                <w:rFonts w:asciiTheme="minorEastAsia" w:hAnsiTheme="minorEastAsia"/>
                <w:sz w:val="24"/>
                <w:szCs w:val="28"/>
              </w:rPr>
              <w:t>S</w:t>
            </w:r>
          </w:p>
        </w:tc>
        <w:tc>
          <w:tcPr>
            <w:tcW w:w="2373" w:type="dxa"/>
            <w:tcBorders>
              <w:top w:val="single" w:sz="8" w:space="0" w:color="000000"/>
              <w:left w:val="single" w:sz="8" w:space="0" w:color="000000"/>
              <w:bottom w:val="single" w:sz="6" w:space="0" w:color="000000"/>
              <w:right w:val="single" w:sz="8" w:space="0" w:color="000000"/>
            </w:tcBorders>
            <w:vAlign w:val="center"/>
          </w:tcPr>
          <w:p w14:paraId="2057C9C3"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综合</w:t>
            </w:r>
          </w:p>
        </w:tc>
        <w:tc>
          <w:tcPr>
            <w:tcW w:w="2834" w:type="dxa"/>
            <w:tcBorders>
              <w:top w:val="single" w:sz="8" w:space="0" w:color="000000"/>
              <w:left w:val="single" w:sz="8" w:space="0" w:color="000000"/>
              <w:bottom w:val="single" w:sz="6" w:space="0" w:color="000000"/>
              <w:right w:val="single" w:sz="8" w:space="0" w:color="000000"/>
            </w:tcBorders>
            <w:vAlign w:val="center"/>
          </w:tcPr>
          <w:p w14:paraId="62E3FBBB" w14:textId="77777777" w:rsidR="007B7C2A" w:rsidRDefault="00072812">
            <w:pPr>
              <w:spacing w:line="360" w:lineRule="auto"/>
              <w:rPr>
                <w:rFonts w:ascii="宋体" w:hAnsi="宋体" w:cs="Arial" w:hint="eastAsia"/>
                <w:bCs/>
                <w:sz w:val="24"/>
              </w:rPr>
            </w:pPr>
            <w:r>
              <w:rPr>
                <w:rFonts w:ascii="宋体" w:hAnsi="宋体" w:cs="Arial"/>
                <w:bCs/>
                <w:sz w:val="24"/>
              </w:rPr>
              <w:t>-</w:t>
            </w:r>
          </w:p>
        </w:tc>
        <w:tc>
          <w:tcPr>
            <w:tcW w:w="2473" w:type="dxa"/>
            <w:tcBorders>
              <w:top w:val="single" w:sz="8" w:space="0" w:color="000000"/>
              <w:left w:val="single" w:sz="8" w:space="0" w:color="000000"/>
              <w:bottom w:val="single" w:sz="6" w:space="0" w:color="000000"/>
              <w:right w:val="single" w:sz="8" w:space="0" w:color="000000"/>
            </w:tcBorders>
            <w:vAlign w:val="center"/>
          </w:tcPr>
          <w:p w14:paraId="5F3D101F" w14:textId="77777777" w:rsidR="007B7C2A" w:rsidRDefault="00072812">
            <w:pPr>
              <w:spacing w:line="360" w:lineRule="auto"/>
              <w:rPr>
                <w:rFonts w:ascii="宋体" w:hAnsi="宋体" w:cs="Arial" w:hint="eastAsia"/>
                <w:bCs/>
                <w:sz w:val="24"/>
              </w:rPr>
            </w:pPr>
            <w:r>
              <w:rPr>
                <w:rFonts w:ascii="宋体" w:hAnsi="宋体" w:cs="Arial"/>
                <w:bCs/>
                <w:sz w:val="24"/>
              </w:rPr>
              <w:t>-</w:t>
            </w:r>
          </w:p>
        </w:tc>
      </w:tr>
      <w:tr w:rsidR="007B7C2A" w14:paraId="311DDC5D" w14:textId="77777777">
        <w:tc>
          <w:tcPr>
            <w:tcW w:w="0" w:type="auto"/>
            <w:tcBorders>
              <w:top w:val="single" w:sz="8" w:space="0" w:color="000000"/>
              <w:left w:val="single" w:sz="8" w:space="0" w:color="000000"/>
              <w:bottom w:val="single" w:sz="6" w:space="0" w:color="000000"/>
              <w:right w:val="single" w:sz="8" w:space="0" w:color="000000"/>
            </w:tcBorders>
            <w:vAlign w:val="center"/>
          </w:tcPr>
          <w:p w14:paraId="555AC65E" w14:textId="77777777" w:rsidR="007B7C2A" w:rsidRDefault="007B7C2A">
            <w:pPr>
              <w:spacing w:line="360" w:lineRule="auto"/>
              <w:ind w:firstLine="420"/>
              <w:rPr>
                <w:rFonts w:asciiTheme="minorEastAsia" w:hAnsiTheme="minorEastAsia" w:hint="eastAsia"/>
                <w:sz w:val="24"/>
                <w:szCs w:val="28"/>
              </w:rPr>
            </w:pPr>
          </w:p>
        </w:tc>
        <w:tc>
          <w:tcPr>
            <w:tcW w:w="2373" w:type="dxa"/>
            <w:tcBorders>
              <w:top w:val="single" w:sz="8" w:space="0" w:color="000000"/>
              <w:left w:val="single" w:sz="8" w:space="0" w:color="000000"/>
              <w:bottom w:val="single" w:sz="6" w:space="0" w:color="000000"/>
              <w:right w:val="single" w:sz="8" w:space="0" w:color="000000"/>
            </w:tcBorders>
            <w:vAlign w:val="center"/>
          </w:tcPr>
          <w:p w14:paraId="1678D91F" w14:textId="77777777" w:rsidR="007B7C2A" w:rsidRDefault="00072812">
            <w:pPr>
              <w:spacing w:line="360" w:lineRule="auto"/>
              <w:rPr>
                <w:rFonts w:asciiTheme="minorEastAsia" w:hAnsiTheme="minorEastAsia" w:hint="eastAsia"/>
                <w:sz w:val="24"/>
                <w:szCs w:val="28"/>
              </w:rPr>
            </w:pPr>
            <w:r>
              <w:rPr>
                <w:rFonts w:asciiTheme="minorEastAsia" w:hAnsiTheme="minorEastAsia" w:hint="eastAsia"/>
                <w:sz w:val="24"/>
                <w:szCs w:val="28"/>
              </w:rPr>
              <w:t>合计</w:t>
            </w:r>
          </w:p>
        </w:tc>
        <w:tc>
          <w:tcPr>
            <w:tcW w:w="2834" w:type="dxa"/>
            <w:tcBorders>
              <w:top w:val="single" w:sz="8" w:space="0" w:color="000000"/>
              <w:left w:val="single" w:sz="8" w:space="0" w:color="000000"/>
              <w:bottom w:val="single" w:sz="6" w:space="0" w:color="000000"/>
              <w:right w:val="single" w:sz="8" w:space="0" w:color="000000"/>
            </w:tcBorders>
            <w:vAlign w:val="center"/>
          </w:tcPr>
          <w:p w14:paraId="352E2CFD" w14:textId="77777777" w:rsidR="007B7C2A" w:rsidRDefault="00072812">
            <w:pPr>
              <w:spacing w:line="360" w:lineRule="auto"/>
              <w:rPr>
                <w:rFonts w:ascii="宋体" w:hAnsi="宋体" w:cs="Arial" w:hint="eastAsia"/>
                <w:bCs/>
                <w:sz w:val="24"/>
              </w:rPr>
            </w:pPr>
            <w:r>
              <w:rPr>
                <w:rFonts w:ascii="宋体" w:hAnsi="宋体" w:cs="Arial"/>
                <w:bCs/>
                <w:sz w:val="24"/>
              </w:rPr>
              <w:t>677,978.20</w:t>
            </w:r>
          </w:p>
        </w:tc>
        <w:tc>
          <w:tcPr>
            <w:tcW w:w="2473" w:type="dxa"/>
            <w:tcBorders>
              <w:top w:val="single" w:sz="8" w:space="0" w:color="000000"/>
              <w:left w:val="single" w:sz="8" w:space="0" w:color="000000"/>
              <w:bottom w:val="single" w:sz="6" w:space="0" w:color="000000"/>
              <w:right w:val="single" w:sz="8" w:space="0" w:color="000000"/>
            </w:tcBorders>
            <w:vAlign w:val="center"/>
          </w:tcPr>
          <w:p w14:paraId="4780BEA0" w14:textId="77777777" w:rsidR="007B7C2A" w:rsidRDefault="00072812">
            <w:pPr>
              <w:spacing w:line="360" w:lineRule="auto"/>
              <w:rPr>
                <w:rFonts w:ascii="宋体" w:hAnsi="宋体" w:cs="Arial" w:hint="eastAsia"/>
                <w:bCs/>
                <w:sz w:val="24"/>
              </w:rPr>
            </w:pPr>
            <w:r>
              <w:rPr>
                <w:rFonts w:ascii="宋体" w:hAnsi="宋体" w:cs="Arial"/>
                <w:bCs/>
                <w:sz w:val="24"/>
              </w:rPr>
              <w:t>62.87</w:t>
            </w:r>
          </w:p>
        </w:tc>
      </w:tr>
    </w:tbl>
    <w:p w14:paraId="619BA643" w14:textId="77777777" w:rsidR="007B7C2A" w:rsidRDefault="007B7C2A">
      <w:pPr>
        <w:spacing w:line="360" w:lineRule="auto"/>
        <w:ind w:firstLine="420"/>
      </w:pPr>
    </w:p>
    <w:p w14:paraId="2B46474F" w14:textId="77777777" w:rsidR="007B7C2A" w:rsidRDefault="00072812">
      <w:pPr>
        <w:spacing w:line="360" w:lineRule="auto"/>
        <w:rPr>
          <w:rFonts w:ascii="宋体" w:hAnsi="宋体" w:cs="Arial" w:hint="eastAsia"/>
          <w:bCs/>
          <w:sz w:val="24"/>
        </w:rPr>
      </w:pPr>
      <w:r>
        <w:rPr>
          <w:rFonts w:ascii="宋体" w:hAnsi="宋体" w:cs="Arial" w:hint="eastAsia"/>
          <w:bCs/>
          <w:sz w:val="24"/>
        </w:rPr>
        <w:t>（</w:t>
      </w:r>
      <w:r>
        <w:rPr>
          <w:rFonts w:ascii="宋体" w:hAnsi="宋体" w:cs="Arial" w:hint="eastAsia"/>
          <w:bCs/>
          <w:sz w:val="24"/>
        </w:rPr>
        <w:t>2</w:t>
      </w:r>
      <w:r>
        <w:rPr>
          <w:rFonts w:ascii="宋体" w:hAnsi="宋体" w:cs="Arial" w:hint="eastAsia"/>
          <w:bCs/>
          <w:sz w:val="24"/>
        </w:rPr>
        <w:t>）报告期末按行业分类的港股通投资股票投资组合</w:t>
      </w:r>
    </w:p>
    <w:p w14:paraId="422A7BEA" w14:textId="77777777" w:rsidR="007B7C2A" w:rsidRDefault="00072812">
      <w:pPr>
        <w:spacing w:line="360" w:lineRule="auto"/>
        <w:ind w:firstLineChars="300" w:firstLine="720"/>
        <w:rPr>
          <w:rFonts w:ascii="宋体" w:hAnsi="宋体" w:cs="Arial" w:hint="eastAsia"/>
          <w:bCs/>
          <w:sz w:val="24"/>
        </w:rPr>
      </w:pPr>
      <w:r>
        <w:rPr>
          <w:rFonts w:ascii="宋体" w:hAnsi="宋体" w:cs="Arial" w:hint="eastAsia"/>
          <w:bCs/>
          <w:sz w:val="24"/>
        </w:rPr>
        <w:t>本基金本报告期末未持有港股通股票。</w:t>
      </w:r>
    </w:p>
    <w:p w14:paraId="72E08E28" w14:textId="77777777" w:rsidR="007B7C2A" w:rsidRDefault="00072812">
      <w:pPr>
        <w:pStyle w:val="neirong"/>
        <w:ind w:firstLineChars="200" w:firstLine="480"/>
        <w:rPr>
          <w:rFonts w:cs="Arial" w:hint="eastAsia"/>
          <w:bCs/>
        </w:rPr>
      </w:pPr>
      <w:r>
        <w:rPr>
          <w:rFonts w:cs="Arial" w:hint="eastAsia"/>
          <w:bCs/>
        </w:rPr>
        <w:t>3</w:t>
      </w:r>
      <w:r>
        <w:rPr>
          <w:rFonts w:cs="Arial" w:hint="eastAsia"/>
          <w:bCs/>
        </w:rPr>
        <w:t>、报告期末按公允价值占基金资产净值比例大小排序的前十名股票投资明细</w:t>
      </w:r>
    </w:p>
    <w:tbl>
      <w:tblPr>
        <w:tblW w:w="9073" w:type="dxa"/>
        <w:tblInd w:w="-176" w:type="dxa"/>
        <w:tblLayout w:type="fixed"/>
        <w:tblLook w:val="04A0" w:firstRow="1" w:lastRow="0" w:firstColumn="1" w:lastColumn="0" w:noHBand="0" w:noVBand="1"/>
      </w:tblPr>
      <w:tblGrid>
        <w:gridCol w:w="568"/>
        <w:gridCol w:w="1544"/>
        <w:gridCol w:w="1408"/>
        <w:gridCol w:w="1656"/>
        <w:gridCol w:w="2338"/>
        <w:gridCol w:w="1559"/>
      </w:tblGrid>
      <w:tr w:rsidR="007B7C2A" w14:paraId="1695E905"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2BBA7FAE" w14:textId="77777777" w:rsidR="007B7C2A" w:rsidRDefault="00072812">
            <w:pPr>
              <w:spacing w:line="360" w:lineRule="auto"/>
              <w:rPr>
                <w:rFonts w:ascii="宋体" w:hAnsi="宋体" w:cs="Arial" w:hint="eastAsia"/>
                <w:bCs/>
                <w:sz w:val="24"/>
              </w:rPr>
            </w:pPr>
            <w:r>
              <w:rPr>
                <w:rFonts w:ascii="宋体" w:hAnsi="宋体" w:cs="Arial" w:hint="eastAsia"/>
                <w:bCs/>
                <w:sz w:val="24"/>
              </w:rPr>
              <w:t>序号</w:t>
            </w:r>
          </w:p>
        </w:tc>
        <w:tc>
          <w:tcPr>
            <w:tcW w:w="1544" w:type="dxa"/>
            <w:tcBorders>
              <w:top w:val="single" w:sz="8" w:space="0" w:color="000000"/>
              <w:left w:val="single" w:sz="8" w:space="0" w:color="000000"/>
              <w:bottom w:val="single" w:sz="6" w:space="0" w:color="000000"/>
              <w:right w:val="single" w:sz="8" w:space="0" w:color="000000"/>
            </w:tcBorders>
            <w:vAlign w:val="center"/>
          </w:tcPr>
          <w:p w14:paraId="2CC10676" w14:textId="77777777" w:rsidR="007B7C2A" w:rsidRDefault="00072812">
            <w:pPr>
              <w:spacing w:line="360" w:lineRule="auto"/>
              <w:rPr>
                <w:rFonts w:ascii="宋体" w:hAnsi="宋体" w:cs="Arial" w:hint="eastAsia"/>
                <w:bCs/>
                <w:sz w:val="24"/>
              </w:rPr>
            </w:pPr>
            <w:r>
              <w:rPr>
                <w:rFonts w:ascii="宋体" w:hAnsi="宋体" w:cs="Arial" w:hint="eastAsia"/>
                <w:bCs/>
                <w:sz w:val="24"/>
              </w:rPr>
              <w:t>股票代码</w:t>
            </w:r>
          </w:p>
        </w:tc>
        <w:tc>
          <w:tcPr>
            <w:tcW w:w="1408" w:type="dxa"/>
            <w:tcBorders>
              <w:top w:val="single" w:sz="8" w:space="0" w:color="000000"/>
              <w:left w:val="single" w:sz="8" w:space="0" w:color="000000"/>
              <w:bottom w:val="single" w:sz="6" w:space="0" w:color="000000"/>
              <w:right w:val="single" w:sz="8" w:space="0" w:color="000000"/>
            </w:tcBorders>
            <w:vAlign w:val="center"/>
          </w:tcPr>
          <w:p w14:paraId="0421A4F4" w14:textId="77777777" w:rsidR="007B7C2A" w:rsidRDefault="00072812">
            <w:pPr>
              <w:spacing w:line="360" w:lineRule="auto"/>
              <w:rPr>
                <w:rFonts w:ascii="宋体" w:hAnsi="宋体" w:cs="Arial" w:hint="eastAsia"/>
                <w:bCs/>
                <w:sz w:val="24"/>
              </w:rPr>
            </w:pPr>
            <w:r>
              <w:rPr>
                <w:rFonts w:ascii="宋体" w:hAnsi="宋体" w:cs="Arial" w:hint="eastAsia"/>
                <w:bCs/>
                <w:sz w:val="24"/>
              </w:rPr>
              <w:t>股票名称</w:t>
            </w:r>
          </w:p>
        </w:tc>
        <w:tc>
          <w:tcPr>
            <w:tcW w:w="1656" w:type="dxa"/>
            <w:tcBorders>
              <w:top w:val="single" w:sz="8" w:space="0" w:color="000000"/>
              <w:left w:val="single" w:sz="8" w:space="0" w:color="000000"/>
              <w:bottom w:val="single" w:sz="6" w:space="0" w:color="000000"/>
              <w:right w:val="single" w:sz="8" w:space="0" w:color="000000"/>
            </w:tcBorders>
            <w:vAlign w:val="center"/>
          </w:tcPr>
          <w:p w14:paraId="19C1CE14" w14:textId="77777777" w:rsidR="007B7C2A" w:rsidRDefault="00072812">
            <w:pPr>
              <w:spacing w:line="360" w:lineRule="auto"/>
              <w:rPr>
                <w:rFonts w:ascii="宋体" w:hAnsi="宋体" w:cs="Arial" w:hint="eastAsia"/>
                <w:bCs/>
                <w:sz w:val="24"/>
              </w:rPr>
            </w:pPr>
            <w:r>
              <w:rPr>
                <w:rFonts w:ascii="宋体" w:hAnsi="宋体" w:cs="Arial" w:hint="eastAsia"/>
                <w:bCs/>
                <w:sz w:val="24"/>
              </w:rPr>
              <w:t>数量</w:t>
            </w:r>
            <w:r>
              <w:rPr>
                <w:rFonts w:ascii="宋体" w:hAnsi="宋体" w:cs="Arial" w:hint="eastAsia"/>
                <w:bCs/>
                <w:sz w:val="24"/>
              </w:rPr>
              <w:t>(</w:t>
            </w:r>
            <w:r>
              <w:rPr>
                <w:rFonts w:ascii="宋体" w:hAnsi="宋体" w:cs="Arial" w:hint="eastAsia"/>
                <w:bCs/>
                <w:sz w:val="24"/>
              </w:rPr>
              <w:t>股</w:t>
            </w:r>
            <w:r>
              <w:rPr>
                <w:rFonts w:ascii="宋体" w:hAnsi="宋体" w:cs="Arial" w:hint="eastAsia"/>
                <w:bCs/>
                <w:sz w:val="24"/>
              </w:rPr>
              <w:t>)</w:t>
            </w:r>
          </w:p>
        </w:tc>
        <w:tc>
          <w:tcPr>
            <w:tcW w:w="2338" w:type="dxa"/>
            <w:tcBorders>
              <w:top w:val="single" w:sz="8" w:space="0" w:color="000000"/>
              <w:left w:val="single" w:sz="8" w:space="0" w:color="000000"/>
              <w:bottom w:val="single" w:sz="6" w:space="0" w:color="000000"/>
              <w:right w:val="single" w:sz="8" w:space="0" w:color="000000"/>
            </w:tcBorders>
            <w:vAlign w:val="center"/>
          </w:tcPr>
          <w:p w14:paraId="3B0B99E7" w14:textId="77777777" w:rsidR="007B7C2A" w:rsidRDefault="00072812">
            <w:pPr>
              <w:spacing w:line="360" w:lineRule="auto"/>
              <w:rPr>
                <w:rFonts w:ascii="宋体" w:hAnsi="宋体" w:cs="Arial" w:hint="eastAsia"/>
                <w:bCs/>
                <w:sz w:val="24"/>
              </w:rPr>
            </w:pPr>
            <w:r>
              <w:rPr>
                <w:rFonts w:ascii="宋体" w:hAnsi="宋体" w:cs="Arial" w:hint="eastAsia"/>
                <w:bCs/>
                <w:sz w:val="24"/>
              </w:rPr>
              <w:t>公允价值</w:t>
            </w:r>
            <w:r>
              <w:rPr>
                <w:rFonts w:ascii="宋体" w:hAnsi="宋体" w:cs="Arial" w:hint="eastAsia"/>
                <w:bCs/>
                <w:sz w:val="24"/>
              </w:rPr>
              <w:t>(</w:t>
            </w:r>
            <w:r>
              <w:rPr>
                <w:rFonts w:ascii="宋体" w:hAnsi="宋体" w:cs="Arial" w:hint="eastAsia"/>
                <w:bCs/>
                <w:sz w:val="24"/>
              </w:rPr>
              <w:t>元</w:t>
            </w:r>
            <w:r>
              <w:rPr>
                <w:rFonts w:ascii="宋体" w:hAnsi="宋体" w:cs="Arial" w:hint="eastAsia"/>
                <w:bCs/>
                <w:sz w:val="24"/>
              </w:rPr>
              <w:t>)</w:t>
            </w:r>
          </w:p>
        </w:tc>
        <w:tc>
          <w:tcPr>
            <w:tcW w:w="1559" w:type="dxa"/>
            <w:tcBorders>
              <w:top w:val="single" w:sz="8" w:space="0" w:color="000000"/>
              <w:left w:val="single" w:sz="8" w:space="0" w:color="000000"/>
              <w:bottom w:val="single" w:sz="6" w:space="0" w:color="000000"/>
              <w:right w:val="single" w:sz="8" w:space="0" w:color="000000"/>
            </w:tcBorders>
            <w:vAlign w:val="center"/>
          </w:tcPr>
          <w:p w14:paraId="471BF514" w14:textId="77777777" w:rsidR="007B7C2A" w:rsidRDefault="00072812">
            <w:pPr>
              <w:spacing w:line="360" w:lineRule="auto"/>
              <w:rPr>
                <w:rFonts w:ascii="宋体" w:hAnsi="宋体" w:cs="Arial" w:hint="eastAsia"/>
                <w:bCs/>
                <w:sz w:val="24"/>
              </w:rPr>
            </w:pPr>
            <w:r>
              <w:rPr>
                <w:rFonts w:ascii="宋体" w:hAnsi="宋体" w:cs="Arial" w:hint="eastAsia"/>
                <w:bCs/>
                <w:sz w:val="24"/>
              </w:rPr>
              <w:t>占基金资产净值比例（％）</w:t>
            </w:r>
          </w:p>
        </w:tc>
      </w:tr>
      <w:tr w:rsidR="007B7C2A" w14:paraId="08C5A61A"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101915BF" w14:textId="77777777" w:rsidR="007B7C2A" w:rsidRDefault="00072812">
            <w:pPr>
              <w:spacing w:line="360" w:lineRule="auto"/>
              <w:rPr>
                <w:rFonts w:ascii="宋体" w:hAnsi="宋体" w:cs="Arial" w:hint="eastAsia"/>
                <w:bCs/>
                <w:sz w:val="24"/>
              </w:rPr>
            </w:pPr>
            <w:r>
              <w:rPr>
                <w:rFonts w:ascii="宋体" w:hAnsi="宋体" w:cs="Arial" w:hint="eastAsia"/>
                <w:bCs/>
                <w:sz w:val="24"/>
              </w:rPr>
              <w:t>1</w:t>
            </w:r>
          </w:p>
        </w:tc>
        <w:tc>
          <w:tcPr>
            <w:tcW w:w="1544" w:type="dxa"/>
            <w:tcBorders>
              <w:top w:val="single" w:sz="8" w:space="0" w:color="000000"/>
              <w:left w:val="single" w:sz="8" w:space="0" w:color="000000"/>
              <w:bottom w:val="single" w:sz="6" w:space="0" w:color="000000"/>
              <w:right w:val="single" w:sz="8" w:space="0" w:color="000000"/>
            </w:tcBorders>
            <w:vAlign w:val="center"/>
          </w:tcPr>
          <w:p w14:paraId="2D640B51" w14:textId="77777777" w:rsidR="007B7C2A" w:rsidRDefault="00072812">
            <w:pPr>
              <w:spacing w:line="360" w:lineRule="auto"/>
              <w:rPr>
                <w:rFonts w:ascii="宋体" w:hAnsi="宋体" w:cs="Arial" w:hint="eastAsia"/>
                <w:bCs/>
                <w:sz w:val="24"/>
              </w:rPr>
            </w:pPr>
            <w:r>
              <w:rPr>
                <w:rFonts w:ascii="宋体" w:hAnsi="宋体" w:cs="Arial"/>
                <w:bCs/>
                <w:sz w:val="24"/>
              </w:rPr>
              <w:t>601127</w:t>
            </w:r>
          </w:p>
        </w:tc>
        <w:tc>
          <w:tcPr>
            <w:tcW w:w="1408" w:type="dxa"/>
            <w:tcBorders>
              <w:top w:val="single" w:sz="8" w:space="0" w:color="000000"/>
              <w:left w:val="single" w:sz="8" w:space="0" w:color="000000"/>
              <w:bottom w:val="single" w:sz="6" w:space="0" w:color="000000"/>
              <w:right w:val="single" w:sz="8" w:space="0" w:color="000000"/>
            </w:tcBorders>
            <w:vAlign w:val="center"/>
          </w:tcPr>
          <w:p w14:paraId="7212EE7A" w14:textId="77777777" w:rsidR="007B7C2A" w:rsidRDefault="00072812">
            <w:pPr>
              <w:spacing w:line="360" w:lineRule="auto"/>
              <w:rPr>
                <w:rFonts w:ascii="宋体" w:hAnsi="宋体" w:cs="Arial" w:hint="eastAsia"/>
                <w:bCs/>
                <w:sz w:val="24"/>
              </w:rPr>
            </w:pPr>
            <w:r>
              <w:rPr>
                <w:rFonts w:ascii="宋体" w:hAnsi="宋体" w:cs="Arial"/>
                <w:bCs/>
                <w:sz w:val="24"/>
              </w:rPr>
              <w:t>赛力斯</w:t>
            </w:r>
          </w:p>
        </w:tc>
        <w:tc>
          <w:tcPr>
            <w:tcW w:w="1656" w:type="dxa"/>
            <w:tcBorders>
              <w:top w:val="single" w:sz="8" w:space="0" w:color="000000"/>
              <w:left w:val="single" w:sz="8" w:space="0" w:color="000000"/>
              <w:bottom w:val="single" w:sz="6" w:space="0" w:color="000000"/>
              <w:right w:val="single" w:sz="8" w:space="0" w:color="000000"/>
            </w:tcBorders>
            <w:vAlign w:val="center"/>
          </w:tcPr>
          <w:p w14:paraId="5B53A62B" w14:textId="77777777" w:rsidR="007B7C2A" w:rsidRDefault="00072812">
            <w:pPr>
              <w:spacing w:line="360" w:lineRule="auto"/>
              <w:rPr>
                <w:rFonts w:ascii="宋体" w:hAnsi="宋体" w:cs="Arial" w:hint="eastAsia"/>
                <w:bCs/>
                <w:sz w:val="24"/>
              </w:rPr>
            </w:pPr>
            <w:r>
              <w:rPr>
                <w:rFonts w:ascii="宋体" w:hAnsi="宋体" w:cs="Arial"/>
                <w:bCs/>
                <w:sz w:val="24"/>
              </w:rPr>
              <w:t>400</w:t>
            </w:r>
          </w:p>
        </w:tc>
        <w:tc>
          <w:tcPr>
            <w:tcW w:w="2338" w:type="dxa"/>
            <w:tcBorders>
              <w:top w:val="single" w:sz="8" w:space="0" w:color="000000"/>
              <w:left w:val="single" w:sz="8" w:space="0" w:color="000000"/>
              <w:bottom w:val="single" w:sz="6" w:space="0" w:color="000000"/>
              <w:right w:val="single" w:sz="8" w:space="0" w:color="000000"/>
            </w:tcBorders>
            <w:vAlign w:val="center"/>
          </w:tcPr>
          <w:p w14:paraId="331AB689" w14:textId="77777777" w:rsidR="007B7C2A" w:rsidRDefault="00072812">
            <w:pPr>
              <w:spacing w:line="360" w:lineRule="auto"/>
              <w:rPr>
                <w:rFonts w:ascii="宋体" w:hAnsi="宋体" w:cs="Arial" w:hint="eastAsia"/>
                <w:bCs/>
                <w:sz w:val="24"/>
              </w:rPr>
            </w:pPr>
            <w:r>
              <w:rPr>
                <w:rFonts w:ascii="宋体" w:hAnsi="宋体" w:cs="Arial"/>
                <w:bCs/>
                <w:sz w:val="24"/>
              </w:rPr>
              <w:t>53,728.00</w:t>
            </w:r>
          </w:p>
        </w:tc>
        <w:tc>
          <w:tcPr>
            <w:tcW w:w="1559" w:type="dxa"/>
            <w:tcBorders>
              <w:top w:val="single" w:sz="8" w:space="0" w:color="000000"/>
              <w:left w:val="single" w:sz="8" w:space="0" w:color="000000"/>
              <w:bottom w:val="single" w:sz="6" w:space="0" w:color="000000"/>
              <w:right w:val="single" w:sz="8" w:space="0" w:color="000000"/>
            </w:tcBorders>
            <w:vAlign w:val="center"/>
          </w:tcPr>
          <w:p w14:paraId="22D9635D" w14:textId="77777777" w:rsidR="007B7C2A" w:rsidRDefault="00072812">
            <w:pPr>
              <w:spacing w:line="360" w:lineRule="auto"/>
              <w:rPr>
                <w:rFonts w:ascii="宋体" w:hAnsi="宋体" w:cs="Arial" w:hint="eastAsia"/>
                <w:bCs/>
                <w:sz w:val="24"/>
              </w:rPr>
            </w:pPr>
            <w:r>
              <w:rPr>
                <w:rFonts w:ascii="宋体" w:hAnsi="宋体" w:cs="Arial"/>
                <w:bCs/>
                <w:sz w:val="24"/>
              </w:rPr>
              <w:t>4.98</w:t>
            </w:r>
          </w:p>
        </w:tc>
      </w:tr>
      <w:tr w:rsidR="007B7C2A" w14:paraId="3CED3BC1"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2181F995" w14:textId="77777777" w:rsidR="007B7C2A" w:rsidRDefault="00072812">
            <w:pPr>
              <w:spacing w:line="360" w:lineRule="auto"/>
              <w:rPr>
                <w:rFonts w:ascii="宋体" w:hAnsi="宋体" w:cs="Arial" w:hint="eastAsia"/>
                <w:bCs/>
                <w:sz w:val="24"/>
              </w:rPr>
            </w:pPr>
            <w:r>
              <w:rPr>
                <w:rFonts w:ascii="宋体" w:hAnsi="宋体" w:cs="Arial" w:hint="eastAsia"/>
                <w:bCs/>
                <w:sz w:val="24"/>
              </w:rPr>
              <w:t>2</w:t>
            </w:r>
          </w:p>
        </w:tc>
        <w:tc>
          <w:tcPr>
            <w:tcW w:w="1544" w:type="dxa"/>
            <w:tcBorders>
              <w:top w:val="single" w:sz="8" w:space="0" w:color="000000"/>
              <w:left w:val="single" w:sz="8" w:space="0" w:color="000000"/>
              <w:bottom w:val="single" w:sz="6" w:space="0" w:color="000000"/>
              <w:right w:val="single" w:sz="8" w:space="0" w:color="000000"/>
            </w:tcBorders>
            <w:vAlign w:val="center"/>
          </w:tcPr>
          <w:p w14:paraId="12507D35" w14:textId="77777777" w:rsidR="007B7C2A" w:rsidRDefault="00072812">
            <w:pPr>
              <w:spacing w:line="360" w:lineRule="auto"/>
              <w:rPr>
                <w:rFonts w:ascii="宋体" w:hAnsi="宋体" w:cs="Arial" w:hint="eastAsia"/>
                <w:bCs/>
                <w:sz w:val="24"/>
              </w:rPr>
            </w:pPr>
            <w:r>
              <w:rPr>
                <w:rFonts w:ascii="宋体" w:hAnsi="宋体" w:cs="Arial"/>
                <w:bCs/>
                <w:sz w:val="24"/>
              </w:rPr>
              <w:t>002405</w:t>
            </w:r>
          </w:p>
        </w:tc>
        <w:tc>
          <w:tcPr>
            <w:tcW w:w="1408" w:type="dxa"/>
            <w:tcBorders>
              <w:top w:val="single" w:sz="8" w:space="0" w:color="000000"/>
              <w:left w:val="single" w:sz="8" w:space="0" w:color="000000"/>
              <w:bottom w:val="single" w:sz="6" w:space="0" w:color="000000"/>
              <w:right w:val="single" w:sz="8" w:space="0" w:color="000000"/>
            </w:tcBorders>
            <w:vAlign w:val="center"/>
          </w:tcPr>
          <w:p w14:paraId="34E016F2" w14:textId="77777777" w:rsidR="007B7C2A" w:rsidRDefault="00072812">
            <w:pPr>
              <w:spacing w:line="360" w:lineRule="auto"/>
              <w:rPr>
                <w:rFonts w:ascii="宋体" w:hAnsi="宋体" w:cs="Arial" w:hint="eastAsia"/>
                <w:bCs/>
                <w:sz w:val="24"/>
              </w:rPr>
            </w:pPr>
            <w:proofErr w:type="gramStart"/>
            <w:r>
              <w:rPr>
                <w:rFonts w:ascii="宋体" w:hAnsi="宋体" w:cs="Arial"/>
                <w:bCs/>
                <w:sz w:val="24"/>
              </w:rPr>
              <w:t>四维图</w:t>
            </w:r>
            <w:proofErr w:type="gramEnd"/>
            <w:r>
              <w:rPr>
                <w:rFonts w:ascii="宋体" w:hAnsi="宋体" w:cs="Arial"/>
                <w:bCs/>
                <w:sz w:val="24"/>
              </w:rPr>
              <w:t>新</w:t>
            </w:r>
          </w:p>
        </w:tc>
        <w:tc>
          <w:tcPr>
            <w:tcW w:w="1656" w:type="dxa"/>
            <w:tcBorders>
              <w:top w:val="single" w:sz="8" w:space="0" w:color="000000"/>
              <w:left w:val="single" w:sz="8" w:space="0" w:color="000000"/>
              <w:bottom w:val="single" w:sz="6" w:space="0" w:color="000000"/>
              <w:right w:val="single" w:sz="8" w:space="0" w:color="000000"/>
            </w:tcBorders>
            <w:vAlign w:val="center"/>
          </w:tcPr>
          <w:p w14:paraId="13DD20B4" w14:textId="77777777" w:rsidR="007B7C2A" w:rsidRDefault="00072812">
            <w:pPr>
              <w:spacing w:line="360" w:lineRule="auto"/>
              <w:rPr>
                <w:rFonts w:ascii="宋体" w:hAnsi="宋体" w:cs="Arial" w:hint="eastAsia"/>
                <w:bCs/>
                <w:sz w:val="24"/>
              </w:rPr>
            </w:pPr>
            <w:r>
              <w:rPr>
                <w:rFonts w:ascii="宋体" w:hAnsi="宋体" w:cs="Arial"/>
                <w:bCs/>
                <w:sz w:val="24"/>
              </w:rPr>
              <w:t>5,600</w:t>
            </w:r>
          </w:p>
        </w:tc>
        <w:tc>
          <w:tcPr>
            <w:tcW w:w="2338" w:type="dxa"/>
            <w:tcBorders>
              <w:top w:val="single" w:sz="8" w:space="0" w:color="000000"/>
              <w:left w:val="single" w:sz="8" w:space="0" w:color="000000"/>
              <w:bottom w:val="single" w:sz="6" w:space="0" w:color="000000"/>
              <w:right w:val="single" w:sz="8" w:space="0" w:color="000000"/>
            </w:tcBorders>
            <w:vAlign w:val="center"/>
          </w:tcPr>
          <w:p w14:paraId="253C4440" w14:textId="77777777" w:rsidR="007B7C2A" w:rsidRDefault="00072812">
            <w:pPr>
              <w:spacing w:line="360" w:lineRule="auto"/>
              <w:rPr>
                <w:rFonts w:ascii="宋体" w:hAnsi="宋体" w:cs="Arial" w:hint="eastAsia"/>
                <w:bCs/>
                <w:sz w:val="24"/>
              </w:rPr>
            </w:pPr>
            <w:r>
              <w:rPr>
                <w:rFonts w:ascii="宋体" w:hAnsi="宋体" w:cs="Arial"/>
                <w:bCs/>
                <w:sz w:val="24"/>
              </w:rPr>
              <w:t>47,824.00</w:t>
            </w:r>
          </w:p>
        </w:tc>
        <w:tc>
          <w:tcPr>
            <w:tcW w:w="1559" w:type="dxa"/>
            <w:tcBorders>
              <w:top w:val="single" w:sz="8" w:space="0" w:color="000000"/>
              <w:left w:val="single" w:sz="8" w:space="0" w:color="000000"/>
              <w:bottom w:val="single" w:sz="6" w:space="0" w:color="000000"/>
              <w:right w:val="single" w:sz="8" w:space="0" w:color="000000"/>
            </w:tcBorders>
            <w:vAlign w:val="center"/>
          </w:tcPr>
          <w:p w14:paraId="14132132" w14:textId="77777777" w:rsidR="007B7C2A" w:rsidRDefault="00072812">
            <w:pPr>
              <w:spacing w:line="360" w:lineRule="auto"/>
              <w:rPr>
                <w:rFonts w:ascii="宋体" w:hAnsi="宋体" w:cs="Arial" w:hint="eastAsia"/>
                <w:bCs/>
                <w:sz w:val="24"/>
              </w:rPr>
            </w:pPr>
            <w:r>
              <w:rPr>
                <w:rFonts w:ascii="宋体" w:hAnsi="宋体" w:cs="Arial"/>
                <w:bCs/>
                <w:sz w:val="24"/>
              </w:rPr>
              <w:t>4.44</w:t>
            </w:r>
          </w:p>
        </w:tc>
      </w:tr>
      <w:tr w:rsidR="007B7C2A" w14:paraId="7080D266"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741A249D" w14:textId="77777777" w:rsidR="007B7C2A" w:rsidRDefault="00072812">
            <w:pPr>
              <w:spacing w:line="360" w:lineRule="auto"/>
              <w:rPr>
                <w:rFonts w:ascii="宋体" w:hAnsi="宋体" w:cs="Arial" w:hint="eastAsia"/>
                <w:bCs/>
                <w:sz w:val="24"/>
              </w:rPr>
            </w:pPr>
            <w:r>
              <w:rPr>
                <w:rFonts w:ascii="宋体" w:hAnsi="宋体" w:cs="Arial" w:hint="eastAsia"/>
                <w:bCs/>
                <w:sz w:val="24"/>
              </w:rPr>
              <w:t>3</w:t>
            </w:r>
          </w:p>
        </w:tc>
        <w:tc>
          <w:tcPr>
            <w:tcW w:w="1544" w:type="dxa"/>
            <w:tcBorders>
              <w:top w:val="single" w:sz="8" w:space="0" w:color="000000"/>
              <w:left w:val="single" w:sz="8" w:space="0" w:color="000000"/>
              <w:bottom w:val="single" w:sz="6" w:space="0" w:color="000000"/>
              <w:right w:val="single" w:sz="8" w:space="0" w:color="000000"/>
            </w:tcBorders>
            <w:vAlign w:val="center"/>
          </w:tcPr>
          <w:p w14:paraId="29FBA282" w14:textId="77777777" w:rsidR="007B7C2A" w:rsidRDefault="00072812">
            <w:pPr>
              <w:spacing w:line="360" w:lineRule="auto"/>
              <w:rPr>
                <w:rFonts w:ascii="宋体" w:hAnsi="宋体" w:cs="Arial" w:hint="eastAsia"/>
                <w:bCs/>
                <w:sz w:val="24"/>
              </w:rPr>
            </w:pPr>
            <w:r>
              <w:rPr>
                <w:rFonts w:ascii="宋体" w:hAnsi="宋体" w:cs="Arial"/>
                <w:bCs/>
                <w:sz w:val="24"/>
              </w:rPr>
              <w:t>300496</w:t>
            </w:r>
          </w:p>
        </w:tc>
        <w:tc>
          <w:tcPr>
            <w:tcW w:w="1408" w:type="dxa"/>
            <w:tcBorders>
              <w:top w:val="single" w:sz="8" w:space="0" w:color="000000"/>
              <w:left w:val="single" w:sz="8" w:space="0" w:color="000000"/>
              <w:bottom w:val="single" w:sz="6" w:space="0" w:color="000000"/>
              <w:right w:val="single" w:sz="8" w:space="0" w:color="000000"/>
            </w:tcBorders>
            <w:vAlign w:val="center"/>
          </w:tcPr>
          <w:p w14:paraId="3596184A" w14:textId="77777777" w:rsidR="007B7C2A" w:rsidRDefault="00072812">
            <w:pPr>
              <w:spacing w:line="360" w:lineRule="auto"/>
              <w:rPr>
                <w:rFonts w:ascii="宋体" w:hAnsi="宋体" w:cs="Arial" w:hint="eastAsia"/>
                <w:bCs/>
                <w:sz w:val="24"/>
              </w:rPr>
            </w:pPr>
            <w:proofErr w:type="gramStart"/>
            <w:r>
              <w:rPr>
                <w:rFonts w:ascii="宋体" w:hAnsi="宋体" w:cs="Arial"/>
                <w:bCs/>
                <w:sz w:val="24"/>
              </w:rPr>
              <w:t>中科创达</w:t>
            </w:r>
            <w:proofErr w:type="gramEnd"/>
          </w:p>
        </w:tc>
        <w:tc>
          <w:tcPr>
            <w:tcW w:w="1656" w:type="dxa"/>
            <w:tcBorders>
              <w:top w:val="single" w:sz="8" w:space="0" w:color="000000"/>
              <w:left w:val="single" w:sz="8" w:space="0" w:color="000000"/>
              <w:bottom w:val="single" w:sz="6" w:space="0" w:color="000000"/>
              <w:right w:val="single" w:sz="8" w:space="0" w:color="000000"/>
            </w:tcBorders>
            <w:vAlign w:val="center"/>
          </w:tcPr>
          <w:p w14:paraId="5A2E9829" w14:textId="77777777" w:rsidR="007B7C2A" w:rsidRDefault="00072812">
            <w:pPr>
              <w:spacing w:line="360" w:lineRule="auto"/>
              <w:rPr>
                <w:rFonts w:ascii="宋体" w:hAnsi="宋体" w:cs="Arial" w:hint="eastAsia"/>
                <w:bCs/>
                <w:sz w:val="24"/>
              </w:rPr>
            </w:pPr>
            <w:r>
              <w:rPr>
                <w:rFonts w:ascii="宋体" w:hAnsi="宋体" w:cs="Arial"/>
                <w:bCs/>
                <w:sz w:val="24"/>
              </w:rPr>
              <w:t>800</w:t>
            </w:r>
          </w:p>
        </w:tc>
        <w:tc>
          <w:tcPr>
            <w:tcW w:w="2338" w:type="dxa"/>
            <w:tcBorders>
              <w:top w:val="single" w:sz="8" w:space="0" w:color="000000"/>
              <w:left w:val="single" w:sz="8" w:space="0" w:color="000000"/>
              <w:bottom w:val="single" w:sz="6" w:space="0" w:color="000000"/>
              <w:right w:val="single" w:sz="8" w:space="0" w:color="000000"/>
            </w:tcBorders>
            <w:vAlign w:val="center"/>
          </w:tcPr>
          <w:p w14:paraId="48904F76" w14:textId="77777777" w:rsidR="007B7C2A" w:rsidRDefault="00072812">
            <w:pPr>
              <w:spacing w:line="360" w:lineRule="auto"/>
              <w:rPr>
                <w:rFonts w:ascii="宋体" w:hAnsi="宋体" w:cs="Arial" w:hint="eastAsia"/>
                <w:bCs/>
                <w:sz w:val="24"/>
              </w:rPr>
            </w:pPr>
            <w:r>
              <w:rPr>
                <w:rFonts w:ascii="宋体" w:hAnsi="宋体" w:cs="Arial"/>
                <w:bCs/>
                <w:sz w:val="24"/>
              </w:rPr>
              <w:t>45,776.00</w:t>
            </w:r>
          </w:p>
        </w:tc>
        <w:tc>
          <w:tcPr>
            <w:tcW w:w="1559" w:type="dxa"/>
            <w:tcBorders>
              <w:top w:val="single" w:sz="8" w:space="0" w:color="000000"/>
              <w:left w:val="single" w:sz="8" w:space="0" w:color="000000"/>
              <w:bottom w:val="single" w:sz="6" w:space="0" w:color="000000"/>
              <w:right w:val="single" w:sz="8" w:space="0" w:color="000000"/>
            </w:tcBorders>
            <w:vAlign w:val="center"/>
          </w:tcPr>
          <w:p w14:paraId="6345314A" w14:textId="77777777" w:rsidR="007B7C2A" w:rsidRDefault="00072812">
            <w:pPr>
              <w:spacing w:line="360" w:lineRule="auto"/>
              <w:rPr>
                <w:rFonts w:ascii="宋体" w:hAnsi="宋体" w:cs="Arial" w:hint="eastAsia"/>
                <w:bCs/>
                <w:sz w:val="24"/>
              </w:rPr>
            </w:pPr>
            <w:r>
              <w:rPr>
                <w:rFonts w:ascii="宋体" w:hAnsi="宋体" w:cs="Arial"/>
                <w:bCs/>
                <w:sz w:val="24"/>
              </w:rPr>
              <w:t>4.25</w:t>
            </w:r>
          </w:p>
        </w:tc>
      </w:tr>
      <w:tr w:rsidR="007B7C2A" w14:paraId="4A3EC92C"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19149030" w14:textId="77777777" w:rsidR="007B7C2A" w:rsidRDefault="00072812">
            <w:pPr>
              <w:spacing w:line="360" w:lineRule="auto"/>
              <w:rPr>
                <w:rFonts w:ascii="宋体" w:hAnsi="宋体" w:cs="Arial" w:hint="eastAsia"/>
                <w:bCs/>
                <w:sz w:val="24"/>
              </w:rPr>
            </w:pPr>
            <w:r>
              <w:rPr>
                <w:rFonts w:ascii="宋体" w:hAnsi="宋体" w:cs="Arial" w:hint="eastAsia"/>
                <w:bCs/>
                <w:sz w:val="24"/>
              </w:rPr>
              <w:t>4</w:t>
            </w:r>
          </w:p>
        </w:tc>
        <w:tc>
          <w:tcPr>
            <w:tcW w:w="1544" w:type="dxa"/>
            <w:tcBorders>
              <w:top w:val="single" w:sz="8" w:space="0" w:color="000000"/>
              <w:left w:val="single" w:sz="8" w:space="0" w:color="000000"/>
              <w:bottom w:val="single" w:sz="6" w:space="0" w:color="000000"/>
              <w:right w:val="single" w:sz="8" w:space="0" w:color="000000"/>
            </w:tcBorders>
            <w:vAlign w:val="center"/>
          </w:tcPr>
          <w:p w14:paraId="44EC421A" w14:textId="77777777" w:rsidR="007B7C2A" w:rsidRDefault="00072812">
            <w:pPr>
              <w:spacing w:line="360" w:lineRule="auto"/>
              <w:rPr>
                <w:rFonts w:ascii="宋体" w:hAnsi="宋体" w:cs="Arial" w:hint="eastAsia"/>
                <w:bCs/>
                <w:sz w:val="24"/>
              </w:rPr>
            </w:pPr>
            <w:r>
              <w:rPr>
                <w:rFonts w:ascii="宋体" w:hAnsi="宋体" w:cs="Arial"/>
                <w:bCs/>
                <w:sz w:val="24"/>
              </w:rPr>
              <w:t>603786</w:t>
            </w:r>
          </w:p>
        </w:tc>
        <w:tc>
          <w:tcPr>
            <w:tcW w:w="1408" w:type="dxa"/>
            <w:tcBorders>
              <w:top w:val="single" w:sz="8" w:space="0" w:color="000000"/>
              <w:left w:val="single" w:sz="8" w:space="0" w:color="000000"/>
              <w:bottom w:val="single" w:sz="6" w:space="0" w:color="000000"/>
              <w:right w:val="single" w:sz="8" w:space="0" w:color="000000"/>
            </w:tcBorders>
            <w:vAlign w:val="center"/>
          </w:tcPr>
          <w:p w14:paraId="36B0AFEB" w14:textId="77777777" w:rsidR="007B7C2A" w:rsidRDefault="00072812">
            <w:pPr>
              <w:spacing w:line="360" w:lineRule="auto"/>
              <w:rPr>
                <w:rFonts w:ascii="宋体" w:hAnsi="宋体" w:cs="Arial" w:hint="eastAsia"/>
                <w:bCs/>
                <w:sz w:val="24"/>
              </w:rPr>
            </w:pPr>
            <w:r>
              <w:rPr>
                <w:rFonts w:ascii="宋体" w:hAnsi="宋体" w:cs="Arial"/>
                <w:bCs/>
                <w:sz w:val="24"/>
              </w:rPr>
              <w:t>科博达</w:t>
            </w:r>
          </w:p>
        </w:tc>
        <w:tc>
          <w:tcPr>
            <w:tcW w:w="1656" w:type="dxa"/>
            <w:tcBorders>
              <w:top w:val="single" w:sz="8" w:space="0" w:color="000000"/>
              <w:left w:val="single" w:sz="8" w:space="0" w:color="000000"/>
              <w:bottom w:val="single" w:sz="6" w:space="0" w:color="000000"/>
              <w:right w:val="single" w:sz="8" w:space="0" w:color="000000"/>
            </w:tcBorders>
            <w:vAlign w:val="center"/>
          </w:tcPr>
          <w:p w14:paraId="3359A75C" w14:textId="77777777" w:rsidR="007B7C2A" w:rsidRDefault="00072812">
            <w:pPr>
              <w:spacing w:line="360" w:lineRule="auto"/>
              <w:rPr>
                <w:rFonts w:ascii="宋体" w:hAnsi="宋体" w:cs="Arial" w:hint="eastAsia"/>
                <w:bCs/>
                <w:sz w:val="24"/>
              </w:rPr>
            </w:pPr>
            <w:r>
              <w:rPr>
                <w:rFonts w:ascii="宋体" w:hAnsi="宋体" w:cs="Arial"/>
                <w:bCs/>
                <w:sz w:val="24"/>
              </w:rPr>
              <w:t>800</w:t>
            </w:r>
          </w:p>
        </w:tc>
        <w:tc>
          <w:tcPr>
            <w:tcW w:w="2338" w:type="dxa"/>
            <w:tcBorders>
              <w:top w:val="single" w:sz="8" w:space="0" w:color="000000"/>
              <w:left w:val="single" w:sz="8" w:space="0" w:color="000000"/>
              <w:bottom w:val="single" w:sz="6" w:space="0" w:color="000000"/>
              <w:right w:val="single" w:sz="8" w:space="0" w:color="000000"/>
            </w:tcBorders>
            <w:vAlign w:val="center"/>
          </w:tcPr>
          <w:p w14:paraId="117637DC" w14:textId="77777777" w:rsidR="007B7C2A" w:rsidRDefault="00072812">
            <w:pPr>
              <w:spacing w:line="360" w:lineRule="auto"/>
              <w:rPr>
                <w:rFonts w:ascii="宋体" w:hAnsi="宋体" w:cs="Arial" w:hint="eastAsia"/>
                <w:bCs/>
                <w:sz w:val="24"/>
              </w:rPr>
            </w:pPr>
            <w:r>
              <w:rPr>
                <w:rFonts w:ascii="宋体" w:hAnsi="宋体" w:cs="Arial"/>
                <w:bCs/>
                <w:sz w:val="24"/>
              </w:rPr>
              <w:t>44,328.00</w:t>
            </w:r>
          </w:p>
        </w:tc>
        <w:tc>
          <w:tcPr>
            <w:tcW w:w="1559" w:type="dxa"/>
            <w:tcBorders>
              <w:top w:val="single" w:sz="8" w:space="0" w:color="000000"/>
              <w:left w:val="single" w:sz="8" w:space="0" w:color="000000"/>
              <w:bottom w:val="single" w:sz="6" w:space="0" w:color="000000"/>
              <w:right w:val="single" w:sz="8" w:space="0" w:color="000000"/>
            </w:tcBorders>
            <w:vAlign w:val="center"/>
          </w:tcPr>
          <w:p w14:paraId="7F49B8AD" w14:textId="77777777" w:rsidR="007B7C2A" w:rsidRDefault="00072812">
            <w:pPr>
              <w:spacing w:line="360" w:lineRule="auto"/>
              <w:rPr>
                <w:rFonts w:ascii="宋体" w:hAnsi="宋体" w:cs="Arial" w:hint="eastAsia"/>
                <w:bCs/>
                <w:sz w:val="24"/>
              </w:rPr>
            </w:pPr>
            <w:r>
              <w:rPr>
                <w:rFonts w:ascii="宋体" w:hAnsi="宋体" w:cs="Arial"/>
                <w:bCs/>
                <w:sz w:val="24"/>
              </w:rPr>
              <w:t>4.11</w:t>
            </w:r>
          </w:p>
        </w:tc>
      </w:tr>
      <w:tr w:rsidR="007B7C2A" w14:paraId="737FBBA4"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65B86E6E" w14:textId="77777777" w:rsidR="007B7C2A" w:rsidRDefault="00072812">
            <w:pPr>
              <w:spacing w:line="360" w:lineRule="auto"/>
              <w:rPr>
                <w:rFonts w:ascii="宋体" w:hAnsi="宋体" w:cs="Arial" w:hint="eastAsia"/>
                <w:bCs/>
                <w:sz w:val="24"/>
              </w:rPr>
            </w:pPr>
            <w:r>
              <w:rPr>
                <w:rFonts w:ascii="宋体" w:hAnsi="宋体" w:cs="Arial" w:hint="eastAsia"/>
                <w:bCs/>
                <w:sz w:val="24"/>
              </w:rPr>
              <w:t>5</w:t>
            </w:r>
          </w:p>
        </w:tc>
        <w:tc>
          <w:tcPr>
            <w:tcW w:w="1544" w:type="dxa"/>
            <w:tcBorders>
              <w:top w:val="single" w:sz="8" w:space="0" w:color="000000"/>
              <w:left w:val="single" w:sz="8" w:space="0" w:color="000000"/>
              <w:bottom w:val="single" w:sz="6" w:space="0" w:color="000000"/>
              <w:right w:val="single" w:sz="8" w:space="0" w:color="000000"/>
            </w:tcBorders>
            <w:vAlign w:val="center"/>
          </w:tcPr>
          <w:p w14:paraId="6F715CCE" w14:textId="77777777" w:rsidR="007B7C2A" w:rsidRDefault="00072812">
            <w:pPr>
              <w:spacing w:line="360" w:lineRule="auto"/>
              <w:rPr>
                <w:rFonts w:ascii="宋体" w:hAnsi="宋体" w:cs="Arial" w:hint="eastAsia"/>
                <w:bCs/>
                <w:sz w:val="24"/>
              </w:rPr>
            </w:pPr>
            <w:r>
              <w:rPr>
                <w:rFonts w:ascii="宋体" w:hAnsi="宋体" w:cs="Arial"/>
                <w:bCs/>
                <w:sz w:val="24"/>
              </w:rPr>
              <w:t>300627</w:t>
            </w:r>
          </w:p>
        </w:tc>
        <w:tc>
          <w:tcPr>
            <w:tcW w:w="1408" w:type="dxa"/>
            <w:tcBorders>
              <w:top w:val="single" w:sz="8" w:space="0" w:color="000000"/>
              <w:left w:val="single" w:sz="8" w:space="0" w:color="000000"/>
              <w:bottom w:val="single" w:sz="6" w:space="0" w:color="000000"/>
              <w:right w:val="single" w:sz="8" w:space="0" w:color="000000"/>
            </w:tcBorders>
            <w:vAlign w:val="center"/>
          </w:tcPr>
          <w:p w14:paraId="6B024BC9" w14:textId="77777777" w:rsidR="007B7C2A" w:rsidRDefault="00072812">
            <w:pPr>
              <w:spacing w:line="360" w:lineRule="auto"/>
              <w:rPr>
                <w:rFonts w:ascii="宋体" w:hAnsi="宋体" w:cs="Arial" w:hint="eastAsia"/>
                <w:bCs/>
                <w:sz w:val="24"/>
              </w:rPr>
            </w:pPr>
            <w:proofErr w:type="gramStart"/>
            <w:r>
              <w:rPr>
                <w:rFonts w:ascii="宋体" w:hAnsi="宋体" w:cs="Arial"/>
                <w:bCs/>
                <w:sz w:val="24"/>
              </w:rPr>
              <w:t>华测导航</w:t>
            </w:r>
            <w:proofErr w:type="gramEnd"/>
          </w:p>
        </w:tc>
        <w:tc>
          <w:tcPr>
            <w:tcW w:w="1656" w:type="dxa"/>
            <w:tcBorders>
              <w:top w:val="single" w:sz="8" w:space="0" w:color="000000"/>
              <w:left w:val="single" w:sz="8" w:space="0" w:color="000000"/>
              <w:bottom w:val="single" w:sz="6" w:space="0" w:color="000000"/>
              <w:right w:val="single" w:sz="8" w:space="0" w:color="000000"/>
            </w:tcBorders>
            <w:vAlign w:val="center"/>
          </w:tcPr>
          <w:p w14:paraId="52224F16" w14:textId="77777777" w:rsidR="007B7C2A" w:rsidRDefault="00072812">
            <w:pPr>
              <w:spacing w:line="360" w:lineRule="auto"/>
              <w:rPr>
                <w:rFonts w:ascii="宋体" w:hAnsi="宋体" w:cs="Arial" w:hint="eastAsia"/>
                <w:bCs/>
                <w:sz w:val="24"/>
              </w:rPr>
            </w:pPr>
            <w:r>
              <w:rPr>
                <w:rFonts w:ascii="宋体" w:hAnsi="宋体" w:cs="Arial"/>
                <w:bCs/>
                <w:sz w:val="24"/>
              </w:rPr>
              <w:t>1,260</w:t>
            </w:r>
          </w:p>
        </w:tc>
        <w:tc>
          <w:tcPr>
            <w:tcW w:w="2338" w:type="dxa"/>
            <w:tcBorders>
              <w:top w:val="single" w:sz="8" w:space="0" w:color="000000"/>
              <w:left w:val="single" w:sz="8" w:space="0" w:color="000000"/>
              <w:bottom w:val="single" w:sz="6" w:space="0" w:color="000000"/>
              <w:right w:val="single" w:sz="8" w:space="0" w:color="000000"/>
            </w:tcBorders>
            <w:vAlign w:val="center"/>
          </w:tcPr>
          <w:p w14:paraId="0940DC95" w14:textId="77777777" w:rsidR="007B7C2A" w:rsidRDefault="00072812">
            <w:pPr>
              <w:spacing w:line="360" w:lineRule="auto"/>
              <w:rPr>
                <w:rFonts w:ascii="宋体" w:hAnsi="宋体" w:cs="Arial" w:hint="eastAsia"/>
                <w:bCs/>
                <w:sz w:val="24"/>
              </w:rPr>
            </w:pPr>
            <w:r>
              <w:rPr>
                <w:rFonts w:ascii="宋体" w:hAnsi="宋体" w:cs="Arial"/>
                <w:bCs/>
                <w:sz w:val="24"/>
              </w:rPr>
              <w:t>44,100.00</w:t>
            </w:r>
          </w:p>
        </w:tc>
        <w:tc>
          <w:tcPr>
            <w:tcW w:w="1559" w:type="dxa"/>
            <w:tcBorders>
              <w:top w:val="single" w:sz="8" w:space="0" w:color="000000"/>
              <w:left w:val="single" w:sz="8" w:space="0" w:color="000000"/>
              <w:bottom w:val="single" w:sz="6" w:space="0" w:color="000000"/>
              <w:right w:val="single" w:sz="8" w:space="0" w:color="000000"/>
            </w:tcBorders>
            <w:vAlign w:val="center"/>
          </w:tcPr>
          <w:p w14:paraId="185AEE96" w14:textId="77777777" w:rsidR="007B7C2A" w:rsidRDefault="00072812">
            <w:pPr>
              <w:spacing w:line="360" w:lineRule="auto"/>
              <w:rPr>
                <w:rFonts w:ascii="宋体" w:hAnsi="宋体" w:cs="Arial" w:hint="eastAsia"/>
                <w:bCs/>
                <w:sz w:val="24"/>
              </w:rPr>
            </w:pPr>
            <w:r>
              <w:rPr>
                <w:rFonts w:ascii="宋体" w:hAnsi="宋体" w:cs="Arial"/>
                <w:bCs/>
                <w:sz w:val="24"/>
              </w:rPr>
              <w:t>4.09</w:t>
            </w:r>
          </w:p>
        </w:tc>
      </w:tr>
      <w:tr w:rsidR="007B7C2A" w14:paraId="23282244"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064E89E7" w14:textId="77777777" w:rsidR="007B7C2A" w:rsidRDefault="00072812">
            <w:pPr>
              <w:spacing w:line="360" w:lineRule="auto"/>
              <w:rPr>
                <w:rFonts w:ascii="宋体" w:hAnsi="宋体" w:cs="Arial" w:hint="eastAsia"/>
                <w:bCs/>
                <w:sz w:val="24"/>
              </w:rPr>
            </w:pPr>
            <w:r>
              <w:rPr>
                <w:rFonts w:ascii="宋体" w:hAnsi="宋体" w:cs="Arial" w:hint="eastAsia"/>
                <w:bCs/>
                <w:sz w:val="24"/>
              </w:rPr>
              <w:t>6</w:t>
            </w:r>
          </w:p>
        </w:tc>
        <w:tc>
          <w:tcPr>
            <w:tcW w:w="1544" w:type="dxa"/>
            <w:tcBorders>
              <w:top w:val="single" w:sz="8" w:space="0" w:color="000000"/>
              <w:left w:val="single" w:sz="8" w:space="0" w:color="000000"/>
              <w:bottom w:val="single" w:sz="6" w:space="0" w:color="000000"/>
              <w:right w:val="single" w:sz="8" w:space="0" w:color="000000"/>
            </w:tcBorders>
            <w:vAlign w:val="center"/>
          </w:tcPr>
          <w:p w14:paraId="0E0D1832" w14:textId="77777777" w:rsidR="007B7C2A" w:rsidRDefault="00072812">
            <w:pPr>
              <w:spacing w:line="360" w:lineRule="auto"/>
              <w:rPr>
                <w:rFonts w:ascii="宋体" w:hAnsi="宋体" w:cs="Arial" w:hint="eastAsia"/>
                <w:bCs/>
                <w:sz w:val="24"/>
              </w:rPr>
            </w:pPr>
            <w:r>
              <w:rPr>
                <w:rFonts w:ascii="宋体" w:hAnsi="宋体" w:cs="Arial"/>
                <w:bCs/>
                <w:sz w:val="24"/>
              </w:rPr>
              <w:t>002920</w:t>
            </w:r>
          </w:p>
        </w:tc>
        <w:tc>
          <w:tcPr>
            <w:tcW w:w="1408" w:type="dxa"/>
            <w:tcBorders>
              <w:top w:val="single" w:sz="8" w:space="0" w:color="000000"/>
              <w:left w:val="single" w:sz="8" w:space="0" w:color="000000"/>
              <w:bottom w:val="single" w:sz="6" w:space="0" w:color="000000"/>
              <w:right w:val="single" w:sz="8" w:space="0" w:color="000000"/>
            </w:tcBorders>
            <w:vAlign w:val="center"/>
          </w:tcPr>
          <w:p w14:paraId="2765EF43" w14:textId="77777777" w:rsidR="007B7C2A" w:rsidRDefault="00072812">
            <w:pPr>
              <w:spacing w:line="360" w:lineRule="auto"/>
              <w:rPr>
                <w:rFonts w:ascii="宋体" w:hAnsi="宋体" w:cs="Arial" w:hint="eastAsia"/>
                <w:bCs/>
                <w:sz w:val="24"/>
              </w:rPr>
            </w:pPr>
            <w:r>
              <w:rPr>
                <w:rFonts w:ascii="宋体" w:hAnsi="宋体" w:cs="Arial"/>
                <w:bCs/>
                <w:sz w:val="24"/>
              </w:rPr>
              <w:t>德赛西威</w:t>
            </w:r>
          </w:p>
        </w:tc>
        <w:tc>
          <w:tcPr>
            <w:tcW w:w="1656" w:type="dxa"/>
            <w:tcBorders>
              <w:top w:val="single" w:sz="8" w:space="0" w:color="000000"/>
              <w:left w:val="single" w:sz="8" w:space="0" w:color="000000"/>
              <w:bottom w:val="single" w:sz="6" w:space="0" w:color="000000"/>
              <w:right w:val="single" w:sz="8" w:space="0" w:color="000000"/>
            </w:tcBorders>
            <w:vAlign w:val="center"/>
          </w:tcPr>
          <w:p w14:paraId="0C98A08E" w14:textId="77777777" w:rsidR="007B7C2A" w:rsidRDefault="00072812">
            <w:pPr>
              <w:spacing w:line="360" w:lineRule="auto"/>
              <w:rPr>
                <w:rFonts w:ascii="宋体" w:hAnsi="宋体" w:cs="Arial" w:hint="eastAsia"/>
                <w:bCs/>
                <w:sz w:val="24"/>
              </w:rPr>
            </w:pPr>
            <w:r>
              <w:rPr>
                <w:rFonts w:ascii="宋体" w:hAnsi="宋体" w:cs="Arial"/>
                <w:bCs/>
                <w:sz w:val="24"/>
              </w:rPr>
              <w:t>400</w:t>
            </w:r>
          </w:p>
        </w:tc>
        <w:tc>
          <w:tcPr>
            <w:tcW w:w="2338" w:type="dxa"/>
            <w:tcBorders>
              <w:top w:val="single" w:sz="8" w:space="0" w:color="000000"/>
              <w:left w:val="single" w:sz="8" w:space="0" w:color="000000"/>
              <w:bottom w:val="single" w:sz="6" w:space="0" w:color="000000"/>
              <w:right w:val="single" w:sz="8" w:space="0" w:color="000000"/>
            </w:tcBorders>
            <w:vAlign w:val="center"/>
          </w:tcPr>
          <w:p w14:paraId="56541870" w14:textId="77777777" w:rsidR="007B7C2A" w:rsidRDefault="00072812">
            <w:pPr>
              <w:spacing w:line="360" w:lineRule="auto"/>
              <w:rPr>
                <w:rFonts w:ascii="宋体" w:hAnsi="宋体" w:cs="Arial" w:hint="eastAsia"/>
                <w:bCs/>
                <w:sz w:val="24"/>
              </w:rPr>
            </w:pPr>
            <w:r>
              <w:rPr>
                <w:rFonts w:ascii="宋体" w:hAnsi="宋体" w:cs="Arial"/>
                <w:bCs/>
                <w:sz w:val="24"/>
              </w:rPr>
              <w:t>40,852.00</w:t>
            </w:r>
          </w:p>
        </w:tc>
        <w:tc>
          <w:tcPr>
            <w:tcW w:w="1559" w:type="dxa"/>
            <w:tcBorders>
              <w:top w:val="single" w:sz="8" w:space="0" w:color="000000"/>
              <w:left w:val="single" w:sz="8" w:space="0" w:color="000000"/>
              <w:bottom w:val="single" w:sz="6" w:space="0" w:color="000000"/>
              <w:right w:val="single" w:sz="8" w:space="0" w:color="000000"/>
            </w:tcBorders>
            <w:vAlign w:val="center"/>
          </w:tcPr>
          <w:p w14:paraId="733A6B02" w14:textId="77777777" w:rsidR="007B7C2A" w:rsidRDefault="00072812">
            <w:pPr>
              <w:spacing w:line="360" w:lineRule="auto"/>
              <w:rPr>
                <w:rFonts w:ascii="宋体" w:hAnsi="宋体" w:cs="Arial" w:hint="eastAsia"/>
                <w:bCs/>
                <w:sz w:val="24"/>
              </w:rPr>
            </w:pPr>
            <w:r>
              <w:rPr>
                <w:rFonts w:ascii="宋体" w:hAnsi="宋体" w:cs="Arial"/>
                <w:bCs/>
                <w:sz w:val="24"/>
              </w:rPr>
              <w:t>3.79</w:t>
            </w:r>
          </w:p>
        </w:tc>
      </w:tr>
      <w:tr w:rsidR="007B7C2A" w14:paraId="4BA3311F"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55B74BF7" w14:textId="77777777" w:rsidR="007B7C2A" w:rsidRDefault="00072812">
            <w:pPr>
              <w:spacing w:line="360" w:lineRule="auto"/>
              <w:rPr>
                <w:rFonts w:ascii="宋体" w:hAnsi="宋体" w:cs="Arial" w:hint="eastAsia"/>
                <w:bCs/>
                <w:sz w:val="24"/>
              </w:rPr>
            </w:pPr>
            <w:r>
              <w:rPr>
                <w:rFonts w:ascii="宋体" w:hAnsi="宋体" w:cs="Arial" w:hint="eastAsia"/>
                <w:bCs/>
                <w:sz w:val="24"/>
              </w:rPr>
              <w:t>7</w:t>
            </w:r>
          </w:p>
        </w:tc>
        <w:tc>
          <w:tcPr>
            <w:tcW w:w="1544" w:type="dxa"/>
            <w:tcBorders>
              <w:top w:val="single" w:sz="8" w:space="0" w:color="000000"/>
              <w:left w:val="single" w:sz="8" w:space="0" w:color="000000"/>
              <w:bottom w:val="single" w:sz="6" w:space="0" w:color="000000"/>
              <w:right w:val="single" w:sz="8" w:space="0" w:color="000000"/>
            </w:tcBorders>
            <w:vAlign w:val="center"/>
          </w:tcPr>
          <w:p w14:paraId="73EA2495" w14:textId="77777777" w:rsidR="007B7C2A" w:rsidRDefault="00072812">
            <w:pPr>
              <w:spacing w:line="360" w:lineRule="auto"/>
              <w:rPr>
                <w:rFonts w:ascii="宋体" w:hAnsi="宋体" w:cs="Arial" w:hint="eastAsia"/>
                <w:bCs/>
                <w:sz w:val="24"/>
              </w:rPr>
            </w:pPr>
            <w:r>
              <w:rPr>
                <w:rFonts w:ascii="宋体" w:hAnsi="宋体" w:cs="Arial"/>
                <w:bCs/>
                <w:sz w:val="24"/>
              </w:rPr>
              <w:t>688003</w:t>
            </w:r>
          </w:p>
        </w:tc>
        <w:tc>
          <w:tcPr>
            <w:tcW w:w="1408" w:type="dxa"/>
            <w:tcBorders>
              <w:top w:val="single" w:sz="8" w:space="0" w:color="000000"/>
              <w:left w:val="single" w:sz="8" w:space="0" w:color="000000"/>
              <w:bottom w:val="single" w:sz="6" w:space="0" w:color="000000"/>
              <w:right w:val="single" w:sz="8" w:space="0" w:color="000000"/>
            </w:tcBorders>
            <w:vAlign w:val="center"/>
          </w:tcPr>
          <w:p w14:paraId="788A70DF" w14:textId="77777777" w:rsidR="007B7C2A" w:rsidRDefault="00072812">
            <w:pPr>
              <w:spacing w:line="360" w:lineRule="auto"/>
              <w:rPr>
                <w:rFonts w:ascii="宋体" w:hAnsi="宋体" w:cs="Arial" w:hint="eastAsia"/>
                <w:bCs/>
                <w:sz w:val="24"/>
              </w:rPr>
            </w:pPr>
            <w:proofErr w:type="gramStart"/>
            <w:r>
              <w:rPr>
                <w:rFonts w:ascii="宋体" w:hAnsi="宋体" w:cs="Arial"/>
                <w:bCs/>
                <w:sz w:val="24"/>
              </w:rPr>
              <w:t>天准科技</w:t>
            </w:r>
            <w:proofErr w:type="gramEnd"/>
          </w:p>
        </w:tc>
        <w:tc>
          <w:tcPr>
            <w:tcW w:w="1656" w:type="dxa"/>
            <w:tcBorders>
              <w:top w:val="single" w:sz="8" w:space="0" w:color="000000"/>
              <w:left w:val="single" w:sz="8" w:space="0" w:color="000000"/>
              <w:bottom w:val="single" w:sz="6" w:space="0" w:color="000000"/>
              <w:right w:val="single" w:sz="8" w:space="0" w:color="000000"/>
            </w:tcBorders>
            <w:vAlign w:val="center"/>
          </w:tcPr>
          <w:p w14:paraId="721907E1" w14:textId="77777777" w:rsidR="007B7C2A" w:rsidRDefault="00072812">
            <w:pPr>
              <w:spacing w:line="360" w:lineRule="auto"/>
              <w:rPr>
                <w:rFonts w:ascii="宋体" w:hAnsi="宋体" w:cs="Arial" w:hint="eastAsia"/>
                <w:bCs/>
                <w:sz w:val="24"/>
              </w:rPr>
            </w:pPr>
            <w:r>
              <w:rPr>
                <w:rFonts w:ascii="宋体" w:hAnsi="宋体" w:cs="Arial"/>
                <w:bCs/>
                <w:sz w:val="24"/>
              </w:rPr>
              <w:t>842</w:t>
            </w:r>
          </w:p>
        </w:tc>
        <w:tc>
          <w:tcPr>
            <w:tcW w:w="2338" w:type="dxa"/>
            <w:tcBorders>
              <w:top w:val="single" w:sz="8" w:space="0" w:color="000000"/>
              <w:left w:val="single" w:sz="8" w:space="0" w:color="000000"/>
              <w:bottom w:val="single" w:sz="6" w:space="0" w:color="000000"/>
              <w:right w:val="single" w:sz="8" w:space="0" w:color="000000"/>
            </w:tcBorders>
            <w:vAlign w:val="center"/>
          </w:tcPr>
          <w:p w14:paraId="45504018" w14:textId="77777777" w:rsidR="007B7C2A" w:rsidRDefault="00072812">
            <w:pPr>
              <w:spacing w:line="360" w:lineRule="auto"/>
              <w:rPr>
                <w:rFonts w:ascii="宋体" w:hAnsi="宋体" w:cs="Arial" w:hint="eastAsia"/>
                <w:bCs/>
                <w:sz w:val="24"/>
              </w:rPr>
            </w:pPr>
            <w:r>
              <w:rPr>
                <w:rFonts w:ascii="宋体" w:hAnsi="宋体" w:cs="Arial"/>
                <w:bCs/>
                <w:sz w:val="24"/>
              </w:rPr>
              <w:t>38,647.80</w:t>
            </w:r>
          </w:p>
        </w:tc>
        <w:tc>
          <w:tcPr>
            <w:tcW w:w="1559" w:type="dxa"/>
            <w:tcBorders>
              <w:top w:val="single" w:sz="8" w:space="0" w:color="000000"/>
              <w:left w:val="single" w:sz="8" w:space="0" w:color="000000"/>
              <w:bottom w:val="single" w:sz="6" w:space="0" w:color="000000"/>
              <w:right w:val="single" w:sz="8" w:space="0" w:color="000000"/>
            </w:tcBorders>
            <w:vAlign w:val="center"/>
          </w:tcPr>
          <w:p w14:paraId="32B7AE37" w14:textId="77777777" w:rsidR="007B7C2A" w:rsidRDefault="00072812">
            <w:pPr>
              <w:spacing w:line="360" w:lineRule="auto"/>
              <w:rPr>
                <w:rFonts w:ascii="宋体" w:hAnsi="宋体" w:cs="Arial" w:hint="eastAsia"/>
                <w:bCs/>
                <w:sz w:val="24"/>
              </w:rPr>
            </w:pPr>
            <w:r>
              <w:rPr>
                <w:rFonts w:ascii="宋体" w:hAnsi="宋体" w:cs="Arial"/>
                <w:bCs/>
                <w:sz w:val="24"/>
              </w:rPr>
              <w:t>3.58</w:t>
            </w:r>
          </w:p>
        </w:tc>
      </w:tr>
      <w:tr w:rsidR="007B7C2A" w14:paraId="237B420D"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4EA0547E" w14:textId="77777777" w:rsidR="007B7C2A" w:rsidRDefault="00072812">
            <w:pPr>
              <w:spacing w:line="360" w:lineRule="auto"/>
              <w:rPr>
                <w:rFonts w:ascii="宋体" w:hAnsi="宋体" w:cs="Arial" w:hint="eastAsia"/>
                <w:bCs/>
                <w:sz w:val="24"/>
              </w:rPr>
            </w:pPr>
            <w:r>
              <w:rPr>
                <w:rFonts w:ascii="宋体" w:hAnsi="宋体" w:cs="Arial" w:hint="eastAsia"/>
                <w:bCs/>
                <w:sz w:val="24"/>
              </w:rPr>
              <w:t>8</w:t>
            </w:r>
          </w:p>
        </w:tc>
        <w:tc>
          <w:tcPr>
            <w:tcW w:w="1544" w:type="dxa"/>
            <w:tcBorders>
              <w:top w:val="single" w:sz="8" w:space="0" w:color="000000"/>
              <w:left w:val="single" w:sz="8" w:space="0" w:color="000000"/>
              <w:bottom w:val="single" w:sz="6" w:space="0" w:color="000000"/>
              <w:right w:val="single" w:sz="8" w:space="0" w:color="000000"/>
            </w:tcBorders>
            <w:vAlign w:val="center"/>
          </w:tcPr>
          <w:p w14:paraId="77D644A1" w14:textId="77777777" w:rsidR="007B7C2A" w:rsidRDefault="00072812">
            <w:pPr>
              <w:spacing w:line="360" w:lineRule="auto"/>
              <w:rPr>
                <w:rFonts w:ascii="宋体" w:hAnsi="宋体" w:cs="Arial" w:hint="eastAsia"/>
                <w:bCs/>
                <w:sz w:val="24"/>
              </w:rPr>
            </w:pPr>
            <w:r>
              <w:rPr>
                <w:rFonts w:ascii="宋体" w:hAnsi="宋体" w:cs="Arial"/>
                <w:bCs/>
                <w:sz w:val="24"/>
              </w:rPr>
              <w:t>603596</w:t>
            </w:r>
          </w:p>
        </w:tc>
        <w:tc>
          <w:tcPr>
            <w:tcW w:w="1408" w:type="dxa"/>
            <w:tcBorders>
              <w:top w:val="single" w:sz="8" w:space="0" w:color="000000"/>
              <w:left w:val="single" w:sz="8" w:space="0" w:color="000000"/>
              <w:bottom w:val="single" w:sz="6" w:space="0" w:color="000000"/>
              <w:right w:val="single" w:sz="8" w:space="0" w:color="000000"/>
            </w:tcBorders>
            <w:vAlign w:val="center"/>
          </w:tcPr>
          <w:p w14:paraId="7213D30A" w14:textId="77777777" w:rsidR="007B7C2A" w:rsidRDefault="00072812">
            <w:pPr>
              <w:spacing w:line="360" w:lineRule="auto"/>
              <w:rPr>
                <w:rFonts w:ascii="宋体" w:hAnsi="宋体" w:cs="Arial" w:hint="eastAsia"/>
                <w:bCs/>
                <w:sz w:val="24"/>
              </w:rPr>
            </w:pPr>
            <w:r>
              <w:rPr>
                <w:rFonts w:ascii="宋体" w:hAnsi="宋体" w:cs="Arial"/>
                <w:bCs/>
                <w:sz w:val="24"/>
              </w:rPr>
              <w:t>伯</w:t>
            </w:r>
            <w:proofErr w:type="gramStart"/>
            <w:r>
              <w:rPr>
                <w:rFonts w:ascii="宋体" w:hAnsi="宋体" w:cs="Arial"/>
                <w:bCs/>
                <w:sz w:val="24"/>
              </w:rPr>
              <w:t>特</w:t>
            </w:r>
            <w:proofErr w:type="gramEnd"/>
            <w:r>
              <w:rPr>
                <w:rFonts w:ascii="宋体" w:hAnsi="宋体" w:cs="Arial"/>
                <w:bCs/>
                <w:sz w:val="24"/>
              </w:rPr>
              <w:t>利</w:t>
            </w:r>
          </w:p>
        </w:tc>
        <w:tc>
          <w:tcPr>
            <w:tcW w:w="1656" w:type="dxa"/>
            <w:tcBorders>
              <w:top w:val="single" w:sz="8" w:space="0" w:color="000000"/>
              <w:left w:val="single" w:sz="8" w:space="0" w:color="000000"/>
              <w:bottom w:val="single" w:sz="6" w:space="0" w:color="000000"/>
              <w:right w:val="single" w:sz="8" w:space="0" w:color="000000"/>
            </w:tcBorders>
            <w:vAlign w:val="center"/>
          </w:tcPr>
          <w:p w14:paraId="7D941EE4" w14:textId="77777777" w:rsidR="007B7C2A" w:rsidRDefault="00072812">
            <w:pPr>
              <w:spacing w:line="360" w:lineRule="auto"/>
              <w:rPr>
                <w:rFonts w:ascii="宋体" w:hAnsi="宋体" w:cs="Arial" w:hint="eastAsia"/>
                <w:bCs/>
                <w:sz w:val="24"/>
              </w:rPr>
            </w:pPr>
            <w:r>
              <w:rPr>
                <w:rFonts w:ascii="宋体" w:hAnsi="宋体" w:cs="Arial"/>
                <w:bCs/>
                <w:sz w:val="24"/>
              </w:rPr>
              <w:t>700</w:t>
            </w:r>
          </w:p>
        </w:tc>
        <w:tc>
          <w:tcPr>
            <w:tcW w:w="2338" w:type="dxa"/>
            <w:tcBorders>
              <w:top w:val="single" w:sz="8" w:space="0" w:color="000000"/>
              <w:left w:val="single" w:sz="8" w:space="0" w:color="000000"/>
              <w:bottom w:val="single" w:sz="6" w:space="0" w:color="000000"/>
              <w:right w:val="single" w:sz="8" w:space="0" w:color="000000"/>
            </w:tcBorders>
            <w:vAlign w:val="center"/>
          </w:tcPr>
          <w:p w14:paraId="3671FF33" w14:textId="77777777" w:rsidR="007B7C2A" w:rsidRDefault="00072812">
            <w:pPr>
              <w:spacing w:line="360" w:lineRule="auto"/>
              <w:rPr>
                <w:rFonts w:ascii="宋体" w:hAnsi="宋体" w:cs="Arial" w:hint="eastAsia"/>
                <w:bCs/>
                <w:sz w:val="24"/>
              </w:rPr>
            </w:pPr>
            <w:r>
              <w:rPr>
                <w:rFonts w:ascii="宋体" w:hAnsi="宋体" w:cs="Arial"/>
                <w:bCs/>
                <w:sz w:val="24"/>
              </w:rPr>
              <w:t>36,883.00</w:t>
            </w:r>
          </w:p>
        </w:tc>
        <w:tc>
          <w:tcPr>
            <w:tcW w:w="1559" w:type="dxa"/>
            <w:tcBorders>
              <w:top w:val="single" w:sz="8" w:space="0" w:color="000000"/>
              <w:left w:val="single" w:sz="8" w:space="0" w:color="000000"/>
              <w:bottom w:val="single" w:sz="6" w:space="0" w:color="000000"/>
              <w:right w:val="single" w:sz="8" w:space="0" w:color="000000"/>
            </w:tcBorders>
            <w:vAlign w:val="center"/>
          </w:tcPr>
          <w:p w14:paraId="4E58106F" w14:textId="77777777" w:rsidR="007B7C2A" w:rsidRDefault="00072812">
            <w:pPr>
              <w:spacing w:line="360" w:lineRule="auto"/>
              <w:rPr>
                <w:rFonts w:ascii="宋体" w:hAnsi="宋体" w:cs="Arial" w:hint="eastAsia"/>
                <w:bCs/>
                <w:sz w:val="24"/>
              </w:rPr>
            </w:pPr>
            <w:r>
              <w:rPr>
                <w:rFonts w:ascii="宋体" w:hAnsi="宋体" w:cs="Arial"/>
                <w:bCs/>
                <w:sz w:val="24"/>
              </w:rPr>
              <w:t>3.42</w:t>
            </w:r>
          </w:p>
        </w:tc>
      </w:tr>
      <w:tr w:rsidR="007B7C2A" w14:paraId="094A323D"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4AA1AA63" w14:textId="77777777" w:rsidR="007B7C2A" w:rsidRDefault="00072812">
            <w:pPr>
              <w:spacing w:line="360" w:lineRule="auto"/>
              <w:rPr>
                <w:rFonts w:ascii="宋体" w:hAnsi="宋体" w:cs="Arial" w:hint="eastAsia"/>
                <w:bCs/>
                <w:sz w:val="24"/>
              </w:rPr>
            </w:pPr>
            <w:r>
              <w:rPr>
                <w:rFonts w:ascii="宋体" w:hAnsi="宋体" w:cs="Arial" w:hint="eastAsia"/>
                <w:bCs/>
                <w:sz w:val="24"/>
              </w:rPr>
              <w:t>9</w:t>
            </w:r>
          </w:p>
        </w:tc>
        <w:tc>
          <w:tcPr>
            <w:tcW w:w="1544" w:type="dxa"/>
            <w:tcBorders>
              <w:top w:val="single" w:sz="8" w:space="0" w:color="000000"/>
              <w:left w:val="single" w:sz="8" w:space="0" w:color="000000"/>
              <w:bottom w:val="single" w:sz="6" w:space="0" w:color="000000"/>
              <w:right w:val="single" w:sz="8" w:space="0" w:color="000000"/>
            </w:tcBorders>
            <w:vAlign w:val="center"/>
          </w:tcPr>
          <w:p w14:paraId="3712849D" w14:textId="77777777" w:rsidR="007B7C2A" w:rsidRDefault="00072812">
            <w:pPr>
              <w:spacing w:line="360" w:lineRule="auto"/>
              <w:rPr>
                <w:rFonts w:ascii="宋体" w:hAnsi="宋体" w:cs="Arial" w:hint="eastAsia"/>
                <w:bCs/>
                <w:sz w:val="24"/>
              </w:rPr>
            </w:pPr>
            <w:r>
              <w:rPr>
                <w:rFonts w:ascii="宋体" w:hAnsi="宋体" w:cs="Arial"/>
                <w:bCs/>
                <w:sz w:val="24"/>
              </w:rPr>
              <w:t>688326</w:t>
            </w:r>
          </w:p>
        </w:tc>
        <w:tc>
          <w:tcPr>
            <w:tcW w:w="1408" w:type="dxa"/>
            <w:tcBorders>
              <w:top w:val="single" w:sz="8" w:space="0" w:color="000000"/>
              <w:left w:val="single" w:sz="8" w:space="0" w:color="000000"/>
              <w:bottom w:val="single" w:sz="6" w:space="0" w:color="000000"/>
              <w:right w:val="single" w:sz="8" w:space="0" w:color="000000"/>
            </w:tcBorders>
            <w:vAlign w:val="center"/>
          </w:tcPr>
          <w:p w14:paraId="5C763D0C" w14:textId="77777777" w:rsidR="007B7C2A" w:rsidRDefault="00072812">
            <w:pPr>
              <w:spacing w:line="360" w:lineRule="auto"/>
              <w:rPr>
                <w:rFonts w:ascii="宋体" w:hAnsi="宋体" w:cs="Arial" w:hint="eastAsia"/>
                <w:bCs/>
                <w:sz w:val="24"/>
              </w:rPr>
            </w:pPr>
            <w:proofErr w:type="gramStart"/>
            <w:r>
              <w:rPr>
                <w:rFonts w:ascii="宋体" w:hAnsi="宋体" w:cs="Arial"/>
                <w:bCs/>
                <w:sz w:val="24"/>
              </w:rPr>
              <w:t>经纬恒润</w:t>
            </w:r>
            <w:proofErr w:type="gramEnd"/>
          </w:p>
        </w:tc>
        <w:tc>
          <w:tcPr>
            <w:tcW w:w="1656" w:type="dxa"/>
            <w:tcBorders>
              <w:top w:val="single" w:sz="8" w:space="0" w:color="000000"/>
              <w:left w:val="single" w:sz="8" w:space="0" w:color="000000"/>
              <w:bottom w:val="single" w:sz="6" w:space="0" w:color="000000"/>
              <w:right w:val="single" w:sz="8" w:space="0" w:color="000000"/>
            </w:tcBorders>
            <w:vAlign w:val="center"/>
          </w:tcPr>
          <w:p w14:paraId="3F10D02C" w14:textId="77777777" w:rsidR="007B7C2A" w:rsidRDefault="00072812">
            <w:pPr>
              <w:spacing w:line="360" w:lineRule="auto"/>
              <w:rPr>
                <w:rFonts w:ascii="宋体" w:hAnsi="宋体" w:cs="Arial" w:hint="eastAsia"/>
                <w:bCs/>
                <w:sz w:val="24"/>
              </w:rPr>
            </w:pPr>
            <w:r>
              <w:rPr>
                <w:rFonts w:ascii="宋体" w:hAnsi="宋体" w:cs="Arial"/>
                <w:bCs/>
                <w:sz w:val="24"/>
              </w:rPr>
              <w:t>389</w:t>
            </w:r>
          </w:p>
        </w:tc>
        <w:tc>
          <w:tcPr>
            <w:tcW w:w="2338" w:type="dxa"/>
            <w:tcBorders>
              <w:top w:val="single" w:sz="8" w:space="0" w:color="000000"/>
              <w:left w:val="single" w:sz="8" w:space="0" w:color="000000"/>
              <w:bottom w:val="single" w:sz="6" w:space="0" w:color="000000"/>
              <w:right w:val="single" w:sz="8" w:space="0" w:color="000000"/>
            </w:tcBorders>
            <w:vAlign w:val="center"/>
          </w:tcPr>
          <w:p w14:paraId="030F0786" w14:textId="77777777" w:rsidR="007B7C2A" w:rsidRDefault="00072812">
            <w:pPr>
              <w:spacing w:line="360" w:lineRule="auto"/>
              <w:rPr>
                <w:rFonts w:ascii="宋体" w:hAnsi="宋体" w:cs="Arial" w:hint="eastAsia"/>
                <w:bCs/>
                <w:sz w:val="24"/>
              </w:rPr>
            </w:pPr>
            <w:r>
              <w:rPr>
                <w:rFonts w:ascii="宋体" w:hAnsi="宋体" w:cs="Arial"/>
                <w:bCs/>
                <w:sz w:val="24"/>
              </w:rPr>
              <w:t>34,714.36</w:t>
            </w:r>
          </w:p>
        </w:tc>
        <w:tc>
          <w:tcPr>
            <w:tcW w:w="1559" w:type="dxa"/>
            <w:tcBorders>
              <w:top w:val="single" w:sz="8" w:space="0" w:color="000000"/>
              <w:left w:val="single" w:sz="8" w:space="0" w:color="000000"/>
              <w:bottom w:val="single" w:sz="6" w:space="0" w:color="000000"/>
              <w:right w:val="single" w:sz="8" w:space="0" w:color="000000"/>
            </w:tcBorders>
            <w:vAlign w:val="center"/>
          </w:tcPr>
          <w:p w14:paraId="72A0437E" w14:textId="77777777" w:rsidR="007B7C2A" w:rsidRDefault="00072812">
            <w:pPr>
              <w:spacing w:line="360" w:lineRule="auto"/>
              <w:rPr>
                <w:rFonts w:ascii="宋体" w:hAnsi="宋体" w:cs="Arial" w:hint="eastAsia"/>
                <w:bCs/>
                <w:sz w:val="24"/>
              </w:rPr>
            </w:pPr>
            <w:r>
              <w:rPr>
                <w:rFonts w:ascii="宋体" w:hAnsi="宋体" w:cs="Arial"/>
                <w:bCs/>
                <w:sz w:val="24"/>
              </w:rPr>
              <w:t>3.22</w:t>
            </w:r>
          </w:p>
        </w:tc>
      </w:tr>
      <w:tr w:rsidR="007B7C2A" w14:paraId="4F3D52FD" w14:textId="77777777">
        <w:trPr>
          <w:trHeight w:val="20"/>
        </w:trPr>
        <w:tc>
          <w:tcPr>
            <w:tcW w:w="568" w:type="dxa"/>
            <w:tcBorders>
              <w:top w:val="single" w:sz="8" w:space="0" w:color="000000"/>
              <w:left w:val="single" w:sz="8" w:space="0" w:color="000000"/>
              <w:bottom w:val="single" w:sz="6" w:space="0" w:color="000000"/>
              <w:right w:val="single" w:sz="8" w:space="0" w:color="000000"/>
            </w:tcBorders>
            <w:vAlign w:val="center"/>
          </w:tcPr>
          <w:p w14:paraId="7E760322" w14:textId="77777777" w:rsidR="007B7C2A" w:rsidRDefault="00072812">
            <w:pPr>
              <w:spacing w:line="360" w:lineRule="auto"/>
              <w:rPr>
                <w:rFonts w:ascii="宋体" w:hAnsi="宋体" w:cs="Arial" w:hint="eastAsia"/>
                <w:bCs/>
                <w:sz w:val="24"/>
              </w:rPr>
            </w:pPr>
            <w:r>
              <w:rPr>
                <w:rFonts w:ascii="宋体" w:hAnsi="宋体" w:cs="Arial" w:hint="eastAsia"/>
                <w:bCs/>
                <w:sz w:val="24"/>
              </w:rPr>
              <w:t>10</w:t>
            </w:r>
          </w:p>
        </w:tc>
        <w:tc>
          <w:tcPr>
            <w:tcW w:w="1544" w:type="dxa"/>
            <w:tcBorders>
              <w:top w:val="single" w:sz="8" w:space="0" w:color="000000"/>
              <w:left w:val="single" w:sz="8" w:space="0" w:color="000000"/>
              <w:bottom w:val="single" w:sz="6" w:space="0" w:color="000000"/>
              <w:right w:val="single" w:sz="8" w:space="0" w:color="000000"/>
            </w:tcBorders>
            <w:vAlign w:val="center"/>
          </w:tcPr>
          <w:p w14:paraId="1063194E" w14:textId="77777777" w:rsidR="007B7C2A" w:rsidRDefault="00072812">
            <w:pPr>
              <w:spacing w:line="360" w:lineRule="auto"/>
              <w:rPr>
                <w:rFonts w:ascii="宋体" w:hAnsi="宋体" w:cs="Arial" w:hint="eastAsia"/>
                <w:bCs/>
                <w:sz w:val="24"/>
              </w:rPr>
            </w:pPr>
            <w:r>
              <w:rPr>
                <w:rFonts w:ascii="宋体" w:hAnsi="宋体" w:cs="Arial"/>
                <w:bCs/>
                <w:sz w:val="24"/>
              </w:rPr>
              <w:t>002906</w:t>
            </w:r>
          </w:p>
        </w:tc>
        <w:tc>
          <w:tcPr>
            <w:tcW w:w="1408" w:type="dxa"/>
            <w:tcBorders>
              <w:top w:val="single" w:sz="8" w:space="0" w:color="000000"/>
              <w:left w:val="single" w:sz="8" w:space="0" w:color="000000"/>
              <w:bottom w:val="single" w:sz="6" w:space="0" w:color="000000"/>
              <w:right w:val="single" w:sz="8" w:space="0" w:color="000000"/>
            </w:tcBorders>
            <w:vAlign w:val="center"/>
          </w:tcPr>
          <w:p w14:paraId="44CE72D1" w14:textId="77777777" w:rsidR="007B7C2A" w:rsidRDefault="00072812">
            <w:pPr>
              <w:spacing w:line="360" w:lineRule="auto"/>
              <w:rPr>
                <w:rFonts w:ascii="宋体" w:hAnsi="宋体" w:cs="Arial" w:hint="eastAsia"/>
                <w:bCs/>
                <w:sz w:val="24"/>
              </w:rPr>
            </w:pPr>
            <w:r>
              <w:rPr>
                <w:rFonts w:ascii="宋体" w:hAnsi="宋体" w:cs="Arial"/>
                <w:bCs/>
                <w:sz w:val="24"/>
              </w:rPr>
              <w:t>华阳集团</w:t>
            </w:r>
          </w:p>
        </w:tc>
        <w:tc>
          <w:tcPr>
            <w:tcW w:w="1656" w:type="dxa"/>
            <w:tcBorders>
              <w:top w:val="single" w:sz="8" w:space="0" w:color="000000"/>
              <w:left w:val="single" w:sz="8" w:space="0" w:color="000000"/>
              <w:bottom w:val="single" w:sz="6" w:space="0" w:color="000000"/>
              <w:right w:val="single" w:sz="8" w:space="0" w:color="000000"/>
            </w:tcBorders>
            <w:vAlign w:val="center"/>
          </w:tcPr>
          <w:p w14:paraId="3F179F95" w14:textId="77777777" w:rsidR="007B7C2A" w:rsidRDefault="00072812">
            <w:pPr>
              <w:spacing w:line="360" w:lineRule="auto"/>
              <w:rPr>
                <w:rFonts w:ascii="宋体" w:hAnsi="宋体" w:cs="Arial" w:hint="eastAsia"/>
                <w:bCs/>
                <w:sz w:val="24"/>
              </w:rPr>
            </w:pPr>
            <w:r>
              <w:rPr>
                <w:rFonts w:ascii="宋体" w:hAnsi="宋体" w:cs="Arial"/>
                <w:bCs/>
                <w:sz w:val="24"/>
              </w:rPr>
              <w:t>1,000</w:t>
            </w:r>
          </w:p>
        </w:tc>
        <w:tc>
          <w:tcPr>
            <w:tcW w:w="2338" w:type="dxa"/>
            <w:tcBorders>
              <w:top w:val="single" w:sz="8" w:space="0" w:color="000000"/>
              <w:left w:val="single" w:sz="8" w:space="0" w:color="000000"/>
              <w:bottom w:val="single" w:sz="6" w:space="0" w:color="000000"/>
              <w:right w:val="single" w:sz="8" w:space="0" w:color="000000"/>
            </w:tcBorders>
            <w:vAlign w:val="center"/>
          </w:tcPr>
          <w:p w14:paraId="0851E0F0" w14:textId="77777777" w:rsidR="007B7C2A" w:rsidRDefault="00072812">
            <w:pPr>
              <w:spacing w:line="360" w:lineRule="auto"/>
              <w:rPr>
                <w:rFonts w:ascii="宋体" w:hAnsi="宋体" w:cs="Arial" w:hint="eastAsia"/>
                <w:bCs/>
                <w:sz w:val="24"/>
              </w:rPr>
            </w:pPr>
            <w:r>
              <w:rPr>
                <w:rFonts w:ascii="宋体" w:hAnsi="宋体" w:cs="Arial"/>
                <w:bCs/>
                <w:sz w:val="24"/>
              </w:rPr>
              <w:t>32,510.00</w:t>
            </w:r>
          </w:p>
        </w:tc>
        <w:tc>
          <w:tcPr>
            <w:tcW w:w="1559" w:type="dxa"/>
            <w:tcBorders>
              <w:top w:val="single" w:sz="8" w:space="0" w:color="000000"/>
              <w:left w:val="single" w:sz="8" w:space="0" w:color="000000"/>
              <w:bottom w:val="single" w:sz="6" w:space="0" w:color="000000"/>
              <w:right w:val="single" w:sz="8" w:space="0" w:color="000000"/>
            </w:tcBorders>
            <w:vAlign w:val="center"/>
          </w:tcPr>
          <w:p w14:paraId="482F0771" w14:textId="77777777" w:rsidR="007B7C2A" w:rsidRDefault="00072812">
            <w:pPr>
              <w:spacing w:line="360" w:lineRule="auto"/>
              <w:rPr>
                <w:rFonts w:ascii="宋体" w:hAnsi="宋体" w:cs="Arial" w:hint="eastAsia"/>
                <w:bCs/>
                <w:sz w:val="24"/>
              </w:rPr>
            </w:pPr>
            <w:r>
              <w:rPr>
                <w:rFonts w:ascii="宋体" w:hAnsi="宋体" w:cs="Arial"/>
                <w:bCs/>
                <w:sz w:val="24"/>
              </w:rPr>
              <w:t>3.01</w:t>
            </w:r>
          </w:p>
        </w:tc>
      </w:tr>
    </w:tbl>
    <w:p w14:paraId="7EA5A50C" w14:textId="77777777" w:rsidR="007B7C2A" w:rsidRDefault="007B7C2A">
      <w:pPr>
        <w:spacing w:line="360" w:lineRule="auto"/>
        <w:rPr>
          <w:rFonts w:ascii="宋体" w:hAnsi="宋体" w:cs="Arial" w:hint="eastAsia"/>
          <w:bCs/>
          <w:sz w:val="24"/>
        </w:rPr>
      </w:pPr>
    </w:p>
    <w:p w14:paraId="33B9C834" w14:textId="77777777" w:rsidR="007B7C2A" w:rsidRDefault="00072812">
      <w:pPr>
        <w:spacing w:line="360" w:lineRule="auto"/>
        <w:rPr>
          <w:rFonts w:ascii="宋体" w:hAnsi="宋体" w:cs="Arial" w:hint="eastAsia"/>
          <w:bCs/>
          <w:sz w:val="24"/>
        </w:rPr>
      </w:pPr>
      <w:r>
        <w:rPr>
          <w:rFonts w:ascii="宋体" w:hAnsi="宋体" w:cs="Arial" w:hint="eastAsia"/>
          <w:bCs/>
          <w:sz w:val="24"/>
        </w:rPr>
        <w:t>4</w:t>
      </w:r>
      <w:r>
        <w:rPr>
          <w:rFonts w:ascii="宋体" w:hAnsi="宋体" w:cs="Arial" w:hint="eastAsia"/>
          <w:bCs/>
          <w:sz w:val="24"/>
        </w:rPr>
        <w:t>、报告期末按债券品种分类的债券投资组合</w:t>
      </w:r>
    </w:p>
    <w:p w14:paraId="79423CB1"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本基金本报告期末未持有债券。</w:t>
      </w:r>
    </w:p>
    <w:p w14:paraId="7D1F4F47" w14:textId="77777777" w:rsidR="007B7C2A" w:rsidRDefault="00072812">
      <w:pPr>
        <w:spacing w:line="360" w:lineRule="auto"/>
        <w:rPr>
          <w:rFonts w:ascii="宋体" w:hAnsi="宋体" w:cs="Arial" w:hint="eastAsia"/>
          <w:bCs/>
          <w:sz w:val="24"/>
        </w:rPr>
      </w:pPr>
      <w:r>
        <w:rPr>
          <w:rFonts w:ascii="宋体" w:hAnsi="宋体" w:cs="Arial" w:hint="eastAsia"/>
          <w:bCs/>
          <w:sz w:val="24"/>
        </w:rPr>
        <w:t>5</w:t>
      </w:r>
      <w:r>
        <w:rPr>
          <w:rFonts w:ascii="宋体" w:hAnsi="宋体" w:cs="Arial" w:hint="eastAsia"/>
          <w:bCs/>
          <w:sz w:val="24"/>
        </w:rPr>
        <w:t>、报告期末按公允价值占基金资产净值比例大小排序的前五名债券投资明细</w:t>
      </w:r>
    </w:p>
    <w:p w14:paraId="35315619"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本基金本报告期末未持有债券。</w:t>
      </w:r>
    </w:p>
    <w:p w14:paraId="40C0C7F0" w14:textId="77777777" w:rsidR="007B7C2A" w:rsidRDefault="00072812">
      <w:pPr>
        <w:spacing w:line="360" w:lineRule="auto"/>
        <w:rPr>
          <w:rFonts w:ascii="宋体" w:hAnsi="宋体" w:cs="Arial" w:hint="eastAsia"/>
          <w:bCs/>
          <w:sz w:val="24"/>
        </w:rPr>
      </w:pPr>
      <w:r>
        <w:rPr>
          <w:rFonts w:ascii="宋体" w:hAnsi="宋体" w:cs="Arial" w:hint="eastAsia"/>
          <w:bCs/>
          <w:sz w:val="24"/>
        </w:rPr>
        <w:t>6</w:t>
      </w:r>
      <w:r>
        <w:rPr>
          <w:rFonts w:ascii="宋体" w:hAnsi="宋体" w:cs="Arial" w:hint="eastAsia"/>
          <w:bCs/>
          <w:sz w:val="24"/>
        </w:rPr>
        <w:t>、报告期末按公允价值占基金资产净值比例大小排序的前十名资产支持证券投资明细</w:t>
      </w:r>
    </w:p>
    <w:p w14:paraId="3EC30746"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本基金本报告期末未持有资产支持证券。</w:t>
      </w:r>
    </w:p>
    <w:p w14:paraId="5AFACE09" w14:textId="77777777" w:rsidR="007B7C2A" w:rsidRDefault="00072812">
      <w:pPr>
        <w:spacing w:line="360" w:lineRule="auto"/>
        <w:rPr>
          <w:rFonts w:ascii="宋体" w:hAnsi="宋体" w:cs="Arial" w:hint="eastAsia"/>
          <w:bCs/>
          <w:sz w:val="24"/>
        </w:rPr>
      </w:pPr>
      <w:r>
        <w:rPr>
          <w:rFonts w:ascii="宋体" w:hAnsi="宋体" w:cs="Arial" w:hint="eastAsia"/>
          <w:bCs/>
          <w:sz w:val="24"/>
        </w:rPr>
        <w:t>7</w:t>
      </w:r>
      <w:r>
        <w:rPr>
          <w:rFonts w:ascii="宋体" w:hAnsi="宋体" w:cs="Arial" w:hint="eastAsia"/>
          <w:bCs/>
          <w:sz w:val="24"/>
        </w:rPr>
        <w:t>、</w:t>
      </w:r>
      <w:r>
        <w:rPr>
          <w:rFonts w:ascii="宋体" w:hAnsi="宋体" w:cs="Arial" w:hint="eastAsia"/>
          <w:bCs/>
          <w:sz w:val="24"/>
        </w:rPr>
        <w:t xml:space="preserve"> </w:t>
      </w:r>
      <w:r>
        <w:rPr>
          <w:rFonts w:ascii="宋体" w:hAnsi="宋体" w:cs="Arial" w:hint="eastAsia"/>
          <w:bCs/>
          <w:sz w:val="24"/>
        </w:rPr>
        <w:t>报告期末按公允价值占基金资产净值比例大小排序的前五名贵金属投资明细</w:t>
      </w:r>
    </w:p>
    <w:p w14:paraId="62BF25A8"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本基金本报告期末未持有贵金属。</w:t>
      </w:r>
    </w:p>
    <w:p w14:paraId="5A147792" w14:textId="77777777" w:rsidR="007B7C2A" w:rsidRDefault="00072812">
      <w:pPr>
        <w:spacing w:line="360" w:lineRule="auto"/>
        <w:rPr>
          <w:rFonts w:ascii="宋体" w:hAnsi="宋体" w:cs="Arial" w:hint="eastAsia"/>
          <w:bCs/>
          <w:sz w:val="24"/>
        </w:rPr>
      </w:pPr>
      <w:r>
        <w:rPr>
          <w:rFonts w:ascii="宋体" w:hAnsi="宋体" w:cs="Arial" w:hint="eastAsia"/>
          <w:bCs/>
          <w:sz w:val="24"/>
        </w:rPr>
        <w:t>8</w:t>
      </w:r>
      <w:r>
        <w:rPr>
          <w:rFonts w:ascii="宋体" w:hAnsi="宋体" w:cs="Arial" w:hint="eastAsia"/>
          <w:bCs/>
          <w:sz w:val="24"/>
        </w:rPr>
        <w:t>、报告期末按公允价值占基金资产净值比例大小排序的前五名权证投资明细</w:t>
      </w:r>
    </w:p>
    <w:p w14:paraId="5E3BF833"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本基金本报告期末未持有权证。</w:t>
      </w:r>
    </w:p>
    <w:p w14:paraId="3DADA667" w14:textId="77777777" w:rsidR="007B7C2A" w:rsidRDefault="00072812">
      <w:pPr>
        <w:spacing w:line="360" w:lineRule="auto"/>
        <w:rPr>
          <w:rFonts w:ascii="宋体" w:hAnsi="宋体" w:cs="Arial" w:hint="eastAsia"/>
          <w:bCs/>
          <w:sz w:val="24"/>
        </w:rPr>
      </w:pPr>
      <w:r>
        <w:rPr>
          <w:rFonts w:ascii="宋体" w:hAnsi="宋体" w:cs="Arial" w:hint="eastAsia"/>
          <w:bCs/>
          <w:sz w:val="24"/>
        </w:rPr>
        <w:t>9</w:t>
      </w:r>
      <w:r>
        <w:rPr>
          <w:rFonts w:ascii="宋体" w:hAnsi="宋体" w:cs="Arial" w:hint="eastAsia"/>
          <w:bCs/>
          <w:sz w:val="24"/>
        </w:rPr>
        <w:t>、报告期末本基金投资的股指期货交易情况说明</w:t>
      </w:r>
    </w:p>
    <w:p w14:paraId="49D58A25" w14:textId="77777777" w:rsidR="007B7C2A" w:rsidRDefault="00072812">
      <w:pPr>
        <w:spacing w:line="360" w:lineRule="auto"/>
        <w:ind w:firstLineChars="200" w:firstLine="480"/>
        <w:rPr>
          <w:rFonts w:ascii="宋体" w:hAnsi="宋体" w:cs="Arial" w:hint="eastAsia"/>
          <w:bCs/>
          <w:sz w:val="24"/>
        </w:rPr>
      </w:pPr>
      <w:r>
        <w:rPr>
          <w:rFonts w:ascii="宋体" w:hAnsi="宋体" w:cs="Arial" w:hint="eastAsia"/>
          <w:bCs/>
          <w:sz w:val="24"/>
        </w:rPr>
        <w:t>本基金本报告期末未投资股指期货。</w:t>
      </w:r>
    </w:p>
    <w:p w14:paraId="20218748" w14:textId="77777777" w:rsidR="007B7C2A" w:rsidRDefault="00072812">
      <w:pPr>
        <w:spacing w:line="360" w:lineRule="auto"/>
        <w:rPr>
          <w:rFonts w:ascii="宋体" w:hAnsi="宋体" w:cs="Arial" w:hint="eastAsia"/>
          <w:bCs/>
          <w:sz w:val="24"/>
        </w:rPr>
      </w:pPr>
      <w:r>
        <w:rPr>
          <w:rFonts w:ascii="宋体" w:hAnsi="宋体" w:cs="Arial" w:hint="eastAsia"/>
          <w:bCs/>
          <w:sz w:val="24"/>
        </w:rPr>
        <w:t>10</w:t>
      </w:r>
      <w:r>
        <w:rPr>
          <w:rFonts w:ascii="宋体" w:hAnsi="宋体" w:cs="Arial" w:hint="eastAsia"/>
          <w:bCs/>
          <w:sz w:val="24"/>
        </w:rPr>
        <w:t>、报告期末本基金投资的国债期货交易情况说明</w:t>
      </w:r>
    </w:p>
    <w:p w14:paraId="414FA6D4" w14:textId="77777777" w:rsidR="007B7C2A" w:rsidRDefault="00072812">
      <w:pPr>
        <w:spacing w:line="360" w:lineRule="auto"/>
        <w:ind w:firstLineChars="300" w:firstLine="720"/>
        <w:rPr>
          <w:rFonts w:ascii="宋体" w:hAnsi="宋体" w:cs="Arial" w:hint="eastAsia"/>
          <w:bCs/>
          <w:sz w:val="24"/>
        </w:rPr>
      </w:pPr>
      <w:r>
        <w:rPr>
          <w:rFonts w:ascii="宋体" w:hAnsi="宋体" w:cs="Arial" w:hint="eastAsia"/>
          <w:bCs/>
          <w:sz w:val="24"/>
        </w:rPr>
        <w:t>本基金本报告期末未投资国债期货。</w:t>
      </w:r>
    </w:p>
    <w:p w14:paraId="27BFEC68" w14:textId="77777777" w:rsidR="007B7C2A" w:rsidRDefault="00072812">
      <w:pPr>
        <w:spacing w:line="360" w:lineRule="auto"/>
        <w:rPr>
          <w:rFonts w:ascii="宋体" w:hAnsi="宋体" w:cs="Arial" w:hint="eastAsia"/>
          <w:bCs/>
          <w:sz w:val="24"/>
        </w:rPr>
      </w:pPr>
      <w:r>
        <w:rPr>
          <w:rFonts w:ascii="宋体" w:hAnsi="宋体" w:cs="Arial" w:hint="eastAsia"/>
          <w:bCs/>
          <w:sz w:val="24"/>
        </w:rPr>
        <w:t>11</w:t>
      </w:r>
      <w:r>
        <w:rPr>
          <w:rFonts w:ascii="宋体" w:hAnsi="宋体" w:cs="Arial" w:hint="eastAsia"/>
          <w:bCs/>
          <w:sz w:val="24"/>
        </w:rPr>
        <w:t>、投资组合报告附注</w:t>
      </w:r>
      <w:r>
        <w:rPr>
          <w:rFonts w:ascii="宋体" w:hAnsi="宋体" w:cs="Arial" w:hint="eastAsia"/>
          <w:bCs/>
          <w:sz w:val="24"/>
        </w:rPr>
        <w:t xml:space="preserve"> </w:t>
      </w:r>
    </w:p>
    <w:p w14:paraId="76AF12A8" w14:textId="77777777" w:rsidR="007B7C2A" w:rsidRDefault="00072812">
      <w:pPr>
        <w:pStyle w:val="zhangjiep2"/>
        <w:rPr>
          <w:rFonts w:cs="Arial" w:hint="eastAsia"/>
          <w:b/>
        </w:rPr>
      </w:pPr>
      <w:r>
        <w:rPr>
          <w:rFonts w:cs="Arial" w:hint="eastAsia"/>
          <w:bCs/>
        </w:rPr>
        <w:t>（</w:t>
      </w:r>
      <w:r>
        <w:rPr>
          <w:rFonts w:cs="Arial" w:hint="eastAsia"/>
          <w:bCs/>
        </w:rPr>
        <w:t>1</w:t>
      </w:r>
      <w:r>
        <w:rPr>
          <w:rFonts w:cs="Arial" w:hint="eastAsia"/>
          <w:bCs/>
        </w:rPr>
        <w:t>）</w:t>
      </w:r>
      <w:r>
        <w:rPr>
          <w:rFonts w:hAnsi="Calibri"/>
          <w:b/>
          <w:color w:val="000000"/>
        </w:rPr>
        <w:t>本基金本报告期投资的前十名证券的发行主体，本报告期没有出现被监管部门立案调查的情形，也没有出现在报告编制日前一年内受到公开谴责、处罚的情形。</w:t>
      </w:r>
    </w:p>
    <w:p w14:paraId="356BBE47" w14:textId="77777777" w:rsidR="007B7C2A" w:rsidRDefault="00072812">
      <w:pPr>
        <w:spacing w:line="360" w:lineRule="auto"/>
        <w:rPr>
          <w:rFonts w:ascii="宋体" w:hAnsi="宋体" w:cs="Arial" w:hint="eastAsia"/>
          <w:bCs/>
          <w:sz w:val="24"/>
        </w:rPr>
      </w:pPr>
      <w:r>
        <w:rPr>
          <w:rFonts w:ascii="宋体" w:hAnsi="宋体" w:cs="Arial" w:hint="eastAsia"/>
          <w:bCs/>
          <w:sz w:val="24"/>
        </w:rPr>
        <w:t>（</w:t>
      </w:r>
      <w:r>
        <w:rPr>
          <w:rFonts w:ascii="宋体" w:hAnsi="宋体" w:cs="Arial" w:hint="eastAsia"/>
          <w:bCs/>
          <w:sz w:val="24"/>
        </w:rPr>
        <w:t>2</w:t>
      </w:r>
      <w:r>
        <w:rPr>
          <w:rFonts w:ascii="宋体" w:hAnsi="宋体" w:cs="Arial" w:hint="eastAsia"/>
          <w:bCs/>
          <w:sz w:val="24"/>
        </w:rPr>
        <w:t>）本基金投资的前十名股票没有超出基金合同规定的备选股票库。</w:t>
      </w:r>
    </w:p>
    <w:p w14:paraId="016F7E64" w14:textId="77777777" w:rsidR="007B7C2A" w:rsidRDefault="00072812">
      <w:pPr>
        <w:tabs>
          <w:tab w:val="center" w:pos="4153"/>
        </w:tabs>
        <w:spacing w:line="360" w:lineRule="auto"/>
        <w:rPr>
          <w:rFonts w:ascii="宋体" w:hAnsi="宋体" w:cs="Arial" w:hint="eastAsia"/>
          <w:bCs/>
          <w:sz w:val="24"/>
        </w:rPr>
      </w:pPr>
      <w:r>
        <w:rPr>
          <w:rFonts w:ascii="宋体" w:hAnsi="宋体" w:cs="Arial" w:hint="eastAsia"/>
          <w:bCs/>
          <w:sz w:val="24"/>
        </w:rPr>
        <w:t>（</w:t>
      </w:r>
      <w:r>
        <w:rPr>
          <w:rFonts w:ascii="宋体" w:hAnsi="宋体" w:cs="Arial" w:hint="eastAsia"/>
          <w:bCs/>
          <w:sz w:val="24"/>
        </w:rPr>
        <w:t>3</w:t>
      </w:r>
      <w:r>
        <w:rPr>
          <w:rFonts w:ascii="宋体" w:hAnsi="宋体" w:cs="Arial" w:hint="eastAsia"/>
          <w:bCs/>
          <w:sz w:val="24"/>
        </w:rPr>
        <w:t>）其他资产构成</w:t>
      </w:r>
      <w:r>
        <w:rPr>
          <w:rFonts w:ascii="宋体" w:hAnsi="宋体" w:cs="Arial"/>
          <w:bCs/>
          <w:sz w:val="24"/>
        </w:rPr>
        <w:tab/>
      </w:r>
    </w:p>
    <w:tbl>
      <w:tblPr>
        <w:tblW w:w="9045" w:type="dxa"/>
        <w:tblInd w:w="108" w:type="dxa"/>
        <w:tblLook w:val="04A0" w:firstRow="1" w:lastRow="0" w:firstColumn="1" w:lastColumn="0" w:noHBand="0" w:noVBand="1"/>
      </w:tblPr>
      <w:tblGrid>
        <w:gridCol w:w="1269"/>
        <w:gridCol w:w="3683"/>
        <w:gridCol w:w="4093"/>
      </w:tblGrid>
      <w:tr w:rsidR="007B7C2A" w14:paraId="663523C4"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36A22872" w14:textId="77777777" w:rsidR="007B7C2A" w:rsidRDefault="00072812">
            <w:pPr>
              <w:pStyle w:val="biaogecenter"/>
              <w:wordWrap w:val="0"/>
              <w:rPr>
                <w:rFonts w:cs="Arial" w:hint="eastAsia"/>
                <w:bCs/>
              </w:rPr>
            </w:pPr>
            <w:r>
              <w:rPr>
                <w:rFonts w:cs="Arial"/>
                <w:bCs/>
              </w:rPr>
              <w:t>序号</w:t>
            </w:r>
          </w:p>
        </w:tc>
        <w:tc>
          <w:tcPr>
            <w:tcW w:w="3683" w:type="dxa"/>
            <w:tcBorders>
              <w:top w:val="single" w:sz="8" w:space="0" w:color="000000"/>
              <w:left w:val="single" w:sz="8" w:space="0" w:color="000000"/>
              <w:bottom w:val="single" w:sz="6" w:space="0" w:color="000000"/>
              <w:right w:val="single" w:sz="8" w:space="0" w:color="000000"/>
            </w:tcBorders>
            <w:vAlign w:val="center"/>
          </w:tcPr>
          <w:p w14:paraId="05F675FC" w14:textId="77777777" w:rsidR="007B7C2A" w:rsidRDefault="00072812">
            <w:pPr>
              <w:pStyle w:val="biaogecenter"/>
              <w:wordWrap w:val="0"/>
              <w:rPr>
                <w:rFonts w:cs="Arial" w:hint="eastAsia"/>
                <w:bCs/>
              </w:rPr>
            </w:pPr>
            <w:r>
              <w:rPr>
                <w:rFonts w:cs="Arial"/>
                <w:bCs/>
              </w:rPr>
              <w:t>名称</w:t>
            </w:r>
          </w:p>
        </w:tc>
        <w:tc>
          <w:tcPr>
            <w:tcW w:w="4093" w:type="dxa"/>
            <w:tcBorders>
              <w:top w:val="single" w:sz="8" w:space="0" w:color="000000"/>
              <w:left w:val="single" w:sz="8" w:space="0" w:color="000000"/>
              <w:bottom w:val="single" w:sz="8" w:space="0" w:color="000000"/>
              <w:right w:val="single" w:sz="8" w:space="0" w:color="000000"/>
            </w:tcBorders>
            <w:vAlign w:val="center"/>
          </w:tcPr>
          <w:p w14:paraId="5B18EC7B" w14:textId="77777777" w:rsidR="007B7C2A" w:rsidRDefault="00072812">
            <w:pPr>
              <w:pStyle w:val="biaogecenter"/>
              <w:wordWrap w:val="0"/>
              <w:rPr>
                <w:rFonts w:asciiTheme="minorEastAsia" w:hAnsiTheme="minorEastAsia" w:hint="eastAsia"/>
                <w:color w:val="000000"/>
                <w:sz w:val="22"/>
              </w:rPr>
            </w:pPr>
            <w:r>
              <w:rPr>
                <w:rFonts w:asciiTheme="minorEastAsia" w:hAnsiTheme="minorEastAsia"/>
                <w:color w:val="000000"/>
                <w:sz w:val="22"/>
              </w:rPr>
              <w:t>金额</w:t>
            </w:r>
            <w:r>
              <w:rPr>
                <w:rFonts w:asciiTheme="minorEastAsia" w:hAnsiTheme="minorEastAsia"/>
                <w:color w:val="000000"/>
                <w:sz w:val="22"/>
              </w:rPr>
              <w:t>(</w:t>
            </w:r>
            <w:r>
              <w:rPr>
                <w:rFonts w:asciiTheme="minorEastAsia" w:hAnsiTheme="minorEastAsia"/>
                <w:color w:val="000000"/>
                <w:sz w:val="22"/>
              </w:rPr>
              <w:t>元</w:t>
            </w:r>
            <w:r>
              <w:rPr>
                <w:rFonts w:asciiTheme="minorEastAsia" w:hAnsiTheme="minorEastAsia"/>
                <w:color w:val="000000"/>
                <w:sz w:val="22"/>
              </w:rPr>
              <w:t>)</w:t>
            </w:r>
          </w:p>
        </w:tc>
      </w:tr>
      <w:tr w:rsidR="007B7C2A" w14:paraId="162DBAF8"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1FAA046D" w14:textId="77777777" w:rsidR="007B7C2A" w:rsidRDefault="00072812">
            <w:pPr>
              <w:pStyle w:val="biaogecenter"/>
              <w:wordWrap w:val="0"/>
              <w:rPr>
                <w:rFonts w:cs="Arial" w:hint="eastAsia"/>
                <w:bCs/>
              </w:rPr>
            </w:pPr>
            <w:r>
              <w:rPr>
                <w:rFonts w:cs="Arial"/>
                <w:bCs/>
              </w:rPr>
              <w:t>1</w:t>
            </w:r>
          </w:p>
        </w:tc>
        <w:tc>
          <w:tcPr>
            <w:tcW w:w="3683" w:type="dxa"/>
            <w:tcBorders>
              <w:top w:val="single" w:sz="8" w:space="0" w:color="000000"/>
              <w:left w:val="single" w:sz="8" w:space="0" w:color="000000"/>
              <w:bottom w:val="single" w:sz="6" w:space="0" w:color="000000"/>
              <w:right w:val="single" w:sz="8" w:space="0" w:color="000000"/>
            </w:tcBorders>
            <w:vAlign w:val="center"/>
          </w:tcPr>
          <w:p w14:paraId="5878847D" w14:textId="77777777" w:rsidR="007B7C2A" w:rsidRDefault="00072812">
            <w:pPr>
              <w:pStyle w:val="biaogecenter"/>
              <w:jc w:val="left"/>
              <w:rPr>
                <w:rFonts w:cs="Arial" w:hint="eastAsia"/>
                <w:bCs/>
              </w:rPr>
            </w:pPr>
            <w:r>
              <w:rPr>
                <w:rFonts w:cs="Arial"/>
                <w:bCs/>
              </w:rPr>
              <w:t>存出保证金</w:t>
            </w:r>
          </w:p>
        </w:tc>
        <w:tc>
          <w:tcPr>
            <w:tcW w:w="4093" w:type="dxa"/>
            <w:tcBorders>
              <w:top w:val="single" w:sz="8" w:space="0" w:color="000000"/>
              <w:left w:val="single" w:sz="8" w:space="0" w:color="000000"/>
              <w:bottom w:val="single" w:sz="8" w:space="0" w:color="000000"/>
              <w:right w:val="single" w:sz="8" w:space="0" w:color="000000"/>
            </w:tcBorders>
            <w:vAlign w:val="center"/>
          </w:tcPr>
          <w:p w14:paraId="227FA6C6" w14:textId="77777777" w:rsidR="007B7C2A" w:rsidRDefault="00072812">
            <w:pPr>
              <w:pStyle w:val="biaogecenter"/>
              <w:jc w:val="left"/>
              <w:rPr>
                <w:rFonts w:asciiTheme="minorEastAsia" w:hAnsiTheme="minorEastAsia" w:hint="eastAsia"/>
                <w:color w:val="000000"/>
                <w:sz w:val="22"/>
              </w:rPr>
            </w:pPr>
            <w:r>
              <w:rPr>
                <w:rFonts w:asciiTheme="minorEastAsia" w:hAnsiTheme="minorEastAsia"/>
                <w:color w:val="000000"/>
                <w:sz w:val="22"/>
              </w:rPr>
              <w:t>1,897.27</w:t>
            </w:r>
          </w:p>
        </w:tc>
      </w:tr>
      <w:tr w:rsidR="007B7C2A" w14:paraId="6D21BE22"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736A890B" w14:textId="77777777" w:rsidR="007B7C2A" w:rsidRDefault="00072812">
            <w:pPr>
              <w:pStyle w:val="biaogecenter"/>
              <w:wordWrap w:val="0"/>
              <w:rPr>
                <w:rFonts w:cs="Arial" w:hint="eastAsia"/>
                <w:bCs/>
              </w:rPr>
            </w:pPr>
            <w:r>
              <w:rPr>
                <w:rFonts w:cs="Arial"/>
                <w:bCs/>
              </w:rPr>
              <w:t>2</w:t>
            </w:r>
          </w:p>
        </w:tc>
        <w:tc>
          <w:tcPr>
            <w:tcW w:w="3683" w:type="dxa"/>
            <w:tcBorders>
              <w:top w:val="single" w:sz="8" w:space="0" w:color="000000"/>
              <w:left w:val="single" w:sz="8" w:space="0" w:color="000000"/>
              <w:bottom w:val="single" w:sz="6" w:space="0" w:color="000000"/>
              <w:right w:val="single" w:sz="8" w:space="0" w:color="000000"/>
            </w:tcBorders>
            <w:vAlign w:val="center"/>
          </w:tcPr>
          <w:p w14:paraId="591859BD" w14:textId="77777777" w:rsidR="007B7C2A" w:rsidRDefault="00072812">
            <w:pPr>
              <w:pStyle w:val="biaogecenter"/>
              <w:jc w:val="left"/>
              <w:rPr>
                <w:rFonts w:cs="Arial" w:hint="eastAsia"/>
                <w:bCs/>
              </w:rPr>
            </w:pPr>
            <w:r>
              <w:rPr>
                <w:rFonts w:cs="Arial"/>
                <w:bCs/>
              </w:rPr>
              <w:t>应收证券清算款</w:t>
            </w:r>
          </w:p>
        </w:tc>
        <w:tc>
          <w:tcPr>
            <w:tcW w:w="4093" w:type="dxa"/>
            <w:tcBorders>
              <w:top w:val="single" w:sz="8" w:space="0" w:color="000000"/>
              <w:left w:val="single" w:sz="8" w:space="0" w:color="000000"/>
              <w:bottom w:val="single" w:sz="8" w:space="0" w:color="000000"/>
              <w:right w:val="single" w:sz="8" w:space="0" w:color="000000"/>
            </w:tcBorders>
            <w:vAlign w:val="center"/>
          </w:tcPr>
          <w:p w14:paraId="1637937C" w14:textId="77777777" w:rsidR="007B7C2A" w:rsidRDefault="00072812">
            <w:pPr>
              <w:pStyle w:val="biaogecenter"/>
              <w:jc w:val="left"/>
              <w:rPr>
                <w:rFonts w:asciiTheme="minorEastAsia" w:hAnsiTheme="minorEastAsia" w:hint="eastAsia"/>
                <w:color w:val="000000"/>
                <w:sz w:val="22"/>
              </w:rPr>
            </w:pPr>
            <w:r>
              <w:rPr>
                <w:rFonts w:asciiTheme="minorEastAsia" w:hAnsiTheme="minorEastAsia"/>
                <w:color w:val="000000"/>
                <w:sz w:val="22"/>
              </w:rPr>
              <w:t>-</w:t>
            </w:r>
          </w:p>
        </w:tc>
      </w:tr>
      <w:tr w:rsidR="007B7C2A" w14:paraId="04FDFBF2"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42880022" w14:textId="77777777" w:rsidR="007B7C2A" w:rsidRDefault="00072812">
            <w:pPr>
              <w:pStyle w:val="biaogecenter"/>
              <w:wordWrap w:val="0"/>
              <w:rPr>
                <w:rFonts w:cs="Arial" w:hint="eastAsia"/>
                <w:bCs/>
              </w:rPr>
            </w:pPr>
            <w:r>
              <w:rPr>
                <w:rFonts w:cs="Arial"/>
                <w:bCs/>
              </w:rPr>
              <w:t>3</w:t>
            </w:r>
          </w:p>
        </w:tc>
        <w:tc>
          <w:tcPr>
            <w:tcW w:w="3683" w:type="dxa"/>
            <w:tcBorders>
              <w:top w:val="single" w:sz="8" w:space="0" w:color="000000"/>
              <w:left w:val="single" w:sz="8" w:space="0" w:color="000000"/>
              <w:bottom w:val="single" w:sz="6" w:space="0" w:color="000000"/>
              <w:right w:val="single" w:sz="8" w:space="0" w:color="000000"/>
            </w:tcBorders>
            <w:vAlign w:val="center"/>
          </w:tcPr>
          <w:p w14:paraId="7679F3D6" w14:textId="77777777" w:rsidR="007B7C2A" w:rsidRDefault="00072812">
            <w:pPr>
              <w:pStyle w:val="biaogecenter"/>
              <w:jc w:val="left"/>
              <w:rPr>
                <w:rFonts w:cs="Arial" w:hint="eastAsia"/>
                <w:bCs/>
              </w:rPr>
            </w:pPr>
            <w:r>
              <w:rPr>
                <w:rFonts w:cs="Arial"/>
                <w:bCs/>
              </w:rPr>
              <w:t>应收股利</w:t>
            </w:r>
          </w:p>
        </w:tc>
        <w:tc>
          <w:tcPr>
            <w:tcW w:w="4093" w:type="dxa"/>
            <w:tcBorders>
              <w:top w:val="single" w:sz="8" w:space="0" w:color="000000"/>
              <w:left w:val="single" w:sz="8" w:space="0" w:color="000000"/>
              <w:bottom w:val="single" w:sz="8" w:space="0" w:color="000000"/>
              <w:right w:val="single" w:sz="8" w:space="0" w:color="000000"/>
            </w:tcBorders>
            <w:vAlign w:val="center"/>
          </w:tcPr>
          <w:p w14:paraId="3F8C50A1" w14:textId="77777777" w:rsidR="007B7C2A" w:rsidRDefault="00072812">
            <w:pPr>
              <w:pStyle w:val="biaogecenter"/>
              <w:jc w:val="left"/>
              <w:rPr>
                <w:rFonts w:asciiTheme="minorEastAsia" w:hAnsiTheme="minorEastAsia" w:hint="eastAsia"/>
                <w:color w:val="000000"/>
                <w:sz w:val="22"/>
              </w:rPr>
            </w:pPr>
            <w:r>
              <w:rPr>
                <w:rFonts w:asciiTheme="minorEastAsia" w:hAnsiTheme="minorEastAsia"/>
                <w:color w:val="000000"/>
                <w:sz w:val="22"/>
              </w:rPr>
              <w:t>-</w:t>
            </w:r>
          </w:p>
        </w:tc>
      </w:tr>
      <w:tr w:rsidR="007B7C2A" w14:paraId="45C1026E"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1EB72305" w14:textId="77777777" w:rsidR="007B7C2A" w:rsidRDefault="00072812">
            <w:pPr>
              <w:pStyle w:val="biaogecenter"/>
              <w:wordWrap w:val="0"/>
              <w:rPr>
                <w:rFonts w:cs="Arial" w:hint="eastAsia"/>
                <w:bCs/>
              </w:rPr>
            </w:pPr>
            <w:r>
              <w:rPr>
                <w:rFonts w:cs="Arial"/>
                <w:bCs/>
              </w:rPr>
              <w:t>4</w:t>
            </w:r>
          </w:p>
        </w:tc>
        <w:tc>
          <w:tcPr>
            <w:tcW w:w="3683" w:type="dxa"/>
            <w:tcBorders>
              <w:top w:val="single" w:sz="8" w:space="0" w:color="000000"/>
              <w:left w:val="single" w:sz="8" w:space="0" w:color="000000"/>
              <w:bottom w:val="single" w:sz="6" w:space="0" w:color="000000"/>
              <w:right w:val="single" w:sz="8" w:space="0" w:color="000000"/>
            </w:tcBorders>
            <w:vAlign w:val="center"/>
          </w:tcPr>
          <w:p w14:paraId="72C741D1" w14:textId="77777777" w:rsidR="007B7C2A" w:rsidRDefault="00072812">
            <w:pPr>
              <w:pStyle w:val="biaogecenter"/>
              <w:jc w:val="left"/>
              <w:rPr>
                <w:rFonts w:cs="Arial" w:hint="eastAsia"/>
                <w:bCs/>
              </w:rPr>
            </w:pPr>
            <w:r>
              <w:rPr>
                <w:rFonts w:cs="Arial"/>
                <w:bCs/>
              </w:rPr>
              <w:t>应收利息</w:t>
            </w:r>
          </w:p>
        </w:tc>
        <w:tc>
          <w:tcPr>
            <w:tcW w:w="4093" w:type="dxa"/>
            <w:tcBorders>
              <w:top w:val="single" w:sz="8" w:space="0" w:color="000000"/>
              <w:left w:val="single" w:sz="8" w:space="0" w:color="000000"/>
              <w:bottom w:val="single" w:sz="8" w:space="0" w:color="000000"/>
              <w:right w:val="single" w:sz="8" w:space="0" w:color="000000"/>
            </w:tcBorders>
            <w:vAlign w:val="center"/>
          </w:tcPr>
          <w:p w14:paraId="6134E84F" w14:textId="77777777" w:rsidR="007B7C2A" w:rsidRDefault="00072812">
            <w:pPr>
              <w:pStyle w:val="biaogecenter"/>
              <w:jc w:val="left"/>
              <w:rPr>
                <w:rFonts w:asciiTheme="minorEastAsia" w:hAnsiTheme="minorEastAsia" w:hint="eastAsia"/>
                <w:color w:val="000000"/>
                <w:sz w:val="22"/>
              </w:rPr>
            </w:pPr>
            <w:r>
              <w:rPr>
                <w:rFonts w:asciiTheme="minorEastAsia" w:hAnsiTheme="minorEastAsia"/>
                <w:color w:val="000000"/>
                <w:sz w:val="22"/>
              </w:rPr>
              <w:t>-</w:t>
            </w:r>
          </w:p>
        </w:tc>
      </w:tr>
      <w:tr w:rsidR="007B7C2A" w14:paraId="680DCA11"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188706BD" w14:textId="77777777" w:rsidR="007B7C2A" w:rsidRDefault="00072812">
            <w:pPr>
              <w:pStyle w:val="biaogecenter"/>
              <w:wordWrap w:val="0"/>
              <w:rPr>
                <w:rFonts w:cs="Arial" w:hint="eastAsia"/>
                <w:bCs/>
              </w:rPr>
            </w:pPr>
            <w:r>
              <w:rPr>
                <w:rFonts w:cs="Arial"/>
                <w:bCs/>
              </w:rPr>
              <w:t>5</w:t>
            </w:r>
          </w:p>
        </w:tc>
        <w:tc>
          <w:tcPr>
            <w:tcW w:w="3683" w:type="dxa"/>
            <w:tcBorders>
              <w:top w:val="single" w:sz="8" w:space="0" w:color="000000"/>
              <w:left w:val="single" w:sz="8" w:space="0" w:color="000000"/>
              <w:bottom w:val="single" w:sz="6" w:space="0" w:color="000000"/>
              <w:right w:val="single" w:sz="8" w:space="0" w:color="000000"/>
            </w:tcBorders>
            <w:vAlign w:val="center"/>
          </w:tcPr>
          <w:p w14:paraId="0F1A2CCC" w14:textId="77777777" w:rsidR="007B7C2A" w:rsidRDefault="00072812">
            <w:pPr>
              <w:pStyle w:val="biaogecenter"/>
              <w:jc w:val="left"/>
              <w:rPr>
                <w:rFonts w:cs="Arial" w:hint="eastAsia"/>
                <w:bCs/>
              </w:rPr>
            </w:pPr>
            <w:r>
              <w:rPr>
                <w:rFonts w:cs="Arial"/>
                <w:bCs/>
              </w:rPr>
              <w:t>应收申购款</w:t>
            </w:r>
          </w:p>
        </w:tc>
        <w:tc>
          <w:tcPr>
            <w:tcW w:w="4093" w:type="dxa"/>
            <w:tcBorders>
              <w:top w:val="single" w:sz="8" w:space="0" w:color="000000"/>
              <w:left w:val="single" w:sz="8" w:space="0" w:color="000000"/>
              <w:bottom w:val="single" w:sz="8" w:space="0" w:color="000000"/>
              <w:right w:val="single" w:sz="8" w:space="0" w:color="000000"/>
            </w:tcBorders>
            <w:vAlign w:val="center"/>
          </w:tcPr>
          <w:p w14:paraId="7A35410F" w14:textId="77777777" w:rsidR="007B7C2A" w:rsidRDefault="00072812">
            <w:pPr>
              <w:pStyle w:val="biaogecenter"/>
              <w:jc w:val="left"/>
              <w:rPr>
                <w:rFonts w:asciiTheme="minorEastAsia" w:hAnsiTheme="minorEastAsia" w:hint="eastAsia"/>
                <w:color w:val="000000"/>
                <w:sz w:val="22"/>
              </w:rPr>
            </w:pPr>
            <w:r>
              <w:rPr>
                <w:rFonts w:asciiTheme="minorEastAsia" w:hAnsiTheme="minorEastAsia"/>
                <w:color w:val="000000"/>
                <w:sz w:val="22"/>
              </w:rPr>
              <w:t>154.96</w:t>
            </w:r>
          </w:p>
        </w:tc>
      </w:tr>
      <w:tr w:rsidR="007B7C2A" w14:paraId="4F4E1078"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740DE47C" w14:textId="77777777" w:rsidR="007B7C2A" w:rsidRDefault="00072812">
            <w:pPr>
              <w:pStyle w:val="biaogecenter"/>
              <w:wordWrap w:val="0"/>
              <w:rPr>
                <w:rFonts w:cs="Arial" w:hint="eastAsia"/>
                <w:bCs/>
              </w:rPr>
            </w:pPr>
            <w:r>
              <w:rPr>
                <w:rFonts w:cs="Arial"/>
                <w:bCs/>
              </w:rPr>
              <w:t>6</w:t>
            </w:r>
          </w:p>
        </w:tc>
        <w:tc>
          <w:tcPr>
            <w:tcW w:w="3683" w:type="dxa"/>
            <w:tcBorders>
              <w:top w:val="single" w:sz="8" w:space="0" w:color="000000"/>
              <w:left w:val="single" w:sz="8" w:space="0" w:color="000000"/>
              <w:bottom w:val="single" w:sz="6" w:space="0" w:color="000000"/>
              <w:right w:val="single" w:sz="8" w:space="0" w:color="000000"/>
            </w:tcBorders>
            <w:vAlign w:val="center"/>
          </w:tcPr>
          <w:p w14:paraId="540361FB" w14:textId="77777777" w:rsidR="007B7C2A" w:rsidRDefault="00072812">
            <w:pPr>
              <w:pStyle w:val="biaogecenter"/>
              <w:jc w:val="left"/>
              <w:rPr>
                <w:rFonts w:cs="Arial" w:hint="eastAsia"/>
                <w:bCs/>
              </w:rPr>
            </w:pPr>
            <w:r>
              <w:rPr>
                <w:rFonts w:cs="Arial"/>
                <w:bCs/>
              </w:rPr>
              <w:t>其他应收款</w:t>
            </w:r>
          </w:p>
        </w:tc>
        <w:tc>
          <w:tcPr>
            <w:tcW w:w="4093" w:type="dxa"/>
            <w:tcBorders>
              <w:top w:val="single" w:sz="8" w:space="0" w:color="000000"/>
              <w:left w:val="single" w:sz="8" w:space="0" w:color="000000"/>
              <w:bottom w:val="single" w:sz="8" w:space="0" w:color="000000"/>
              <w:right w:val="single" w:sz="8" w:space="0" w:color="000000"/>
            </w:tcBorders>
            <w:vAlign w:val="center"/>
          </w:tcPr>
          <w:p w14:paraId="20D2BA9E" w14:textId="77777777" w:rsidR="007B7C2A" w:rsidRDefault="00072812">
            <w:pPr>
              <w:pStyle w:val="biaogecenter"/>
              <w:jc w:val="left"/>
              <w:rPr>
                <w:rFonts w:asciiTheme="minorEastAsia" w:hAnsiTheme="minorEastAsia" w:hint="eastAsia"/>
                <w:color w:val="000000"/>
                <w:sz w:val="22"/>
              </w:rPr>
            </w:pPr>
            <w:r>
              <w:rPr>
                <w:rFonts w:asciiTheme="minorEastAsia" w:hAnsiTheme="minorEastAsia"/>
                <w:color w:val="000000"/>
                <w:sz w:val="22"/>
              </w:rPr>
              <w:t>-</w:t>
            </w:r>
          </w:p>
        </w:tc>
      </w:tr>
      <w:tr w:rsidR="007B7C2A" w14:paraId="41DC11CA"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00DAB9F8" w14:textId="77777777" w:rsidR="007B7C2A" w:rsidRDefault="00072812">
            <w:pPr>
              <w:pStyle w:val="biaogecenter"/>
              <w:wordWrap w:val="0"/>
              <w:rPr>
                <w:rFonts w:cs="Arial" w:hint="eastAsia"/>
                <w:bCs/>
              </w:rPr>
            </w:pPr>
            <w:r>
              <w:rPr>
                <w:rFonts w:cs="Arial"/>
                <w:bCs/>
              </w:rPr>
              <w:t>7</w:t>
            </w:r>
          </w:p>
        </w:tc>
        <w:tc>
          <w:tcPr>
            <w:tcW w:w="3683" w:type="dxa"/>
            <w:tcBorders>
              <w:top w:val="single" w:sz="8" w:space="0" w:color="000000"/>
              <w:left w:val="single" w:sz="8" w:space="0" w:color="000000"/>
              <w:bottom w:val="single" w:sz="6" w:space="0" w:color="000000"/>
              <w:right w:val="single" w:sz="8" w:space="0" w:color="000000"/>
            </w:tcBorders>
            <w:vAlign w:val="center"/>
          </w:tcPr>
          <w:p w14:paraId="621D018F" w14:textId="77777777" w:rsidR="007B7C2A" w:rsidRDefault="00072812">
            <w:pPr>
              <w:pStyle w:val="biaogecenter"/>
              <w:jc w:val="left"/>
              <w:rPr>
                <w:rFonts w:cs="Arial" w:hint="eastAsia"/>
                <w:bCs/>
              </w:rPr>
            </w:pPr>
            <w:r>
              <w:rPr>
                <w:rFonts w:cs="Arial"/>
                <w:bCs/>
              </w:rPr>
              <w:t>其他</w:t>
            </w:r>
          </w:p>
        </w:tc>
        <w:tc>
          <w:tcPr>
            <w:tcW w:w="4093" w:type="dxa"/>
            <w:tcBorders>
              <w:top w:val="single" w:sz="8" w:space="0" w:color="000000"/>
              <w:left w:val="single" w:sz="8" w:space="0" w:color="000000"/>
              <w:bottom w:val="single" w:sz="8" w:space="0" w:color="000000"/>
              <w:right w:val="single" w:sz="8" w:space="0" w:color="000000"/>
            </w:tcBorders>
            <w:vAlign w:val="center"/>
          </w:tcPr>
          <w:p w14:paraId="0DD1BA13" w14:textId="77777777" w:rsidR="007B7C2A" w:rsidRDefault="00072812">
            <w:pPr>
              <w:pStyle w:val="biaogecenter"/>
              <w:jc w:val="left"/>
              <w:rPr>
                <w:rFonts w:asciiTheme="minorEastAsia" w:hAnsiTheme="minorEastAsia" w:hint="eastAsia"/>
                <w:color w:val="000000"/>
                <w:sz w:val="22"/>
              </w:rPr>
            </w:pPr>
            <w:r>
              <w:rPr>
                <w:rFonts w:asciiTheme="minorEastAsia" w:hAnsiTheme="minorEastAsia"/>
                <w:color w:val="000000"/>
                <w:sz w:val="22"/>
              </w:rPr>
              <w:t>-</w:t>
            </w:r>
          </w:p>
        </w:tc>
      </w:tr>
      <w:tr w:rsidR="007B7C2A" w14:paraId="3054CCE6" w14:textId="77777777">
        <w:tc>
          <w:tcPr>
            <w:tcW w:w="1269" w:type="dxa"/>
            <w:tcBorders>
              <w:top w:val="single" w:sz="8" w:space="0" w:color="000000"/>
              <w:left w:val="single" w:sz="8" w:space="0" w:color="000000"/>
              <w:bottom w:val="single" w:sz="6" w:space="0" w:color="000000"/>
              <w:right w:val="single" w:sz="8" w:space="0" w:color="000000"/>
            </w:tcBorders>
            <w:vAlign w:val="center"/>
          </w:tcPr>
          <w:p w14:paraId="32A356A3" w14:textId="77777777" w:rsidR="007B7C2A" w:rsidRDefault="00072812">
            <w:pPr>
              <w:pStyle w:val="biaogecenter"/>
              <w:wordWrap w:val="0"/>
              <w:rPr>
                <w:rFonts w:cs="Arial" w:hint="eastAsia"/>
                <w:bCs/>
              </w:rPr>
            </w:pPr>
            <w:r>
              <w:rPr>
                <w:rFonts w:cs="Arial"/>
                <w:bCs/>
              </w:rPr>
              <w:t>8</w:t>
            </w:r>
          </w:p>
        </w:tc>
        <w:tc>
          <w:tcPr>
            <w:tcW w:w="3683" w:type="dxa"/>
            <w:tcBorders>
              <w:top w:val="single" w:sz="8" w:space="0" w:color="000000"/>
              <w:left w:val="single" w:sz="8" w:space="0" w:color="000000"/>
              <w:bottom w:val="single" w:sz="6" w:space="0" w:color="000000"/>
              <w:right w:val="single" w:sz="8" w:space="0" w:color="000000"/>
            </w:tcBorders>
            <w:vAlign w:val="center"/>
          </w:tcPr>
          <w:p w14:paraId="3F3F8667" w14:textId="77777777" w:rsidR="007B7C2A" w:rsidRDefault="00072812">
            <w:pPr>
              <w:pStyle w:val="biaogecenter"/>
              <w:jc w:val="left"/>
              <w:rPr>
                <w:rFonts w:cs="Arial" w:hint="eastAsia"/>
                <w:bCs/>
              </w:rPr>
            </w:pPr>
            <w:r>
              <w:rPr>
                <w:rFonts w:cs="Arial"/>
                <w:bCs/>
              </w:rPr>
              <w:t>合计</w:t>
            </w:r>
          </w:p>
        </w:tc>
        <w:tc>
          <w:tcPr>
            <w:tcW w:w="4093" w:type="dxa"/>
            <w:tcBorders>
              <w:top w:val="single" w:sz="8" w:space="0" w:color="000000"/>
              <w:left w:val="single" w:sz="8" w:space="0" w:color="000000"/>
              <w:bottom w:val="single" w:sz="8" w:space="0" w:color="000000"/>
              <w:right w:val="single" w:sz="8" w:space="0" w:color="000000"/>
            </w:tcBorders>
            <w:vAlign w:val="center"/>
          </w:tcPr>
          <w:p w14:paraId="0313F96F" w14:textId="77777777" w:rsidR="007B7C2A" w:rsidRDefault="00072812">
            <w:pPr>
              <w:pStyle w:val="biaogecenter"/>
              <w:jc w:val="left"/>
              <w:rPr>
                <w:rFonts w:asciiTheme="minorEastAsia" w:hAnsiTheme="minorEastAsia" w:hint="eastAsia"/>
                <w:color w:val="000000"/>
                <w:sz w:val="22"/>
              </w:rPr>
            </w:pPr>
            <w:r>
              <w:rPr>
                <w:rFonts w:asciiTheme="minorEastAsia" w:hAnsiTheme="minorEastAsia"/>
                <w:color w:val="000000"/>
                <w:sz w:val="22"/>
              </w:rPr>
              <w:t>2,052.23</w:t>
            </w:r>
          </w:p>
        </w:tc>
      </w:tr>
    </w:tbl>
    <w:p w14:paraId="61B04F09" w14:textId="77777777" w:rsidR="007B7C2A" w:rsidRDefault="007B7C2A">
      <w:pPr>
        <w:spacing w:line="360" w:lineRule="auto"/>
        <w:rPr>
          <w:rFonts w:ascii="宋体" w:hAnsi="宋体" w:cs="Arial" w:hint="eastAsia"/>
          <w:bCs/>
          <w:sz w:val="24"/>
        </w:rPr>
      </w:pPr>
    </w:p>
    <w:p w14:paraId="43D4F52C" w14:textId="77777777" w:rsidR="007B7C2A" w:rsidRDefault="00072812">
      <w:pPr>
        <w:spacing w:line="360" w:lineRule="auto"/>
        <w:rPr>
          <w:rFonts w:ascii="宋体" w:hAnsi="宋体" w:cs="Arial" w:hint="eastAsia"/>
          <w:bCs/>
          <w:sz w:val="24"/>
        </w:rPr>
      </w:pPr>
      <w:r>
        <w:rPr>
          <w:rFonts w:ascii="宋体" w:hAnsi="宋体" w:cs="Arial" w:hint="eastAsia"/>
          <w:bCs/>
          <w:sz w:val="24"/>
        </w:rPr>
        <w:t>（</w:t>
      </w:r>
      <w:r>
        <w:rPr>
          <w:rFonts w:ascii="宋体" w:hAnsi="宋体" w:cs="Arial" w:hint="eastAsia"/>
          <w:bCs/>
          <w:sz w:val="24"/>
        </w:rPr>
        <w:t>4</w:t>
      </w:r>
      <w:r>
        <w:rPr>
          <w:rFonts w:ascii="宋体" w:hAnsi="宋体" w:cs="Arial" w:hint="eastAsia"/>
          <w:bCs/>
          <w:sz w:val="24"/>
        </w:rPr>
        <w:t>）报告期末持有的处于转股期的可转换债券明细</w:t>
      </w:r>
    </w:p>
    <w:p w14:paraId="5BCE6EDA" w14:textId="77777777" w:rsidR="007B7C2A" w:rsidRDefault="00072812">
      <w:pPr>
        <w:spacing w:line="360" w:lineRule="auto"/>
        <w:ind w:firstLineChars="300" w:firstLine="720"/>
        <w:rPr>
          <w:rFonts w:ascii="宋体" w:hAnsi="宋体" w:cs="Arial" w:hint="eastAsia"/>
          <w:bCs/>
          <w:sz w:val="24"/>
        </w:rPr>
      </w:pPr>
      <w:r>
        <w:rPr>
          <w:rFonts w:ascii="宋体" w:hAnsi="宋体" w:cs="Arial" w:hint="eastAsia"/>
          <w:bCs/>
          <w:sz w:val="24"/>
        </w:rPr>
        <w:t>本基金本报告期末未持有处于转股的可转换债券。</w:t>
      </w:r>
    </w:p>
    <w:p w14:paraId="197F812E" w14:textId="77777777" w:rsidR="007B7C2A" w:rsidRDefault="00072812">
      <w:pPr>
        <w:pStyle w:val="neirong"/>
        <w:rPr>
          <w:rFonts w:cs="Arial" w:hint="eastAsia"/>
          <w:bCs/>
        </w:rPr>
      </w:pPr>
      <w:r>
        <w:rPr>
          <w:rFonts w:cs="Arial" w:hint="eastAsia"/>
          <w:bCs/>
        </w:rPr>
        <w:t>（</w:t>
      </w:r>
      <w:r>
        <w:rPr>
          <w:rFonts w:cs="Arial" w:hint="eastAsia"/>
          <w:bCs/>
        </w:rPr>
        <w:t>5</w:t>
      </w:r>
      <w:r>
        <w:rPr>
          <w:rFonts w:cs="Arial" w:hint="eastAsia"/>
          <w:bCs/>
        </w:rPr>
        <w:t>）报告</w:t>
      </w:r>
      <w:proofErr w:type="gramStart"/>
      <w:r>
        <w:rPr>
          <w:rFonts w:cs="Arial" w:hint="eastAsia"/>
          <w:bCs/>
        </w:rPr>
        <w:t>期末前</w:t>
      </w:r>
      <w:proofErr w:type="gramEnd"/>
      <w:r>
        <w:rPr>
          <w:rFonts w:cs="Arial" w:hint="eastAsia"/>
          <w:bCs/>
        </w:rPr>
        <w:t>十名股票中存在流通受限情况的说明</w:t>
      </w:r>
    </w:p>
    <w:p w14:paraId="4B8B8F56" w14:textId="77777777" w:rsidR="007B7C2A" w:rsidRDefault="00072812">
      <w:pPr>
        <w:pStyle w:val="neirong"/>
        <w:ind w:firstLineChars="300" w:firstLine="720"/>
        <w:rPr>
          <w:rFonts w:hint="eastAsia"/>
        </w:rPr>
      </w:pPr>
      <w:r>
        <w:rPr>
          <w:rFonts w:hint="eastAsia"/>
        </w:rPr>
        <w:t>本基金本报告</w:t>
      </w:r>
      <w:proofErr w:type="gramStart"/>
      <w:r>
        <w:rPr>
          <w:rFonts w:hint="eastAsia"/>
        </w:rPr>
        <w:t>期末前</w:t>
      </w:r>
      <w:proofErr w:type="gramEnd"/>
      <w:r>
        <w:rPr>
          <w:rFonts w:hint="eastAsia"/>
        </w:rPr>
        <w:t>十名股票中不存在流通受限股票。</w:t>
      </w:r>
    </w:p>
    <w:p w14:paraId="4406B6FA" w14:textId="77777777" w:rsidR="007B7C2A" w:rsidRDefault="00072812">
      <w:pPr>
        <w:spacing w:line="360" w:lineRule="auto"/>
        <w:rPr>
          <w:rFonts w:ascii="宋体" w:hAnsi="宋体" w:cs="Arial" w:hint="eastAsia"/>
          <w:bCs/>
          <w:sz w:val="24"/>
        </w:rPr>
      </w:pPr>
      <w:r>
        <w:rPr>
          <w:rFonts w:ascii="宋体" w:hAnsi="宋体" w:cs="Arial" w:hint="eastAsia"/>
          <w:bCs/>
          <w:sz w:val="24"/>
        </w:rPr>
        <w:t>（</w:t>
      </w:r>
      <w:r>
        <w:rPr>
          <w:rFonts w:ascii="宋体" w:hAnsi="宋体" w:cs="Arial" w:hint="eastAsia"/>
          <w:bCs/>
          <w:sz w:val="24"/>
        </w:rPr>
        <w:t>6</w:t>
      </w:r>
      <w:r>
        <w:rPr>
          <w:rFonts w:ascii="宋体" w:hAnsi="宋体" w:cs="Arial" w:hint="eastAsia"/>
          <w:bCs/>
          <w:sz w:val="24"/>
        </w:rPr>
        <w:t>）投资组合报告附注的其他文字描述部分</w:t>
      </w:r>
    </w:p>
    <w:p w14:paraId="50A65B67" w14:textId="77777777" w:rsidR="007B7C2A" w:rsidRDefault="00072812">
      <w:pPr>
        <w:spacing w:line="360" w:lineRule="auto"/>
        <w:ind w:firstLineChars="300" w:firstLine="720"/>
        <w:rPr>
          <w:rFonts w:ascii="宋体" w:hAnsi="宋体" w:cs="Arial" w:hint="eastAsia"/>
          <w:bCs/>
          <w:sz w:val="24"/>
        </w:rPr>
      </w:pPr>
      <w:r>
        <w:rPr>
          <w:rFonts w:ascii="宋体" w:hAnsi="宋体" w:cs="Arial" w:hint="eastAsia"/>
          <w:bCs/>
          <w:sz w:val="24"/>
        </w:rPr>
        <w:t>由于四舍五入原因，分项之和与合计可能有尾差。</w:t>
      </w:r>
    </w:p>
    <w:p w14:paraId="190D5C4E" w14:textId="77777777" w:rsidR="007B7C2A" w:rsidRDefault="00072812">
      <w:pPr>
        <w:spacing w:line="360" w:lineRule="auto"/>
        <w:ind w:firstLine="482"/>
        <w:rPr>
          <w:rFonts w:ascii="宋体" w:hAnsi="宋体" w:cs="Arial" w:hint="eastAsia"/>
          <w:b/>
          <w:sz w:val="24"/>
        </w:rPr>
      </w:pPr>
      <w:r>
        <w:rPr>
          <w:rFonts w:ascii="宋体" w:hAnsi="宋体" w:cs="Arial" w:hint="eastAsia"/>
          <w:b/>
          <w:sz w:val="24"/>
        </w:rPr>
        <w:t>九、基金净值表现</w:t>
      </w:r>
    </w:p>
    <w:p w14:paraId="309AE6AB" w14:textId="77777777" w:rsidR="007B7C2A" w:rsidRDefault="00072812">
      <w:pPr>
        <w:pStyle w:val="zhangjiep2"/>
        <w:spacing w:line="360" w:lineRule="auto"/>
        <w:rPr>
          <w:rFonts w:hint="eastAsia"/>
        </w:rPr>
      </w:pPr>
      <w:r>
        <w:rPr>
          <w:rFonts w:hint="eastAsia"/>
          <w:bCs/>
        </w:rPr>
        <w:t>1</w:t>
      </w:r>
      <w:r>
        <w:rPr>
          <w:rFonts w:hint="eastAsia"/>
          <w:bCs/>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418FE8CA" w14:textId="77777777" w:rsidR="007B7C2A" w:rsidRDefault="00072812">
      <w:pPr>
        <w:pStyle w:val="biaogeleft"/>
        <w:rPr>
          <w:rFonts w:hint="eastAsia"/>
        </w:rPr>
      </w:pPr>
      <w:r>
        <w:rPr>
          <w:rFonts w:hint="eastAsia"/>
          <w:bCs/>
        </w:rPr>
        <w:t>（</w:t>
      </w:r>
      <w:r>
        <w:rPr>
          <w:rFonts w:hint="eastAsia"/>
          <w:bCs/>
        </w:rPr>
        <w:t>1</w:t>
      </w:r>
      <w:r>
        <w:rPr>
          <w:rFonts w:hint="eastAsia"/>
          <w:bCs/>
        </w:rPr>
        <w:t>）富荣福鑫混合</w:t>
      </w:r>
      <w:r>
        <w:rPr>
          <w:rFonts w:hint="eastAsia"/>
          <w:bCs/>
        </w:rPr>
        <w:t>A</w:t>
      </w:r>
      <w:r>
        <w:rPr>
          <w:rFonts w:hint="eastAsia"/>
          <w:bCs/>
        </w:rPr>
        <w:t>（基金代码：</w:t>
      </w:r>
      <w:r>
        <w:rPr>
          <w:rFonts w:hint="eastAsia"/>
          <w:bCs/>
        </w:rPr>
        <w:t>004794</w:t>
      </w:r>
      <w:r>
        <w:rPr>
          <w:rFonts w:hint="eastAsia"/>
          <w:bCs/>
        </w:rPr>
        <w:t>）</w:t>
      </w:r>
    </w:p>
    <w:tbl>
      <w:tblPr>
        <w:tblW w:w="8684" w:type="dxa"/>
        <w:jc w:val="center"/>
        <w:tblLayout w:type="fixed"/>
        <w:tblLook w:val="04A0" w:firstRow="1" w:lastRow="0" w:firstColumn="1" w:lastColumn="0" w:noHBand="0" w:noVBand="1"/>
      </w:tblPr>
      <w:tblGrid>
        <w:gridCol w:w="1465"/>
        <w:gridCol w:w="1134"/>
        <w:gridCol w:w="981"/>
        <w:gridCol w:w="1285"/>
        <w:gridCol w:w="1284"/>
        <w:gridCol w:w="1251"/>
        <w:gridCol w:w="1284"/>
      </w:tblGrid>
      <w:tr w:rsidR="007B7C2A" w14:paraId="27E7EA3E"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48E26FD7" w14:textId="77777777" w:rsidR="007B7C2A" w:rsidRDefault="00072812">
            <w:pPr>
              <w:pStyle w:val="biaogecenter"/>
              <w:spacing w:line="240" w:lineRule="auto"/>
              <w:ind w:firstLine="420"/>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rPr>
              <w:t>阶段</w:t>
            </w:r>
          </w:p>
        </w:tc>
        <w:tc>
          <w:tcPr>
            <w:tcW w:w="1134" w:type="dxa"/>
            <w:tcBorders>
              <w:top w:val="single" w:sz="8" w:space="0" w:color="000000"/>
              <w:left w:val="single" w:sz="8" w:space="0" w:color="000000"/>
              <w:bottom w:val="single" w:sz="4" w:space="0" w:color="000000"/>
              <w:right w:val="single" w:sz="8" w:space="0" w:color="000000"/>
            </w:tcBorders>
            <w:vAlign w:val="center"/>
          </w:tcPr>
          <w:p w14:paraId="31E95882" w14:textId="77777777" w:rsidR="007B7C2A" w:rsidRDefault="00072812">
            <w:pPr>
              <w:pStyle w:val="biaogecenter"/>
              <w:spacing w:line="240" w:lineRule="auto"/>
              <w:jc w:val="left"/>
              <w:rPr>
                <w:rFonts w:hint="eastAsia"/>
              </w:rPr>
            </w:pPr>
            <w:r>
              <w:rPr>
                <w:rFonts w:hint="eastAsia"/>
              </w:rPr>
              <w:t>净值增长率①</w:t>
            </w:r>
          </w:p>
        </w:tc>
        <w:tc>
          <w:tcPr>
            <w:tcW w:w="981" w:type="dxa"/>
            <w:tcBorders>
              <w:top w:val="single" w:sz="8" w:space="0" w:color="000000"/>
              <w:left w:val="single" w:sz="8" w:space="0" w:color="000000"/>
              <w:bottom w:val="single" w:sz="4" w:space="0" w:color="000000"/>
              <w:right w:val="single" w:sz="8" w:space="0" w:color="000000"/>
            </w:tcBorders>
            <w:vAlign w:val="center"/>
          </w:tcPr>
          <w:p w14:paraId="5FF53F0D" w14:textId="77777777" w:rsidR="007B7C2A" w:rsidRDefault="00072812">
            <w:pPr>
              <w:pStyle w:val="biaogecenter"/>
              <w:spacing w:line="240" w:lineRule="auto"/>
              <w:jc w:val="left"/>
              <w:rPr>
                <w:rFonts w:hint="eastAsia"/>
              </w:rPr>
            </w:pPr>
            <w:r>
              <w:rPr>
                <w:rFonts w:hint="eastAsia"/>
              </w:rPr>
              <w:t>净值增长率标准差②</w:t>
            </w:r>
          </w:p>
        </w:tc>
        <w:tc>
          <w:tcPr>
            <w:tcW w:w="1285" w:type="dxa"/>
            <w:tcBorders>
              <w:top w:val="single" w:sz="8" w:space="0" w:color="000000"/>
              <w:left w:val="single" w:sz="8" w:space="0" w:color="000000"/>
              <w:bottom w:val="single" w:sz="4" w:space="0" w:color="000000"/>
              <w:right w:val="single" w:sz="8" w:space="0" w:color="000000"/>
            </w:tcBorders>
            <w:vAlign w:val="center"/>
          </w:tcPr>
          <w:p w14:paraId="5E80CF08" w14:textId="77777777" w:rsidR="007B7C2A" w:rsidRDefault="00072812">
            <w:pPr>
              <w:pStyle w:val="biaogecenter"/>
              <w:spacing w:line="240" w:lineRule="auto"/>
              <w:jc w:val="left"/>
              <w:rPr>
                <w:rFonts w:hint="eastAsia"/>
              </w:rPr>
            </w:pPr>
            <w:r>
              <w:rPr>
                <w:rFonts w:hint="eastAsia"/>
              </w:rPr>
              <w:t>业绩比较基准收益率③</w:t>
            </w:r>
          </w:p>
        </w:tc>
        <w:tc>
          <w:tcPr>
            <w:tcW w:w="1284" w:type="dxa"/>
            <w:tcBorders>
              <w:top w:val="single" w:sz="8" w:space="0" w:color="000000"/>
              <w:left w:val="single" w:sz="8" w:space="0" w:color="000000"/>
              <w:bottom w:val="single" w:sz="4" w:space="0" w:color="000000"/>
              <w:right w:val="single" w:sz="8" w:space="0" w:color="000000"/>
            </w:tcBorders>
            <w:vAlign w:val="center"/>
          </w:tcPr>
          <w:p w14:paraId="0E9342AC" w14:textId="77777777" w:rsidR="007B7C2A" w:rsidRDefault="00072812">
            <w:pPr>
              <w:pStyle w:val="biaogecenter"/>
              <w:spacing w:line="240" w:lineRule="auto"/>
              <w:jc w:val="left"/>
              <w:rPr>
                <w:rFonts w:hint="eastAsia"/>
              </w:rPr>
            </w:pPr>
            <w:r>
              <w:rPr>
                <w:rFonts w:hint="eastAsia"/>
              </w:rPr>
              <w:t>业绩比较基准收益率标准差④</w:t>
            </w:r>
          </w:p>
        </w:tc>
        <w:tc>
          <w:tcPr>
            <w:tcW w:w="1251" w:type="dxa"/>
            <w:tcBorders>
              <w:top w:val="single" w:sz="8" w:space="0" w:color="000000"/>
              <w:left w:val="single" w:sz="8" w:space="0" w:color="000000"/>
              <w:bottom w:val="single" w:sz="4" w:space="0" w:color="000000"/>
              <w:right w:val="single" w:sz="8" w:space="0" w:color="000000"/>
            </w:tcBorders>
            <w:vAlign w:val="center"/>
          </w:tcPr>
          <w:p w14:paraId="42716F04" w14:textId="77777777" w:rsidR="007B7C2A" w:rsidRDefault="00072812">
            <w:pPr>
              <w:pStyle w:val="biaogecenter"/>
              <w:spacing w:line="240" w:lineRule="auto"/>
              <w:jc w:val="left"/>
              <w:rPr>
                <w:rFonts w:hint="eastAsia"/>
              </w:rPr>
            </w:pPr>
            <w:r>
              <w:rPr>
                <w:rFonts w:hint="eastAsia"/>
              </w:rPr>
              <w:t>①</w:t>
            </w:r>
            <w:r>
              <w:t>-③</w:t>
            </w:r>
          </w:p>
        </w:tc>
        <w:tc>
          <w:tcPr>
            <w:tcW w:w="1284" w:type="dxa"/>
            <w:tcBorders>
              <w:top w:val="single" w:sz="8" w:space="0" w:color="000000"/>
              <w:left w:val="single" w:sz="8" w:space="0" w:color="000000"/>
              <w:bottom w:val="single" w:sz="4" w:space="0" w:color="000000"/>
              <w:right w:val="single" w:sz="8" w:space="0" w:color="000000"/>
            </w:tcBorders>
            <w:vAlign w:val="center"/>
          </w:tcPr>
          <w:p w14:paraId="14BCBE94" w14:textId="77777777" w:rsidR="007B7C2A" w:rsidRDefault="00072812">
            <w:pPr>
              <w:pStyle w:val="biaogecenter"/>
              <w:spacing w:line="240" w:lineRule="auto"/>
              <w:jc w:val="left"/>
              <w:rPr>
                <w:rFonts w:hint="eastAsia"/>
              </w:rPr>
            </w:pPr>
            <w:r>
              <w:rPr>
                <w:rFonts w:hint="eastAsia"/>
              </w:rPr>
              <w:t>②</w:t>
            </w:r>
            <w:r>
              <w:t>-④</w:t>
            </w:r>
          </w:p>
        </w:tc>
      </w:tr>
      <w:tr w:rsidR="007B7C2A" w14:paraId="67116A54"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07120207"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2018.</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2.13~2018.12.31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58E46E2E" w14:textId="77777777" w:rsidR="007B7C2A" w:rsidRDefault="00072812">
            <w:pPr>
              <w:pStyle w:val="biaogecenter"/>
              <w:spacing w:line="240" w:lineRule="auto"/>
              <w:ind w:left="17"/>
              <w:jc w:val="left"/>
              <w:rPr>
                <w:rFonts w:hint="eastAsia"/>
                <w:sz w:val="21"/>
                <w:szCs w:val="21"/>
              </w:rPr>
            </w:pPr>
            <w:r>
              <w:rPr>
                <w:sz w:val="21"/>
                <w:szCs w:val="21"/>
              </w:rPr>
              <w:t>-0.83%</w:t>
            </w:r>
          </w:p>
        </w:tc>
        <w:tc>
          <w:tcPr>
            <w:tcW w:w="981" w:type="dxa"/>
            <w:tcBorders>
              <w:top w:val="single" w:sz="8" w:space="0" w:color="000000"/>
              <w:left w:val="single" w:sz="8" w:space="0" w:color="000000"/>
              <w:bottom w:val="single" w:sz="4" w:space="0" w:color="000000"/>
              <w:right w:val="single" w:sz="8" w:space="0" w:color="000000"/>
            </w:tcBorders>
            <w:vAlign w:val="center"/>
          </w:tcPr>
          <w:p w14:paraId="4E63B7EC" w14:textId="77777777" w:rsidR="007B7C2A" w:rsidRDefault="00072812">
            <w:pPr>
              <w:pStyle w:val="biaogecenter"/>
              <w:spacing w:line="240" w:lineRule="auto"/>
              <w:ind w:left="17"/>
              <w:jc w:val="left"/>
              <w:rPr>
                <w:rFonts w:hint="eastAsia"/>
                <w:sz w:val="21"/>
                <w:szCs w:val="21"/>
              </w:rPr>
            </w:pPr>
            <w:r>
              <w:rPr>
                <w:sz w:val="21"/>
                <w:szCs w:val="21"/>
              </w:rPr>
              <w:t>0.26%</w:t>
            </w:r>
          </w:p>
        </w:tc>
        <w:tc>
          <w:tcPr>
            <w:tcW w:w="1285" w:type="dxa"/>
            <w:tcBorders>
              <w:top w:val="single" w:sz="8" w:space="0" w:color="000000"/>
              <w:left w:val="single" w:sz="8" w:space="0" w:color="000000"/>
              <w:bottom w:val="single" w:sz="4" w:space="0" w:color="000000"/>
              <w:right w:val="single" w:sz="8" w:space="0" w:color="000000"/>
            </w:tcBorders>
            <w:vAlign w:val="center"/>
          </w:tcPr>
          <w:p w14:paraId="6293B113" w14:textId="77777777" w:rsidR="007B7C2A" w:rsidRDefault="00072812">
            <w:pPr>
              <w:pStyle w:val="biaogecenter"/>
              <w:spacing w:line="240" w:lineRule="auto"/>
              <w:ind w:left="17"/>
              <w:jc w:val="left"/>
              <w:rPr>
                <w:rFonts w:hint="eastAsia"/>
                <w:sz w:val="21"/>
                <w:szCs w:val="21"/>
              </w:rPr>
            </w:pPr>
            <w:r>
              <w:rPr>
                <w:sz w:val="21"/>
                <w:szCs w:val="21"/>
              </w:rPr>
              <w:t>-1.77%</w:t>
            </w:r>
          </w:p>
        </w:tc>
        <w:tc>
          <w:tcPr>
            <w:tcW w:w="1284" w:type="dxa"/>
            <w:tcBorders>
              <w:top w:val="single" w:sz="8" w:space="0" w:color="000000"/>
              <w:left w:val="single" w:sz="8" w:space="0" w:color="000000"/>
              <w:bottom w:val="single" w:sz="4" w:space="0" w:color="000000"/>
              <w:right w:val="single" w:sz="8" w:space="0" w:color="000000"/>
            </w:tcBorders>
            <w:vAlign w:val="center"/>
          </w:tcPr>
          <w:p w14:paraId="56FD05A9" w14:textId="77777777" w:rsidR="007B7C2A" w:rsidRDefault="00072812">
            <w:pPr>
              <w:pStyle w:val="biaogecenter"/>
              <w:spacing w:line="240" w:lineRule="auto"/>
              <w:ind w:left="17"/>
              <w:jc w:val="left"/>
              <w:rPr>
                <w:rFonts w:hint="eastAsia"/>
                <w:sz w:val="21"/>
                <w:szCs w:val="21"/>
              </w:rPr>
            </w:pPr>
            <w:r>
              <w:rPr>
                <w:sz w:val="21"/>
                <w:szCs w:val="21"/>
              </w:rPr>
              <w:t>0.40%</w:t>
            </w:r>
          </w:p>
        </w:tc>
        <w:tc>
          <w:tcPr>
            <w:tcW w:w="1251" w:type="dxa"/>
            <w:tcBorders>
              <w:top w:val="single" w:sz="8" w:space="0" w:color="000000"/>
              <w:left w:val="single" w:sz="8" w:space="0" w:color="000000"/>
              <w:bottom w:val="single" w:sz="4" w:space="0" w:color="000000"/>
              <w:right w:val="single" w:sz="8" w:space="0" w:color="000000"/>
            </w:tcBorders>
            <w:vAlign w:val="center"/>
          </w:tcPr>
          <w:p w14:paraId="43CF037B" w14:textId="77777777" w:rsidR="007B7C2A" w:rsidRDefault="00072812">
            <w:pPr>
              <w:pStyle w:val="biaogecenter"/>
              <w:spacing w:line="240" w:lineRule="auto"/>
              <w:ind w:left="17"/>
              <w:jc w:val="left"/>
              <w:rPr>
                <w:rFonts w:hint="eastAsia"/>
                <w:sz w:val="21"/>
                <w:szCs w:val="21"/>
              </w:rPr>
            </w:pPr>
            <w:r>
              <w:rPr>
                <w:sz w:val="21"/>
                <w:szCs w:val="21"/>
              </w:rPr>
              <w:t>0.94%</w:t>
            </w:r>
          </w:p>
        </w:tc>
        <w:tc>
          <w:tcPr>
            <w:tcW w:w="1284" w:type="dxa"/>
            <w:tcBorders>
              <w:top w:val="single" w:sz="8" w:space="0" w:color="000000"/>
              <w:left w:val="single" w:sz="8" w:space="0" w:color="000000"/>
              <w:bottom w:val="single" w:sz="4" w:space="0" w:color="000000"/>
              <w:right w:val="single" w:sz="8" w:space="0" w:color="000000"/>
            </w:tcBorders>
            <w:vAlign w:val="center"/>
          </w:tcPr>
          <w:p w14:paraId="77C54C6A" w14:textId="77777777" w:rsidR="007B7C2A" w:rsidRDefault="00072812">
            <w:pPr>
              <w:pStyle w:val="biaogecenter"/>
              <w:spacing w:line="240" w:lineRule="auto"/>
              <w:ind w:left="17"/>
              <w:jc w:val="left"/>
              <w:rPr>
                <w:rFonts w:hint="eastAsia"/>
                <w:sz w:val="21"/>
                <w:szCs w:val="21"/>
              </w:rPr>
            </w:pPr>
            <w:r>
              <w:rPr>
                <w:sz w:val="21"/>
                <w:szCs w:val="21"/>
              </w:rPr>
              <w:t>-0.14%</w:t>
            </w:r>
          </w:p>
        </w:tc>
      </w:tr>
      <w:tr w:rsidR="007B7C2A" w14:paraId="029688CE"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2229010B"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2019.</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1~2019.12.31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1A19C563"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7.00%</w:t>
            </w:r>
          </w:p>
        </w:tc>
        <w:tc>
          <w:tcPr>
            <w:tcW w:w="981" w:type="dxa"/>
            <w:tcBorders>
              <w:top w:val="single" w:sz="8" w:space="0" w:color="000000"/>
              <w:left w:val="single" w:sz="8" w:space="0" w:color="000000"/>
              <w:bottom w:val="single" w:sz="4" w:space="0" w:color="000000"/>
              <w:right w:val="single" w:sz="8" w:space="0" w:color="000000"/>
            </w:tcBorders>
            <w:vAlign w:val="center"/>
          </w:tcPr>
          <w:p w14:paraId="69B617E4" w14:textId="77777777" w:rsidR="007B7C2A" w:rsidRDefault="00072812">
            <w:pPr>
              <w:pStyle w:val="biaogecenter"/>
              <w:spacing w:line="240" w:lineRule="auto"/>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0.49%</w:t>
            </w:r>
          </w:p>
        </w:tc>
        <w:tc>
          <w:tcPr>
            <w:tcW w:w="1285" w:type="dxa"/>
            <w:tcBorders>
              <w:top w:val="single" w:sz="8" w:space="0" w:color="000000"/>
              <w:left w:val="single" w:sz="8" w:space="0" w:color="000000"/>
              <w:bottom w:val="single" w:sz="4" w:space="0" w:color="000000"/>
              <w:right w:val="single" w:sz="8" w:space="0" w:color="000000"/>
            </w:tcBorders>
            <w:vAlign w:val="center"/>
          </w:tcPr>
          <w:p w14:paraId="09BF7720" w14:textId="77777777" w:rsidR="007B7C2A" w:rsidRDefault="00072812">
            <w:pPr>
              <w:pStyle w:val="biaogecenter"/>
              <w:spacing w:line="240" w:lineRule="auto"/>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13.93%</w:t>
            </w:r>
          </w:p>
        </w:tc>
        <w:tc>
          <w:tcPr>
            <w:tcW w:w="1284" w:type="dxa"/>
            <w:tcBorders>
              <w:top w:val="single" w:sz="8" w:space="0" w:color="000000"/>
              <w:left w:val="single" w:sz="8" w:space="0" w:color="000000"/>
              <w:bottom w:val="single" w:sz="4" w:space="0" w:color="000000"/>
              <w:right w:val="single" w:sz="8" w:space="0" w:color="000000"/>
            </w:tcBorders>
            <w:vAlign w:val="center"/>
          </w:tcPr>
          <w:p w14:paraId="1149AC51" w14:textId="77777777" w:rsidR="007B7C2A" w:rsidRDefault="00072812">
            <w:pPr>
              <w:pStyle w:val="biaogecenter"/>
              <w:spacing w:line="240" w:lineRule="auto"/>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0.36%</w:t>
            </w:r>
          </w:p>
        </w:tc>
        <w:tc>
          <w:tcPr>
            <w:tcW w:w="1251" w:type="dxa"/>
            <w:tcBorders>
              <w:top w:val="single" w:sz="8" w:space="0" w:color="000000"/>
              <w:left w:val="single" w:sz="8" w:space="0" w:color="000000"/>
              <w:bottom w:val="single" w:sz="4" w:space="0" w:color="000000"/>
              <w:right w:val="single" w:sz="8" w:space="0" w:color="000000"/>
            </w:tcBorders>
            <w:vAlign w:val="center"/>
          </w:tcPr>
          <w:p w14:paraId="526460EA" w14:textId="77777777" w:rsidR="007B7C2A" w:rsidRDefault="00072812">
            <w:pPr>
              <w:pStyle w:val="biaogecenter"/>
              <w:spacing w:line="240" w:lineRule="auto"/>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-6.93%</w:t>
            </w:r>
          </w:p>
        </w:tc>
        <w:tc>
          <w:tcPr>
            <w:tcW w:w="1284" w:type="dxa"/>
            <w:tcBorders>
              <w:top w:val="single" w:sz="8" w:space="0" w:color="000000"/>
              <w:left w:val="single" w:sz="8" w:space="0" w:color="000000"/>
              <w:bottom w:val="single" w:sz="4" w:space="0" w:color="000000"/>
              <w:right w:val="single" w:sz="8" w:space="0" w:color="000000"/>
            </w:tcBorders>
            <w:vAlign w:val="center"/>
          </w:tcPr>
          <w:p w14:paraId="6FE6C167" w14:textId="77777777" w:rsidR="007B7C2A" w:rsidRDefault="00072812">
            <w:pPr>
              <w:pStyle w:val="biaogecenter"/>
              <w:spacing w:line="240" w:lineRule="auto"/>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0.13%</w:t>
            </w:r>
          </w:p>
        </w:tc>
      </w:tr>
      <w:tr w:rsidR="007B7C2A" w14:paraId="31C6D102"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640AE807"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2020.01.01~2020.</w:t>
            </w:r>
            <w:r>
              <w:rPr>
                <w:rFonts w:asciiTheme="minorEastAsia" w:eastAsiaTheme="minorEastAsia" w:hAnsiTheme="minorEastAsia" w:hint="eastAsia"/>
                <w:color w:val="000000"/>
                <w:sz w:val="21"/>
                <w:szCs w:val="21"/>
              </w:rPr>
              <w:t>12</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31</w:t>
            </w:r>
          </w:p>
        </w:tc>
        <w:tc>
          <w:tcPr>
            <w:tcW w:w="1134" w:type="dxa"/>
            <w:tcBorders>
              <w:top w:val="single" w:sz="8" w:space="0" w:color="000000"/>
              <w:left w:val="single" w:sz="8" w:space="0" w:color="000000"/>
              <w:bottom w:val="single" w:sz="4" w:space="0" w:color="000000"/>
              <w:right w:val="single" w:sz="8" w:space="0" w:color="000000"/>
            </w:tcBorders>
            <w:vAlign w:val="center"/>
          </w:tcPr>
          <w:p w14:paraId="1174404C"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32.16%</w:t>
            </w:r>
          </w:p>
        </w:tc>
        <w:tc>
          <w:tcPr>
            <w:tcW w:w="981" w:type="dxa"/>
            <w:tcBorders>
              <w:top w:val="single" w:sz="8" w:space="0" w:color="000000"/>
              <w:left w:val="single" w:sz="8" w:space="0" w:color="000000"/>
              <w:bottom w:val="single" w:sz="4" w:space="0" w:color="000000"/>
              <w:right w:val="single" w:sz="8" w:space="0" w:color="000000"/>
            </w:tcBorders>
            <w:vAlign w:val="center"/>
          </w:tcPr>
          <w:p w14:paraId="33D34F5E"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0.94%</w:t>
            </w:r>
          </w:p>
        </w:tc>
        <w:tc>
          <w:tcPr>
            <w:tcW w:w="1285" w:type="dxa"/>
            <w:tcBorders>
              <w:top w:val="single" w:sz="8" w:space="0" w:color="000000"/>
              <w:left w:val="single" w:sz="8" w:space="0" w:color="000000"/>
              <w:bottom w:val="single" w:sz="4" w:space="0" w:color="000000"/>
              <w:right w:val="single" w:sz="8" w:space="0" w:color="000000"/>
            </w:tcBorders>
            <w:vAlign w:val="center"/>
          </w:tcPr>
          <w:p w14:paraId="4C98A5FC"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10.38%</w:t>
            </w:r>
          </w:p>
        </w:tc>
        <w:tc>
          <w:tcPr>
            <w:tcW w:w="1284" w:type="dxa"/>
            <w:tcBorders>
              <w:top w:val="single" w:sz="8" w:space="0" w:color="000000"/>
              <w:left w:val="single" w:sz="8" w:space="0" w:color="000000"/>
              <w:bottom w:val="single" w:sz="4" w:space="0" w:color="000000"/>
              <w:right w:val="single" w:sz="8" w:space="0" w:color="000000"/>
            </w:tcBorders>
            <w:vAlign w:val="center"/>
          </w:tcPr>
          <w:p w14:paraId="17249069"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0.41%</w:t>
            </w:r>
          </w:p>
        </w:tc>
        <w:tc>
          <w:tcPr>
            <w:tcW w:w="1251" w:type="dxa"/>
            <w:tcBorders>
              <w:top w:val="single" w:sz="8" w:space="0" w:color="000000"/>
              <w:left w:val="single" w:sz="8" w:space="0" w:color="000000"/>
              <w:bottom w:val="single" w:sz="4" w:space="0" w:color="000000"/>
              <w:right w:val="single" w:sz="8" w:space="0" w:color="000000"/>
            </w:tcBorders>
            <w:vAlign w:val="center"/>
          </w:tcPr>
          <w:p w14:paraId="70C4DA24"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21.78%</w:t>
            </w:r>
          </w:p>
        </w:tc>
        <w:tc>
          <w:tcPr>
            <w:tcW w:w="1284" w:type="dxa"/>
            <w:tcBorders>
              <w:top w:val="single" w:sz="8" w:space="0" w:color="000000"/>
              <w:left w:val="single" w:sz="8" w:space="0" w:color="000000"/>
              <w:bottom w:val="single" w:sz="4" w:space="0" w:color="000000"/>
              <w:right w:val="single" w:sz="8" w:space="0" w:color="000000"/>
            </w:tcBorders>
            <w:vAlign w:val="center"/>
          </w:tcPr>
          <w:p w14:paraId="4AF19AA7"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0.53%</w:t>
            </w:r>
          </w:p>
        </w:tc>
      </w:tr>
      <w:tr w:rsidR="007B7C2A" w14:paraId="75359E77"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334D197C"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2021.01.01~2021.12.31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2FD78922"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13.15%</w:t>
            </w:r>
          </w:p>
        </w:tc>
        <w:tc>
          <w:tcPr>
            <w:tcW w:w="981" w:type="dxa"/>
            <w:tcBorders>
              <w:top w:val="single" w:sz="8" w:space="0" w:color="000000"/>
              <w:left w:val="single" w:sz="8" w:space="0" w:color="000000"/>
              <w:bottom w:val="single" w:sz="4" w:space="0" w:color="000000"/>
              <w:right w:val="single" w:sz="8" w:space="0" w:color="000000"/>
            </w:tcBorders>
            <w:vAlign w:val="center"/>
          </w:tcPr>
          <w:p w14:paraId="7AB4A415"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1.75%</w:t>
            </w:r>
          </w:p>
        </w:tc>
        <w:tc>
          <w:tcPr>
            <w:tcW w:w="1285" w:type="dxa"/>
            <w:tcBorders>
              <w:top w:val="single" w:sz="8" w:space="0" w:color="000000"/>
              <w:left w:val="single" w:sz="8" w:space="0" w:color="000000"/>
              <w:bottom w:val="single" w:sz="4" w:space="0" w:color="000000"/>
              <w:right w:val="single" w:sz="8" w:space="0" w:color="000000"/>
            </w:tcBorders>
            <w:vAlign w:val="center"/>
          </w:tcPr>
          <w:p w14:paraId="7F07A572"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2.63%</w:t>
            </w:r>
          </w:p>
        </w:tc>
        <w:tc>
          <w:tcPr>
            <w:tcW w:w="1284" w:type="dxa"/>
            <w:tcBorders>
              <w:top w:val="single" w:sz="8" w:space="0" w:color="000000"/>
              <w:left w:val="single" w:sz="8" w:space="0" w:color="000000"/>
              <w:bottom w:val="single" w:sz="4" w:space="0" w:color="000000"/>
              <w:right w:val="single" w:sz="8" w:space="0" w:color="000000"/>
            </w:tcBorders>
            <w:vAlign w:val="center"/>
          </w:tcPr>
          <w:p w14:paraId="6363154D"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0.35%</w:t>
            </w:r>
          </w:p>
        </w:tc>
        <w:tc>
          <w:tcPr>
            <w:tcW w:w="1251" w:type="dxa"/>
            <w:tcBorders>
              <w:top w:val="single" w:sz="8" w:space="0" w:color="000000"/>
              <w:left w:val="single" w:sz="8" w:space="0" w:color="000000"/>
              <w:bottom w:val="single" w:sz="4" w:space="0" w:color="000000"/>
              <w:right w:val="single" w:sz="8" w:space="0" w:color="000000"/>
            </w:tcBorders>
            <w:vAlign w:val="center"/>
          </w:tcPr>
          <w:p w14:paraId="6B3513CC"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10.52%</w:t>
            </w:r>
          </w:p>
        </w:tc>
        <w:tc>
          <w:tcPr>
            <w:tcW w:w="1284" w:type="dxa"/>
            <w:tcBorders>
              <w:top w:val="single" w:sz="8" w:space="0" w:color="000000"/>
              <w:left w:val="single" w:sz="8" w:space="0" w:color="000000"/>
              <w:bottom w:val="single" w:sz="4" w:space="0" w:color="000000"/>
              <w:right w:val="single" w:sz="8" w:space="0" w:color="000000"/>
            </w:tcBorders>
            <w:vAlign w:val="center"/>
          </w:tcPr>
          <w:p w14:paraId="6E45575E"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1.40%</w:t>
            </w:r>
          </w:p>
        </w:tc>
      </w:tr>
      <w:tr w:rsidR="007B7C2A" w14:paraId="4B7255EC"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250D3C09"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2022.01.01~2022.12.31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07C4E20A"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-31.61%</w:t>
            </w:r>
          </w:p>
        </w:tc>
        <w:tc>
          <w:tcPr>
            <w:tcW w:w="981" w:type="dxa"/>
            <w:tcBorders>
              <w:top w:val="single" w:sz="8" w:space="0" w:color="000000"/>
              <w:left w:val="single" w:sz="8" w:space="0" w:color="000000"/>
              <w:bottom w:val="single" w:sz="4" w:space="0" w:color="000000"/>
              <w:right w:val="single" w:sz="8" w:space="0" w:color="000000"/>
            </w:tcBorders>
            <w:vAlign w:val="center"/>
          </w:tcPr>
          <w:p w14:paraId="27205906"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1.45%</w:t>
            </w:r>
          </w:p>
        </w:tc>
        <w:tc>
          <w:tcPr>
            <w:tcW w:w="1285" w:type="dxa"/>
            <w:tcBorders>
              <w:top w:val="single" w:sz="8" w:space="0" w:color="000000"/>
              <w:left w:val="single" w:sz="8" w:space="0" w:color="000000"/>
              <w:bottom w:val="single" w:sz="4" w:space="0" w:color="000000"/>
              <w:right w:val="single" w:sz="8" w:space="0" w:color="000000"/>
            </w:tcBorders>
            <w:vAlign w:val="center"/>
          </w:tcPr>
          <w:p w14:paraId="1F040849"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-4.38%</w:t>
            </w:r>
          </w:p>
        </w:tc>
        <w:tc>
          <w:tcPr>
            <w:tcW w:w="1284" w:type="dxa"/>
            <w:tcBorders>
              <w:top w:val="single" w:sz="8" w:space="0" w:color="000000"/>
              <w:left w:val="single" w:sz="8" w:space="0" w:color="000000"/>
              <w:bottom w:val="single" w:sz="4" w:space="0" w:color="000000"/>
              <w:right w:val="single" w:sz="8" w:space="0" w:color="000000"/>
            </w:tcBorders>
            <w:vAlign w:val="center"/>
          </w:tcPr>
          <w:p w14:paraId="78BE8878"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0.38%</w:t>
            </w:r>
          </w:p>
        </w:tc>
        <w:tc>
          <w:tcPr>
            <w:tcW w:w="1251" w:type="dxa"/>
            <w:tcBorders>
              <w:top w:val="single" w:sz="8" w:space="0" w:color="000000"/>
              <w:left w:val="single" w:sz="8" w:space="0" w:color="000000"/>
              <w:bottom w:val="single" w:sz="4" w:space="0" w:color="000000"/>
              <w:right w:val="single" w:sz="8" w:space="0" w:color="000000"/>
            </w:tcBorders>
            <w:vAlign w:val="center"/>
          </w:tcPr>
          <w:p w14:paraId="40866D63"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-27.23%</w:t>
            </w:r>
          </w:p>
        </w:tc>
        <w:tc>
          <w:tcPr>
            <w:tcW w:w="1284" w:type="dxa"/>
            <w:tcBorders>
              <w:top w:val="single" w:sz="8" w:space="0" w:color="000000"/>
              <w:left w:val="single" w:sz="8" w:space="0" w:color="000000"/>
              <w:bottom w:val="single" w:sz="4" w:space="0" w:color="000000"/>
              <w:right w:val="single" w:sz="8" w:space="0" w:color="000000"/>
            </w:tcBorders>
            <w:vAlign w:val="center"/>
          </w:tcPr>
          <w:p w14:paraId="001F4A4F"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1.07%</w:t>
            </w:r>
          </w:p>
        </w:tc>
      </w:tr>
      <w:tr w:rsidR="007B7C2A" w14:paraId="06B5486E"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7C57126D"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2023.01.01~2023.12.31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336AEA11"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-16.50%</w:t>
            </w:r>
          </w:p>
        </w:tc>
        <w:tc>
          <w:tcPr>
            <w:tcW w:w="981" w:type="dxa"/>
            <w:tcBorders>
              <w:top w:val="single" w:sz="8" w:space="0" w:color="000000"/>
              <w:left w:val="single" w:sz="8" w:space="0" w:color="000000"/>
              <w:bottom w:val="single" w:sz="4" w:space="0" w:color="000000"/>
              <w:right w:val="single" w:sz="8" w:space="0" w:color="000000"/>
            </w:tcBorders>
            <w:vAlign w:val="center"/>
          </w:tcPr>
          <w:p w14:paraId="27A25B6E"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1.08%</w:t>
            </w:r>
          </w:p>
        </w:tc>
        <w:tc>
          <w:tcPr>
            <w:tcW w:w="1285" w:type="dxa"/>
            <w:tcBorders>
              <w:top w:val="single" w:sz="8" w:space="0" w:color="000000"/>
              <w:left w:val="single" w:sz="8" w:space="0" w:color="000000"/>
              <w:bottom w:val="single" w:sz="4" w:space="0" w:color="000000"/>
              <w:right w:val="single" w:sz="8" w:space="0" w:color="000000"/>
            </w:tcBorders>
            <w:vAlign w:val="center"/>
          </w:tcPr>
          <w:p w14:paraId="1A9A48DB"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0.13%</w:t>
            </w:r>
          </w:p>
        </w:tc>
        <w:tc>
          <w:tcPr>
            <w:tcW w:w="1284" w:type="dxa"/>
            <w:tcBorders>
              <w:top w:val="single" w:sz="8" w:space="0" w:color="000000"/>
              <w:left w:val="single" w:sz="8" w:space="0" w:color="000000"/>
              <w:bottom w:val="single" w:sz="4" w:space="0" w:color="000000"/>
              <w:right w:val="single" w:sz="8" w:space="0" w:color="000000"/>
            </w:tcBorders>
            <w:vAlign w:val="center"/>
          </w:tcPr>
          <w:p w14:paraId="2BE9AE62"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0.25%</w:t>
            </w:r>
          </w:p>
        </w:tc>
        <w:tc>
          <w:tcPr>
            <w:tcW w:w="1251" w:type="dxa"/>
            <w:tcBorders>
              <w:top w:val="single" w:sz="8" w:space="0" w:color="000000"/>
              <w:left w:val="single" w:sz="8" w:space="0" w:color="000000"/>
              <w:bottom w:val="single" w:sz="4" w:space="0" w:color="000000"/>
              <w:right w:val="single" w:sz="8" w:space="0" w:color="000000"/>
            </w:tcBorders>
            <w:vAlign w:val="center"/>
          </w:tcPr>
          <w:p w14:paraId="3ED3C19D"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-16.63%</w:t>
            </w:r>
          </w:p>
        </w:tc>
        <w:tc>
          <w:tcPr>
            <w:tcW w:w="1284" w:type="dxa"/>
            <w:tcBorders>
              <w:top w:val="single" w:sz="8" w:space="0" w:color="000000"/>
              <w:left w:val="single" w:sz="8" w:space="0" w:color="000000"/>
              <w:bottom w:val="single" w:sz="4" w:space="0" w:color="000000"/>
              <w:right w:val="single" w:sz="8" w:space="0" w:color="000000"/>
            </w:tcBorders>
            <w:vAlign w:val="center"/>
          </w:tcPr>
          <w:p w14:paraId="5CB77FF9"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0.83%</w:t>
            </w:r>
          </w:p>
        </w:tc>
      </w:tr>
      <w:tr w:rsidR="007B7C2A" w14:paraId="031E285E"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73A856AF"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2024.01.01~2024.12.31</w:t>
            </w:r>
          </w:p>
        </w:tc>
        <w:tc>
          <w:tcPr>
            <w:tcW w:w="1134" w:type="dxa"/>
            <w:tcBorders>
              <w:top w:val="single" w:sz="8" w:space="0" w:color="000000"/>
              <w:left w:val="single" w:sz="8" w:space="0" w:color="000000"/>
              <w:bottom w:val="single" w:sz="4" w:space="0" w:color="000000"/>
              <w:right w:val="single" w:sz="8" w:space="0" w:color="000000"/>
            </w:tcBorders>
            <w:vAlign w:val="center"/>
          </w:tcPr>
          <w:p w14:paraId="1C1276A8"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-6.30%</w:t>
            </w:r>
          </w:p>
        </w:tc>
        <w:tc>
          <w:tcPr>
            <w:tcW w:w="981" w:type="dxa"/>
            <w:tcBorders>
              <w:top w:val="single" w:sz="8" w:space="0" w:color="000000"/>
              <w:left w:val="single" w:sz="8" w:space="0" w:color="000000"/>
              <w:bottom w:val="single" w:sz="4" w:space="0" w:color="000000"/>
              <w:right w:val="single" w:sz="8" w:space="0" w:color="000000"/>
            </w:tcBorders>
            <w:vAlign w:val="center"/>
          </w:tcPr>
          <w:p w14:paraId="0B5EC0E9"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1.88%</w:t>
            </w:r>
          </w:p>
        </w:tc>
        <w:tc>
          <w:tcPr>
            <w:tcW w:w="1285" w:type="dxa"/>
            <w:tcBorders>
              <w:top w:val="single" w:sz="8" w:space="0" w:color="000000"/>
              <w:left w:val="single" w:sz="8" w:space="0" w:color="000000"/>
              <w:bottom w:val="single" w:sz="4" w:space="0" w:color="000000"/>
              <w:right w:val="single" w:sz="8" w:space="0" w:color="000000"/>
            </w:tcBorders>
            <w:vAlign w:val="center"/>
          </w:tcPr>
          <w:p w14:paraId="4D1B4EC2"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11.08%</w:t>
            </w:r>
          </w:p>
        </w:tc>
        <w:tc>
          <w:tcPr>
            <w:tcW w:w="1284" w:type="dxa"/>
            <w:tcBorders>
              <w:top w:val="single" w:sz="8" w:space="0" w:color="000000"/>
              <w:left w:val="single" w:sz="8" w:space="0" w:color="000000"/>
              <w:bottom w:val="single" w:sz="4" w:space="0" w:color="000000"/>
              <w:right w:val="single" w:sz="8" w:space="0" w:color="000000"/>
            </w:tcBorders>
            <w:vAlign w:val="center"/>
          </w:tcPr>
          <w:p w14:paraId="2BA95772"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0.39%</w:t>
            </w:r>
          </w:p>
        </w:tc>
        <w:tc>
          <w:tcPr>
            <w:tcW w:w="1251" w:type="dxa"/>
            <w:tcBorders>
              <w:top w:val="single" w:sz="8" w:space="0" w:color="000000"/>
              <w:left w:val="single" w:sz="8" w:space="0" w:color="000000"/>
              <w:bottom w:val="single" w:sz="4" w:space="0" w:color="000000"/>
              <w:right w:val="single" w:sz="8" w:space="0" w:color="000000"/>
            </w:tcBorders>
            <w:vAlign w:val="center"/>
          </w:tcPr>
          <w:p w14:paraId="1A8C8AA1"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-17.38%</w:t>
            </w:r>
          </w:p>
        </w:tc>
        <w:tc>
          <w:tcPr>
            <w:tcW w:w="1284" w:type="dxa"/>
            <w:tcBorders>
              <w:top w:val="single" w:sz="8" w:space="0" w:color="000000"/>
              <w:left w:val="single" w:sz="8" w:space="0" w:color="000000"/>
              <w:bottom w:val="single" w:sz="4" w:space="0" w:color="000000"/>
              <w:right w:val="single" w:sz="8" w:space="0" w:color="000000"/>
            </w:tcBorders>
            <w:vAlign w:val="center"/>
          </w:tcPr>
          <w:p w14:paraId="1CAF10A4"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1.49%</w:t>
            </w:r>
          </w:p>
        </w:tc>
      </w:tr>
      <w:tr w:rsidR="007B7C2A" w14:paraId="62B5C236" w14:textId="77777777">
        <w:trPr>
          <w:trHeight w:val="20"/>
          <w:jc w:val="center"/>
        </w:trPr>
        <w:tc>
          <w:tcPr>
            <w:tcW w:w="1465" w:type="dxa"/>
            <w:tcBorders>
              <w:top w:val="single" w:sz="8" w:space="0" w:color="000000"/>
              <w:left w:val="single" w:sz="8" w:space="0" w:color="000000"/>
              <w:bottom w:val="single" w:sz="4" w:space="0" w:color="000000"/>
              <w:right w:val="single" w:sz="8" w:space="0" w:color="000000"/>
            </w:tcBorders>
            <w:vAlign w:val="center"/>
          </w:tcPr>
          <w:p w14:paraId="4302E770"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自基金合同生效日至</w:t>
            </w:r>
            <w:r>
              <w:rPr>
                <w:rFonts w:asciiTheme="minorEastAsia" w:eastAsiaTheme="minorEastAsia" w:hAnsiTheme="minorEastAsia"/>
                <w:color w:val="000000"/>
                <w:sz w:val="21"/>
                <w:szCs w:val="21"/>
              </w:rPr>
              <w:t>202</w:t>
            </w:r>
            <w:r>
              <w:rPr>
                <w:rFonts w:asciiTheme="minorEastAsia" w:eastAsiaTheme="minorEastAsia" w:hAnsiTheme="minorEastAsia" w:hint="eastAsia"/>
                <w:color w:val="000000"/>
                <w:sz w:val="21"/>
                <w:szCs w:val="21"/>
              </w:rPr>
              <w:t>5</w:t>
            </w:r>
            <w:r>
              <w:rPr>
                <w:rFonts w:asciiTheme="minorEastAsia" w:eastAsiaTheme="minorEastAsia" w:hAnsiTheme="minorEastAsia"/>
                <w:color w:val="000000"/>
                <w:sz w:val="21"/>
                <w:szCs w:val="21"/>
              </w:rPr>
              <w:t>.06.30</w:t>
            </w:r>
          </w:p>
        </w:tc>
        <w:tc>
          <w:tcPr>
            <w:tcW w:w="1134" w:type="dxa"/>
            <w:tcBorders>
              <w:top w:val="single" w:sz="8" w:space="0" w:color="000000"/>
              <w:left w:val="single" w:sz="8" w:space="0" w:color="000000"/>
              <w:bottom w:val="single" w:sz="4" w:space="0" w:color="000000"/>
              <w:right w:val="single" w:sz="8" w:space="0" w:color="000000"/>
            </w:tcBorders>
            <w:vAlign w:val="center"/>
          </w:tcPr>
          <w:p w14:paraId="617579D2"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-19.43%</w:t>
            </w:r>
          </w:p>
        </w:tc>
        <w:tc>
          <w:tcPr>
            <w:tcW w:w="981" w:type="dxa"/>
            <w:tcBorders>
              <w:top w:val="single" w:sz="8" w:space="0" w:color="000000"/>
              <w:left w:val="single" w:sz="8" w:space="0" w:color="000000"/>
              <w:bottom w:val="single" w:sz="4" w:space="0" w:color="000000"/>
              <w:right w:val="single" w:sz="8" w:space="0" w:color="000000"/>
            </w:tcBorders>
            <w:vAlign w:val="center"/>
          </w:tcPr>
          <w:p w14:paraId="72CF47BA"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1.27%</w:t>
            </w:r>
          </w:p>
        </w:tc>
        <w:tc>
          <w:tcPr>
            <w:tcW w:w="1285" w:type="dxa"/>
            <w:tcBorders>
              <w:top w:val="single" w:sz="8" w:space="0" w:color="000000"/>
              <w:left w:val="single" w:sz="8" w:space="0" w:color="000000"/>
              <w:bottom w:val="single" w:sz="4" w:space="0" w:color="000000"/>
              <w:right w:val="single" w:sz="8" w:space="0" w:color="000000"/>
            </w:tcBorders>
            <w:vAlign w:val="center"/>
          </w:tcPr>
          <w:p w14:paraId="14FF8DA1"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36.10%</w:t>
            </w:r>
          </w:p>
        </w:tc>
        <w:tc>
          <w:tcPr>
            <w:tcW w:w="1284" w:type="dxa"/>
            <w:tcBorders>
              <w:top w:val="single" w:sz="8" w:space="0" w:color="000000"/>
              <w:left w:val="single" w:sz="8" w:space="0" w:color="000000"/>
              <w:bottom w:val="single" w:sz="4" w:space="0" w:color="000000"/>
              <w:right w:val="single" w:sz="8" w:space="0" w:color="000000"/>
            </w:tcBorders>
            <w:vAlign w:val="center"/>
          </w:tcPr>
          <w:p w14:paraId="2AE91210"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0.36%</w:t>
            </w:r>
          </w:p>
        </w:tc>
        <w:tc>
          <w:tcPr>
            <w:tcW w:w="1251" w:type="dxa"/>
            <w:tcBorders>
              <w:top w:val="single" w:sz="8" w:space="0" w:color="000000"/>
              <w:left w:val="single" w:sz="8" w:space="0" w:color="000000"/>
              <w:bottom w:val="single" w:sz="4" w:space="0" w:color="000000"/>
              <w:right w:val="single" w:sz="8" w:space="0" w:color="000000"/>
            </w:tcBorders>
            <w:vAlign w:val="center"/>
          </w:tcPr>
          <w:p w14:paraId="4A66A89C"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-55.53%</w:t>
            </w:r>
          </w:p>
        </w:tc>
        <w:tc>
          <w:tcPr>
            <w:tcW w:w="1284" w:type="dxa"/>
            <w:tcBorders>
              <w:top w:val="single" w:sz="8" w:space="0" w:color="000000"/>
              <w:left w:val="single" w:sz="8" w:space="0" w:color="000000"/>
              <w:bottom w:val="single" w:sz="4" w:space="0" w:color="000000"/>
              <w:right w:val="single" w:sz="8" w:space="0" w:color="000000"/>
            </w:tcBorders>
            <w:vAlign w:val="center"/>
          </w:tcPr>
          <w:p w14:paraId="5F5F365F"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0.91%</w:t>
            </w:r>
          </w:p>
        </w:tc>
      </w:tr>
    </w:tbl>
    <w:p w14:paraId="36FF47E2" w14:textId="77777777" w:rsidR="007B7C2A" w:rsidRDefault="007B7C2A">
      <w:pPr>
        <w:spacing w:line="360" w:lineRule="auto"/>
        <w:rPr>
          <w:rFonts w:ascii="宋体" w:eastAsia="宋体" w:hAnsi="宋体" w:cs="宋体" w:hint="eastAsia"/>
          <w:bCs/>
          <w:sz w:val="24"/>
        </w:rPr>
      </w:pPr>
    </w:p>
    <w:p w14:paraId="7A75899C" w14:textId="77777777" w:rsidR="007B7C2A" w:rsidRDefault="00072812">
      <w:pPr>
        <w:pStyle w:val="biaogeleft"/>
        <w:rPr>
          <w:rFonts w:hint="eastAsia"/>
        </w:rPr>
      </w:pPr>
      <w:r>
        <w:rPr>
          <w:rFonts w:hint="eastAsia"/>
          <w:bCs/>
        </w:rPr>
        <w:t>（</w:t>
      </w:r>
      <w:r>
        <w:rPr>
          <w:rFonts w:hint="eastAsia"/>
          <w:bCs/>
        </w:rPr>
        <w:t>2</w:t>
      </w:r>
      <w:r>
        <w:rPr>
          <w:rFonts w:hint="eastAsia"/>
          <w:bCs/>
        </w:rPr>
        <w:t>）富荣福鑫混合</w:t>
      </w:r>
      <w:r>
        <w:rPr>
          <w:rFonts w:hint="eastAsia"/>
          <w:bCs/>
        </w:rPr>
        <w:t>C</w:t>
      </w:r>
      <w:r>
        <w:rPr>
          <w:rFonts w:hint="eastAsia"/>
          <w:bCs/>
        </w:rPr>
        <w:t>（基金代码：</w:t>
      </w:r>
      <w:r>
        <w:rPr>
          <w:rFonts w:hint="eastAsia"/>
          <w:bCs/>
        </w:rPr>
        <w:t>004795</w:t>
      </w:r>
      <w:r>
        <w:rPr>
          <w:rFonts w:hint="eastAsia"/>
          <w:bCs/>
        </w:rPr>
        <w:t>）</w:t>
      </w:r>
    </w:p>
    <w:tbl>
      <w:tblPr>
        <w:tblW w:w="8845" w:type="dxa"/>
        <w:jc w:val="center"/>
        <w:tblLayout w:type="fixed"/>
        <w:tblLook w:val="04A0" w:firstRow="1" w:lastRow="0" w:firstColumn="1" w:lastColumn="0" w:noHBand="0" w:noVBand="1"/>
      </w:tblPr>
      <w:tblGrid>
        <w:gridCol w:w="1390"/>
        <w:gridCol w:w="1179"/>
        <w:gridCol w:w="1183"/>
        <w:gridCol w:w="1275"/>
        <w:gridCol w:w="1327"/>
        <w:gridCol w:w="1287"/>
        <w:gridCol w:w="1204"/>
      </w:tblGrid>
      <w:tr w:rsidR="007B7C2A" w14:paraId="2946BC38"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0A2D14B8" w14:textId="77777777" w:rsidR="007B7C2A" w:rsidRDefault="00072812">
            <w:pPr>
              <w:pStyle w:val="biaogecenter"/>
              <w:spacing w:line="240" w:lineRule="auto"/>
              <w:ind w:left="17"/>
              <w:jc w:val="left"/>
              <w:rPr>
                <w:rFonts w:asciiTheme="minorEastAsia" w:hAnsiTheme="minorEastAsia" w:hint="eastAsia"/>
                <w:color w:val="000000"/>
              </w:rPr>
            </w:pPr>
            <w:r>
              <w:rPr>
                <w:rFonts w:asciiTheme="minorEastAsia" w:eastAsiaTheme="minorEastAsia" w:hAnsiTheme="minorEastAsia" w:hint="eastAsia"/>
                <w:color w:val="000000"/>
              </w:rPr>
              <w:t>阶段</w:t>
            </w:r>
          </w:p>
        </w:tc>
        <w:tc>
          <w:tcPr>
            <w:tcW w:w="1179" w:type="dxa"/>
            <w:tcBorders>
              <w:top w:val="single" w:sz="8" w:space="0" w:color="000000"/>
              <w:left w:val="single" w:sz="8" w:space="0" w:color="000000"/>
              <w:bottom w:val="single" w:sz="4" w:space="0" w:color="000000"/>
              <w:right w:val="single" w:sz="8" w:space="0" w:color="000000"/>
            </w:tcBorders>
            <w:vAlign w:val="center"/>
          </w:tcPr>
          <w:p w14:paraId="7E8091CF" w14:textId="77777777" w:rsidR="007B7C2A" w:rsidRDefault="00072812">
            <w:pPr>
              <w:pStyle w:val="biaogecenter"/>
              <w:spacing w:line="240" w:lineRule="auto"/>
              <w:ind w:left="17"/>
              <w:jc w:val="left"/>
              <w:rPr>
                <w:rFonts w:asciiTheme="minorEastAsia" w:hAnsiTheme="minorEastAsia" w:hint="eastAsia"/>
                <w:color w:val="000000"/>
              </w:rPr>
            </w:pPr>
            <w:r>
              <w:rPr>
                <w:rFonts w:asciiTheme="minorEastAsia" w:eastAsiaTheme="minorEastAsia" w:hAnsiTheme="minorEastAsia" w:hint="eastAsia"/>
                <w:color w:val="000000"/>
              </w:rPr>
              <w:t>净值增长率①</w:t>
            </w:r>
          </w:p>
        </w:tc>
        <w:tc>
          <w:tcPr>
            <w:tcW w:w="1183" w:type="dxa"/>
            <w:tcBorders>
              <w:top w:val="single" w:sz="8" w:space="0" w:color="000000"/>
              <w:left w:val="single" w:sz="8" w:space="0" w:color="000000"/>
              <w:bottom w:val="single" w:sz="4" w:space="0" w:color="000000"/>
              <w:right w:val="single" w:sz="8" w:space="0" w:color="000000"/>
            </w:tcBorders>
            <w:vAlign w:val="center"/>
          </w:tcPr>
          <w:p w14:paraId="2566B088" w14:textId="77777777" w:rsidR="007B7C2A" w:rsidRDefault="00072812">
            <w:pPr>
              <w:pStyle w:val="biaogecenter"/>
              <w:spacing w:line="240" w:lineRule="auto"/>
              <w:ind w:left="17"/>
              <w:jc w:val="left"/>
              <w:rPr>
                <w:rFonts w:asciiTheme="minorEastAsia" w:hAnsiTheme="minorEastAsia" w:hint="eastAsia"/>
                <w:color w:val="000000"/>
              </w:rPr>
            </w:pPr>
            <w:r>
              <w:rPr>
                <w:rFonts w:asciiTheme="minorEastAsia" w:eastAsiaTheme="minorEastAsia" w:hAnsiTheme="minorEastAsia" w:hint="eastAsia"/>
                <w:color w:val="000000"/>
              </w:rPr>
              <w:t>净值增长率标准差②</w:t>
            </w:r>
          </w:p>
        </w:tc>
        <w:tc>
          <w:tcPr>
            <w:tcW w:w="1275" w:type="dxa"/>
            <w:tcBorders>
              <w:top w:val="single" w:sz="8" w:space="0" w:color="000000"/>
              <w:left w:val="single" w:sz="8" w:space="0" w:color="000000"/>
              <w:bottom w:val="single" w:sz="4" w:space="0" w:color="000000"/>
              <w:right w:val="single" w:sz="8" w:space="0" w:color="000000"/>
            </w:tcBorders>
            <w:vAlign w:val="center"/>
          </w:tcPr>
          <w:p w14:paraId="6F8F0E78" w14:textId="77777777" w:rsidR="007B7C2A" w:rsidRDefault="00072812">
            <w:pPr>
              <w:pStyle w:val="biaogecenter"/>
              <w:spacing w:line="240" w:lineRule="auto"/>
              <w:ind w:left="17"/>
              <w:jc w:val="left"/>
              <w:rPr>
                <w:rFonts w:asciiTheme="minorEastAsia" w:hAnsiTheme="minorEastAsia" w:hint="eastAsia"/>
                <w:color w:val="000000"/>
              </w:rPr>
            </w:pPr>
            <w:r>
              <w:rPr>
                <w:rFonts w:asciiTheme="minorEastAsia" w:eastAsiaTheme="minorEastAsia" w:hAnsiTheme="minorEastAsia" w:hint="eastAsia"/>
                <w:color w:val="000000"/>
              </w:rPr>
              <w:t>业绩比较基准收益率③</w:t>
            </w:r>
          </w:p>
        </w:tc>
        <w:tc>
          <w:tcPr>
            <w:tcW w:w="1327" w:type="dxa"/>
            <w:tcBorders>
              <w:top w:val="single" w:sz="8" w:space="0" w:color="000000"/>
              <w:left w:val="single" w:sz="8" w:space="0" w:color="000000"/>
              <w:bottom w:val="single" w:sz="4" w:space="0" w:color="000000"/>
              <w:right w:val="single" w:sz="8" w:space="0" w:color="000000"/>
            </w:tcBorders>
            <w:vAlign w:val="center"/>
          </w:tcPr>
          <w:p w14:paraId="5E2B1338" w14:textId="77777777" w:rsidR="007B7C2A" w:rsidRDefault="00072812">
            <w:pPr>
              <w:pStyle w:val="biaogecenter"/>
              <w:spacing w:line="240" w:lineRule="auto"/>
              <w:ind w:left="17"/>
              <w:jc w:val="left"/>
              <w:rPr>
                <w:rFonts w:asciiTheme="minorEastAsia" w:hAnsiTheme="minorEastAsia" w:hint="eastAsia"/>
                <w:color w:val="000000"/>
              </w:rPr>
            </w:pPr>
            <w:r>
              <w:rPr>
                <w:rFonts w:asciiTheme="minorEastAsia" w:eastAsiaTheme="minorEastAsia" w:hAnsiTheme="minorEastAsia" w:hint="eastAsia"/>
                <w:color w:val="000000"/>
              </w:rPr>
              <w:t>业绩比较基准收益率标准差④</w:t>
            </w:r>
          </w:p>
        </w:tc>
        <w:tc>
          <w:tcPr>
            <w:tcW w:w="1287" w:type="dxa"/>
            <w:tcBorders>
              <w:top w:val="single" w:sz="8" w:space="0" w:color="000000"/>
              <w:left w:val="single" w:sz="8" w:space="0" w:color="000000"/>
              <w:bottom w:val="single" w:sz="4" w:space="0" w:color="000000"/>
              <w:right w:val="single" w:sz="8" w:space="0" w:color="000000"/>
            </w:tcBorders>
            <w:vAlign w:val="center"/>
          </w:tcPr>
          <w:p w14:paraId="358D2E7A" w14:textId="77777777" w:rsidR="007B7C2A" w:rsidRDefault="00072812">
            <w:pPr>
              <w:pStyle w:val="biaogecenter"/>
              <w:spacing w:line="240" w:lineRule="auto"/>
              <w:ind w:left="17"/>
              <w:jc w:val="left"/>
              <w:rPr>
                <w:rFonts w:asciiTheme="minorEastAsia" w:hAnsiTheme="minorEastAsia" w:hint="eastAsia"/>
                <w:color w:val="000000"/>
              </w:rPr>
            </w:pPr>
            <w:r>
              <w:rPr>
                <w:rFonts w:asciiTheme="minorEastAsia" w:eastAsiaTheme="minorEastAsia" w:hAnsiTheme="minorEastAsia" w:hint="eastAsia"/>
                <w:color w:val="000000"/>
              </w:rPr>
              <w:t>①</w:t>
            </w:r>
            <w:r>
              <w:rPr>
                <w:rFonts w:asciiTheme="minorEastAsia" w:eastAsiaTheme="minorEastAsia" w:hAnsiTheme="minorEastAsia" w:hint="eastAsia"/>
                <w:color w:val="000000"/>
              </w:rPr>
              <w:t>-</w:t>
            </w:r>
            <w:r>
              <w:rPr>
                <w:rFonts w:asciiTheme="minorEastAsia" w:eastAsiaTheme="minorEastAsia" w:hAnsiTheme="minorEastAsia" w:hint="eastAsia"/>
                <w:color w:val="000000"/>
              </w:rPr>
              <w:t>③</w:t>
            </w:r>
          </w:p>
        </w:tc>
        <w:tc>
          <w:tcPr>
            <w:tcW w:w="1204" w:type="dxa"/>
            <w:tcBorders>
              <w:top w:val="single" w:sz="8" w:space="0" w:color="000000"/>
              <w:left w:val="single" w:sz="8" w:space="0" w:color="000000"/>
              <w:bottom w:val="single" w:sz="4" w:space="0" w:color="000000"/>
              <w:right w:val="single" w:sz="8" w:space="0" w:color="000000"/>
            </w:tcBorders>
            <w:vAlign w:val="center"/>
          </w:tcPr>
          <w:p w14:paraId="043CBDB7" w14:textId="77777777" w:rsidR="007B7C2A" w:rsidRDefault="00072812">
            <w:pPr>
              <w:pStyle w:val="biaogecenter"/>
              <w:spacing w:line="240" w:lineRule="auto"/>
              <w:ind w:left="17"/>
              <w:jc w:val="left"/>
              <w:rPr>
                <w:rFonts w:asciiTheme="minorEastAsia" w:hAnsiTheme="minorEastAsia" w:hint="eastAsia"/>
                <w:color w:val="000000"/>
              </w:rPr>
            </w:pPr>
            <w:r>
              <w:rPr>
                <w:rFonts w:asciiTheme="minorEastAsia" w:eastAsiaTheme="minorEastAsia" w:hAnsiTheme="minorEastAsia" w:hint="eastAsia"/>
                <w:color w:val="000000"/>
              </w:rPr>
              <w:t>②</w:t>
            </w:r>
            <w:r>
              <w:rPr>
                <w:rFonts w:asciiTheme="minorEastAsia" w:eastAsiaTheme="minorEastAsia" w:hAnsiTheme="minorEastAsia" w:hint="eastAsia"/>
                <w:color w:val="000000"/>
              </w:rPr>
              <w:t>-</w:t>
            </w:r>
            <w:r>
              <w:rPr>
                <w:rFonts w:asciiTheme="minorEastAsia" w:eastAsiaTheme="minorEastAsia" w:hAnsiTheme="minorEastAsia" w:hint="eastAsia"/>
                <w:color w:val="000000"/>
              </w:rPr>
              <w:t>④</w:t>
            </w:r>
          </w:p>
        </w:tc>
      </w:tr>
      <w:tr w:rsidR="007B7C2A" w14:paraId="6168C78B"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19AF86AA"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2018.02.13~2018.12.31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7DCDE4D2"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-1.04%</w:t>
            </w:r>
          </w:p>
        </w:tc>
        <w:tc>
          <w:tcPr>
            <w:tcW w:w="1183" w:type="dxa"/>
            <w:tcBorders>
              <w:top w:val="single" w:sz="8" w:space="0" w:color="000000"/>
              <w:left w:val="single" w:sz="8" w:space="0" w:color="000000"/>
              <w:bottom w:val="single" w:sz="4" w:space="0" w:color="000000"/>
              <w:right w:val="single" w:sz="8" w:space="0" w:color="000000"/>
            </w:tcBorders>
            <w:vAlign w:val="center"/>
          </w:tcPr>
          <w:p w14:paraId="5ED04DEA"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0.26%</w:t>
            </w:r>
          </w:p>
        </w:tc>
        <w:tc>
          <w:tcPr>
            <w:tcW w:w="1275" w:type="dxa"/>
            <w:tcBorders>
              <w:top w:val="single" w:sz="8" w:space="0" w:color="000000"/>
              <w:left w:val="single" w:sz="8" w:space="0" w:color="000000"/>
              <w:bottom w:val="single" w:sz="4" w:space="0" w:color="000000"/>
              <w:right w:val="single" w:sz="8" w:space="0" w:color="000000"/>
            </w:tcBorders>
            <w:vAlign w:val="center"/>
          </w:tcPr>
          <w:p w14:paraId="7849ED23"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-1.77%</w:t>
            </w:r>
          </w:p>
        </w:tc>
        <w:tc>
          <w:tcPr>
            <w:tcW w:w="1327" w:type="dxa"/>
            <w:tcBorders>
              <w:top w:val="single" w:sz="8" w:space="0" w:color="000000"/>
              <w:left w:val="single" w:sz="8" w:space="0" w:color="000000"/>
              <w:bottom w:val="single" w:sz="4" w:space="0" w:color="000000"/>
              <w:right w:val="single" w:sz="8" w:space="0" w:color="000000"/>
            </w:tcBorders>
            <w:vAlign w:val="center"/>
          </w:tcPr>
          <w:p w14:paraId="471B3D78"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0.40%</w:t>
            </w:r>
          </w:p>
        </w:tc>
        <w:tc>
          <w:tcPr>
            <w:tcW w:w="1287" w:type="dxa"/>
            <w:tcBorders>
              <w:top w:val="single" w:sz="8" w:space="0" w:color="000000"/>
              <w:left w:val="single" w:sz="8" w:space="0" w:color="000000"/>
              <w:bottom w:val="single" w:sz="4" w:space="0" w:color="000000"/>
              <w:right w:val="single" w:sz="8" w:space="0" w:color="000000"/>
            </w:tcBorders>
            <w:vAlign w:val="center"/>
          </w:tcPr>
          <w:p w14:paraId="7B11F1D7"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0.73%</w:t>
            </w:r>
          </w:p>
        </w:tc>
        <w:tc>
          <w:tcPr>
            <w:tcW w:w="1204" w:type="dxa"/>
            <w:tcBorders>
              <w:top w:val="single" w:sz="8" w:space="0" w:color="000000"/>
              <w:left w:val="single" w:sz="8" w:space="0" w:color="000000"/>
              <w:bottom w:val="single" w:sz="4" w:space="0" w:color="000000"/>
              <w:right w:val="single" w:sz="8" w:space="0" w:color="000000"/>
            </w:tcBorders>
            <w:vAlign w:val="center"/>
          </w:tcPr>
          <w:p w14:paraId="7A77CFB8"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-0.14%</w:t>
            </w:r>
          </w:p>
        </w:tc>
      </w:tr>
      <w:tr w:rsidR="007B7C2A" w14:paraId="188712DB"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0BBC0986"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2019.01.01~2019.12.31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47C60DFB"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7.30%</w:t>
            </w:r>
          </w:p>
        </w:tc>
        <w:tc>
          <w:tcPr>
            <w:tcW w:w="1183" w:type="dxa"/>
            <w:tcBorders>
              <w:top w:val="single" w:sz="8" w:space="0" w:color="000000"/>
              <w:left w:val="single" w:sz="8" w:space="0" w:color="000000"/>
              <w:bottom w:val="single" w:sz="4" w:space="0" w:color="000000"/>
              <w:right w:val="single" w:sz="8" w:space="0" w:color="000000"/>
            </w:tcBorders>
            <w:vAlign w:val="center"/>
          </w:tcPr>
          <w:p w14:paraId="141327C9"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0.49%</w:t>
            </w:r>
          </w:p>
        </w:tc>
        <w:tc>
          <w:tcPr>
            <w:tcW w:w="1275" w:type="dxa"/>
            <w:tcBorders>
              <w:top w:val="single" w:sz="8" w:space="0" w:color="000000"/>
              <w:left w:val="single" w:sz="8" w:space="0" w:color="000000"/>
              <w:bottom w:val="single" w:sz="4" w:space="0" w:color="000000"/>
              <w:right w:val="single" w:sz="8" w:space="0" w:color="000000"/>
            </w:tcBorders>
            <w:vAlign w:val="center"/>
          </w:tcPr>
          <w:p w14:paraId="3DE9F614"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13.93%</w:t>
            </w:r>
          </w:p>
        </w:tc>
        <w:tc>
          <w:tcPr>
            <w:tcW w:w="1327" w:type="dxa"/>
            <w:tcBorders>
              <w:top w:val="single" w:sz="8" w:space="0" w:color="000000"/>
              <w:left w:val="single" w:sz="8" w:space="0" w:color="000000"/>
              <w:bottom w:val="single" w:sz="4" w:space="0" w:color="000000"/>
              <w:right w:val="single" w:sz="8" w:space="0" w:color="000000"/>
            </w:tcBorders>
            <w:vAlign w:val="center"/>
          </w:tcPr>
          <w:p w14:paraId="53922F9C"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0.36%</w:t>
            </w:r>
          </w:p>
        </w:tc>
        <w:tc>
          <w:tcPr>
            <w:tcW w:w="1287" w:type="dxa"/>
            <w:tcBorders>
              <w:top w:val="single" w:sz="8" w:space="0" w:color="000000"/>
              <w:left w:val="single" w:sz="8" w:space="0" w:color="000000"/>
              <w:bottom w:val="single" w:sz="4" w:space="0" w:color="000000"/>
              <w:right w:val="single" w:sz="8" w:space="0" w:color="000000"/>
            </w:tcBorders>
            <w:vAlign w:val="center"/>
          </w:tcPr>
          <w:p w14:paraId="2A39656A"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-6.63%</w:t>
            </w:r>
          </w:p>
        </w:tc>
        <w:tc>
          <w:tcPr>
            <w:tcW w:w="1204" w:type="dxa"/>
            <w:tcBorders>
              <w:top w:val="single" w:sz="8" w:space="0" w:color="000000"/>
              <w:left w:val="single" w:sz="8" w:space="0" w:color="000000"/>
              <w:bottom w:val="single" w:sz="4" w:space="0" w:color="000000"/>
              <w:right w:val="single" w:sz="8" w:space="0" w:color="000000"/>
            </w:tcBorders>
            <w:vAlign w:val="center"/>
          </w:tcPr>
          <w:p w14:paraId="76F46301"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0.13%</w:t>
            </w:r>
          </w:p>
        </w:tc>
      </w:tr>
      <w:tr w:rsidR="007B7C2A" w14:paraId="167B5788"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10EB07D8"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2020.01.01~2020.12.31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2398AA5C"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32.01%</w:t>
            </w:r>
          </w:p>
        </w:tc>
        <w:tc>
          <w:tcPr>
            <w:tcW w:w="1183" w:type="dxa"/>
            <w:tcBorders>
              <w:top w:val="single" w:sz="8" w:space="0" w:color="000000"/>
              <w:left w:val="single" w:sz="8" w:space="0" w:color="000000"/>
              <w:bottom w:val="single" w:sz="4" w:space="0" w:color="000000"/>
              <w:right w:val="single" w:sz="8" w:space="0" w:color="000000"/>
            </w:tcBorders>
            <w:vAlign w:val="center"/>
          </w:tcPr>
          <w:p w14:paraId="32CC4A70"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0.94%</w:t>
            </w:r>
          </w:p>
        </w:tc>
        <w:tc>
          <w:tcPr>
            <w:tcW w:w="1275" w:type="dxa"/>
            <w:tcBorders>
              <w:top w:val="single" w:sz="8" w:space="0" w:color="000000"/>
              <w:left w:val="single" w:sz="8" w:space="0" w:color="000000"/>
              <w:bottom w:val="single" w:sz="4" w:space="0" w:color="000000"/>
              <w:right w:val="single" w:sz="8" w:space="0" w:color="000000"/>
            </w:tcBorders>
            <w:vAlign w:val="center"/>
          </w:tcPr>
          <w:p w14:paraId="62507B4F"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10.38%</w:t>
            </w:r>
          </w:p>
        </w:tc>
        <w:tc>
          <w:tcPr>
            <w:tcW w:w="1327" w:type="dxa"/>
            <w:tcBorders>
              <w:top w:val="single" w:sz="8" w:space="0" w:color="000000"/>
              <w:left w:val="single" w:sz="8" w:space="0" w:color="000000"/>
              <w:bottom w:val="single" w:sz="4" w:space="0" w:color="000000"/>
              <w:right w:val="single" w:sz="8" w:space="0" w:color="000000"/>
            </w:tcBorders>
            <w:vAlign w:val="center"/>
          </w:tcPr>
          <w:p w14:paraId="4497709F"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0.41%</w:t>
            </w:r>
          </w:p>
        </w:tc>
        <w:tc>
          <w:tcPr>
            <w:tcW w:w="1287" w:type="dxa"/>
            <w:tcBorders>
              <w:top w:val="single" w:sz="8" w:space="0" w:color="000000"/>
              <w:left w:val="single" w:sz="8" w:space="0" w:color="000000"/>
              <w:bottom w:val="single" w:sz="4" w:space="0" w:color="000000"/>
              <w:right w:val="single" w:sz="8" w:space="0" w:color="000000"/>
            </w:tcBorders>
            <w:vAlign w:val="center"/>
          </w:tcPr>
          <w:p w14:paraId="00C86553"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21.63%</w:t>
            </w:r>
          </w:p>
        </w:tc>
        <w:tc>
          <w:tcPr>
            <w:tcW w:w="1204" w:type="dxa"/>
            <w:tcBorders>
              <w:top w:val="single" w:sz="8" w:space="0" w:color="000000"/>
              <w:left w:val="single" w:sz="8" w:space="0" w:color="000000"/>
              <w:bottom w:val="single" w:sz="4" w:space="0" w:color="000000"/>
              <w:right w:val="single" w:sz="8" w:space="0" w:color="000000"/>
            </w:tcBorders>
            <w:vAlign w:val="center"/>
          </w:tcPr>
          <w:p w14:paraId="22E3C14C"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0.53%</w:t>
            </w:r>
          </w:p>
        </w:tc>
      </w:tr>
      <w:tr w:rsidR="007B7C2A" w14:paraId="1A9B1F63"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14D9AFFF"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2021.01.01~2021.12.31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7E419293"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13.34%</w:t>
            </w:r>
          </w:p>
        </w:tc>
        <w:tc>
          <w:tcPr>
            <w:tcW w:w="1183" w:type="dxa"/>
            <w:tcBorders>
              <w:top w:val="single" w:sz="8" w:space="0" w:color="000000"/>
              <w:left w:val="single" w:sz="8" w:space="0" w:color="000000"/>
              <w:bottom w:val="single" w:sz="4" w:space="0" w:color="000000"/>
              <w:right w:val="single" w:sz="8" w:space="0" w:color="000000"/>
            </w:tcBorders>
            <w:vAlign w:val="center"/>
          </w:tcPr>
          <w:p w14:paraId="34A11E28"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1.74%</w:t>
            </w:r>
          </w:p>
        </w:tc>
        <w:tc>
          <w:tcPr>
            <w:tcW w:w="1275" w:type="dxa"/>
            <w:tcBorders>
              <w:top w:val="single" w:sz="8" w:space="0" w:color="000000"/>
              <w:left w:val="single" w:sz="8" w:space="0" w:color="000000"/>
              <w:bottom w:val="single" w:sz="4" w:space="0" w:color="000000"/>
              <w:right w:val="single" w:sz="8" w:space="0" w:color="000000"/>
            </w:tcBorders>
            <w:vAlign w:val="center"/>
          </w:tcPr>
          <w:p w14:paraId="240EB36F"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2.63%</w:t>
            </w:r>
          </w:p>
        </w:tc>
        <w:tc>
          <w:tcPr>
            <w:tcW w:w="1327" w:type="dxa"/>
            <w:tcBorders>
              <w:top w:val="single" w:sz="8" w:space="0" w:color="000000"/>
              <w:left w:val="single" w:sz="8" w:space="0" w:color="000000"/>
              <w:bottom w:val="single" w:sz="4" w:space="0" w:color="000000"/>
              <w:right w:val="single" w:sz="8" w:space="0" w:color="000000"/>
            </w:tcBorders>
            <w:vAlign w:val="center"/>
          </w:tcPr>
          <w:p w14:paraId="63066710"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0.35%</w:t>
            </w:r>
          </w:p>
        </w:tc>
        <w:tc>
          <w:tcPr>
            <w:tcW w:w="1287" w:type="dxa"/>
            <w:tcBorders>
              <w:top w:val="single" w:sz="8" w:space="0" w:color="000000"/>
              <w:left w:val="single" w:sz="8" w:space="0" w:color="000000"/>
              <w:bottom w:val="single" w:sz="4" w:space="0" w:color="000000"/>
              <w:right w:val="single" w:sz="8" w:space="0" w:color="000000"/>
            </w:tcBorders>
            <w:vAlign w:val="center"/>
          </w:tcPr>
          <w:p w14:paraId="07ACC46E"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10.71%</w:t>
            </w:r>
          </w:p>
        </w:tc>
        <w:tc>
          <w:tcPr>
            <w:tcW w:w="1204" w:type="dxa"/>
            <w:tcBorders>
              <w:top w:val="single" w:sz="8" w:space="0" w:color="000000"/>
              <w:left w:val="single" w:sz="8" w:space="0" w:color="000000"/>
              <w:bottom w:val="single" w:sz="4" w:space="0" w:color="000000"/>
              <w:right w:val="single" w:sz="8" w:space="0" w:color="000000"/>
            </w:tcBorders>
            <w:vAlign w:val="center"/>
          </w:tcPr>
          <w:p w14:paraId="09F86DDB"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1.39%</w:t>
            </w:r>
          </w:p>
        </w:tc>
      </w:tr>
      <w:tr w:rsidR="007B7C2A" w14:paraId="4CE5B8A6"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4C0FCE9D"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2022.01.01~2022.12.31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157638FA"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-31.66%</w:t>
            </w:r>
          </w:p>
        </w:tc>
        <w:tc>
          <w:tcPr>
            <w:tcW w:w="1183" w:type="dxa"/>
            <w:tcBorders>
              <w:top w:val="single" w:sz="8" w:space="0" w:color="000000"/>
              <w:left w:val="single" w:sz="8" w:space="0" w:color="000000"/>
              <w:bottom w:val="single" w:sz="4" w:space="0" w:color="000000"/>
              <w:right w:val="single" w:sz="8" w:space="0" w:color="000000"/>
            </w:tcBorders>
            <w:vAlign w:val="center"/>
          </w:tcPr>
          <w:p w14:paraId="73747D6C"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1.45%</w:t>
            </w:r>
          </w:p>
        </w:tc>
        <w:tc>
          <w:tcPr>
            <w:tcW w:w="1275" w:type="dxa"/>
            <w:tcBorders>
              <w:top w:val="single" w:sz="8" w:space="0" w:color="000000"/>
              <w:left w:val="single" w:sz="8" w:space="0" w:color="000000"/>
              <w:bottom w:val="single" w:sz="4" w:space="0" w:color="000000"/>
              <w:right w:val="single" w:sz="8" w:space="0" w:color="000000"/>
            </w:tcBorders>
            <w:vAlign w:val="center"/>
          </w:tcPr>
          <w:p w14:paraId="56FC97B0"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-4.38%</w:t>
            </w:r>
          </w:p>
        </w:tc>
        <w:tc>
          <w:tcPr>
            <w:tcW w:w="1327" w:type="dxa"/>
            <w:tcBorders>
              <w:top w:val="single" w:sz="8" w:space="0" w:color="000000"/>
              <w:left w:val="single" w:sz="8" w:space="0" w:color="000000"/>
              <w:bottom w:val="single" w:sz="4" w:space="0" w:color="000000"/>
              <w:right w:val="single" w:sz="8" w:space="0" w:color="000000"/>
            </w:tcBorders>
            <w:vAlign w:val="center"/>
          </w:tcPr>
          <w:p w14:paraId="335413BB"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0.38%</w:t>
            </w:r>
          </w:p>
        </w:tc>
        <w:tc>
          <w:tcPr>
            <w:tcW w:w="1287" w:type="dxa"/>
            <w:tcBorders>
              <w:top w:val="single" w:sz="8" w:space="0" w:color="000000"/>
              <w:left w:val="single" w:sz="8" w:space="0" w:color="000000"/>
              <w:bottom w:val="single" w:sz="4" w:space="0" w:color="000000"/>
              <w:right w:val="single" w:sz="8" w:space="0" w:color="000000"/>
            </w:tcBorders>
            <w:vAlign w:val="center"/>
          </w:tcPr>
          <w:p w14:paraId="3B85A9C7"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-27.28%</w:t>
            </w:r>
          </w:p>
        </w:tc>
        <w:tc>
          <w:tcPr>
            <w:tcW w:w="1204" w:type="dxa"/>
            <w:tcBorders>
              <w:top w:val="single" w:sz="8" w:space="0" w:color="000000"/>
              <w:left w:val="single" w:sz="8" w:space="0" w:color="000000"/>
              <w:bottom w:val="single" w:sz="4" w:space="0" w:color="000000"/>
              <w:right w:val="single" w:sz="8" w:space="0" w:color="000000"/>
            </w:tcBorders>
            <w:vAlign w:val="center"/>
          </w:tcPr>
          <w:p w14:paraId="11CEFDA7"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1.07%</w:t>
            </w:r>
          </w:p>
        </w:tc>
      </w:tr>
      <w:tr w:rsidR="007B7C2A" w14:paraId="0F2036C0"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23E98F00"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2023.01.01~2023.12.31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521FAC8B"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-16.59%</w:t>
            </w:r>
          </w:p>
        </w:tc>
        <w:tc>
          <w:tcPr>
            <w:tcW w:w="1183" w:type="dxa"/>
            <w:tcBorders>
              <w:top w:val="single" w:sz="8" w:space="0" w:color="000000"/>
              <w:left w:val="single" w:sz="8" w:space="0" w:color="000000"/>
              <w:bottom w:val="single" w:sz="4" w:space="0" w:color="000000"/>
              <w:right w:val="single" w:sz="8" w:space="0" w:color="000000"/>
            </w:tcBorders>
            <w:vAlign w:val="center"/>
          </w:tcPr>
          <w:p w14:paraId="242B3D85"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1.08%</w:t>
            </w:r>
          </w:p>
        </w:tc>
        <w:tc>
          <w:tcPr>
            <w:tcW w:w="1275" w:type="dxa"/>
            <w:tcBorders>
              <w:top w:val="single" w:sz="8" w:space="0" w:color="000000"/>
              <w:left w:val="single" w:sz="8" w:space="0" w:color="000000"/>
              <w:bottom w:val="single" w:sz="4" w:space="0" w:color="000000"/>
              <w:right w:val="single" w:sz="8" w:space="0" w:color="000000"/>
            </w:tcBorders>
            <w:vAlign w:val="center"/>
          </w:tcPr>
          <w:p w14:paraId="29E3D5CF"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0.13%</w:t>
            </w:r>
          </w:p>
        </w:tc>
        <w:tc>
          <w:tcPr>
            <w:tcW w:w="1327" w:type="dxa"/>
            <w:tcBorders>
              <w:top w:val="single" w:sz="8" w:space="0" w:color="000000"/>
              <w:left w:val="single" w:sz="8" w:space="0" w:color="000000"/>
              <w:bottom w:val="single" w:sz="4" w:space="0" w:color="000000"/>
              <w:right w:val="single" w:sz="8" w:space="0" w:color="000000"/>
            </w:tcBorders>
            <w:vAlign w:val="center"/>
          </w:tcPr>
          <w:p w14:paraId="248E2C69"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0.25%</w:t>
            </w:r>
          </w:p>
        </w:tc>
        <w:tc>
          <w:tcPr>
            <w:tcW w:w="1287" w:type="dxa"/>
            <w:tcBorders>
              <w:top w:val="single" w:sz="8" w:space="0" w:color="000000"/>
              <w:left w:val="single" w:sz="8" w:space="0" w:color="000000"/>
              <w:bottom w:val="single" w:sz="4" w:space="0" w:color="000000"/>
              <w:right w:val="single" w:sz="8" w:space="0" w:color="000000"/>
            </w:tcBorders>
            <w:vAlign w:val="center"/>
          </w:tcPr>
          <w:p w14:paraId="7D4A732F"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-16.72%</w:t>
            </w:r>
          </w:p>
        </w:tc>
        <w:tc>
          <w:tcPr>
            <w:tcW w:w="1204" w:type="dxa"/>
            <w:tcBorders>
              <w:top w:val="single" w:sz="8" w:space="0" w:color="000000"/>
              <w:left w:val="single" w:sz="8" w:space="0" w:color="000000"/>
              <w:bottom w:val="single" w:sz="4" w:space="0" w:color="000000"/>
              <w:right w:val="single" w:sz="8" w:space="0" w:color="000000"/>
            </w:tcBorders>
            <w:vAlign w:val="center"/>
          </w:tcPr>
          <w:p w14:paraId="2C31D760" w14:textId="77777777" w:rsidR="007B7C2A" w:rsidRDefault="00072812">
            <w:pPr>
              <w:pStyle w:val="biaogecenter"/>
              <w:spacing w:line="240" w:lineRule="auto"/>
              <w:ind w:left="17"/>
              <w:jc w:val="left"/>
              <w:rPr>
                <w:rFonts w:asciiTheme="minorEastAsia" w:hAnsiTheme="minorEastAsia" w:hint="eastAsia"/>
                <w:color w:val="000000"/>
                <w:szCs w:val="21"/>
              </w:rPr>
            </w:pPr>
            <w:r>
              <w:rPr>
                <w:rFonts w:asciiTheme="minorEastAsia" w:eastAsiaTheme="minorEastAsia" w:hAnsiTheme="minorEastAsia" w:hint="eastAsia"/>
                <w:color w:val="000000"/>
                <w:sz w:val="21"/>
                <w:szCs w:val="21"/>
              </w:rPr>
              <w:t>0.83%</w:t>
            </w:r>
          </w:p>
        </w:tc>
      </w:tr>
      <w:tr w:rsidR="007B7C2A" w14:paraId="03585F79"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61E1120E"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2024.01.01~2024.12.31</w:t>
            </w:r>
          </w:p>
        </w:tc>
        <w:tc>
          <w:tcPr>
            <w:tcW w:w="1179" w:type="dxa"/>
            <w:tcBorders>
              <w:top w:val="single" w:sz="8" w:space="0" w:color="000000"/>
              <w:left w:val="single" w:sz="8" w:space="0" w:color="000000"/>
              <w:bottom w:val="single" w:sz="4" w:space="0" w:color="000000"/>
              <w:right w:val="single" w:sz="8" w:space="0" w:color="000000"/>
            </w:tcBorders>
            <w:vAlign w:val="center"/>
          </w:tcPr>
          <w:p w14:paraId="127E86AB"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-6.41%</w:t>
            </w:r>
          </w:p>
        </w:tc>
        <w:tc>
          <w:tcPr>
            <w:tcW w:w="1183" w:type="dxa"/>
            <w:tcBorders>
              <w:top w:val="single" w:sz="8" w:space="0" w:color="000000"/>
              <w:left w:val="single" w:sz="8" w:space="0" w:color="000000"/>
              <w:bottom w:val="single" w:sz="4" w:space="0" w:color="000000"/>
              <w:right w:val="single" w:sz="8" w:space="0" w:color="000000"/>
            </w:tcBorders>
            <w:vAlign w:val="center"/>
          </w:tcPr>
          <w:p w14:paraId="1B0110F6"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1.88%</w:t>
            </w:r>
          </w:p>
        </w:tc>
        <w:tc>
          <w:tcPr>
            <w:tcW w:w="1275" w:type="dxa"/>
            <w:tcBorders>
              <w:top w:val="single" w:sz="8" w:space="0" w:color="000000"/>
              <w:left w:val="single" w:sz="8" w:space="0" w:color="000000"/>
              <w:bottom w:val="single" w:sz="4" w:space="0" w:color="000000"/>
              <w:right w:val="single" w:sz="8" w:space="0" w:color="000000"/>
            </w:tcBorders>
            <w:vAlign w:val="center"/>
          </w:tcPr>
          <w:p w14:paraId="12F461BF"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11.08%</w:t>
            </w:r>
          </w:p>
        </w:tc>
        <w:tc>
          <w:tcPr>
            <w:tcW w:w="1327" w:type="dxa"/>
            <w:tcBorders>
              <w:top w:val="single" w:sz="8" w:space="0" w:color="000000"/>
              <w:left w:val="single" w:sz="8" w:space="0" w:color="000000"/>
              <w:bottom w:val="single" w:sz="4" w:space="0" w:color="000000"/>
              <w:right w:val="single" w:sz="8" w:space="0" w:color="000000"/>
            </w:tcBorders>
            <w:vAlign w:val="center"/>
          </w:tcPr>
          <w:p w14:paraId="44568E97"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0.39%</w:t>
            </w:r>
          </w:p>
        </w:tc>
        <w:tc>
          <w:tcPr>
            <w:tcW w:w="1287" w:type="dxa"/>
            <w:tcBorders>
              <w:top w:val="single" w:sz="8" w:space="0" w:color="000000"/>
              <w:left w:val="single" w:sz="8" w:space="0" w:color="000000"/>
              <w:bottom w:val="single" w:sz="4" w:space="0" w:color="000000"/>
              <w:right w:val="single" w:sz="8" w:space="0" w:color="000000"/>
            </w:tcBorders>
            <w:vAlign w:val="center"/>
          </w:tcPr>
          <w:p w14:paraId="47A90528"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-17.49%</w:t>
            </w:r>
          </w:p>
        </w:tc>
        <w:tc>
          <w:tcPr>
            <w:tcW w:w="1204" w:type="dxa"/>
            <w:tcBorders>
              <w:top w:val="single" w:sz="8" w:space="0" w:color="000000"/>
              <w:left w:val="single" w:sz="8" w:space="0" w:color="000000"/>
              <w:bottom w:val="single" w:sz="4" w:space="0" w:color="000000"/>
              <w:right w:val="single" w:sz="8" w:space="0" w:color="000000"/>
            </w:tcBorders>
            <w:vAlign w:val="center"/>
          </w:tcPr>
          <w:p w14:paraId="3A37A241"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1.49%</w:t>
            </w:r>
          </w:p>
        </w:tc>
      </w:tr>
      <w:tr w:rsidR="007B7C2A" w14:paraId="395AC969" w14:textId="77777777">
        <w:trPr>
          <w:trHeight w:val="20"/>
          <w:jc w:val="center"/>
        </w:trPr>
        <w:tc>
          <w:tcPr>
            <w:tcW w:w="1390" w:type="dxa"/>
            <w:tcBorders>
              <w:top w:val="single" w:sz="8" w:space="0" w:color="000000"/>
              <w:left w:val="single" w:sz="8" w:space="0" w:color="000000"/>
              <w:bottom w:val="single" w:sz="4" w:space="0" w:color="000000"/>
              <w:right w:val="single" w:sz="8" w:space="0" w:color="000000"/>
            </w:tcBorders>
            <w:vAlign w:val="center"/>
          </w:tcPr>
          <w:p w14:paraId="73D8CC50"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hint="eastAsia"/>
                <w:color w:val="000000"/>
                <w:sz w:val="21"/>
                <w:szCs w:val="21"/>
              </w:rPr>
              <w:t>自基金合同生效日至</w:t>
            </w:r>
            <w:r>
              <w:rPr>
                <w:rFonts w:asciiTheme="minorEastAsia" w:eastAsiaTheme="minorEastAsia" w:hAnsiTheme="minorEastAsia" w:hint="eastAsia"/>
                <w:color w:val="000000"/>
                <w:sz w:val="21"/>
                <w:szCs w:val="21"/>
              </w:rPr>
              <w:t>2025.06.30</w:t>
            </w:r>
          </w:p>
        </w:tc>
        <w:tc>
          <w:tcPr>
            <w:tcW w:w="1179" w:type="dxa"/>
            <w:tcBorders>
              <w:top w:val="single" w:sz="8" w:space="0" w:color="000000"/>
              <w:left w:val="single" w:sz="8" w:space="0" w:color="000000"/>
              <w:bottom w:val="single" w:sz="4" w:space="0" w:color="000000"/>
              <w:right w:val="single" w:sz="8" w:space="0" w:color="000000"/>
            </w:tcBorders>
            <w:vAlign w:val="center"/>
          </w:tcPr>
          <w:p w14:paraId="5F22FD64"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-19.61%</w:t>
            </w:r>
          </w:p>
        </w:tc>
        <w:tc>
          <w:tcPr>
            <w:tcW w:w="1183" w:type="dxa"/>
            <w:tcBorders>
              <w:top w:val="single" w:sz="8" w:space="0" w:color="000000"/>
              <w:left w:val="single" w:sz="8" w:space="0" w:color="000000"/>
              <w:bottom w:val="single" w:sz="4" w:space="0" w:color="000000"/>
              <w:right w:val="single" w:sz="8" w:space="0" w:color="000000"/>
            </w:tcBorders>
            <w:vAlign w:val="center"/>
          </w:tcPr>
          <w:p w14:paraId="5C5FC78F"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1.27%</w:t>
            </w:r>
          </w:p>
        </w:tc>
        <w:tc>
          <w:tcPr>
            <w:tcW w:w="1275" w:type="dxa"/>
            <w:tcBorders>
              <w:top w:val="single" w:sz="8" w:space="0" w:color="000000"/>
              <w:left w:val="single" w:sz="8" w:space="0" w:color="000000"/>
              <w:bottom w:val="single" w:sz="4" w:space="0" w:color="000000"/>
              <w:right w:val="single" w:sz="8" w:space="0" w:color="000000"/>
            </w:tcBorders>
            <w:vAlign w:val="center"/>
          </w:tcPr>
          <w:p w14:paraId="617797CF"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36.10%</w:t>
            </w:r>
          </w:p>
        </w:tc>
        <w:tc>
          <w:tcPr>
            <w:tcW w:w="1327" w:type="dxa"/>
            <w:tcBorders>
              <w:top w:val="single" w:sz="8" w:space="0" w:color="000000"/>
              <w:left w:val="single" w:sz="8" w:space="0" w:color="000000"/>
              <w:bottom w:val="single" w:sz="4" w:space="0" w:color="000000"/>
              <w:right w:val="single" w:sz="8" w:space="0" w:color="000000"/>
            </w:tcBorders>
            <w:vAlign w:val="center"/>
          </w:tcPr>
          <w:p w14:paraId="4407B864"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0.36%</w:t>
            </w:r>
          </w:p>
        </w:tc>
        <w:tc>
          <w:tcPr>
            <w:tcW w:w="1287" w:type="dxa"/>
            <w:tcBorders>
              <w:top w:val="single" w:sz="8" w:space="0" w:color="000000"/>
              <w:left w:val="single" w:sz="8" w:space="0" w:color="000000"/>
              <w:bottom w:val="single" w:sz="4" w:space="0" w:color="000000"/>
              <w:right w:val="single" w:sz="8" w:space="0" w:color="000000"/>
            </w:tcBorders>
            <w:vAlign w:val="center"/>
          </w:tcPr>
          <w:p w14:paraId="7739A626"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-55.71%</w:t>
            </w:r>
          </w:p>
        </w:tc>
        <w:tc>
          <w:tcPr>
            <w:tcW w:w="1204" w:type="dxa"/>
            <w:tcBorders>
              <w:top w:val="single" w:sz="8" w:space="0" w:color="000000"/>
              <w:left w:val="single" w:sz="8" w:space="0" w:color="000000"/>
              <w:bottom w:val="single" w:sz="4" w:space="0" w:color="000000"/>
              <w:right w:val="single" w:sz="8" w:space="0" w:color="000000"/>
            </w:tcBorders>
            <w:vAlign w:val="center"/>
          </w:tcPr>
          <w:p w14:paraId="79A7E721" w14:textId="77777777" w:rsidR="007B7C2A" w:rsidRDefault="00072812">
            <w:pPr>
              <w:pStyle w:val="biaogecenter"/>
              <w:spacing w:line="240" w:lineRule="auto"/>
              <w:ind w:left="17"/>
              <w:jc w:val="left"/>
              <w:rPr>
                <w:rFonts w:asciiTheme="minorEastAsia" w:eastAsiaTheme="minorEastAsia" w:hAnsiTheme="minorEastAsia" w:hint="eastAsia"/>
                <w:color w:val="000000"/>
                <w:sz w:val="21"/>
                <w:szCs w:val="21"/>
              </w:rPr>
            </w:pPr>
            <w:r>
              <w:rPr>
                <w:rFonts w:asciiTheme="minorEastAsia" w:eastAsiaTheme="minorEastAsia" w:hAnsiTheme="minorEastAsia"/>
                <w:color w:val="000000"/>
                <w:sz w:val="21"/>
                <w:szCs w:val="21"/>
              </w:rPr>
              <w:t>0.91%</w:t>
            </w:r>
          </w:p>
        </w:tc>
      </w:tr>
    </w:tbl>
    <w:p w14:paraId="70535FD9" w14:textId="77777777" w:rsidR="007B7C2A" w:rsidRDefault="00072812">
      <w:pPr>
        <w:spacing w:line="360" w:lineRule="auto"/>
        <w:rPr>
          <w:rFonts w:ascii="宋体" w:eastAsia="宋体" w:hAnsi="宋体" w:cs="宋体" w:hint="eastAsia"/>
          <w:bCs/>
          <w:sz w:val="24"/>
        </w:rPr>
      </w:pPr>
      <w:r>
        <w:rPr>
          <w:rFonts w:ascii="宋体" w:eastAsia="宋体" w:hAnsi="宋体" w:cs="宋体" w:hint="eastAsia"/>
          <w:bCs/>
          <w:sz w:val="24"/>
        </w:rPr>
        <w:t>注：本基金的业绩比较基准为：中</w:t>
      </w:r>
      <w:proofErr w:type="gramStart"/>
      <w:r>
        <w:rPr>
          <w:rFonts w:ascii="宋体" w:eastAsia="宋体" w:hAnsi="宋体" w:cs="宋体" w:hint="eastAsia"/>
          <w:bCs/>
          <w:sz w:val="24"/>
        </w:rPr>
        <w:t>证全债指数</w:t>
      </w:r>
      <w:proofErr w:type="gramEnd"/>
      <w:r>
        <w:rPr>
          <w:rFonts w:ascii="宋体" w:eastAsia="宋体" w:hAnsi="宋体" w:cs="宋体" w:hint="eastAsia"/>
          <w:bCs/>
          <w:sz w:val="24"/>
        </w:rPr>
        <w:t>收益率×</w:t>
      </w:r>
      <w:r>
        <w:rPr>
          <w:rFonts w:ascii="宋体" w:eastAsia="宋体" w:hAnsi="宋体" w:cs="宋体" w:hint="eastAsia"/>
          <w:bCs/>
          <w:sz w:val="24"/>
        </w:rPr>
        <w:t>70%+</w:t>
      </w:r>
      <w:r>
        <w:rPr>
          <w:rFonts w:ascii="宋体" w:eastAsia="宋体" w:hAnsi="宋体" w:cs="宋体" w:hint="eastAsia"/>
          <w:bCs/>
          <w:sz w:val="24"/>
        </w:rPr>
        <w:t>沪深</w:t>
      </w:r>
      <w:r>
        <w:rPr>
          <w:rFonts w:ascii="宋体" w:eastAsia="宋体" w:hAnsi="宋体" w:cs="宋体" w:hint="eastAsia"/>
          <w:bCs/>
          <w:sz w:val="24"/>
        </w:rPr>
        <w:t>300</w:t>
      </w:r>
      <w:r>
        <w:rPr>
          <w:rFonts w:ascii="宋体" w:eastAsia="宋体" w:hAnsi="宋体" w:cs="宋体" w:hint="eastAsia"/>
          <w:bCs/>
          <w:sz w:val="24"/>
        </w:rPr>
        <w:t>指数收益率×</w:t>
      </w:r>
      <w:r>
        <w:rPr>
          <w:rFonts w:ascii="宋体" w:eastAsia="宋体" w:hAnsi="宋体" w:cs="宋体" w:hint="eastAsia"/>
          <w:bCs/>
          <w:sz w:val="24"/>
        </w:rPr>
        <w:t>30%</w:t>
      </w:r>
      <w:r>
        <w:rPr>
          <w:rFonts w:ascii="宋体" w:eastAsia="宋体" w:hAnsi="宋体" w:cs="宋体" w:hint="eastAsia"/>
          <w:bCs/>
          <w:sz w:val="24"/>
        </w:rPr>
        <w:t>。</w:t>
      </w:r>
      <w:r>
        <w:rPr>
          <w:rFonts w:ascii="宋体" w:eastAsia="宋体" w:hAnsi="宋体" w:cs="宋体" w:hint="eastAsia"/>
          <w:bCs/>
          <w:sz w:val="24"/>
        </w:rPr>
        <w:t xml:space="preserve"> </w:t>
      </w:r>
    </w:p>
    <w:p w14:paraId="4990FF31" w14:textId="77777777" w:rsidR="007B7C2A" w:rsidRDefault="007B7C2A">
      <w:pPr>
        <w:spacing w:line="360" w:lineRule="auto"/>
        <w:rPr>
          <w:rFonts w:ascii="宋体" w:eastAsia="宋体" w:hAnsi="宋体" w:cs="宋体" w:hint="eastAsia"/>
          <w:bCs/>
          <w:sz w:val="24"/>
        </w:rPr>
      </w:pPr>
    </w:p>
    <w:p w14:paraId="5A9AE247" w14:textId="77777777" w:rsidR="007B7C2A" w:rsidRDefault="00072812">
      <w:pPr>
        <w:spacing w:line="360" w:lineRule="auto"/>
        <w:rPr>
          <w:rFonts w:ascii="宋体" w:eastAsia="宋体" w:hAnsi="宋体" w:cs="宋体" w:hint="eastAsia"/>
          <w:bCs/>
          <w:sz w:val="24"/>
        </w:rPr>
      </w:pPr>
      <w:r>
        <w:rPr>
          <w:rFonts w:ascii="宋体" w:eastAsia="宋体" w:hAnsi="宋体" w:cs="宋体" w:hint="eastAsia"/>
          <w:bCs/>
          <w:sz w:val="24"/>
        </w:rPr>
        <w:t>（</w:t>
      </w:r>
      <w:r>
        <w:rPr>
          <w:rFonts w:ascii="宋体" w:eastAsia="宋体" w:hAnsi="宋体" w:cs="宋体" w:hint="eastAsia"/>
          <w:bCs/>
          <w:sz w:val="24"/>
        </w:rPr>
        <w:t>3</w:t>
      </w:r>
      <w:r>
        <w:rPr>
          <w:rFonts w:ascii="宋体" w:eastAsia="宋体" w:hAnsi="宋体" w:cs="宋体" w:hint="eastAsia"/>
          <w:bCs/>
          <w:sz w:val="24"/>
        </w:rPr>
        <w:t>）自基金合同生效以来基金累计净值增长率变动及其与同期业绩比较基准收益率变动的比较</w:t>
      </w:r>
    </w:p>
    <w:p w14:paraId="02E791B7" w14:textId="77777777" w:rsidR="007B7C2A" w:rsidRDefault="00072812">
      <w:pPr>
        <w:spacing w:line="360" w:lineRule="auto"/>
        <w:rPr>
          <w:rFonts w:ascii="宋体" w:eastAsia="宋体" w:hAnsi="宋体" w:cs="宋体" w:hint="eastAsia"/>
          <w:bCs/>
          <w:sz w:val="24"/>
        </w:rPr>
      </w:pPr>
      <w:r>
        <w:rPr>
          <w:rFonts w:hAnsi="Calibri"/>
          <w:noProof/>
          <w:color w:val="000000"/>
        </w:rPr>
        <w:drawing>
          <wp:inline distT="0" distB="0" distL="0" distR="0" wp14:anchorId="2032CA7A" wp14:editId="578E7B77">
            <wp:extent cx="5274310" cy="3426460"/>
            <wp:effectExtent l="0" t="0" r="2540" b="2540"/>
            <wp:docPr id="1" name="图片 1" descr="说明: D:\GZ\Bin\MOD\TMP\CN_51130000_004794_FB030020_2025000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D:\GZ\Bin\MOD\TMP\CN_51130000_004794_FB030020_20250004_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r>
        <w:rPr>
          <w:rFonts w:hAnsi="Calibri"/>
          <w:noProof/>
          <w:color w:val="000000"/>
        </w:rPr>
        <w:drawing>
          <wp:inline distT="0" distB="0" distL="0" distR="0" wp14:anchorId="10237992" wp14:editId="3BFB9AC0">
            <wp:extent cx="5274310" cy="3426460"/>
            <wp:effectExtent l="0" t="0" r="2540" b="2540"/>
            <wp:docPr id="4" name="图片 4" descr="说明: D:\GZ\Bin\MOD\TMP\CN_51130000_004794_FB030020_2025000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D:\GZ\Bin\MOD\TMP\CN_51130000_004794_FB030020_20250004_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4310" cy="3426460"/>
                    </a:xfrm>
                    <a:prstGeom prst="rect">
                      <a:avLst/>
                    </a:prstGeom>
                    <a:noFill/>
                    <a:ln>
                      <a:noFill/>
                    </a:ln>
                  </pic:spPr>
                </pic:pic>
              </a:graphicData>
            </a:graphic>
          </wp:inline>
        </w:drawing>
      </w:r>
    </w:p>
    <w:p w14:paraId="08CDDDBE" w14:textId="77777777" w:rsidR="007B7C2A" w:rsidRDefault="007B7C2A">
      <w:pPr>
        <w:spacing w:line="360" w:lineRule="auto"/>
        <w:ind w:firstLine="420"/>
      </w:pPr>
    </w:p>
    <w:p w14:paraId="5CC087B5" w14:textId="77777777" w:rsidR="007B7C2A" w:rsidRDefault="00072812">
      <w:pPr>
        <w:widowControl/>
        <w:jc w:val="left"/>
      </w:pPr>
      <w:r>
        <w:br w:type="page"/>
      </w:r>
    </w:p>
    <w:p w14:paraId="612318BD" w14:textId="77777777" w:rsidR="007B7C2A" w:rsidRDefault="00072812">
      <w:pPr>
        <w:pStyle w:val="1"/>
        <w:ind w:firstLine="602"/>
        <w:jc w:val="center"/>
        <w:rPr>
          <w:sz w:val="30"/>
          <w:szCs w:val="30"/>
        </w:rPr>
      </w:pPr>
      <w:bookmarkStart w:id="207" w:name="_Toc416264546"/>
      <w:bookmarkStart w:id="208" w:name="_Toc146096527"/>
      <w:bookmarkStart w:id="209" w:name="_Toc26084"/>
      <w:bookmarkStart w:id="210" w:name="_Toc139991741"/>
      <w:bookmarkStart w:id="211" w:name="_Toc26383"/>
      <w:bookmarkStart w:id="212" w:name="_Toc123051457"/>
      <w:bookmarkStart w:id="213" w:name="_Toc22674"/>
      <w:bookmarkStart w:id="214" w:name="_Toc141703891"/>
      <w:bookmarkStart w:id="215" w:name="_Toc31469"/>
      <w:bookmarkStart w:id="216" w:name="_Toc19520"/>
      <w:bookmarkStart w:id="217" w:name="_Toc16789"/>
      <w:bookmarkStart w:id="218" w:name="_Toc352229757"/>
      <w:bookmarkStart w:id="219" w:name="_Toc2255"/>
      <w:bookmarkStart w:id="220" w:name="_Toc21886"/>
      <w:bookmarkStart w:id="221" w:name="_Toc3244"/>
      <w:bookmarkStart w:id="222" w:name="_Toc123102458"/>
      <w:bookmarkStart w:id="223" w:name="_Toc79392624"/>
      <w:bookmarkStart w:id="224" w:name="_Toc48649710"/>
      <w:bookmarkStart w:id="225" w:name="_Toc14725"/>
      <w:bookmarkStart w:id="226" w:name="_Toc26152"/>
      <w:bookmarkStart w:id="227" w:name="_Toc98560357"/>
      <w:bookmarkStart w:id="228" w:name="_Toc123112239"/>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sz w:val="30"/>
          <w:szCs w:val="30"/>
        </w:rPr>
        <w:t>第十部分</w:t>
      </w:r>
      <w:r>
        <w:rPr>
          <w:sz w:val="30"/>
          <w:szCs w:val="30"/>
        </w:rPr>
        <w:t xml:space="preserve">  </w:t>
      </w:r>
      <w:r>
        <w:rPr>
          <w:rFonts w:hint="eastAsia"/>
          <w:sz w:val="30"/>
          <w:szCs w:val="30"/>
        </w:rPr>
        <w:t>基金的财产</w:t>
      </w:r>
      <w:bookmarkEnd w:id="207"/>
      <w:bookmarkEnd w:id="208"/>
    </w:p>
    <w:p w14:paraId="1A78EE18" w14:textId="77777777" w:rsidR="007B7C2A" w:rsidRDefault="00072812">
      <w:pPr>
        <w:adjustRightInd w:val="0"/>
        <w:snapToGrid w:val="0"/>
        <w:spacing w:line="360" w:lineRule="auto"/>
        <w:ind w:firstLineChars="200" w:firstLine="482"/>
        <w:rPr>
          <w:rFonts w:ascii="宋体" w:eastAsia="宋体" w:hAnsi="宋体" w:cs="Arial" w:hint="eastAsia"/>
          <w:b/>
          <w:sz w:val="24"/>
          <w:szCs w:val="24"/>
        </w:rPr>
      </w:pPr>
      <w:bookmarkStart w:id="229" w:name="_Toc263092319"/>
      <w:bookmarkStart w:id="230" w:name="_Toc214873600"/>
      <w:bookmarkStart w:id="231" w:name="_Toc416264547"/>
      <w:bookmarkStart w:id="232" w:name="_Toc22538"/>
      <w:bookmarkStart w:id="233" w:name="_Toc13343"/>
      <w:bookmarkStart w:id="234" w:name="_Toc5477"/>
      <w:bookmarkStart w:id="235" w:name="_Toc21917"/>
      <w:bookmarkStart w:id="236" w:name="_Toc16437"/>
      <w:bookmarkStart w:id="237" w:name="_Toc11351"/>
      <w:bookmarkStart w:id="238" w:name="_Toc3872"/>
      <w:bookmarkStart w:id="239" w:name="_Toc578"/>
      <w:bookmarkStart w:id="240" w:name="_Toc11395"/>
      <w:bookmarkStart w:id="241" w:name="_Toc352229758"/>
      <w:bookmarkStart w:id="242" w:name="_Toc801"/>
      <w:bookmarkStart w:id="243" w:name="_Toc2981"/>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宋体" w:eastAsia="宋体" w:hAnsi="宋体" w:cs="Arial" w:hint="eastAsia"/>
          <w:b/>
          <w:sz w:val="24"/>
          <w:szCs w:val="24"/>
        </w:rPr>
        <w:t>一、基金资产总值</w:t>
      </w:r>
    </w:p>
    <w:p w14:paraId="2C52C39F" w14:textId="77777777" w:rsidR="007B7C2A" w:rsidRDefault="00072812">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基金资产总值是指购买的各类证券及票据价值、银行存款本息和基金应收的申购基金款以及其他投资所形成的价值总和。</w:t>
      </w:r>
    </w:p>
    <w:p w14:paraId="7E276760" w14:textId="77777777" w:rsidR="007B7C2A" w:rsidRDefault="00072812">
      <w:pPr>
        <w:adjustRightInd w:val="0"/>
        <w:snapToGrid w:val="0"/>
        <w:spacing w:line="360" w:lineRule="auto"/>
        <w:ind w:firstLineChars="200" w:firstLine="482"/>
        <w:rPr>
          <w:rFonts w:ascii="宋体" w:eastAsia="宋体" w:hAnsi="宋体" w:cs="Arial" w:hint="eastAsia"/>
          <w:b/>
          <w:sz w:val="24"/>
          <w:szCs w:val="24"/>
        </w:rPr>
      </w:pPr>
      <w:r>
        <w:rPr>
          <w:rFonts w:ascii="宋体" w:eastAsia="宋体" w:hAnsi="宋体" w:cs="Arial" w:hint="eastAsia"/>
          <w:b/>
          <w:sz w:val="24"/>
          <w:szCs w:val="24"/>
        </w:rPr>
        <w:t>二、基金资产净值</w:t>
      </w:r>
    </w:p>
    <w:p w14:paraId="48B5CC0E" w14:textId="77777777" w:rsidR="007B7C2A" w:rsidRDefault="00072812">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基金资产净值是指基金资产总值减去基金负债后的价值。</w:t>
      </w:r>
    </w:p>
    <w:p w14:paraId="01620A6F" w14:textId="77777777" w:rsidR="007B7C2A" w:rsidRDefault="00072812">
      <w:pPr>
        <w:adjustRightInd w:val="0"/>
        <w:snapToGrid w:val="0"/>
        <w:spacing w:line="360" w:lineRule="auto"/>
        <w:ind w:firstLineChars="200" w:firstLine="482"/>
        <w:rPr>
          <w:rFonts w:ascii="宋体" w:eastAsia="宋体" w:hAnsi="宋体" w:cs="Arial" w:hint="eastAsia"/>
          <w:b/>
          <w:sz w:val="24"/>
          <w:szCs w:val="24"/>
        </w:rPr>
      </w:pPr>
      <w:r>
        <w:rPr>
          <w:rFonts w:ascii="宋体" w:eastAsia="宋体" w:hAnsi="宋体" w:cs="Arial" w:hint="eastAsia"/>
          <w:b/>
          <w:sz w:val="24"/>
          <w:szCs w:val="24"/>
        </w:rPr>
        <w:t>三、基金财产的账户</w:t>
      </w:r>
    </w:p>
    <w:p w14:paraId="2936F388" w14:textId="77777777" w:rsidR="007B7C2A" w:rsidRDefault="00072812">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C296C85" w14:textId="77777777" w:rsidR="007B7C2A" w:rsidRDefault="00072812">
      <w:pPr>
        <w:adjustRightInd w:val="0"/>
        <w:snapToGrid w:val="0"/>
        <w:spacing w:line="360" w:lineRule="auto"/>
        <w:ind w:firstLineChars="200" w:firstLine="482"/>
        <w:rPr>
          <w:rFonts w:ascii="宋体" w:eastAsia="宋体" w:hAnsi="宋体" w:cs="Arial" w:hint="eastAsia"/>
          <w:b/>
          <w:sz w:val="24"/>
          <w:szCs w:val="24"/>
        </w:rPr>
      </w:pPr>
      <w:r>
        <w:rPr>
          <w:rFonts w:ascii="宋体" w:eastAsia="宋体" w:hAnsi="宋体" w:cs="Arial" w:hint="eastAsia"/>
          <w:b/>
          <w:sz w:val="24"/>
          <w:szCs w:val="24"/>
        </w:rPr>
        <w:t>四、基金财产的保管和处分</w:t>
      </w:r>
    </w:p>
    <w:p w14:paraId="1C34ED91" w14:textId="77777777" w:rsidR="007B7C2A" w:rsidRDefault="00072812">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eastAsia="宋体" w:hAnsi="宋体" w:cs="Arial" w:hint="eastAsia"/>
          <w:sz w:val="24"/>
          <w:szCs w:val="24"/>
        </w:rPr>
        <w:t>律法规</w:t>
      </w:r>
      <w:proofErr w:type="gramEnd"/>
      <w:r>
        <w:rPr>
          <w:rFonts w:ascii="宋体" w:eastAsia="宋体" w:hAnsi="宋体" w:cs="Arial" w:hint="eastAsia"/>
          <w:sz w:val="24"/>
          <w:szCs w:val="24"/>
        </w:rPr>
        <w:t>和《基金合同》的规定处分外，基金财产不得被处分。</w:t>
      </w:r>
    </w:p>
    <w:p w14:paraId="358A9B29" w14:textId="77777777" w:rsidR="007B7C2A" w:rsidRDefault="00072812">
      <w:pPr>
        <w:adjustRightInd w:val="0"/>
        <w:snapToGrid w:val="0"/>
        <w:spacing w:line="360" w:lineRule="auto"/>
        <w:ind w:firstLineChars="200" w:firstLine="480"/>
        <w:rPr>
          <w:rFonts w:ascii="宋体" w:eastAsia="宋体" w:hAnsi="宋体" w:cs="Arial" w:hint="eastAsia"/>
          <w:sz w:val="24"/>
          <w:szCs w:val="24"/>
        </w:rPr>
      </w:pPr>
      <w:r>
        <w:rPr>
          <w:rFonts w:ascii="宋体" w:eastAsia="宋体" w:hAnsi="宋体" w:cs="Arial" w:hint="eastAsia"/>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eastAsia="宋体" w:hAnsi="宋体" w:cs="Arial" w:hint="eastAsia"/>
          <w:sz w:val="24"/>
          <w:szCs w:val="24"/>
        </w:rPr>
        <w:t>抵销</w:t>
      </w:r>
      <w:proofErr w:type="gramEnd"/>
      <w:r>
        <w:rPr>
          <w:rFonts w:ascii="宋体" w:eastAsia="宋体" w:hAnsi="宋体" w:cs="Arial" w:hint="eastAsia"/>
          <w:sz w:val="24"/>
          <w:szCs w:val="24"/>
        </w:rPr>
        <w:t>；基金管理人管理运作不同基金的基金财产所产生的债权债务不得相互</w:t>
      </w:r>
      <w:proofErr w:type="gramStart"/>
      <w:r>
        <w:rPr>
          <w:rFonts w:ascii="宋体" w:eastAsia="宋体" w:hAnsi="宋体" w:cs="Arial" w:hint="eastAsia"/>
          <w:sz w:val="24"/>
          <w:szCs w:val="24"/>
        </w:rPr>
        <w:t>抵销</w:t>
      </w:r>
      <w:proofErr w:type="gramEnd"/>
      <w:r>
        <w:rPr>
          <w:rFonts w:ascii="宋体" w:eastAsia="宋体" w:hAnsi="宋体" w:cs="Arial" w:hint="eastAsia"/>
          <w:sz w:val="24"/>
          <w:szCs w:val="24"/>
        </w:rPr>
        <w:t>。</w:t>
      </w:r>
    </w:p>
    <w:p w14:paraId="216F3250" w14:textId="77777777" w:rsidR="007B7C2A" w:rsidRDefault="00072812">
      <w:pPr>
        <w:widowControl/>
        <w:jc w:val="left"/>
        <w:rPr>
          <w:rFonts w:ascii="宋体" w:eastAsia="宋体" w:hAnsi="宋体" w:cs="Arial" w:hint="eastAsia"/>
          <w:sz w:val="24"/>
          <w:szCs w:val="24"/>
        </w:rPr>
      </w:pPr>
      <w:r>
        <w:rPr>
          <w:rFonts w:ascii="宋体" w:eastAsia="宋体" w:hAnsi="宋体" w:cs="Arial"/>
          <w:sz w:val="24"/>
          <w:szCs w:val="24"/>
        </w:rPr>
        <w:br w:type="page"/>
      </w:r>
    </w:p>
    <w:p w14:paraId="41E9E64D" w14:textId="77777777" w:rsidR="007B7C2A" w:rsidRDefault="00072812">
      <w:pPr>
        <w:pStyle w:val="1"/>
        <w:ind w:firstLine="602"/>
        <w:jc w:val="center"/>
        <w:rPr>
          <w:sz w:val="30"/>
          <w:szCs w:val="30"/>
        </w:rPr>
      </w:pPr>
      <w:bookmarkStart w:id="244" w:name="_Toc146096528"/>
      <w:r>
        <w:rPr>
          <w:rFonts w:hint="eastAsia"/>
          <w:sz w:val="30"/>
          <w:szCs w:val="30"/>
        </w:rPr>
        <w:t>第十一部分</w:t>
      </w:r>
      <w:r>
        <w:rPr>
          <w:sz w:val="30"/>
          <w:szCs w:val="30"/>
        </w:rPr>
        <w:t xml:space="preserve">  </w:t>
      </w:r>
      <w:r>
        <w:rPr>
          <w:rFonts w:hint="eastAsia"/>
          <w:sz w:val="30"/>
          <w:szCs w:val="30"/>
        </w:rPr>
        <w:t>基金资产的估值</w:t>
      </w:r>
      <w:bookmarkEnd w:id="229"/>
      <w:bookmarkEnd w:id="230"/>
      <w:bookmarkEnd w:id="231"/>
      <w:bookmarkEnd w:id="244"/>
    </w:p>
    <w:p w14:paraId="4534FD80" w14:textId="77777777" w:rsidR="007B7C2A" w:rsidRDefault="00072812">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一、估值日</w:t>
      </w:r>
    </w:p>
    <w:p w14:paraId="1CEDF61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本基金的估值日为本基金相关的证券交易场所的交易日以及国家法律法规规定需要对外披露基金净值的</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日。</w:t>
      </w:r>
    </w:p>
    <w:p w14:paraId="70058021" w14:textId="77777777" w:rsidR="007B7C2A" w:rsidRDefault="00072812">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二、估值对象</w:t>
      </w:r>
    </w:p>
    <w:p w14:paraId="1E11544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基金所拥有的股票、存托凭证、股指期货合约、国债期货合约、股票期权合约、权证、债券和银行存款本息、应收款项、其它投资等资产及负债。</w:t>
      </w:r>
    </w:p>
    <w:p w14:paraId="19DBA714" w14:textId="77777777" w:rsidR="007B7C2A" w:rsidRDefault="00072812">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三、估值方法</w:t>
      </w:r>
    </w:p>
    <w:p w14:paraId="1AA557F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42CBDA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、交易所市场交易的固定收益品种的估值</w:t>
      </w:r>
    </w:p>
    <w:p w14:paraId="5374937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）对在交易所市场上市交易或挂牌转让的固定收益品种，选取第三方估值机构提供的相应品种当日的估值净价进行估值；</w:t>
      </w:r>
    </w:p>
    <w:p w14:paraId="3A4A60B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）对在交易所市场上市交易的可转换债券，按估值日收盘价减去可转换债券收盘价中所含债券应收利息后得到的净价进行估值；</w:t>
      </w:r>
    </w:p>
    <w:p w14:paraId="526C816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）对在交易所市场挂牌转让的资产支持证券，采用估值技术确定公允价值，在估值技术难以可靠计量公允价值的情况下，按成本估值；</w:t>
      </w:r>
    </w:p>
    <w:p w14:paraId="27AD261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）对在交易所市场发行未上市或未挂牌转让的固定收益品种，采用估值技术确定公允价值，在估值技术难以可靠计量公允价值的情况下，按成本估值。</w:t>
      </w:r>
    </w:p>
    <w:p w14:paraId="389BC3E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、银行间市场交易的固定收益品种的估值</w:t>
      </w:r>
    </w:p>
    <w:p w14:paraId="4AB77CE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）银行间市场交易的固定收益品种，选取第三方估值机构提供的相应品种当日的估值净价进行估值。</w:t>
      </w:r>
    </w:p>
    <w:p w14:paraId="7C3FEA7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）对银行间市场未上市，且第三方估值机构未提供估值价格的固定收益品种，按成本估值。</w:t>
      </w:r>
    </w:p>
    <w:p w14:paraId="3B1369D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、处于未上市期间的有价证券应区分如下情况处理：</w:t>
      </w:r>
    </w:p>
    <w:p w14:paraId="72D0525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）送股、转增股、配股和公开增发的新股，按估值日在证券交易所挂牌的同一股票的估值方法估值；该日无交易的，以最近一日的市价（收盘价）估值；</w:t>
      </w:r>
    </w:p>
    <w:p w14:paraId="3CF4C44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）首次公开发行未上市的股票、债券和权证，采用估值技术确定公允价值，在估值技术难以可靠计量公允价值的情况下，按成本估值；</w:t>
      </w:r>
    </w:p>
    <w:p w14:paraId="1519BED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17BC088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、同一债券同时在两个或两个以上市场交易的，按债券所处的市场分别估值。</w:t>
      </w:r>
    </w:p>
    <w:p w14:paraId="23A0715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w:t>
      </w:r>
      <w:r>
        <w:rPr>
          <w:rFonts w:asciiTheme="minorEastAsia" w:hAnsiTheme="minorEastAsia" w:cs="Times New Roman" w:hint="eastAsia"/>
          <w:bCs/>
          <w:sz w:val="24"/>
          <w:szCs w:val="24"/>
        </w:rPr>
        <w:t>、本基金投资股指期货、国债期货合约，一般以估值当日结算价进行估值，估值当日无结算价的，且最近交易日后经济环境未发生重大变化的，采用最近交易日结算价估值。</w:t>
      </w:r>
    </w:p>
    <w:p w14:paraId="5D2832C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7</w:t>
      </w:r>
      <w:r>
        <w:rPr>
          <w:rFonts w:asciiTheme="minorEastAsia" w:hAnsiTheme="minorEastAsia" w:cs="Times New Roman" w:hint="eastAsia"/>
          <w:bCs/>
          <w:sz w:val="24"/>
          <w:szCs w:val="24"/>
        </w:rPr>
        <w:t>、中小企业私募债券，采用估值技术确定公允价值。在估值技术难以可靠计量公允价值的情况下，按成本估值。</w:t>
      </w:r>
    </w:p>
    <w:p w14:paraId="6A31BE6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8</w:t>
      </w:r>
      <w:r>
        <w:rPr>
          <w:rFonts w:asciiTheme="minorEastAsia" w:hAnsiTheme="minorEastAsia" w:cs="Times New Roman" w:hint="eastAsia"/>
          <w:bCs/>
          <w:sz w:val="24"/>
          <w:szCs w:val="24"/>
        </w:rPr>
        <w:t>、本基金投资股票期权，根据相关法律法规以及监管部门的规定估值。</w:t>
      </w:r>
    </w:p>
    <w:p w14:paraId="1162971E" w14:textId="77777777" w:rsidR="007B7C2A" w:rsidRDefault="00072812">
      <w:pPr>
        <w:autoSpaceDE w:val="0"/>
        <w:autoSpaceDN w:val="0"/>
        <w:spacing w:line="360" w:lineRule="auto"/>
        <w:ind w:firstLineChars="200" w:firstLine="480"/>
        <w:textAlignment w:val="bottom"/>
        <w:rPr>
          <w:bCs/>
          <w:sz w:val="24"/>
        </w:rPr>
      </w:pPr>
      <w:r>
        <w:rPr>
          <w:rFonts w:hint="eastAsia"/>
          <w:bCs/>
          <w:sz w:val="24"/>
        </w:rPr>
        <w:t>9</w:t>
      </w:r>
      <w:r>
        <w:rPr>
          <w:rFonts w:hint="eastAsia"/>
          <w:bCs/>
          <w:sz w:val="24"/>
        </w:rPr>
        <w:t>、当本基金发生大额申购或赎回情形时，基金管理人可以对本基金采用摆动定价机制，以确保基金估值的公平性。</w:t>
      </w:r>
    </w:p>
    <w:p w14:paraId="0E4C0CA1" w14:textId="77777777" w:rsidR="007B7C2A" w:rsidRDefault="00072812">
      <w:pPr>
        <w:autoSpaceDE w:val="0"/>
        <w:autoSpaceDN w:val="0"/>
        <w:spacing w:line="360" w:lineRule="auto"/>
        <w:ind w:firstLineChars="200" w:firstLine="480"/>
        <w:textAlignment w:val="bottom"/>
        <w:rPr>
          <w:bCs/>
          <w:sz w:val="24"/>
        </w:rPr>
      </w:pPr>
      <w:r>
        <w:rPr>
          <w:bCs/>
          <w:sz w:val="24"/>
        </w:rPr>
        <w:t>10</w:t>
      </w:r>
      <w:r>
        <w:rPr>
          <w:bCs/>
          <w:sz w:val="24"/>
        </w:rPr>
        <w:t>、</w:t>
      </w:r>
      <w:r>
        <w:rPr>
          <w:rFonts w:hint="eastAsia"/>
          <w:bCs/>
          <w:sz w:val="24"/>
        </w:rPr>
        <w:t>本基金投资存托凭证的估值核算，依照境内上市交易的股票执行。</w:t>
      </w:r>
    </w:p>
    <w:p w14:paraId="168D2ED8" w14:textId="77777777" w:rsidR="007B7C2A" w:rsidRDefault="00072812">
      <w:pPr>
        <w:autoSpaceDE w:val="0"/>
        <w:autoSpaceDN w:val="0"/>
        <w:spacing w:line="360" w:lineRule="auto"/>
        <w:ind w:firstLineChars="200" w:firstLine="480"/>
        <w:textAlignment w:val="bottom"/>
        <w:rPr>
          <w:bCs/>
          <w:sz w:val="24"/>
        </w:rPr>
      </w:pPr>
      <w:r>
        <w:rPr>
          <w:rFonts w:hint="eastAsia"/>
          <w:bCs/>
          <w:sz w:val="24"/>
        </w:rPr>
        <w:t>11</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14:paraId="414ACA58" w14:textId="77777777" w:rsidR="007B7C2A" w:rsidRDefault="00072812">
      <w:pPr>
        <w:autoSpaceDE w:val="0"/>
        <w:autoSpaceDN w:val="0"/>
        <w:spacing w:line="360" w:lineRule="auto"/>
        <w:ind w:firstLineChars="200" w:firstLine="480"/>
        <w:textAlignment w:val="bottom"/>
        <w:rPr>
          <w:bCs/>
          <w:sz w:val="24"/>
        </w:rPr>
      </w:pPr>
      <w:r>
        <w:rPr>
          <w:bCs/>
          <w:sz w:val="24"/>
        </w:rPr>
        <w:t>1</w:t>
      </w:r>
      <w:r>
        <w:rPr>
          <w:rFonts w:hint="eastAsia"/>
          <w:bCs/>
          <w:sz w:val="24"/>
        </w:rPr>
        <w:t>2</w:t>
      </w:r>
      <w:r>
        <w:rPr>
          <w:bCs/>
          <w:sz w:val="24"/>
        </w:rPr>
        <w:t>、相关法律法规以及监管部门有强制规定的，从其规定。如有新增事项，按国家最新规定估值。</w:t>
      </w:r>
    </w:p>
    <w:p w14:paraId="6D415C7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F84706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16D839E5" w14:textId="77777777" w:rsidR="007B7C2A" w:rsidRDefault="00072812">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四、估值程序</w:t>
      </w:r>
    </w:p>
    <w:p w14:paraId="0031B50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、各类基金份额净值是按照每个工作日闭市后，该类基金资产净值除以当日该类基金份额的余额数量计算，精确到</w:t>
      </w:r>
      <w:r>
        <w:rPr>
          <w:rFonts w:asciiTheme="minorEastAsia" w:hAnsiTheme="minorEastAsia" w:cs="Times New Roman" w:hint="eastAsia"/>
          <w:bCs/>
          <w:sz w:val="24"/>
          <w:szCs w:val="24"/>
        </w:rPr>
        <w:t>0.0001</w:t>
      </w:r>
      <w:r>
        <w:rPr>
          <w:rFonts w:asciiTheme="minorEastAsia" w:hAnsiTheme="minorEastAsia" w:cs="Times New Roman" w:hint="eastAsia"/>
          <w:bCs/>
          <w:sz w:val="24"/>
          <w:szCs w:val="24"/>
        </w:rPr>
        <w:t>元，小数点后第</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位四舍五入。国家另有规定的，从其规定。</w:t>
      </w:r>
    </w:p>
    <w:p w14:paraId="0DFA6ED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每个工作日计算基金资产净值及两类基金份额净值，并按规定公告。</w:t>
      </w:r>
    </w:p>
    <w:p w14:paraId="5B79EDE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、基金管理人</w:t>
      </w:r>
      <w:proofErr w:type="gramStart"/>
      <w:r>
        <w:rPr>
          <w:rFonts w:asciiTheme="minorEastAsia" w:hAnsiTheme="minorEastAsia" w:cs="Times New Roman" w:hint="eastAsia"/>
          <w:bCs/>
          <w:sz w:val="24"/>
          <w:szCs w:val="24"/>
        </w:rPr>
        <w:t>应每个</w:t>
      </w:r>
      <w:proofErr w:type="gramEnd"/>
      <w:r>
        <w:rPr>
          <w:rFonts w:asciiTheme="minorEastAsia" w:hAnsiTheme="minorEastAsia" w:cs="Times New Roman" w:hint="eastAsia"/>
          <w:bCs/>
          <w:sz w:val="24"/>
          <w:szCs w:val="24"/>
        </w:rPr>
        <w:t>工作日对基金资产估值。但基金管理人根据法律法规或基金合同的规定暂停估值时除外。基金管理人每个工作日对基金资产估值后，将两类基金份额净值结果发送基金托管人，经基金托管人复核无误后，由基金管理人对外公布。</w:t>
      </w:r>
    </w:p>
    <w:p w14:paraId="6FA915BC" w14:textId="77777777" w:rsidR="007B7C2A" w:rsidRDefault="00072812">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五、估值错误的处理</w:t>
      </w:r>
    </w:p>
    <w:p w14:paraId="44B3B6A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基金管理人和基金托管人将采取必要、适当、合理的措施确保基金资产估值的准确性、及时性。当基金份额净值小数点后</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位以内（含第</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位）发生估值错误时，视为基金份额净值错误。</w:t>
      </w:r>
    </w:p>
    <w:p w14:paraId="3D72C0C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基金合同的当事人应按照以下约定处理：</w:t>
      </w:r>
    </w:p>
    <w:p w14:paraId="7659FD7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、估值错误类型</w:t>
      </w:r>
    </w:p>
    <w:p w14:paraId="755D850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FC59D2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上述估值错误的主要类型包括但不限于：资料申报差错、数据传输差错、数据计算差错、系统故障差错、下达指令差错等。</w:t>
      </w:r>
    </w:p>
    <w:p w14:paraId="7B2A0CB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、估值错误处理原则</w:t>
      </w:r>
    </w:p>
    <w:p w14:paraId="1736FA3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329BDC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）估值错误的责任方对有关当事人的直接损失负责，不对间接损失负责，并且仅对估值错误的有关直接当事人负责，不对第三方负责。</w:t>
      </w:r>
    </w:p>
    <w:p w14:paraId="6361BB0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）因估值错误而获得不当得利的当事人负有及时返还不当得利的义务。但估值错误责任方仍应对估值错误负责。如果由于获得不当得利的当事人</w:t>
      </w:r>
      <w:proofErr w:type="gramStart"/>
      <w:r>
        <w:rPr>
          <w:rFonts w:asciiTheme="minorEastAsia" w:hAnsiTheme="minorEastAsia" w:cs="Times New Roman" w:hint="eastAsia"/>
          <w:bCs/>
          <w:sz w:val="24"/>
          <w:szCs w:val="24"/>
        </w:rPr>
        <w:t>不</w:t>
      </w:r>
      <w:proofErr w:type="gramEnd"/>
      <w:r>
        <w:rPr>
          <w:rFonts w:asciiTheme="minorEastAsia" w:hAnsiTheme="minorEastAsia" w:cs="Times New Roman" w:hint="eastAsia"/>
          <w:bCs/>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74FF50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）估值错误调整采用尽量恢复至假设未发生估值错误的正确情形的方式。</w:t>
      </w:r>
    </w:p>
    <w:p w14:paraId="1178A57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14:paraId="5C71042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）如果出现估值错误的当事人未按规定对受损方进行赔偿，并且依据法律、行政法规、《基金合同》或其他规定，基金管理人自行或依据法院判决、仲裁裁决对受损方承担了赔偿责任，</w:t>
      </w:r>
      <w:proofErr w:type="gramStart"/>
      <w:r>
        <w:rPr>
          <w:rFonts w:asciiTheme="minorEastAsia" w:hAnsiTheme="minorEastAsia" w:cs="Times New Roman" w:hint="eastAsia"/>
          <w:bCs/>
          <w:sz w:val="24"/>
          <w:szCs w:val="24"/>
        </w:rPr>
        <w:t>则基金</w:t>
      </w:r>
      <w:proofErr w:type="gramEnd"/>
      <w:r>
        <w:rPr>
          <w:rFonts w:asciiTheme="minorEastAsia" w:hAnsiTheme="minorEastAsia" w:cs="Times New Roman" w:hint="eastAsia"/>
          <w:bCs/>
          <w:sz w:val="24"/>
          <w:szCs w:val="24"/>
        </w:rPr>
        <w:t>管理人有权向出现过错的当事人进行追索，并有权要求其赔偿或补偿由此发生的费用和遭受的损失。</w:t>
      </w:r>
    </w:p>
    <w:p w14:paraId="76B9F76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）按法律法规规定的其他原则处理估值错误。</w:t>
      </w:r>
    </w:p>
    <w:p w14:paraId="575622E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、估值错误处理程序</w:t>
      </w:r>
    </w:p>
    <w:p w14:paraId="1E86FAE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估值错误被发现后，有关的当事人应当及时进行处理，处理的程序如下：</w:t>
      </w:r>
    </w:p>
    <w:p w14:paraId="3B55103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）查明估值错误发生的原因，列明所有的当事人，并根据估值错误发生的原因确定估值错误的责任方；</w:t>
      </w:r>
    </w:p>
    <w:p w14:paraId="495CF29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）根据估值错误处理原则或当事人协商的方法对因估值错误造成的损失进行评估；</w:t>
      </w:r>
    </w:p>
    <w:p w14:paraId="0DD2689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）根据估值错误处理原则或当事人协商的方法由估值错误的责任方进行更正和赔偿损失；</w:t>
      </w:r>
    </w:p>
    <w:p w14:paraId="5C02258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）根据估值错误处理的方法，需要修改基金登记机构交易数据的，由基金登记机构进行更正，并就估值错误的更正向有关当事人进行确认。</w:t>
      </w:r>
    </w:p>
    <w:p w14:paraId="5966248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、基金份额净值估值错误处理的方法如下：</w:t>
      </w:r>
    </w:p>
    <w:p w14:paraId="3E9508C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）基金份额净值计算出现错误时，基金管理人应当立即予以纠正，通报基金托管人，并采取合理的措施防止损失进一步扩大。</w:t>
      </w:r>
    </w:p>
    <w:p w14:paraId="767E355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）错误偏差达到基金份额净值的</w:t>
      </w:r>
      <w:r>
        <w:rPr>
          <w:rFonts w:asciiTheme="minorEastAsia" w:hAnsiTheme="minorEastAsia" w:cs="Times New Roman" w:hint="eastAsia"/>
          <w:bCs/>
          <w:sz w:val="24"/>
          <w:szCs w:val="24"/>
        </w:rPr>
        <w:t>0.25%</w:t>
      </w:r>
      <w:r>
        <w:rPr>
          <w:rFonts w:asciiTheme="minorEastAsia" w:hAnsiTheme="minorEastAsia" w:cs="Times New Roman" w:hint="eastAsia"/>
          <w:bCs/>
          <w:sz w:val="24"/>
          <w:szCs w:val="24"/>
        </w:rPr>
        <w:t>时，基金管理人应当通报基金托管人并报中国证监会备案；错误偏差达到基金份额净值的</w:t>
      </w:r>
      <w:r>
        <w:rPr>
          <w:rFonts w:asciiTheme="minorEastAsia" w:hAnsiTheme="minorEastAsia" w:cs="Times New Roman" w:hint="eastAsia"/>
          <w:bCs/>
          <w:sz w:val="24"/>
          <w:szCs w:val="24"/>
        </w:rPr>
        <w:t>0.5%</w:t>
      </w:r>
      <w:r>
        <w:rPr>
          <w:rFonts w:asciiTheme="minorEastAsia" w:hAnsiTheme="minorEastAsia" w:cs="Times New Roman" w:hint="eastAsia"/>
          <w:bCs/>
          <w:sz w:val="24"/>
          <w:szCs w:val="24"/>
        </w:rPr>
        <w:t>时，基金管理人应当公告。</w:t>
      </w:r>
    </w:p>
    <w:p w14:paraId="62D1719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）前述内容如法律法规或监管机关另有规定的，从其规定处理。</w:t>
      </w:r>
      <w:r>
        <w:rPr>
          <w:rFonts w:asciiTheme="minorEastAsia" w:hAnsiTheme="minorEastAsia" w:cs="Times New Roman" w:hint="eastAsia"/>
          <w:bCs/>
          <w:sz w:val="24"/>
          <w:szCs w:val="24"/>
        </w:rPr>
        <w:t xml:space="preserve"> </w:t>
      </w:r>
    </w:p>
    <w:p w14:paraId="1800B5F5" w14:textId="77777777" w:rsidR="007B7C2A" w:rsidRDefault="00072812">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六、暂停估值的情形</w:t>
      </w:r>
    </w:p>
    <w:p w14:paraId="6E513FA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、基金投资所涉及的证券、期货交易市场遇法定节假日或因其他原因暂停营业时；</w:t>
      </w:r>
    </w:p>
    <w:p w14:paraId="3E031C9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、因不可抗力致使基金管理人、基金托管人无法准确评估基金资产价值时；</w:t>
      </w:r>
    </w:p>
    <w:p w14:paraId="186BC41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hint="eastAsia"/>
          <w:bCs/>
          <w:sz w:val="24"/>
        </w:rPr>
        <w:t>3</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公允价值存在重大不确定性时，经与基金托管人协商一致的；</w:t>
      </w:r>
    </w:p>
    <w:p w14:paraId="794F536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、中国证监会和基金合同认定的其它情形。</w:t>
      </w:r>
    </w:p>
    <w:p w14:paraId="73400343" w14:textId="77777777" w:rsidR="007B7C2A" w:rsidRDefault="00072812">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七、基金净值的确认</w:t>
      </w:r>
    </w:p>
    <w:p w14:paraId="79CA27F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用于基金信息披露的基金资产净值和两类基金份额净值由基金管理人负责计算，基金托管人负责进行复核。基金管理人应于每个开放日交易结束后计算当日的基金资产净值和两类基金份额净值并发送给基金托管人。基金托管人对净值计算结果复核确认后发送给基金管理人，由基金管理人对基金净值按约定予以公布。</w:t>
      </w:r>
    </w:p>
    <w:p w14:paraId="5B6CD81F" w14:textId="77777777" w:rsidR="007B7C2A" w:rsidRDefault="00072812">
      <w:pPr>
        <w:widowControl/>
        <w:spacing w:line="360" w:lineRule="auto"/>
        <w:ind w:firstLineChars="200" w:firstLine="482"/>
        <w:jc w:val="left"/>
        <w:rPr>
          <w:rFonts w:asciiTheme="minorEastAsia" w:hAnsiTheme="minorEastAsia" w:cs="Times New Roman" w:hint="eastAsia"/>
          <w:b/>
          <w:bCs/>
          <w:sz w:val="24"/>
          <w:szCs w:val="24"/>
        </w:rPr>
      </w:pPr>
      <w:r>
        <w:rPr>
          <w:rFonts w:asciiTheme="minorEastAsia" w:hAnsiTheme="minorEastAsia" w:cs="Times New Roman" w:hint="eastAsia"/>
          <w:b/>
          <w:bCs/>
          <w:sz w:val="24"/>
          <w:szCs w:val="24"/>
        </w:rPr>
        <w:t>八、特殊情况的处理</w:t>
      </w:r>
    </w:p>
    <w:p w14:paraId="79ABF48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、基金管理人或基金托管人按估值方法的第</w:t>
      </w:r>
      <w:r>
        <w:rPr>
          <w:rFonts w:asciiTheme="minorEastAsia" w:hAnsiTheme="minorEastAsia" w:cs="Times New Roman" w:hint="eastAsia"/>
          <w:bCs/>
          <w:sz w:val="24"/>
          <w:szCs w:val="24"/>
        </w:rPr>
        <w:t>11</w:t>
      </w:r>
      <w:r>
        <w:rPr>
          <w:rFonts w:asciiTheme="minorEastAsia" w:hAnsiTheme="minorEastAsia" w:cs="Times New Roman" w:hint="eastAsia"/>
          <w:bCs/>
          <w:sz w:val="24"/>
          <w:szCs w:val="24"/>
        </w:rPr>
        <w:t>项进行估值时，所造成的误差不作为基金资产估值错误处理。</w:t>
      </w:r>
    </w:p>
    <w:p w14:paraId="54D1B68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r>
        <w:rPr>
          <w:rFonts w:asciiTheme="minorEastAsia" w:hAnsiTheme="minorEastAsia" w:cs="Times New Roman" w:hint="eastAsia"/>
          <w:bCs/>
          <w:sz w:val="24"/>
          <w:szCs w:val="24"/>
        </w:rPr>
        <w:t xml:space="preserve"> </w:t>
      </w:r>
    </w:p>
    <w:p w14:paraId="0C53B202" w14:textId="77777777" w:rsidR="007B7C2A" w:rsidRDefault="00072812">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01E0B838" w14:textId="77777777" w:rsidR="007B7C2A" w:rsidRDefault="00072812">
      <w:pPr>
        <w:pStyle w:val="1"/>
        <w:ind w:firstLine="602"/>
        <w:jc w:val="center"/>
        <w:rPr>
          <w:sz w:val="30"/>
          <w:szCs w:val="30"/>
          <w:lang w:val="en-US"/>
        </w:rPr>
      </w:pPr>
      <w:bookmarkStart w:id="245" w:name="_Toc263092320"/>
      <w:bookmarkStart w:id="246" w:name="_Toc416264548"/>
      <w:bookmarkStart w:id="247" w:name="_Toc146096529"/>
      <w:bookmarkEnd w:id="232"/>
      <w:bookmarkEnd w:id="233"/>
      <w:bookmarkEnd w:id="234"/>
      <w:bookmarkEnd w:id="235"/>
      <w:bookmarkEnd w:id="236"/>
      <w:bookmarkEnd w:id="237"/>
      <w:bookmarkEnd w:id="238"/>
      <w:bookmarkEnd w:id="239"/>
      <w:bookmarkEnd w:id="240"/>
      <w:bookmarkEnd w:id="241"/>
      <w:bookmarkEnd w:id="242"/>
      <w:bookmarkEnd w:id="243"/>
      <w:r>
        <w:rPr>
          <w:rFonts w:hint="eastAsia"/>
          <w:sz w:val="30"/>
          <w:szCs w:val="30"/>
        </w:rPr>
        <w:t>第十二部分</w:t>
      </w:r>
      <w:r>
        <w:rPr>
          <w:sz w:val="30"/>
          <w:szCs w:val="30"/>
          <w:lang w:val="en-US"/>
        </w:rPr>
        <w:t xml:space="preserve">  </w:t>
      </w:r>
      <w:r>
        <w:rPr>
          <w:rFonts w:hint="eastAsia"/>
          <w:sz w:val="30"/>
          <w:szCs w:val="30"/>
        </w:rPr>
        <w:t>基金的收益分配</w:t>
      </w:r>
      <w:bookmarkEnd w:id="245"/>
      <w:bookmarkEnd w:id="246"/>
      <w:bookmarkEnd w:id="247"/>
    </w:p>
    <w:p w14:paraId="2507E661" w14:textId="77777777" w:rsidR="007B7C2A" w:rsidRDefault="00072812">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一、基金利润的构成</w:t>
      </w:r>
    </w:p>
    <w:p w14:paraId="3B1DED42"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基金利润指基金利息收入、投资收益、公允价值变动收益和其他收入扣除相关费用后的余额，基金已实现收益指基金利润减去公允价值变动收益后的余额。</w:t>
      </w:r>
    </w:p>
    <w:p w14:paraId="0623DB8A" w14:textId="77777777" w:rsidR="007B7C2A" w:rsidRDefault="00072812">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二、基金可供分配利润</w:t>
      </w:r>
    </w:p>
    <w:p w14:paraId="28A9F974"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基金可供分配利润指截至收益分配基准日基金未分配利润与未分配利润中已实现收益的孰低数。</w:t>
      </w:r>
    </w:p>
    <w:p w14:paraId="1BD39316" w14:textId="77777777" w:rsidR="007B7C2A" w:rsidRDefault="00072812">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三、基金收益分配原则</w:t>
      </w:r>
    </w:p>
    <w:p w14:paraId="1EBE7275"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、在符合有关基金分红条件的前提下，本基金管理人可以根据实际情况进行收益分配，具体分配方案以公告为准，若《基金合同》生效不满</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个月可不进行收益分配；</w:t>
      </w:r>
    </w:p>
    <w:p w14:paraId="0B39C694"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、本基金收益分配方式分两种：现金分红与红利再投资，投资者可选择现金红利或将现金红利自动转为相应类别基金份额进行再投资；若投资者不选择，本基金默认的收益分配方式是现金分红；</w:t>
      </w:r>
    </w:p>
    <w:p w14:paraId="4283C799"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、基金收益分配后基金份额净值不能低于面值，即基金收益分配基准日的基金份额净值减去每单位基金份额收益分配金额后不能低于面值；</w:t>
      </w:r>
    </w:p>
    <w:p w14:paraId="548D1C63"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 xml:space="preserve">A </w:t>
      </w:r>
      <w:r>
        <w:rPr>
          <w:rFonts w:asciiTheme="minorEastAsia" w:hAnsiTheme="minorEastAsia" w:cs="Times New Roman" w:hint="eastAsia"/>
          <w:bCs/>
          <w:sz w:val="24"/>
          <w:szCs w:val="24"/>
        </w:rPr>
        <w:t>类基金份额和</w:t>
      </w:r>
      <w:r>
        <w:rPr>
          <w:rFonts w:asciiTheme="minorEastAsia" w:hAnsiTheme="minorEastAsia" w:cs="Times New Roman" w:hint="eastAsia"/>
          <w:bCs/>
          <w:sz w:val="24"/>
          <w:szCs w:val="24"/>
        </w:rPr>
        <w:t>C</w:t>
      </w:r>
      <w:r>
        <w:rPr>
          <w:rFonts w:asciiTheme="minorEastAsia" w:hAnsiTheme="minorEastAsia" w:cs="Times New Roman" w:hint="eastAsia"/>
          <w:bCs/>
          <w:sz w:val="24"/>
          <w:szCs w:val="24"/>
        </w:rPr>
        <w:t>类基金份额之间由于</w:t>
      </w:r>
      <w:r>
        <w:rPr>
          <w:rFonts w:asciiTheme="minorEastAsia" w:hAnsiTheme="minorEastAsia" w:cs="Times New Roman" w:hint="eastAsia"/>
          <w:bCs/>
          <w:sz w:val="24"/>
          <w:szCs w:val="24"/>
        </w:rPr>
        <w:t>A</w:t>
      </w:r>
      <w:r>
        <w:rPr>
          <w:rFonts w:asciiTheme="minorEastAsia" w:hAnsiTheme="minorEastAsia" w:cs="Times New Roman" w:hint="eastAsia"/>
          <w:bCs/>
          <w:sz w:val="24"/>
          <w:szCs w:val="24"/>
        </w:rPr>
        <w:t>类基金份额不收取而</w:t>
      </w:r>
      <w:r>
        <w:rPr>
          <w:rFonts w:asciiTheme="minorEastAsia" w:hAnsiTheme="minorEastAsia" w:cs="Times New Roman" w:hint="eastAsia"/>
          <w:bCs/>
          <w:sz w:val="24"/>
          <w:szCs w:val="24"/>
        </w:rPr>
        <w:t>C</w:t>
      </w:r>
      <w:r>
        <w:rPr>
          <w:rFonts w:asciiTheme="minorEastAsia" w:hAnsiTheme="minorEastAsia" w:cs="Times New Roman" w:hint="eastAsia"/>
          <w:bCs/>
          <w:sz w:val="24"/>
          <w:szCs w:val="24"/>
        </w:rPr>
        <w:t>类基金份额收取销售服务费将导致在可供分配利润上有所不同；本基金同一类别的每份基金份额享有同等分配权；</w:t>
      </w:r>
    </w:p>
    <w:p w14:paraId="4486D9B5"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、法律法规或监管机关另有规定的，从其规定。</w:t>
      </w:r>
    </w:p>
    <w:p w14:paraId="045AC322"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在对基金份额持有人利益无实质不利影响的前提下，基金管理人可调整基金收益分配原则和支付方式，不需召开基金份额持有人大会。</w:t>
      </w:r>
    </w:p>
    <w:p w14:paraId="28FCA2AE" w14:textId="77777777" w:rsidR="007B7C2A" w:rsidRDefault="00072812">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四、收益分配方案</w:t>
      </w:r>
    </w:p>
    <w:p w14:paraId="7EF9B0F1"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基金收益分配方案中应载明截止收益分配基准日的可供分配利润、基金收益分配对象、分配时间、分配数额及比例、分配方式等内容。</w:t>
      </w:r>
    </w:p>
    <w:p w14:paraId="4C06158C" w14:textId="77777777" w:rsidR="007B7C2A" w:rsidRDefault="00072812">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五、收益分配方案的确定、公告与实施</w:t>
      </w:r>
    </w:p>
    <w:p w14:paraId="2075696A"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本基金收益分配方案由基金管理人拟定，并由基金托管人复核，依据相关规定在指定媒介公告。</w:t>
      </w:r>
    </w:p>
    <w:p w14:paraId="5359BAE8"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基金红利发放</w:t>
      </w:r>
      <w:proofErr w:type="gramStart"/>
      <w:r>
        <w:rPr>
          <w:rFonts w:asciiTheme="minorEastAsia" w:hAnsiTheme="minorEastAsia" w:cs="Times New Roman" w:hint="eastAsia"/>
          <w:bCs/>
          <w:sz w:val="24"/>
          <w:szCs w:val="24"/>
        </w:rPr>
        <w:t>日距离</w:t>
      </w:r>
      <w:proofErr w:type="gramEnd"/>
      <w:r>
        <w:rPr>
          <w:rFonts w:asciiTheme="minorEastAsia" w:hAnsiTheme="minorEastAsia" w:cs="Times New Roman" w:hint="eastAsia"/>
          <w:bCs/>
          <w:sz w:val="24"/>
          <w:szCs w:val="24"/>
        </w:rPr>
        <w:t>收益分配基准日（即可供分配利润计算截止日）的时间不得超过</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个工作日。</w:t>
      </w:r>
    </w:p>
    <w:p w14:paraId="34644759" w14:textId="77777777" w:rsidR="007B7C2A" w:rsidRDefault="00072812">
      <w:pPr>
        <w:adjustRightInd w:val="0"/>
        <w:snapToGrid w:val="0"/>
        <w:spacing w:line="360" w:lineRule="auto"/>
        <w:ind w:firstLineChars="200" w:firstLine="482"/>
        <w:rPr>
          <w:rFonts w:asciiTheme="minorEastAsia" w:hAnsiTheme="minorEastAsia" w:cs="Times New Roman" w:hint="eastAsia"/>
          <w:b/>
          <w:bCs/>
          <w:sz w:val="24"/>
          <w:szCs w:val="24"/>
        </w:rPr>
      </w:pPr>
      <w:r>
        <w:rPr>
          <w:rFonts w:asciiTheme="minorEastAsia" w:hAnsiTheme="minorEastAsia" w:cs="Times New Roman" w:hint="eastAsia"/>
          <w:b/>
          <w:bCs/>
          <w:sz w:val="24"/>
          <w:szCs w:val="24"/>
        </w:rPr>
        <w:t>六、基金收益分配中发生的费用</w:t>
      </w:r>
    </w:p>
    <w:p w14:paraId="0611FED9" w14:textId="77777777" w:rsidR="007B7C2A" w:rsidRDefault="00072812">
      <w:pPr>
        <w:adjustRightInd w:val="0"/>
        <w:snapToGrid w:val="0"/>
        <w:spacing w:line="360" w:lineRule="auto"/>
        <w:ind w:firstLineChars="200" w:firstLine="480"/>
        <w:rPr>
          <w:rFonts w:asciiTheme="minorEastAsia" w:hAnsiTheme="minorEastAsia" w:cs="Times New Roman" w:hint="eastAsia"/>
          <w:bCs/>
          <w:sz w:val="24"/>
          <w:szCs w:val="24"/>
        </w:rPr>
      </w:pPr>
      <w:r>
        <w:rPr>
          <w:rFonts w:asciiTheme="minorEastAsia" w:hAnsiTheme="minorEastAsia" w:cs="Times New Roman"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bookmarkStart w:id="248" w:name="_Toc416264549"/>
      <w:bookmarkStart w:id="249" w:name="_Toc147463128"/>
      <w:bookmarkStart w:id="250" w:name="_Toc12357181"/>
      <w:bookmarkStart w:id="251" w:name="_Toc214873602"/>
      <w:bookmarkStart w:id="252" w:name="_Toc21073401"/>
      <w:bookmarkStart w:id="253" w:name="_Toc263092321"/>
      <w:bookmarkStart w:id="254" w:name="_Toc19714"/>
      <w:bookmarkStart w:id="255" w:name="_Toc2623"/>
      <w:bookmarkStart w:id="256" w:name="_Toc7802"/>
      <w:bookmarkStart w:id="257" w:name="_Toc17782"/>
      <w:bookmarkStart w:id="258" w:name="_Toc871"/>
      <w:bookmarkStart w:id="259" w:name="_Toc139991744"/>
      <w:bookmarkStart w:id="260" w:name="_Toc31917"/>
      <w:bookmarkStart w:id="261" w:name="_Toc27832"/>
      <w:bookmarkStart w:id="262" w:name="_Toc352229760"/>
      <w:bookmarkStart w:id="263" w:name="_Toc141703894"/>
    </w:p>
    <w:p w14:paraId="7B6A7251" w14:textId="77777777" w:rsidR="007B7C2A" w:rsidRDefault="00072812">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3DB08310" w14:textId="77777777" w:rsidR="007B7C2A" w:rsidRDefault="00072812">
      <w:pPr>
        <w:pStyle w:val="1"/>
        <w:ind w:firstLine="602"/>
        <w:jc w:val="center"/>
        <w:rPr>
          <w:sz w:val="30"/>
          <w:szCs w:val="30"/>
        </w:rPr>
      </w:pPr>
      <w:bookmarkStart w:id="264" w:name="_Toc146096530"/>
      <w:r>
        <w:rPr>
          <w:rFonts w:hint="eastAsia"/>
          <w:sz w:val="30"/>
          <w:szCs w:val="30"/>
        </w:rPr>
        <w:t>第十三部分</w:t>
      </w:r>
      <w:r>
        <w:rPr>
          <w:sz w:val="30"/>
          <w:szCs w:val="30"/>
        </w:rPr>
        <w:t xml:space="preserve">  </w:t>
      </w:r>
      <w:r>
        <w:rPr>
          <w:rFonts w:hint="eastAsia"/>
          <w:sz w:val="30"/>
          <w:szCs w:val="30"/>
        </w:rPr>
        <w:t>基金费用与税收</w:t>
      </w:r>
      <w:bookmarkEnd w:id="248"/>
      <w:bookmarkEnd w:id="249"/>
      <w:bookmarkEnd w:id="250"/>
      <w:bookmarkEnd w:id="251"/>
      <w:bookmarkEnd w:id="252"/>
      <w:bookmarkEnd w:id="253"/>
      <w:bookmarkEnd w:id="264"/>
    </w:p>
    <w:p w14:paraId="37A0DD8C"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一、基金费用的种类</w:t>
      </w:r>
    </w:p>
    <w:p w14:paraId="31600A7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、基金管理人的管理费；</w:t>
      </w:r>
    </w:p>
    <w:p w14:paraId="4C7D6EE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、基金托管人的托管费；</w:t>
      </w:r>
    </w:p>
    <w:p w14:paraId="0315B78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C</w:t>
      </w:r>
      <w:r>
        <w:rPr>
          <w:rFonts w:asciiTheme="minorEastAsia" w:hAnsiTheme="minorEastAsia" w:cs="Times New Roman" w:hint="eastAsia"/>
          <w:bCs/>
          <w:sz w:val="24"/>
          <w:szCs w:val="24"/>
        </w:rPr>
        <w:t>类基金份额的销售服务费；</w:t>
      </w:r>
    </w:p>
    <w:p w14:paraId="732E23F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、《基金合同》生效后与基金相关的信息披露费用；</w:t>
      </w:r>
    </w:p>
    <w:p w14:paraId="4C275D0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、《基金合同》生效后与基金相关的会计师费、律师费、诉讼费和仲裁费；</w:t>
      </w:r>
    </w:p>
    <w:p w14:paraId="1D27D3D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w:t>
      </w:r>
      <w:r>
        <w:rPr>
          <w:rFonts w:asciiTheme="minorEastAsia" w:hAnsiTheme="minorEastAsia" w:cs="Times New Roman" w:hint="eastAsia"/>
          <w:bCs/>
          <w:sz w:val="24"/>
          <w:szCs w:val="24"/>
        </w:rPr>
        <w:t>、基金份额持有人大会费用；</w:t>
      </w:r>
    </w:p>
    <w:p w14:paraId="1BF6CF3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w:t>
      </w:r>
      <w:r>
        <w:rPr>
          <w:rFonts w:asciiTheme="minorEastAsia" w:hAnsiTheme="minorEastAsia" w:cs="Times New Roman" w:hint="eastAsia"/>
          <w:bCs/>
          <w:sz w:val="24"/>
          <w:szCs w:val="24"/>
        </w:rPr>
        <w:t>、基金的证券、期货交易费用；</w:t>
      </w:r>
    </w:p>
    <w:p w14:paraId="6677A72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8</w:t>
      </w:r>
      <w:r>
        <w:rPr>
          <w:rFonts w:asciiTheme="minorEastAsia" w:hAnsiTheme="minorEastAsia" w:cs="Times New Roman" w:hint="eastAsia"/>
          <w:bCs/>
          <w:sz w:val="24"/>
          <w:szCs w:val="24"/>
        </w:rPr>
        <w:t>、基金的银行汇划费用；</w:t>
      </w:r>
    </w:p>
    <w:p w14:paraId="1755466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9</w:t>
      </w:r>
      <w:r>
        <w:rPr>
          <w:rFonts w:asciiTheme="minorEastAsia" w:hAnsiTheme="minorEastAsia" w:cs="Times New Roman" w:hint="eastAsia"/>
          <w:bCs/>
          <w:sz w:val="24"/>
          <w:szCs w:val="24"/>
        </w:rPr>
        <w:t>、基金的账户开户费用、账户维护费用；</w:t>
      </w:r>
    </w:p>
    <w:p w14:paraId="3D7AF48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、按照国家有关规定和《基金合同》约定，可以在基金财产中列支的其他费用。</w:t>
      </w:r>
    </w:p>
    <w:p w14:paraId="310486DC"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二、基金费用计提方法、计提标准和支付方式</w:t>
      </w:r>
    </w:p>
    <w:p w14:paraId="15B6844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、基金管理人的管理费</w:t>
      </w:r>
      <w:r>
        <w:rPr>
          <w:rFonts w:asciiTheme="minorEastAsia" w:hAnsiTheme="minorEastAsia" w:cs="Times New Roman" w:hint="eastAsia"/>
          <w:bCs/>
          <w:sz w:val="24"/>
          <w:szCs w:val="24"/>
        </w:rPr>
        <w:t xml:space="preserve"> </w:t>
      </w:r>
    </w:p>
    <w:p w14:paraId="15FCA5C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本基金的管理费按前一日基金资产净值的</w:t>
      </w:r>
      <w:r>
        <w:rPr>
          <w:rFonts w:asciiTheme="minorEastAsia" w:hAnsiTheme="minorEastAsia" w:cs="Times New Roman" w:hint="eastAsia"/>
          <w:bCs/>
          <w:sz w:val="24"/>
          <w:szCs w:val="24"/>
        </w:rPr>
        <w:t>0.6%</w:t>
      </w:r>
      <w:r>
        <w:rPr>
          <w:rFonts w:asciiTheme="minorEastAsia" w:hAnsiTheme="minorEastAsia" w:cs="Times New Roman" w:hint="eastAsia"/>
          <w:bCs/>
          <w:sz w:val="24"/>
          <w:szCs w:val="24"/>
        </w:rPr>
        <w:t>年费率计提。管理费的计算方法如下：</w:t>
      </w:r>
    </w:p>
    <w:p w14:paraId="186FA56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E</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0.6%</w:t>
      </w:r>
      <w:r>
        <w:rPr>
          <w:rFonts w:asciiTheme="minorEastAsia" w:hAnsiTheme="minorEastAsia" w:cs="Times New Roman" w:hint="eastAsia"/>
          <w:bCs/>
          <w:sz w:val="24"/>
          <w:szCs w:val="24"/>
        </w:rPr>
        <w:t>÷当年天数</w:t>
      </w:r>
    </w:p>
    <w:p w14:paraId="0E29DE9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w:t>
      </w:r>
      <w:r>
        <w:rPr>
          <w:rFonts w:asciiTheme="minorEastAsia" w:hAnsiTheme="minorEastAsia" w:cs="Times New Roman" w:hint="eastAsia"/>
          <w:bCs/>
          <w:sz w:val="24"/>
          <w:szCs w:val="24"/>
        </w:rPr>
        <w:t>为每日应计提的基金管理费</w:t>
      </w:r>
    </w:p>
    <w:p w14:paraId="774C8C0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E</w:t>
      </w:r>
      <w:r>
        <w:rPr>
          <w:rFonts w:asciiTheme="minorEastAsia" w:hAnsiTheme="minorEastAsia" w:cs="Times New Roman" w:hint="eastAsia"/>
          <w:bCs/>
          <w:sz w:val="24"/>
          <w:szCs w:val="24"/>
        </w:rPr>
        <w:t>为前一日的基金资产净值</w:t>
      </w:r>
    </w:p>
    <w:p w14:paraId="4EA51EEB"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基金管理费每日计算，逐日累计至每月月末，按月支付，由基金管理人向基金托管人发送基金管理费划款指令，基金托管人复核后于次月前</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个工作日内从基金财产中一次性支付给基金管理人。若遇法定节假日、公休假等，支付日期顺延。</w:t>
      </w:r>
    </w:p>
    <w:p w14:paraId="2F9FFBB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、基金托管人的托管费</w:t>
      </w:r>
    </w:p>
    <w:p w14:paraId="27881C8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本基金的托管费按前一日基金资产净值的</w:t>
      </w:r>
      <w:r>
        <w:rPr>
          <w:rFonts w:asciiTheme="minorEastAsia" w:hAnsiTheme="minorEastAsia" w:cs="Times New Roman" w:hint="eastAsia"/>
          <w:bCs/>
          <w:sz w:val="24"/>
          <w:szCs w:val="24"/>
        </w:rPr>
        <w:t>0.1%</w:t>
      </w:r>
      <w:r>
        <w:rPr>
          <w:rFonts w:asciiTheme="minorEastAsia" w:hAnsiTheme="minorEastAsia" w:cs="Times New Roman" w:hint="eastAsia"/>
          <w:bCs/>
          <w:sz w:val="24"/>
          <w:szCs w:val="24"/>
        </w:rPr>
        <w:t>的年费率计提。托管费的计算方法如下：</w:t>
      </w:r>
    </w:p>
    <w:p w14:paraId="2BBB55B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E</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0.1%</w:t>
      </w:r>
      <w:r>
        <w:rPr>
          <w:rFonts w:asciiTheme="minorEastAsia" w:hAnsiTheme="minorEastAsia" w:cs="Times New Roman" w:hint="eastAsia"/>
          <w:bCs/>
          <w:sz w:val="24"/>
          <w:szCs w:val="24"/>
        </w:rPr>
        <w:t>÷当年天数</w:t>
      </w:r>
    </w:p>
    <w:p w14:paraId="4CD40BD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w:t>
      </w:r>
      <w:r>
        <w:rPr>
          <w:rFonts w:asciiTheme="minorEastAsia" w:hAnsiTheme="minorEastAsia" w:cs="Times New Roman" w:hint="eastAsia"/>
          <w:bCs/>
          <w:sz w:val="24"/>
          <w:szCs w:val="24"/>
        </w:rPr>
        <w:t>为每日应计提的基金托管费</w:t>
      </w:r>
    </w:p>
    <w:p w14:paraId="7DD655E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E</w:t>
      </w:r>
      <w:r>
        <w:rPr>
          <w:rFonts w:asciiTheme="minorEastAsia" w:hAnsiTheme="minorEastAsia" w:cs="Times New Roman" w:hint="eastAsia"/>
          <w:bCs/>
          <w:sz w:val="24"/>
          <w:szCs w:val="24"/>
        </w:rPr>
        <w:t>为前一日的基金资产净值</w:t>
      </w:r>
    </w:p>
    <w:p w14:paraId="22AB286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基金托管费每日计算，逐日累计至每月月末，按月支付，由基金管理人向基金托管人发送基金托管费划款指令，基金托管人复核后于次月前</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个工作日内从基金财产中一次性支取。若遇法定节假日、公休日等，支付日期顺延。</w:t>
      </w:r>
    </w:p>
    <w:p w14:paraId="1B3915F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、销售服务费</w:t>
      </w:r>
    </w:p>
    <w:p w14:paraId="780B65F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w:t>
      </w:r>
      <w:r>
        <w:rPr>
          <w:rFonts w:asciiTheme="minorEastAsia" w:hAnsiTheme="minorEastAsia" w:cs="Times New Roman" w:hint="eastAsia"/>
          <w:bCs/>
          <w:sz w:val="24"/>
          <w:szCs w:val="24"/>
        </w:rPr>
        <w:t>A</w:t>
      </w:r>
      <w:r>
        <w:rPr>
          <w:rFonts w:asciiTheme="minorEastAsia" w:hAnsiTheme="minorEastAsia" w:cs="Times New Roman" w:hint="eastAsia"/>
          <w:bCs/>
          <w:sz w:val="24"/>
          <w:szCs w:val="24"/>
        </w:rPr>
        <w:t>类基金份额不收取销售服务费，</w:t>
      </w:r>
      <w:r>
        <w:rPr>
          <w:rFonts w:asciiTheme="minorEastAsia" w:hAnsiTheme="minorEastAsia" w:cs="Times New Roman" w:hint="eastAsia"/>
          <w:bCs/>
          <w:sz w:val="24"/>
          <w:szCs w:val="24"/>
        </w:rPr>
        <w:t>C</w:t>
      </w:r>
      <w:r>
        <w:rPr>
          <w:rFonts w:asciiTheme="minorEastAsia" w:hAnsiTheme="minorEastAsia" w:cs="Times New Roman" w:hint="eastAsia"/>
          <w:bCs/>
          <w:sz w:val="24"/>
          <w:szCs w:val="24"/>
        </w:rPr>
        <w:t>类基金份额的销售服务费年费率为</w:t>
      </w:r>
      <w:r>
        <w:rPr>
          <w:rFonts w:asciiTheme="minorEastAsia" w:hAnsiTheme="minorEastAsia" w:cs="Times New Roman" w:hint="eastAsia"/>
          <w:bCs/>
          <w:sz w:val="24"/>
          <w:szCs w:val="24"/>
        </w:rPr>
        <w:t>0.1%</w:t>
      </w:r>
      <w:r>
        <w:rPr>
          <w:rFonts w:asciiTheme="minorEastAsia" w:hAnsiTheme="minorEastAsia" w:cs="Times New Roman" w:hint="eastAsia"/>
          <w:bCs/>
          <w:sz w:val="24"/>
          <w:szCs w:val="24"/>
        </w:rPr>
        <w:t>。</w:t>
      </w:r>
    </w:p>
    <w:p w14:paraId="68537D0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本基金销售服务费将专门用于本基金的销售与基金份额持有人服务，</w:t>
      </w:r>
      <w:r>
        <w:rPr>
          <w:rFonts w:asciiTheme="minorEastAsia" w:hAnsiTheme="minorEastAsia" w:cs="Times New Roman" w:hint="eastAsia"/>
          <w:bCs/>
          <w:sz w:val="24"/>
          <w:szCs w:val="24"/>
        </w:rPr>
        <w:t xml:space="preserve"> </w:t>
      </w:r>
      <w:r>
        <w:rPr>
          <w:rFonts w:asciiTheme="minorEastAsia" w:hAnsiTheme="minorEastAsia" w:cs="Times New Roman" w:hint="eastAsia"/>
          <w:bCs/>
          <w:sz w:val="24"/>
          <w:szCs w:val="24"/>
        </w:rPr>
        <w:t>销售服务费计提的计算公式如下：</w:t>
      </w:r>
      <w:r>
        <w:rPr>
          <w:rFonts w:asciiTheme="minorEastAsia" w:hAnsiTheme="minorEastAsia" w:cs="Times New Roman" w:hint="eastAsia"/>
          <w:bCs/>
          <w:sz w:val="24"/>
          <w:szCs w:val="24"/>
        </w:rPr>
        <w:t xml:space="preserve"> </w:t>
      </w:r>
    </w:p>
    <w:p w14:paraId="65F0A70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H=E</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0.1%</w:t>
      </w:r>
      <w:r>
        <w:rPr>
          <w:rFonts w:asciiTheme="minorEastAsia" w:hAnsiTheme="minorEastAsia" w:cs="Times New Roman" w:hint="eastAsia"/>
          <w:bCs/>
          <w:sz w:val="24"/>
          <w:szCs w:val="24"/>
        </w:rPr>
        <w:t>÷当年天数</w:t>
      </w:r>
    </w:p>
    <w:p w14:paraId="5C455CF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H</w:t>
      </w:r>
      <w:r>
        <w:rPr>
          <w:rFonts w:asciiTheme="minorEastAsia" w:hAnsiTheme="minorEastAsia" w:cs="Times New Roman" w:hint="eastAsia"/>
          <w:bCs/>
          <w:sz w:val="24"/>
          <w:szCs w:val="24"/>
        </w:rPr>
        <w:t>为</w:t>
      </w:r>
      <w:r>
        <w:rPr>
          <w:rFonts w:asciiTheme="minorEastAsia" w:hAnsiTheme="minorEastAsia" w:cs="Times New Roman" w:hint="eastAsia"/>
          <w:bCs/>
          <w:sz w:val="24"/>
          <w:szCs w:val="24"/>
        </w:rPr>
        <w:t>C</w:t>
      </w:r>
      <w:r>
        <w:rPr>
          <w:rFonts w:asciiTheme="minorEastAsia" w:hAnsiTheme="minorEastAsia" w:cs="Times New Roman" w:hint="eastAsia"/>
          <w:bCs/>
          <w:sz w:val="24"/>
          <w:szCs w:val="24"/>
        </w:rPr>
        <w:t>类基金份额每日应计提的销售服务费</w:t>
      </w:r>
    </w:p>
    <w:p w14:paraId="6C0C2EE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E</w:t>
      </w:r>
      <w:r>
        <w:rPr>
          <w:rFonts w:asciiTheme="minorEastAsia" w:hAnsiTheme="minorEastAsia" w:cs="Times New Roman" w:hint="eastAsia"/>
          <w:bCs/>
          <w:sz w:val="24"/>
          <w:szCs w:val="24"/>
        </w:rPr>
        <w:t>为</w:t>
      </w:r>
      <w:r>
        <w:rPr>
          <w:rFonts w:asciiTheme="minorEastAsia" w:hAnsiTheme="minorEastAsia" w:cs="Times New Roman" w:hint="eastAsia"/>
          <w:bCs/>
          <w:sz w:val="24"/>
          <w:szCs w:val="24"/>
        </w:rPr>
        <w:t>C</w:t>
      </w:r>
      <w:r>
        <w:rPr>
          <w:rFonts w:asciiTheme="minorEastAsia" w:hAnsiTheme="minorEastAsia" w:cs="Times New Roman" w:hint="eastAsia"/>
          <w:bCs/>
          <w:sz w:val="24"/>
          <w:szCs w:val="24"/>
        </w:rPr>
        <w:t>类基金份额前一日基金资产净值</w:t>
      </w:r>
    </w:p>
    <w:p w14:paraId="2A6FE5C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基金销售服务费每日计算，逐日累计至每月月末，按月支付。由基金管理人向基金托管人发送基金销售服务费划付指令，基金托管人复核后于次月前</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个工作日内从基金财产中一次性支付给基金管理人。若遇法定节假日、公休假等，支付日期顺延。</w:t>
      </w:r>
    </w:p>
    <w:p w14:paraId="21CDD99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上述“一、基金费用的种类中第</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项费用”，根据有关法规及相应协议规定，按费用实际支出金额列入当期费用，由基金托管人从基金财产中支付。</w:t>
      </w:r>
    </w:p>
    <w:p w14:paraId="7120F301"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三、不列入基金费用的项目</w:t>
      </w:r>
    </w:p>
    <w:p w14:paraId="1817715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下列费用不列入基金费用：</w:t>
      </w:r>
    </w:p>
    <w:p w14:paraId="5662DEF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、基金管理人和基金托管人因未履行或未完全履行义务导致的费用支出或基金财产的损失；</w:t>
      </w:r>
    </w:p>
    <w:p w14:paraId="2A102F2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、基金管理人和基金托管人处理与基金运作无关的事项发生的费用；</w:t>
      </w:r>
    </w:p>
    <w:p w14:paraId="49ECBB7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、《基金合同》生效前的相关费用；</w:t>
      </w:r>
    </w:p>
    <w:p w14:paraId="19E079BB"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、其他根据相关法律法规及中国证监会的有关规定不得列入基金费用的项目。</w:t>
      </w:r>
    </w:p>
    <w:p w14:paraId="53AAC8EF"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四、基金税收</w:t>
      </w:r>
    </w:p>
    <w:p w14:paraId="59EB560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本基金运作过程中涉及的各纳税主体，其纳税义务按国家税收法律、法规执行。</w:t>
      </w:r>
    </w:p>
    <w:p w14:paraId="34506F9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基金财产投资的相关税收，由基金份额持有人承担，基金管理人或者其他扣缴义务人按照国家有关税收征收的规定代扣代缴。</w:t>
      </w:r>
      <w:bookmarkStart w:id="265" w:name="_Toc263092322"/>
      <w:bookmarkStart w:id="266" w:name="_Toc416264550"/>
      <w:bookmarkStart w:id="267" w:name="_Toc214873603"/>
      <w:bookmarkStart w:id="268" w:name="_Toc141703895"/>
      <w:bookmarkStart w:id="269" w:name="_Toc32227"/>
      <w:bookmarkStart w:id="270" w:name="_Toc12105"/>
      <w:bookmarkStart w:id="271" w:name="_Toc15779"/>
      <w:bookmarkStart w:id="272" w:name="_Toc19752"/>
      <w:bookmarkStart w:id="273" w:name="_Toc139991745"/>
      <w:bookmarkStart w:id="274" w:name="_Toc13987"/>
      <w:bookmarkStart w:id="275" w:name="_Toc352229761"/>
      <w:bookmarkStart w:id="276" w:name="_Toc6493"/>
      <w:bookmarkStart w:id="277" w:name="_Toc24601"/>
      <w:bookmarkStart w:id="278" w:name="_Toc3365"/>
      <w:bookmarkStart w:id="279" w:name="_Toc32046"/>
      <w:bookmarkStart w:id="280" w:name="_Toc19706"/>
      <w:bookmarkStart w:id="281" w:name="_Toc32041"/>
      <w:bookmarkEnd w:id="254"/>
      <w:bookmarkEnd w:id="255"/>
      <w:bookmarkEnd w:id="256"/>
      <w:bookmarkEnd w:id="257"/>
      <w:bookmarkEnd w:id="258"/>
      <w:bookmarkEnd w:id="259"/>
      <w:bookmarkEnd w:id="260"/>
      <w:bookmarkEnd w:id="261"/>
      <w:bookmarkEnd w:id="262"/>
      <w:bookmarkEnd w:id="263"/>
    </w:p>
    <w:p w14:paraId="0CD6936F" w14:textId="77777777" w:rsidR="007B7C2A" w:rsidRDefault="00072812">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1EE2C20C" w14:textId="77777777" w:rsidR="007B7C2A" w:rsidRDefault="00072812">
      <w:pPr>
        <w:pStyle w:val="1"/>
        <w:ind w:firstLine="602"/>
        <w:jc w:val="center"/>
        <w:rPr>
          <w:sz w:val="30"/>
          <w:szCs w:val="30"/>
        </w:rPr>
      </w:pPr>
      <w:bookmarkStart w:id="282" w:name="_Toc146096531"/>
      <w:r>
        <w:rPr>
          <w:rFonts w:hint="eastAsia"/>
          <w:sz w:val="30"/>
          <w:szCs w:val="30"/>
        </w:rPr>
        <w:t>第十四部分</w:t>
      </w:r>
      <w:r>
        <w:rPr>
          <w:sz w:val="30"/>
          <w:szCs w:val="30"/>
        </w:rPr>
        <w:t xml:space="preserve">  </w:t>
      </w:r>
      <w:r>
        <w:rPr>
          <w:rFonts w:hint="eastAsia"/>
          <w:sz w:val="30"/>
          <w:szCs w:val="30"/>
        </w:rPr>
        <w:t>基金的会计与审计</w:t>
      </w:r>
      <w:bookmarkEnd w:id="265"/>
      <w:bookmarkEnd w:id="266"/>
      <w:bookmarkEnd w:id="267"/>
      <w:bookmarkEnd w:id="282"/>
    </w:p>
    <w:p w14:paraId="7C3B0D17"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一、基金会计政策</w:t>
      </w:r>
    </w:p>
    <w:p w14:paraId="0072172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、基金管理人为本基金的基金会计责任方；</w:t>
      </w:r>
    </w:p>
    <w:p w14:paraId="33F001E0"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、基金的会计年度为公历年度的</w:t>
      </w:r>
      <w:r>
        <w:rPr>
          <w:rFonts w:asciiTheme="minorEastAsia" w:hAnsiTheme="minorEastAsia" w:cs="Times New Roman" w:hint="eastAsia"/>
          <w:sz w:val="24"/>
          <w:szCs w:val="24"/>
        </w:rPr>
        <w:t>1</w:t>
      </w:r>
      <w:r>
        <w:rPr>
          <w:rFonts w:asciiTheme="minorEastAsia" w:hAnsiTheme="minorEastAsia" w:cs="Times New Roman" w:hint="eastAsia"/>
          <w:sz w:val="24"/>
          <w:szCs w:val="24"/>
        </w:rPr>
        <w:t>月</w:t>
      </w:r>
      <w:r>
        <w:rPr>
          <w:rFonts w:asciiTheme="minorEastAsia" w:hAnsiTheme="minorEastAsia" w:cs="Times New Roman" w:hint="eastAsia"/>
          <w:sz w:val="24"/>
          <w:szCs w:val="24"/>
        </w:rPr>
        <w:t>1</w:t>
      </w:r>
      <w:r>
        <w:rPr>
          <w:rFonts w:asciiTheme="minorEastAsia" w:hAnsiTheme="minorEastAsia" w:cs="Times New Roman" w:hint="eastAsia"/>
          <w:sz w:val="24"/>
          <w:szCs w:val="24"/>
        </w:rPr>
        <w:t>日至</w:t>
      </w:r>
      <w:r>
        <w:rPr>
          <w:rFonts w:asciiTheme="minorEastAsia" w:hAnsiTheme="minorEastAsia" w:cs="Times New Roman" w:hint="eastAsia"/>
          <w:sz w:val="24"/>
          <w:szCs w:val="24"/>
        </w:rPr>
        <w:t>12</w:t>
      </w:r>
      <w:r>
        <w:rPr>
          <w:rFonts w:asciiTheme="minorEastAsia" w:hAnsiTheme="minorEastAsia" w:cs="Times New Roman" w:hint="eastAsia"/>
          <w:sz w:val="24"/>
          <w:szCs w:val="24"/>
        </w:rPr>
        <w:t>月</w:t>
      </w:r>
      <w:r>
        <w:rPr>
          <w:rFonts w:asciiTheme="minorEastAsia" w:hAnsiTheme="minorEastAsia" w:cs="Times New Roman" w:hint="eastAsia"/>
          <w:sz w:val="24"/>
          <w:szCs w:val="24"/>
        </w:rPr>
        <w:t>31</w:t>
      </w:r>
      <w:r>
        <w:rPr>
          <w:rFonts w:asciiTheme="minorEastAsia" w:hAnsiTheme="minorEastAsia" w:cs="Times New Roman" w:hint="eastAsia"/>
          <w:sz w:val="24"/>
          <w:szCs w:val="24"/>
        </w:rPr>
        <w:t>日；基金首次募集的会计年度按如下原则：如果《基金合同》生效少于</w:t>
      </w:r>
      <w:r>
        <w:rPr>
          <w:rFonts w:asciiTheme="minorEastAsia" w:hAnsiTheme="minorEastAsia" w:cs="Times New Roman" w:hint="eastAsia"/>
          <w:sz w:val="24"/>
          <w:szCs w:val="24"/>
        </w:rPr>
        <w:t>2</w:t>
      </w:r>
      <w:r>
        <w:rPr>
          <w:rFonts w:asciiTheme="minorEastAsia" w:hAnsiTheme="minorEastAsia" w:cs="Times New Roman" w:hint="eastAsia"/>
          <w:sz w:val="24"/>
          <w:szCs w:val="24"/>
        </w:rPr>
        <w:t>个月，可以并入下一个会计年度披露；</w:t>
      </w:r>
    </w:p>
    <w:p w14:paraId="1984B0C4"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、基金核算以人民币为记账本位币，以人民币元为记账单位；</w:t>
      </w:r>
    </w:p>
    <w:p w14:paraId="127E0BA3"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、会计制度执行国家有关会计制度；</w:t>
      </w:r>
    </w:p>
    <w:p w14:paraId="08911F6F"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hint="eastAsia"/>
          <w:sz w:val="24"/>
          <w:szCs w:val="24"/>
        </w:rPr>
        <w:t>、本基金独立建账、独立核算；</w:t>
      </w:r>
    </w:p>
    <w:p w14:paraId="426F8B6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6</w:t>
      </w:r>
      <w:r>
        <w:rPr>
          <w:rFonts w:asciiTheme="minorEastAsia" w:hAnsiTheme="minorEastAsia" w:cs="Times New Roman" w:hint="eastAsia"/>
          <w:sz w:val="24"/>
          <w:szCs w:val="24"/>
        </w:rPr>
        <w:t>、基金管理人及基金托管人各自保留完整的会计账目、凭证并进行日常的会计核算，按照有关规定编制基金会计报表；</w:t>
      </w:r>
    </w:p>
    <w:p w14:paraId="4C44A93B"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7</w:t>
      </w:r>
      <w:r>
        <w:rPr>
          <w:rFonts w:asciiTheme="minorEastAsia" w:hAnsiTheme="minorEastAsia" w:cs="Times New Roman" w:hint="eastAsia"/>
          <w:sz w:val="24"/>
          <w:szCs w:val="24"/>
        </w:rPr>
        <w:t>、基金托管人每月与基金管理人就基金的会计核算、报表编制等进行核对并以书面方式确认。</w:t>
      </w:r>
    </w:p>
    <w:p w14:paraId="011D0950"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二、基金的年度审计</w:t>
      </w:r>
    </w:p>
    <w:p w14:paraId="51FB037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、基金管理人聘请与基金管理人、基金托管人相互独立的具有证券、期货相关业务资格的会计师事务所及其注册会计师对本基金的年度财务报表进行审计。</w:t>
      </w:r>
    </w:p>
    <w:p w14:paraId="25C128C1"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、会计师事务所更换经办注册会计师，应事先征得基金管理人同意。</w:t>
      </w:r>
    </w:p>
    <w:p w14:paraId="7E45335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、基金管理人认为有充足理由更换会计师事务所，须通报基金托管人。更换会计师事务所需在</w:t>
      </w:r>
      <w:r>
        <w:rPr>
          <w:rFonts w:asciiTheme="minorEastAsia" w:hAnsiTheme="minorEastAsia" w:cs="Times New Roman" w:hint="eastAsia"/>
          <w:sz w:val="24"/>
          <w:szCs w:val="24"/>
        </w:rPr>
        <w:t>2</w:t>
      </w:r>
      <w:r>
        <w:rPr>
          <w:rFonts w:asciiTheme="minorEastAsia" w:hAnsiTheme="minorEastAsia" w:cs="Times New Roman" w:hint="eastAsia"/>
          <w:sz w:val="24"/>
          <w:szCs w:val="24"/>
        </w:rPr>
        <w:t>个工作日内在指定媒介公告。</w:t>
      </w:r>
    </w:p>
    <w:p w14:paraId="3FCFE939" w14:textId="77777777" w:rsidR="007B7C2A" w:rsidRDefault="00072812">
      <w:pPr>
        <w:widowControl/>
        <w:ind w:firstLine="482"/>
        <w:jc w:val="left"/>
        <w:rPr>
          <w:rFonts w:asciiTheme="minorEastAsia" w:hAnsiTheme="minorEastAsia" w:cs="Times New Roman" w:hint="eastAsia"/>
          <w:b/>
          <w:kern w:val="0"/>
          <w:sz w:val="24"/>
          <w:szCs w:val="24"/>
          <w:lang w:val="zh-CN"/>
        </w:rPr>
      </w:pPr>
      <w:r>
        <w:rPr>
          <w:rFonts w:asciiTheme="minorEastAsia" w:hAnsiTheme="minorEastAsia" w:cs="Times New Roman"/>
          <w:b/>
          <w:kern w:val="0"/>
          <w:sz w:val="24"/>
          <w:szCs w:val="24"/>
          <w:lang w:val="zh-CN"/>
        </w:rPr>
        <w:br w:type="page"/>
      </w:r>
    </w:p>
    <w:p w14:paraId="26330E58" w14:textId="77777777" w:rsidR="007B7C2A" w:rsidRDefault="00072812">
      <w:pPr>
        <w:pStyle w:val="1"/>
        <w:ind w:firstLine="602"/>
        <w:jc w:val="center"/>
        <w:rPr>
          <w:sz w:val="30"/>
          <w:szCs w:val="30"/>
        </w:rPr>
      </w:pPr>
      <w:bookmarkStart w:id="283" w:name="_Toc263092323"/>
      <w:bookmarkStart w:id="284" w:name="_Toc416264551"/>
      <w:bookmarkStart w:id="285" w:name="_Toc214873604"/>
      <w:bookmarkStart w:id="286" w:name="_Toc79978642"/>
      <w:bookmarkStart w:id="287" w:name="_Toc146096532"/>
      <w:bookmarkStart w:id="288" w:name="_Toc139991746"/>
      <w:bookmarkStart w:id="289" w:name="_Toc12761"/>
      <w:bookmarkStart w:id="290" w:name="_Toc3656"/>
      <w:bookmarkStart w:id="291" w:name="_Toc178"/>
      <w:bookmarkStart w:id="292" w:name="_Toc93226149"/>
      <w:bookmarkStart w:id="293" w:name="_Toc20052"/>
      <w:bookmarkStart w:id="294" w:name="_Toc352229762"/>
      <w:bookmarkStart w:id="295" w:name="_Toc19558"/>
      <w:bookmarkStart w:id="296" w:name="_Toc15351"/>
      <w:bookmarkStart w:id="297" w:name="_Toc1617"/>
      <w:bookmarkStart w:id="298" w:name="_Toc92662707"/>
      <w:bookmarkStart w:id="299" w:name="_Toc25883"/>
      <w:bookmarkStart w:id="300" w:name="_Toc141703896"/>
      <w:bookmarkStart w:id="301" w:name="_Toc128310499"/>
      <w:bookmarkStart w:id="302" w:name="_Toc15525"/>
      <w:bookmarkStart w:id="303" w:name="_Toc22552"/>
      <w:bookmarkStart w:id="304" w:name="_Toc21829"/>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hint="eastAsia"/>
          <w:sz w:val="30"/>
          <w:szCs w:val="30"/>
        </w:rPr>
        <w:t>第十五部分</w:t>
      </w:r>
      <w:r>
        <w:rPr>
          <w:sz w:val="30"/>
          <w:szCs w:val="30"/>
        </w:rPr>
        <w:t xml:space="preserve">  </w:t>
      </w:r>
      <w:r>
        <w:rPr>
          <w:rFonts w:hint="eastAsia"/>
          <w:sz w:val="30"/>
          <w:szCs w:val="30"/>
        </w:rPr>
        <w:t>基金的信息披露</w:t>
      </w:r>
      <w:bookmarkEnd w:id="283"/>
      <w:bookmarkEnd w:id="284"/>
      <w:bookmarkEnd w:id="285"/>
      <w:bookmarkEnd w:id="286"/>
      <w:bookmarkEnd w:id="287"/>
    </w:p>
    <w:p w14:paraId="0FBA0942"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一、本基金的信息披露应符合《基金法》、《运作办法》、《信息披露办法》、《基金合同》及其他有关规定。</w:t>
      </w:r>
    </w:p>
    <w:p w14:paraId="6F01E0CC"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二、信息披露义务人</w:t>
      </w:r>
    </w:p>
    <w:p w14:paraId="3619D85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本基金信息披露义务人包括基金管理人、基金托管人、召集基金份额持有人大会的基金份额持有人等法律法规和中国证监会规定的自然人、法人和非法人组织。</w:t>
      </w:r>
    </w:p>
    <w:p w14:paraId="188C459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585755A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信息披露义务人应当在中国证监会规定时间内，将应予披露的基金信息通过中国证监会指定的媒介和基金管理人、基金托管人的互联网网站（以下简称“网站”）等媒介披露，并保证基金投资者能够按照《基金合同》约定的时间和方式查阅或者复制公开披露的信息资料。</w:t>
      </w:r>
    </w:p>
    <w:p w14:paraId="297CC0CE"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Cs/>
          <w:sz w:val="24"/>
          <w:szCs w:val="24"/>
        </w:rPr>
      </w:pPr>
      <w:r>
        <w:rPr>
          <w:rFonts w:asciiTheme="minorEastAsia" w:hAnsiTheme="minorEastAsia" w:cs="Times New Roman" w:hint="eastAsia"/>
          <w:b/>
          <w:sz w:val="24"/>
          <w:szCs w:val="24"/>
        </w:rPr>
        <w:t>三、本基金信息披露义务人承诺公开披露的基金信息，不得有下列行为：</w:t>
      </w:r>
    </w:p>
    <w:p w14:paraId="31FD64F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、虚假记载、误导性陈述或者重大遗漏；</w:t>
      </w:r>
    </w:p>
    <w:p w14:paraId="6117588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、对证券投资业绩进行预测；</w:t>
      </w:r>
    </w:p>
    <w:p w14:paraId="57AC3C7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、违规承诺收益或者承担损失；</w:t>
      </w:r>
    </w:p>
    <w:p w14:paraId="059859A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、诋毁其他基金管理人、基金托管人或者基金销售机构；</w:t>
      </w:r>
    </w:p>
    <w:p w14:paraId="40B42CE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、登载任何自然人、法人或者非法人组织的祝贺性、恭维性或推荐性的文字；</w:t>
      </w:r>
    </w:p>
    <w:p w14:paraId="5B2AFCC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、中国证监会禁止的其他行为。</w:t>
      </w:r>
    </w:p>
    <w:p w14:paraId="1B2FF885"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四、本基金公开披露的信息应采用中文文本。如同时采用外文文本的，基金信息披露义务人应保证不同文本的内容一致。不同文本之间发生歧义的，以中文文本为准。</w:t>
      </w:r>
    </w:p>
    <w:p w14:paraId="1A5DCFD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本基金公开披露的信息采用阿拉伯数字；除特别说明外，货币单位为人民币元。</w:t>
      </w:r>
    </w:p>
    <w:p w14:paraId="1BFA8C66"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五、公开披露的基金信息</w:t>
      </w:r>
    </w:p>
    <w:p w14:paraId="75E8E81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公开披露的基金信息包括：</w:t>
      </w:r>
    </w:p>
    <w:p w14:paraId="031D902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（一）基金招募说明书、《基金合同》、基金托管协议、基金产品资料概要</w:t>
      </w:r>
    </w:p>
    <w:p w14:paraId="2031011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、《基金合同》是界定《基金合同》当事人的各项权利、义务关系，明确基金份额持有人大会召开的规则及具体程序，说明基金产品的特性等涉及基金投资者重大利益的事项的法律文件。</w:t>
      </w:r>
    </w:p>
    <w:p w14:paraId="1302A02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66C7B54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、基金托管协议是界定基金托管人和基金管理人在基金财产保管及基金运作监督等活动中的权利、义务关系的法律文件。</w:t>
      </w:r>
    </w:p>
    <w:p w14:paraId="1681C02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0AB578D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6EE91CA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（二）基金份额发售公告</w:t>
      </w:r>
    </w:p>
    <w:p w14:paraId="7FFC2E7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基金管理人应当就基金份额发售的具体事宜编制基金份额发售公告，并在披露招募说明书的当日登载于指定媒介上。</w:t>
      </w:r>
    </w:p>
    <w:p w14:paraId="0890881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（三）《基金合同》生效公告</w:t>
      </w:r>
    </w:p>
    <w:p w14:paraId="2BC1BEF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基金管理人应当在收到中国证监会确认文件的次日在指定媒介上登载《基金合同》生效公告。</w:t>
      </w:r>
    </w:p>
    <w:p w14:paraId="42C8A13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（四）基金净值信息</w:t>
      </w:r>
    </w:p>
    <w:p w14:paraId="25DD826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《基金合同》生效后，在开始办理基金份额申购或者赎回前，基金管理人应当至少每周在指定网站披露一次基金份额净值和基金份额累计净值。</w:t>
      </w:r>
    </w:p>
    <w:p w14:paraId="3DDFEDC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在开始办理基金份额申购或者赎回后，基金管理人应当在不晚于每个开放日的次日，通过其指定网站、基金销售机构网站或营业网点披露开放日的基金份额净值和基金份额累计净值。</w:t>
      </w:r>
    </w:p>
    <w:p w14:paraId="52B1AEA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基金管理人应在不晚于半年度和年度最后一日的次日，在指定网站披露半年度和年度最后一日的基金份额净值和基金份额累计净值。</w:t>
      </w:r>
    </w:p>
    <w:p w14:paraId="058621D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（五）基金份额申购、赎回价格</w:t>
      </w:r>
    </w:p>
    <w:p w14:paraId="05CC576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基金管理人应当在《基金合同》、招募说明书等信息披露文件上载</w:t>
      </w:r>
      <w:proofErr w:type="gramStart"/>
      <w:r>
        <w:rPr>
          <w:rFonts w:asciiTheme="minorEastAsia" w:hAnsiTheme="minorEastAsia" w:cs="Times New Roman" w:hint="eastAsia"/>
          <w:bCs/>
          <w:sz w:val="24"/>
          <w:szCs w:val="24"/>
        </w:rPr>
        <w:t>明基金</w:t>
      </w:r>
      <w:proofErr w:type="gramEnd"/>
      <w:r>
        <w:rPr>
          <w:rFonts w:asciiTheme="minorEastAsia" w:hAnsiTheme="minorEastAsia" w:cs="Times New Roman" w:hint="eastAsia"/>
          <w:bCs/>
          <w:sz w:val="24"/>
          <w:szCs w:val="24"/>
        </w:rPr>
        <w:t>份额申购、赎回价格的计算方式及有关申购、赎回费率，并保证投资者能够在基金销售机构网站或营业网点查阅或者复制前述信息库资料。</w:t>
      </w:r>
    </w:p>
    <w:p w14:paraId="0B40A87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（六）基金定期报告，包括基金年度报告、基金中期报告和基金季度报告</w:t>
      </w:r>
    </w:p>
    <w:p w14:paraId="4A8A8AC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每年结束之日起三个月内，编制完成基金年度报告，将年度报告登载在指定网站上，将年度报告提示性公告登载在指定报刊上。基金年度报告中的财务会计报告应当经过具有证券、期货相关业务资格的会计师事务所审计。</w:t>
      </w:r>
    </w:p>
    <w:p w14:paraId="3FFA058D"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基金管理人应当在上半年结束之日起两个月内，编制完成基金中期报告，将中期报告登载在指定网站上，并将中期报告提示性公告登载在指定报刊上。</w:t>
      </w:r>
    </w:p>
    <w:p w14:paraId="75B3BA3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基金管理人应当在每个季度结束之日起</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个工作日内，编制完成基金季度报告，将季度报告登载在指定网站上，并将季度报告提示性公告登载在指定报刊上。</w:t>
      </w:r>
    </w:p>
    <w:p w14:paraId="0AFC324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《基金合同》生效不足</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个月的，基金管理人可以不编制当期季度报告、中期报告或者年度报告。</w:t>
      </w:r>
    </w:p>
    <w:p w14:paraId="08212376" w14:textId="77777777" w:rsidR="007B7C2A" w:rsidRDefault="00072812">
      <w:pPr>
        <w:autoSpaceDE w:val="0"/>
        <w:autoSpaceDN w:val="0"/>
        <w:spacing w:line="360" w:lineRule="auto"/>
        <w:ind w:firstLineChars="200" w:firstLine="480"/>
        <w:textAlignment w:val="bottom"/>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7A5A27A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hint="eastAsia"/>
          <w:bCs/>
          <w:sz w:val="24"/>
        </w:rPr>
        <w:t>本基金持续运作过程中，应当在基金年度报告和中期报告中披露基金组合资产情况及其流动性风险分析等</w:t>
      </w:r>
      <w:r>
        <w:rPr>
          <w:rFonts w:asciiTheme="minorEastAsia" w:hAnsiTheme="minorEastAsia" w:cs="Times New Roman" w:hint="eastAsia"/>
          <w:bCs/>
          <w:sz w:val="24"/>
          <w:szCs w:val="24"/>
        </w:rPr>
        <w:t>。</w:t>
      </w:r>
    </w:p>
    <w:p w14:paraId="6FB01DF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（七）临时报告</w:t>
      </w:r>
    </w:p>
    <w:p w14:paraId="52796C2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本基金发生重大事件，有关信息披露义务人应在</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日内编制临时报告书，并登载在指定报刊和指定网站上。</w:t>
      </w:r>
    </w:p>
    <w:p w14:paraId="173730F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前款所称重大事件，是指可能对基金份额持有人权益或者基金份额的价格产生重大影响的下列事件：</w:t>
      </w:r>
    </w:p>
    <w:p w14:paraId="3B5F60C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、基金份额持有人大会的召开及决定的事项；</w:t>
      </w:r>
    </w:p>
    <w:p w14:paraId="5510B0B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、基金终止上市交易、基金合同终止、基金清算；</w:t>
      </w:r>
    </w:p>
    <w:p w14:paraId="7C5786E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、转换基金运作方式、基金合并；</w:t>
      </w:r>
    </w:p>
    <w:p w14:paraId="44DF883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、更换基金管理人、基金托管人、基金份额登记机构，基金改聘会计师事务所；</w:t>
      </w:r>
    </w:p>
    <w:p w14:paraId="4E796B4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、基金管理人委托基金服务机构代为办理基金的份额登记、核算、估值等事项，基金托管人委托基金服务机构代为办理基金的核算、估值、复核等事项；</w:t>
      </w:r>
    </w:p>
    <w:p w14:paraId="2315D06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6</w:t>
      </w:r>
      <w:r>
        <w:rPr>
          <w:rFonts w:asciiTheme="minorEastAsia" w:hAnsiTheme="minorEastAsia" w:cs="Times New Roman" w:hint="eastAsia"/>
          <w:bCs/>
          <w:sz w:val="24"/>
          <w:szCs w:val="24"/>
        </w:rPr>
        <w:t>、基金管理人、基金托管人的法定名称、住所发生变更；</w:t>
      </w:r>
    </w:p>
    <w:p w14:paraId="16E89CB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7</w:t>
      </w:r>
      <w:r>
        <w:rPr>
          <w:rFonts w:asciiTheme="minorEastAsia" w:hAnsiTheme="minorEastAsia" w:cs="Times New Roman" w:hint="eastAsia"/>
          <w:bCs/>
          <w:sz w:val="24"/>
          <w:szCs w:val="24"/>
        </w:rPr>
        <w:t>、基金管理人变更持有百分之五以上股权的股东、基金管理人的实际控制人变更；</w:t>
      </w:r>
    </w:p>
    <w:p w14:paraId="74D0F32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8</w:t>
      </w:r>
      <w:r>
        <w:rPr>
          <w:rFonts w:asciiTheme="minorEastAsia" w:hAnsiTheme="minorEastAsia" w:cs="Times New Roman" w:hint="eastAsia"/>
          <w:bCs/>
          <w:sz w:val="24"/>
          <w:szCs w:val="24"/>
        </w:rPr>
        <w:t>、基金募集期延长或提前结束募集；</w:t>
      </w:r>
    </w:p>
    <w:p w14:paraId="0F0CA40B"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9</w:t>
      </w:r>
      <w:r>
        <w:rPr>
          <w:rFonts w:asciiTheme="minorEastAsia" w:hAnsiTheme="minorEastAsia" w:cs="Times New Roman" w:hint="eastAsia"/>
          <w:bCs/>
          <w:sz w:val="24"/>
          <w:szCs w:val="24"/>
        </w:rPr>
        <w:t>、基金管理人的高级管理人员、基金经理和基金托管人专门基金托管部门负责人发生变动；</w:t>
      </w:r>
    </w:p>
    <w:p w14:paraId="72FDE62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、基金管理人的董事在最近</w:t>
      </w:r>
      <w:r>
        <w:rPr>
          <w:rFonts w:asciiTheme="minorEastAsia" w:hAnsiTheme="minorEastAsia" w:cs="Times New Roman" w:hint="eastAsia"/>
          <w:bCs/>
          <w:sz w:val="24"/>
          <w:szCs w:val="24"/>
        </w:rPr>
        <w:t>12</w:t>
      </w:r>
      <w:r>
        <w:rPr>
          <w:rFonts w:asciiTheme="minorEastAsia" w:hAnsiTheme="minorEastAsia" w:cs="Times New Roman" w:hint="eastAsia"/>
          <w:bCs/>
          <w:sz w:val="24"/>
          <w:szCs w:val="24"/>
        </w:rPr>
        <w:t>个月内变更超过百分之五十，基金管理人、基金托管人专门基金托管部门的主要业务人员在最近</w:t>
      </w:r>
      <w:r>
        <w:rPr>
          <w:rFonts w:asciiTheme="minorEastAsia" w:hAnsiTheme="minorEastAsia" w:cs="Times New Roman" w:hint="eastAsia"/>
          <w:bCs/>
          <w:sz w:val="24"/>
          <w:szCs w:val="24"/>
        </w:rPr>
        <w:t>12</w:t>
      </w:r>
      <w:r>
        <w:rPr>
          <w:rFonts w:asciiTheme="minorEastAsia" w:hAnsiTheme="minorEastAsia" w:cs="Times New Roman" w:hint="eastAsia"/>
          <w:bCs/>
          <w:sz w:val="24"/>
          <w:szCs w:val="24"/>
        </w:rPr>
        <w:t>个月内，变动超过百分之三十；</w:t>
      </w:r>
    </w:p>
    <w:p w14:paraId="1172594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11</w:t>
      </w:r>
      <w:r>
        <w:rPr>
          <w:rFonts w:asciiTheme="minorEastAsia" w:hAnsiTheme="minorEastAsia" w:cs="Times New Roman" w:hint="eastAsia"/>
          <w:bCs/>
          <w:sz w:val="24"/>
          <w:szCs w:val="24"/>
        </w:rPr>
        <w:t>、涉及基金财产、基金管理业务、基金托管业务的诉讼或仲裁；</w:t>
      </w:r>
    </w:p>
    <w:p w14:paraId="6AD8CC9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12</w:t>
      </w:r>
      <w:r>
        <w:rPr>
          <w:rFonts w:asciiTheme="minorEastAsia" w:hAnsiTheme="minorEastAsia" w:cs="Times New Roman" w:hint="eastAsia"/>
          <w:bCs/>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14:paraId="1A2DB31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13</w:t>
      </w:r>
      <w:r>
        <w:rPr>
          <w:rFonts w:asciiTheme="minorEastAsia" w:hAnsiTheme="minorEastAsia"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663C6B7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14</w:t>
      </w:r>
      <w:r>
        <w:rPr>
          <w:rFonts w:asciiTheme="minorEastAsia" w:hAnsiTheme="minorEastAsia" w:cs="Times New Roman" w:hint="eastAsia"/>
          <w:bCs/>
          <w:sz w:val="24"/>
          <w:szCs w:val="24"/>
        </w:rPr>
        <w:t>、基金收益分配事项；</w:t>
      </w:r>
    </w:p>
    <w:p w14:paraId="36F3CCE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、管理费、托管费、申购费、赎回费等费用计提标准、计提方式和费率发生变更；</w:t>
      </w:r>
    </w:p>
    <w:p w14:paraId="4209CDB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16</w:t>
      </w:r>
      <w:r>
        <w:rPr>
          <w:rFonts w:asciiTheme="minorEastAsia" w:hAnsiTheme="minorEastAsia" w:cs="Times New Roman" w:hint="eastAsia"/>
          <w:bCs/>
          <w:sz w:val="24"/>
          <w:szCs w:val="24"/>
        </w:rPr>
        <w:t>、基金份额净值计价错误</w:t>
      </w:r>
      <w:proofErr w:type="gramStart"/>
      <w:r>
        <w:rPr>
          <w:rFonts w:asciiTheme="minorEastAsia" w:hAnsiTheme="minorEastAsia" w:cs="Times New Roman" w:hint="eastAsia"/>
          <w:bCs/>
          <w:sz w:val="24"/>
          <w:szCs w:val="24"/>
        </w:rPr>
        <w:t>达基金</w:t>
      </w:r>
      <w:proofErr w:type="gramEnd"/>
      <w:r>
        <w:rPr>
          <w:rFonts w:asciiTheme="minorEastAsia" w:hAnsiTheme="minorEastAsia" w:cs="Times New Roman" w:hint="eastAsia"/>
          <w:bCs/>
          <w:sz w:val="24"/>
          <w:szCs w:val="24"/>
        </w:rPr>
        <w:t>份额净值百分之零点五；</w:t>
      </w:r>
    </w:p>
    <w:p w14:paraId="0D256D4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17</w:t>
      </w:r>
      <w:r>
        <w:rPr>
          <w:rFonts w:asciiTheme="minorEastAsia" w:hAnsiTheme="minorEastAsia" w:cs="Times New Roman" w:hint="eastAsia"/>
          <w:bCs/>
          <w:sz w:val="24"/>
          <w:szCs w:val="24"/>
        </w:rPr>
        <w:t>、本基金开始办理申购、赎回；</w:t>
      </w:r>
    </w:p>
    <w:p w14:paraId="6FDDEC1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18</w:t>
      </w:r>
      <w:r>
        <w:rPr>
          <w:rFonts w:asciiTheme="minorEastAsia" w:hAnsiTheme="minorEastAsia" w:cs="Times New Roman" w:hint="eastAsia"/>
          <w:bCs/>
          <w:sz w:val="24"/>
          <w:szCs w:val="24"/>
        </w:rPr>
        <w:t>、本基金暂定接受申购、赎回申请或重新接受申购、赎回申请；</w:t>
      </w:r>
    </w:p>
    <w:p w14:paraId="2FB65FFB"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19</w:t>
      </w:r>
      <w:r>
        <w:rPr>
          <w:rFonts w:asciiTheme="minorEastAsia" w:hAnsiTheme="minorEastAsia" w:cs="Times New Roman" w:hint="eastAsia"/>
          <w:bCs/>
          <w:sz w:val="24"/>
          <w:szCs w:val="24"/>
        </w:rPr>
        <w:t>、基金变更标的指数；</w:t>
      </w:r>
    </w:p>
    <w:p w14:paraId="028CFA5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20</w:t>
      </w:r>
      <w:r>
        <w:rPr>
          <w:rFonts w:asciiTheme="minorEastAsia" w:hAnsiTheme="minorEastAsia" w:cs="Times New Roman" w:hint="eastAsia"/>
          <w:bCs/>
          <w:sz w:val="24"/>
          <w:szCs w:val="24"/>
        </w:rPr>
        <w:t>、基金份额停牌、复牌、暂停上市、恢复上市或终止上市交易；</w:t>
      </w:r>
    </w:p>
    <w:p w14:paraId="756C095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21</w:t>
      </w:r>
      <w:r>
        <w:rPr>
          <w:rFonts w:asciiTheme="minorEastAsia" w:hAnsiTheme="minorEastAsia" w:cs="Times New Roman" w:hint="eastAsia"/>
          <w:bCs/>
          <w:sz w:val="24"/>
          <w:szCs w:val="24"/>
        </w:rPr>
        <w:t>、调整最小申购赎回单位、申购赎回方式及申购对价、赎回对价组成；</w:t>
      </w:r>
    </w:p>
    <w:p w14:paraId="4CAEF12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22</w:t>
      </w:r>
      <w:r>
        <w:rPr>
          <w:rFonts w:asciiTheme="minorEastAsia" w:hAnsiTheme="minorEastAsia" w:cs="Times New Roman" w:hint="eastAsia"/>
          <w:bCs/>
          <w:sz w:val="24"/>
          <w:szCs w:val="24"/>
        </w:rPr>
        <w:t>、调整基金份额类别的设置；</w:t>
      </w:r>
    </w:p>
    <w:p w14:paraId="6E66258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23</w:t>
      </w:r>
      <w:r>
        <w:rPr>
          <w:rFonts w:asciiTheme="minorEastAsia" w:hAnsiTheme="minorEastAsia" w:cs="Times New Roman" w:hint="eastAsia"/>
          <w:bCs/>
          <w:sz w:val="24"/>
          <w:szCs w:val="24"/>
        </w:rPr>
        <w:t>、基金推出新业务或服务；</w:t>
      </w:r>
    </w:p>
    <w:p w14:paraId="5FBAAD5E" w14:textId="77777777" w:rsidR="007B7C2A" w:rsidRDefault="00072812">
      <w:pPr>
        <w:autoSpaceDE w:val="0"/>
        <w:autoSpaceDN w:val="0"/>
        <w:spacing w:line="360" w:lineRule="auto"/>
        <w:ind w:firstLineChars="200" w:firstLine="480"/>
        <w:textAlignment w:val="bottom"/>
        <w:rPr>
          <w:bCs/>
          <w:sz w:val="24"/>
        </w:rPr>
      </w:pPr>
      <w:r>
        <w:rPr>
          <w:rFonts w:asciiTheme="minorEastAsia" w:hAnsiTheme="minorEastAsia" w:cs="Times New Roman" w:hint="eastAsia"/>
          <w:bCs/>
          <w:sz w:val="24"/>
          <w:szCs w:val="24"/>
        </w:rPr>
        <w:t>24</w:t>
      </w:r>
      <w:r>
        <w:rPr>
          <w:rFonts w:asciiTheme="minorEastAsia" w:hAnsiTheme="minorEastAsia" w:cs="Times New Roman" w:hint="eastAsia"/>
          <w:bCs/>
          <w:sz w:val="24"/>
          <w:szCs w:val="24"/>
        </w:rPr>
        <w:t>、基金信息披露义务人认为可能对基金份额持有人权益或者基金份额的价格产生重大影响的其他事项或中国证监会规定的其他事项。</w:t>
      </w:r>
    </w:p>
    <w:p w14:paraId="1799DCC5"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（八）澄清公告</w:t>
      </w:r>
    </w:p>
    <w:p w14:paraId="04B7417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055657A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（九）清算报告</w:t>
      </w:r>
    </w:p>
    <w:p w14:paraId="5C6D8612"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基金合同终止的，基金管理人应当依法组织基金财产清算小组对基金财产进行清算并</w:t>
      </w:r>
      <w:proofErr w:type="gramStart"/>
      <w:r>
        <w:rPr>
          <w:rFonts w:asciiTheme="minorEastAsia" w:hAnsiTheme="minorEastAsia" w:cs="Times New Roman" w:hint="eastAsia"/>
          <w:bCs/>
          <w:sz w:val="24"/>
          <w:szCs w:val="24"/>
        </w:rPr>
        <w:t>作出</w:t>
      </w:r>
      <w:proofErr w:type="gramEnd"/>
      <w:r>
        <w:rPr>
          <w:rFonts w:asciiTheme="minorEastAsia" w:hAnsiTheme="minorEastAsia" w:cs="Times New Roman" w:hint="eastAsia"/>
          <w:bCs/>
          <w:sz w:val="24"/>
          <w:szCs w:val="24"/>
        </w:rPr>
        <w:t>清算报告。基金财产清算小组应当将清算报告登载在指定网站上，并将清算报告提示性公告登载在指定报刊上。</w:t>
      </w:r>
    </w:p>
    <w:p w14:paraId="70BD49A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（十）基金份额持有人大会决议</w:t>
      </w:r>
    </w:p>
    <w:p w14:paraId="28BFD28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基金份额持有人大会决定的事项，应当依法报中国证监会备案，并予以公告。</w:t>
      </w:r>
    </w:p>
    <w:p w14:paraId="61FC61E1"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（十一）投资股指期货的信息披露</w:t>
      </w:r>
    </w:p>
    <w:p w14:paraId="2A43D09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基金季度报告、基金中期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6A671F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（十二）投资国债期货的信息披露</w:t>
      </w:r>
    </w:p>
    <w:p w14:paraId="3A6E2E20"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基金季度报告、基金中期报告、基金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2FEC59F7"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（十三）投资股票期权的信息披露</w:t>
      </w:r>
    </w:p>
    <w:p w14:paraId="1944387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6937F27E"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（十四）投资中小企业私募债券的信息披露</w:t>
      </w:r>
    </w:p>
    <w:p w14:paraId="225EB8D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基金管理人应当在基金投资中小企业私募债券后</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个交易日内，在中国证监会指定媒介披露所投资中小企业私募债券的名称、数量、期限、收益率等信息。基金管理人应当在基金年度报告、基金中期报告和基金季度报告等定期报告和招募说明书等文件中披露中小企业私募债券的投资情况。</w:t>
      </w:r>
    </w:p>
    <w:p w14:paraId="26E70879"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（十五）投资资产支持证券的信息披露</w:t>
      </w:r>
    </w:p>
    <w:p w14:paraId="083CCC0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投资资产支持证券，基金管理人应在基金年报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名资产支持证券明细。</w:t>
      </w:r>
    </w:p>
    <w:p w14:paraId="1F6CA3C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（十六）中国证监会规定的其他信息。</w:t>
      </w:r>
    </w:p>
    <w:p w14:paraId="25D3E4B5"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sz w:val="24"/>
          <w:szCs w:val="24"/>
        </w:rPr>
      </w:pPr>
      <w:r>
        <w:rPr>
          <w:rFonts w:asciiTheme="minorEastAsia" w:hAnsiTheme="minorEastAsia" w:cs="Times New Roman" w:hint="eastAsia"/>
          <w:b/>
          <w:sz w:val="24"/>
          <w:szCs w:val="24"/>
        </w:rPr>
        <w:t>六、信息披露事务管理</w:t>
      </w:r>
    </w:p>
    <w:p w14:paraId="4CF9BE4F"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基金管理人、基金托管人应当建立健全信息披露管理制度，指定专门部门及高级管理人员负责管理信息披露事务。</w:t>
      </w:r>
    </w:p>
    <w:p w14:paraId="2406AC4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基金信息披露义务人公开披露基金信息，应当符合中国证监会相关基金信息披露内容与格式准则等法规的规定。</w:t>
      </w:r>
    </w:p>
    <w:p w14:paraId="2F0BCF86"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公开披露的相关基金信息</w:t>
      </w:r>
      <w:proofErr w:type="gramStart"/>
      <w:r>
        <w:rPr>
          <w:rFonts w:asciiTheme="minorEastAsia" w:hAnsiTheme="minorEastAsia" w:cs="Times New Roman" w:hint="eastAsia"/>
          <w:bCs/>
          <w:sz w:val="24"/>
          <w:szCs w:val="24"/>
        </w:rPr>
        <w:t>进行进行</w:t>
      </w:r>
      <w:proofErr w:type="gramEnd"/>
      <w:r>
        <w:rPr>
          <w:rFonts w:asciiTheme="minorEastAsia" w:hAnsiTheme="minorEastAsia" w:cs="Times New Roman" w:hint="eastAsia"/>
          <w:bCs/>
          <w:sz w:val="24"/>
          <w:szCs w:val="24"/>
        </w:rPr>
        <w:t>复核、审查，并向基金管理人进行书面或电子确认。</w:t>
      </w:r>
    </w:p>
    <w:p w14:paraId="7325163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70D1B084"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376D99E3"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基金管理人、基金托管人除按法律法规要求披露信息外、也可着眼于为投资者决策提供有用信息的角度，在保证公平对待投资者、</w:t>
      </w:r>
      <w:proofErr w:type="gramStart"/>
      <w:r>
        <w:rPr>
          <w:rFonts w:asciiTheme="minorEastAsia" w:hAnsiTheme="minorEastAsia" w:cs="Times New Roman" w:hint="eastAsia"/>
          <w:bCs/>
          <w:sz w:val="24"/>
          <w:szCs w:val="24"/>
        </w:rPr>
        <w:t>不</w:t>
      </w:r>
      <w:proofErr w:type="gramEnd"/>
      <w:r>
        <w:rPr>
          <w:rFonts w:asciiTheme="minorEastAsia" w:hAnsiTheme="minorEastAsia" w:cs="Times New Roman" w:hint="eastAsia"/>
          <w:bCs/>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2B55C88"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为基金信息披露义务人公开披露的基金信息出具审计报告、法律意见书的专业机构，应当制作工作底稿，并将相关档案至少保存到《基金合同》终止后</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年。</w:t>
      </w:r>
    </w:p>
    <w:p w14:paraId="02AB7054" w14:textId="77777777" w:rsidR="007B7C2A" w:rsidRDefault="00072812">
      <w:pPr>
        <w:autoSpaceDE w:val="0"/>
        <w:autoSpaceDN w:val="0"/>
        <w:spacing w:line="360" w:lineRule="auto"/>
        <w:ind w:firstLineChars="200" w:firstLine="482"/>
        <w:textAlignment w:val="bottom"/>
        <w:rPr>
          <w:rFonts w:asciiTheme="minorEastAsia" w:hAnsiTheme="minorEastAsia" w:cs="Times New Roman" w:hint="eastAsia"/>
          <w:b/>
          <w:bCs/>
          <w:sz w:val="24"/>
          <w:szCs w:val="24"/>
        </w:rPr>
      </w:pPr>
      <w:r>
        <w:rPr>
          <w:rFonts w:asciiTheme="minorEastAsia" w:hAnsiTheme="minorEastAsia" w:cs="Times New Roman" w:hint="eastAsia"/>
          <w:b/>
          <w:bCs/>
          <w:sz w:val="24"/>
          <w:szCs w:val="24"/>
        </w:rPr>
        <w:t>七、信息披露文件的存放与查阅</w:t>
      </w:r>
    </w:p>
    <w:p w14:paraId="0600EC5C"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hint="eastAsia"/>
          <w:bCs/>
          <w:sz w:val="24"/>
          <w:szCs w:val="24"/>
        </w:rPr>
        <w:t>依法必须披露的信息发布后，基金管理人、基金托管人应当按照相关法律法规规定将信息置备于公司住所、基金上市交易的证券交易所，供社会公众查阅、复制。</w:t>
      </w:r>
    </w:p>
    <w:p w14:paraId="6C78457A" w14:textId="77777777" w:rsidR="007B7C2A" w:rsidRDefault="00072812">
      <w:pPr>
        <w:autoSpaceDE w:val="0"/>
        <w:autoSpaceDN w:val="0"/>
        <w:spacing w:line="360" w:lineRule="auto"/>
        <w:ind w:firstLineChars="200" w:firstLine="480"/>
        <w:textAlignment w:val="bottom"/>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5D0E5D82" w14:textId="77777777" w:rsidR="007B7C2A" w:rsidRDefault="00072812">
      <w:pPr>
        <w:pStyle w:val="1"/>
        <w:ind w:firstLine="602"/>
        <w:jc w:val="center"/>
        <w:rPr>
          <w:sz w:val="30"/>
          <w:szCs w:val="30"/>
        </w:rPr>
      </w:pPr>
      <w:bookmarkStart w:id="305" w:name="_Toc146096533"/>
      <w:bookmarkStart w:id="306" w:name="_Toc416264552"/>
      <w:bookmarkStart w:id="307" w:name="_Toc263092324"/>
      <w:bookmarkStart w:id="308" w:name="_Toc21073398"/>
      <w:bookmarkStart w:id="309" w:name="_Toc147463125"/>
      <w:bookmarkStart w:id="310" w:name="_Toc12357178"/>
      <w:bookmarkStart w:id="311" w:name="_Toc214873605"/>
      <w:bookmarkStart w:id="312" w:name="_Toc92662708"/>
      <w:bookmarkStart w:id="313" w:name="_Toc93226150"/>
      <w:bookmarkStart w:id="314" w:name="_Toc128310500"/>
      <w:bookmarkStart w:id="315" w:name="_Toc17499"/>
      <w:bookmarkStart w:id="316" w:name="_Toc23859"/>
      <w:bookmarkStart w:id="317" w:name="_Toc13255"/>
      <w:bookmarkStart w:id="318" w:name="_Toc1043"/>
      <w:bookmarkStart w:id="319" w:name="_Toc141703897"/>
      <w:bookmarkStart w:id="320" w:name="_Toc10894"/>
      <w:bookmarkStart w:id="321" w:name="_Toc352229763"/>
      <w:bookmarkStart w:id="322" w:name="_Toc31736"/>
      <w:bookmarkStart w:id="323" w:name="_Toc139991747"/>
      <w:bookmarkStart w:id="324" w:name="_Toc21206"/>
      <w:bookmarkStart w:id="325" w:name="_Toc28961"/>
      <w:bookmarkStart w:id="326" w:name="_Toc18747"/>
      <w:bookmarkStart w:id="327" w:name="_Toc18007"/>
      <w:bookmarkStart w:id="328" w:name="_Toc29695"/>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sz w:val="30"/>
          <w:szCs w:val="30"/>
        </w:rPr>
        <w:t>第十六部分</w:t>
      </w:r>
      <w:r>
        <w:rPr>
          <w:sz w:val="30"/>
          <w:szCs w:val="30"/>
        </w:rPr>
        <w:t xml:space="preserve">  </w:t>
      </w:r>
      <w:r>
        <w:rPr>
          <w:rFonts w:hint="eastAsia"/>
          <w:sz w:val="30"/>
          <w:szCs w:val="30"/>
        </w:rPr>
        <w:t>风险揭示</w:t>
      </w:r>
      <w:bookmarkEnd w:id="305"/>
      <w:bookmarkEnd w:id="306"/>
      <w:bookmarkEnd w:id="307"/>
      <w:bookmarkEnd w:id="308"/>
      <w:bookmarkEnd w:id="309"/>
      <w:bookmarkEnd w:id="310"/>
      <w:bookmarkEnd w:id="311"/>
    </w:p>
    <w:p w14:paraId="0B261E85" w14:textId="77777777" w:rsidR="007B7C2A" w:rsidRDefault="00072812">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Times New Roman" w:hint="eastAsia"/>
          <w:b/>
          <w:sz w:val="24"/>
          <w:szCs w:val="24"/>
        </w:rPr>
        <w:t>一、投资于本基金的主要风险</w:t>
      </w:r>
    </w:p>
    <w:p w14:paraId="506D8312"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、市场风险</w:t>
      </w:r>
    </w:p>
    <w:p w14:paraId="144A3092"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证券市场价格受到各种因素的影响，导致基金收益水平变化而产生风险，主要包括：</w:t>
      </w:r>
    </w:p>
    <w:p w14:paraId="7D35FB25"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1</w:t>
      </w:r>
      <w:r>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1AF0BDCB"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2</w:t>
      </w:r>
      <w:r>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20ADD842"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3</w:t>
      </w:r>
      <w:r>
        <w:rPr>
          <w:rFonts w:asciiTheme="minorEastAsia" w:hAnsiTheme="minorEastAsia" w:cs="Arial" w:hint="eastAsia"/>
          <w:bCs/>
          <w:sz w:val="24"/>
          <w:szCs w:val="24"/>
        </w:rPr>
        <w:t>）利率风险。金融市场利率的波动会导致证券市场价格和收益率的变动。</w:t>
      </w:r>
    </w:p>
    <w:p w14:paraId="484E28B4"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4</w:t>
      </w:r>
      <w:r>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797C5B3A"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bCs/>
          <w:sz w:val="24"/>
          <w:szCs w:val="24"/>
        </w:rPr>
        <w:t>5</w:t>
      </w:r>
      <w:r>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32C4B81B"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、信用风险</w:t>
      </w:r>
    </w:p>
    <w:p w14:paraId="3FD7BD59"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5287DB7E"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、流动性风险</w:t>
      </w:r>
    </w:p>
    <w:p w14:paraId="40FC5AA6"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2C2E5F08"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hint="eastAsia"/>
          <w:bCs/>
          <w:sz w:val="24"/>
          <w:szCs w:val="24"/>
        </w:rPr>
        <w:t>1</w:t>
      </w:r>
      <w:r>
        <w:rPr>
          <w:rFonts w:asciiTheme="minorEastAsia" w:hAnsiTheme="minorEastAsia" w:cs="Arial" w:hint="eastAsia"/>
          <w:bCs/>
          <w:sz w:val="24"/>
          <w:szCs w:val="24"/>
        </w:rPr>
        <w:t>）拟投资市场、行业及资产的流动性风险评估</w:t>
      </w:r>
    </w:p>
    <w:p w14:paraId="0A008FC0"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w:t>
      </w:r>
      <w:proofErr w:type="gramStart"/>
      <w:r>
        <w:rPr>
          <w:rFonts w:asciiTheme="minorEastAsia" w:hAnsiTheme="minorEastAsia" w:cs="Arial" w:hint="eastAsia"/>
          <w:bCs/>
          <w:sz w:val="24"/>
          <w:szCs w:val="24"/>
        </w:rPr>
        <w:t>券</w:t>
      </w:r>
      <w:proofErr w:type="gramEnd"/>
      <w:r>
        <w:rPr>
          <w:rFonts w:asciiTheme="minorEastAsia" w:hAnsiTheme="minorEastAsia" w:cs="Arial" w:hint="eastAsia"/>
          <w:bCs/>
          <w:sz w:val="24"/>
          <w:szCs w:val="24"/>
        </w:rPr>
        <w:t>方面未有高集中度的特征，综合评估在正常市场环境下本基金的流动性风险适中。</w:t>
      </w:r>
    </w:p>
    <w:p w14:paraId="5297640F"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hint="eastAsia"/>
          <w:bCs/>
          <w:sz w:val="24"/>
          <w:szCs w:val="24"/>
        </w:rPr>
        <w:t>2</w:t>
      </w:r>
      <w:r>
        <w:rPr>
          <w:rFonts w:asciiTheme="minorEastAsia" w:hAnsiTheme="minorEastAsia" w:cs="Arial" w:hint="eastAsia"/>
          <w:bCs/>
          <w:sz w:val="24"/>
          <w:szCs w:val="24"/>
        </w:rPr>
        <w:t>）巨额赎回情形下的流动性风险管理措施</w:t>
      </w:r>
      <w:r>
        <w:rPr>
          <w:rFonts w:asciiTheme="minorEastAsia" w:hAnsiTheme="minorEastAsia" w:cs="Arial" w:hint="eastAsia"/>
          <w:bCs/>
          <w:sz w:val="24"/>
          <w:szCs w:val="24"/>
        </w:rPr>
        <w:t xml:space="preserve"> </w:t>
      </w:r>
    </w:p>
    <w:p w14:paraId="14E66CD7"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66EA4254"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w:t>
      </w:r>
      <w:r>
        <w:rPr>
          <w:rFonts w:asciiTheme="minorEastAsia" w:hAnsiTheme="minorEastAsia" w:cs="Arial" w:hint="eastAsia"/>
          <w:bCs/>
          <w:sz w:val="24"/>
          <w:szCs w:val="24"/>
        </w:rPr>
        <w:t>3</w:t>
      </w:r>
      <w:r>
        <w:rPr>
          <w:rFonts w:asciiTheme="minorEastAsia" w:hAnsiTheme="minorEastAsia" w:cs="Arial" w:hint="eastAsia"/>
          <w:bCs/>
          <w:sz w:val="24"/>
          <w:szCs w:val="24"/>
        </w:rPr>
        <w:t>）实施备用的流动性风险管理工具的情形、程序及对投资者的潜在影响</w:t>
      </w:r>
    </w:p>
    <w:p w14:paraId="43FF82A2"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3C434CD4"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4</w:t>
      </w:r>
      <w:r>
        <w:rPr>
          <w:rFonts w:asciiTheme="minorEastAsia" w:hAnsiTheme="minorEastAsia" w:cs="Arial" w:hint="eastAsia"/>
          <w:bCs/>
          <w:sz w:val="24"/>
          <w:szCs w:val="24"/>
        </w:rPr>
        <w:t>、操作风险</w:t>
      </w:r>
    </w:p>
    <w:p w14:paraId="7CE741E5"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Pr>
          <w:rFonts w:asciiTheme="minorEastAsia" w:hAnsiTheme="minorEastAsia" w:cs="Arial"/>
          <w:bCs/>
          <w:sz w:val="24"/>
          <w:szCs w:val="24"/>
        </w:rPr>
        <w:t>IT</w:t>
      </w:r>
      <w:r>
        <w:rPr>
          <w:rFonts w:asciiTheme="minorEastAsia" w:hAnsiTheme="minorEastAsia" w:cs="Arial" w:hint="eastAsia"/>
          <w:bCs/>
          <w:sz w:val="24"/>
          <w:szCs w:val="24"/>
        </w:rPr>
        <w:t>系统故障等风险。</w:t>
      </w:r>
    </w:p>
    <w:p w14:paraId="4ED7E913"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5</w:t>
      </w:r>
      <w:r>
        <w:rPr>
          <w:rFonts w:asciiTheme="minorEastAsia" w:hAnsiTheme="minorEastAsia" w:cs="Arial" w:hint="eastAsia"/>
          <w:bCs/>
          <w:sz w:val="24"/>
          <w:szCs w:val="24"/>
        </w:rPr>
        <w:t>、管理风险</w:t>
      </w:r>
    </w:p>
    <w:p w14:paraId="4C15538C"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6932ECEF"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6</w:t>
      </w: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w:t>
      </w:r>
    </w:p>
    <w:p w14:paraId="61B88D2D"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合</w:t>
      </w:r>
      <w:proofErr w:type="gramStart"/>
      <w:r>
        <w:rPr>
          <w:rFonts w:asciiTheme="minorEastAsia" w:hAnsiTheme="minorEastAsia" w:cs="Arial" w:hint="eastAsia"/>
          <w:bCs/>
          <w:sz w:val="24"/>
          <w:szCs w:val="24"/>
        </w:rPr>
        <w:t>规</w:t>
      </w:r>
      <w:proofErr w:type="gramEnd"/>
      <w:r>
        <w:rPr>
          <w:rFonts w:asciiTheme="minorEastAsia" w:hAnsiTheme="minorEastAsia" w:cs="Arial" w:hint="eastAsia"/>
          <w:bCs/>
          <w:sz w:val="24"/>
          <w:szCs w:val="24"/>
        </w:rPr>
        <w:t>风险指基金管理或运作过程中，违反国家法律、法规的规定，或者违反《基金合同》有关规定的风险。</w:t>
      </w:r>
    </w:p>
    <w:p w14:paraId="000CD6F6" w14:textId="77777777" w:rsidR="007B7C2A" w:rsidRDefault="00072812">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二、投资于本基金的特有风险</w:t>
      </w:r>
    </w:p>
    <w:p w14:paraId="079F4628"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本基金为灵活配置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值特性突出的上市公司股票，这种对股票的评估具有一定的主观性，将在个股投资决策中给基金带来一定的不确定性，因而存在个股选择风险。</w:t>
      </w:r>
    </w:p>
    <w:p w14:paraId="04531526"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、股指期货、国债期货等金融衍生</w:t>
      </w:r>
      <w:proofErr w:type="gramStart"/>
      <w:r>
        <w:rPr>
          <w:rFonts w:asciiTheme="minorEastAsia" w:hAnsiTheme="minorEastAsia" w:cs="Arial" w:hint="eastAsia"/>
          <w:bCs/>
          <w:sz w:val="24"/>
          <w:szCs w:val="24"/>
        </w:rPr>
        <w:t>品投资</w:t>
      </w:r>
      <w:proofErr w:type="gramEnd"/>
      <w:r>
        <w:rPr>
          <w:rFonts w:asciiTheme="minorEastAsia" w:hAnsiTheme="minorEastAsia" w:cs="Arial" w:hint="eastAsia"/>
          <w:bCs/>
          <w:sz w:val="24"/>
          <w:szCs w:val="24"/>
        </w:rPr>
        <w:t>风险</w:t>
      </w:r>
    </w:p>
    <w:p w14:paraId="025EFECF"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Pr>
          <w:rFonts w:asciiTheme="minorEastAsia" w:hAnsiTheme="minorEastAsia" w:cs="Arial" w:hint="eastAsia"/>
          <w:bCs/>
          <w:sz w:val="24"/>
          <w:szCs w:val="24"/>
        </w:rPr>
        <w:t>衍生品需承受</w:t>
      </w:r>
      <w:proofErr w:type="gramEnd"/>
      <w:r>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11620EBB"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股指期货、国债期货采用保证金交易制度，由于保证金交易具有杠杆性，当出现不利行情时，股价、指数微小的变动就可能会使投资者权益遭受较大损失。股指期货、国债期货采用每日无负债结算制度，如果没有在规定的时间内补足保证金，按规定将被强制平仓，可能给投资带来重大损失。</w:t>
      </w:r>
    </w:p>
    <w:p w14:paraId="79DBE0D0"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、中小企业私募债券投资风险</w:t>
      </w:r>
    </w:p>
    <w:p w14:paraId="034C71CA"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26B5F4C7"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4</w:t>
      </w:r>
      <w:r>
        <w:rPr>
          <w:rFonts w:asciiTheme="minorEastAsia" w:hAnsiTheme="minorEastAsia" w:cs="Arial" w:hint="eastAsia"/>
          <w:bCs/>
          <w:sz w:val="24"/>
          <w:szCs w:val="24"/>
        </w:rPr>
        <w:t>、资产支持证券投资风险</w:t>
      </w:r>
    </w:p>
    <w:p w14:paraId="2D7C3815"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本基金投资资产支持证券，资产支持证券（</w:t>
      </w:r>
      <w:r>
        <w:rPr>
          <w:rFonts w:asciiTheme="minorEastAsia" w:hAnsiTheme="minorEastAsia" w:cs="Arial" w:hint="eastAsia"/>
          <w:bCs/>
          <w:sz w:val="24"/>
          <w:szCs w:val="24"/>
        </w:rPr>
        <w:t>ABS</w:t>
      </w:r>
      <w:r>
        <w:rPr>
          <w:rFonts w:asciiTheme="minorEastAsia" w:hAnsiTheme="minorEastAsia" w:cs="Arial" w:hint="eastAsia"/>
          <w:bCs/>
          <w:sz w:val="24"/>
          <w:szCs w:val="24"/>
        </w:rPr>
        <w:t>）或资产支持票据（</w:t>
      </w:r>
      <w:r>
        <w:rPr>
          <w:rFonts w:asciiTheme="minorEastAsia" w:hAnsiTheme="minorEastAsia" w:cs="Arial" w:hint="eastAsia"/>
          <w:bCs/>
          <w:sz w:val="24"/>
          <w:szCs w:val="24"/>
        </w:rPr>
        <w:t>ABN</w:t>
      </w:r>
      <w:r>
        <w:rPr>
          <w:rFonts w:asciiTheme="minorEastAsia" w:hAnsiTheme="minorEastAsia" w:cs="Arial" w:hint="eastAsia"/>
          <w:bCs/>
          <w:sz w:val="24"/>
          <w:szCs w:val="24"/>
        </w:rPr>
        <w:t>）是一种债券性质的金融工具，其向投资者支付的本息来自于基础资产</w:t>
      </w:r>
      <w:proofErr w:type="gramStart"/>
      <w:r>
        <w:rPr>
          <w:rFonts w:asciiTheme="minorEastAsia" w:hAnsiTheme="minorEastAsia" w:cs="Arial" w:hint="eastAsia"/>
          <w:bCs/>
          <w:sz w:val="24"/>
          <w:szCs w:val="24"/>
        </w:rPr>
        <w:t>池产生</w:t>
      </w:r>
      <w:proofErr w:type="gramEnd"/>
      <w:r>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Pr>
          <w:rFonts w:asciiTheme="minorEastAsia" w:hAnsiTheme="minorEastAsia" w:cs="Arial" w:hint="eastAsia"/>
          <w:bCs/>
          <w:sz w:val="24"/>
          <w:szCs w:val="24"/>
        </w:rPr>
        <w:t>资产池所产生</w:t>
      </w:r>
      <w:proofErr w:type="gramEnd"/>
      <w:r>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11805A8B"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5</w:t>
      </w:r>
      <w:r>
        <w:rPr>
          <w:rFonts w:asciiTheme="minorEastAsia" w:hAnsiTheme="minorEastAsia" w:cs="Arial" w:hint="eastAsia"/>
          <w:bCs/>
          <w:sz w:val="24"/>
          <w:szCs w:val="24"/>
        </w:rPr>
        <w:t>、存托凭证投资风险</w:t>
      </w:r>
    </w:p>
    <w:p w14:paraId="041E42F8"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基金资产可投资于存托凭证，会面临与创新企业、境外发行人、中国存托凭证发行机制以及交易机制等差异带来的特有风险，包括但不限于创新企业业务持续能力和盈利能力等经营风险，存托凭证持有人与境外基础证券发行人的股东在法律地位、享有权利等方面存在差异可能引发的风险；存</w:t>
      </w:r>
      <w:proofErr w:type="gramStart"/>
      <w:r>
        <w:rPr>
          <w:rFonts w:asciiTheme="minorEastAsia" w:hAnsiTheme="minorEastAsia" w:cs="Arial" w:hint="eastAsia"/>
          <w:bCs/>
          <w:sz w:val="24"/>
          <w:szCs w:val="24"/>
        </w:rPr>
        <w:t>托协议</w:t>
      </w:r>
      <w:proofErr w:type="gramEnd"/>
      <w:r>
        <w:rPr>
          <w:rFonts w:asciiTheme="minorEastAsia" w:hAnsiTheme="minorEastAsia" w:cs="Arial" w:hint="eastAsia"/>
          <w:bCs/>
          <w:sz w:val="24"/>
          <w:szCs w:val="24"/>
        </w:rPr>
        <w:t>自动约束存托凭证持有人的风险；存托凭证持有人在分红派息、行使表决权等方面的特殊安排可能引发的风险；存托凭证退市的风险；因多地上市造成存托凭证价格差异以及受境外市场影响交易价格大幅波动的风险；存托凭证持有人权益被摊薄的风险；已在境外上市的基础证券发行人，在持续信息披露监管方面与境内可能存在差异的风险；境内外法律制度、监管环境差异可能导致的其他风险等本基金可投资存托凭证，基金净值可能受到存托凭证的境外基础证券价格波动影响，存托凭证的境外基础证券的相关风险可能直接或间接成为本基金的风险。</w:t>
      </w:r>
    </w:p>
    <w:p w14:paraId="5F124923"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6</w:t>
      </w:r>
      <w:r>
        <w:rPr>
          <w:rFonts w:asciiTheme="minorEastAsia" w:hAnsiTheme="minorEastAsia" w:cs="Arial" w:hint="eastAsia"/>
          <w:bCs/>
          <w:sz w:val="24"/>
          <w:szCs w:val="24"/>
        </w:rPr>
        <w:t>、本基金法律文件风险收益特征表述与销售机构基金风险评价可能不一致的风险</w:t>
      </w:r>
    </w:p>
    <w:p w14:paraId="5038430B"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本基金法律文件投资章节有关风险收益特征的表述是基于投资范围、投资比例、证券市场普遍规律等做出的概述性描述，代表了一般市场情况下本基金的长期风险收益特征。销售机构</w:t>
      </w:r>
      <w:r>
        <w:rPr>
          <w:rFonts w:asciiTheme="minorEastAsia" w:hAnsiTheme="minorEastAsia" w:cs="Arial" w:hint="eastAsia"/>
          <w:bCs/>
          <w:sz w:val="24"/>
          <w:szCs w:val="24"/>
        </w:rPr>
        <w:t>(</w:t>
      </w:r>
      <w:r>
        <w:rPr>
          <w:rFonts w:asciiTheme="minorEastAsia" w:hAnsiTheme="minorEastAsia" w:cs="Arial" w:hint="eastAsia"/>
          <w:bCs/>
          <w:sz w:val="24"/>
          <w:szCs w:val="24"/>
        </w:rPr>
        <w:t>包括基金管理人直销机构和其他销售机构</w:t>
      </w:r>
      <w:r>
        <w:rPr>
          <w:rFonts w:asciiTheme="minorEastAsia" w:hAnsiTheme="minorEastAsia" w:cs="Arial" w:hint="eastAsia"/>
          <w:bCs/>
          <w:sz w:val="24"/>
          <w:szCs w:val="24"/>
        </w:rPr>
        <w:t>)</w:t>
      </w:r>
      <w:r>
        <w:rPr>
          <w:rFonts w:asciiTheme="minorEastAsia" w:hAnsiTheme="minorEastAsia" w:cs="Arial" w:hint="eastAsia"/>
          <w:bCs/>
          <w:sz w:val="24"/>
          <w:szCs w:val="24"/>
        </w:rPr>
        <w:t>根据相关法律法规对本基金进行风险评价，不同的销售机构采用的评价方法也不同，因此销售机构的风险等级评价与基金法律文件中风险收益特征的表述及评价方法、结果很可能存在不同，投资人在购买本基金时需按照销售机构的要求完成风险承受能力与产品风险之间的匹配检验。</w:t>
      </w:r>
    </w:p>
    <w:p w14:paraId="17FBC79D" w14:textId="77777777" w:rsidR="007B7C2A" w:rsidRDefault="00072812">
      <w:pPr>
        <w:adjustRightInd w:val="0"/>
        <w:snapToGrid w:val="0"/>
        <w:spacing w:line="360" w:lineRule="auto"/>
        <w:ind w:firstLineChars="200" w:firstLine="482"/>
        <w:rPr>
          <w:rFonts w:asciiTheme="minorEastAsia" w:hAnsiTheme="minorEastAsia" w:cs="Arial" w:hint="eastAsia"/>
          <w:b/>
          <w:bCs/>
          <w:sz w:val="24"/>
          <w:szCs w:val="24"/>
        </w:rPr>
      </w:pPr>
      <w:r>
        <w:rPr>
          <w:rFonts w:asciiTheme="minorEastAsia" w:hAnsiTheme="minorEastAsia" w:cs="Arial" w:hint="eastAsia"/>
          <w:b/>
          <w:bCs/>
          <w:sz w:val="24"/>
          <w:szCs w:val="24"/>
        </w:rPr>
        <w:t>三、其他风险</w:t>
      </w:r>
    </w:p>
    <w:p w14:paraId="31258942"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1</w:t>
      </w:r>
      <w:r>
        <w:rPr>
          <w:rFonts w:asciiTheme="minorEastAsia" w:hAnsiTheme="minorEastAsia" w:cs="Arial" w:hint="eastAsia"/>
          <w:bCs/>
          <w:sz w:val="24"/>
          <w:szCs w:val="24"/>
        </w:rPr>
        <w:t>、技术风险</w:t>
      </w:r>
    </w:p>
    <w:p w14:paraId="080F7DCD"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5559C643"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2</w:t>
      </w:r>
      <w:r>
        <w:rPr>
          <w:rFonts w:asciiTheme="minorEastAsia" w:hAnsiTheme="minorEastAsia" w:cs="Arial" w:hint="eastAsia"/>
          <w:bCs/>
          <w:sz w:val="24"/>
          <w:szCs w:val="24"/>
        </w:rPr>
        <w:t>、法律风险</w:t>
      </w:r>
    </w:p>
    <w:p w14:paraId="7017D94B"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hint="eastAsia"/>
          <w:bCs/>
          <w:sz w:val="24"/>
          <w:szCs w:val="24"/>
        </w:rPr>
        <w:t>由于法律法规方面的原因，某些市场行为受到限制或合同不能正常执行，导致基金资产的损失。</w:t>
      </w:r>
    </w:p>
    <w:p w14:paraId="5DF81418" w14:textId="77777777" w:rsidR="007B7C2A" w:rsidRDefault="00072812">
      <w:pPr>
        <w:adjustRightInd w:val="0"/>
        <w:snapToGrid w:val="0"/>
        <w:spacing w:line="360" w:lineRule="auto"/>
        <w:ind w:firstLineChars="200" w:firstLine="480"/>
        <w:rPr>
          <w:rFonts w:asciiTheme="minorEastAsia" w:hAnsiTheme="minorEastAsia" w:cs="Arial" w:hint="eastAsia"/>
          <w:bCs/>
          <w:sz w:val="24"/>
          <w:szCs w:val="24"/>
        </w:rPr>
      </w:pPr>
      <w:r>
        <w:rPr>
          <w:rFonts w:asciiTheme="minorEastAsia" w:hAnsiTheme="minorEastAsia" w:cs="Arial"/>
          <w:bCs/>
          <w:sz w:val="24"/>
          <w:szCs w:val="24"/>
        </w:rPr>
        <w:t>3</w:t>
      </w:r>
      <w:r>
        <w:rPr>
          <w:rFonts w:asciiTheme="minorEastAsia" w:hAnsiTheme="minorEastAsia" w:cs="Arial" w:hint="eastAsia"/>
          <w:bCs/>
          <w:sz w:val="24"/>
          <w:szCs w:val="24"/>
        </w:rPr>
        <w:t>、其他风险</w:t>
      </w:r>
    </w:p>
    <w:p w14:paraId="1127D4AF" w14:textId="77777777" w:rsidR="007B7C2A" w:rsidRDefault="00072812">
      <w:pPr>
        <w:adjustRightInd w:val="0"/>
        <w:snapToGrid w:val="0"/>
        <w:spacing w:line="360" w:lineRule="auto"/>
        <w:ind w:firstLineChars="200" w:firstLine="480"/>
        <w:rPr>
          <w:rFonts w:asciiTheme="minorEastAsia" w:hAnsiTheme="minorEastAsia" w:cs="Times New Roman" w:hint="eastAsia"/>
          <w:b/>
          <w:bCs/>
          <w:kern w:val="44"/>
          <w:sz w:val="24"/>
          <w:szCs w:val="24"/>
        </w:rPr>
      </w:pPr>
      <w:r>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接控制能力之外的风险，可能导致基金或者基金份额持有人利益受损。</w:t>
      </w:r>
    </w:p>
    <w:p w14:paraId="4016E9A2" w14:textId="77777777" w:rsidR="007B7C2A" w:rsidRDefault="00072812">
      <w:pPr>
        <w:pStyle w:val="1"/>
        <w:ind w:firstLine="602"/>
        <w:jc w:val="center"/>
        <w:rPr>
          <w:sz w:val="30"/>
          <w:szCs w:val="30"/>
        </w:rPr>
      </w:pPr>
      <w:bookmarkStart w:id="329" w:name="_Toc146096534"/>
      <w:r>
        <w:rPr>
          <w:rFonts w:hint="eastAsia"/>
          <w:sz w:val="30"/>
          <w:szCs w:val="30"/>
        </w:rPr>
        <w:t>第十七部分</w:t>
      </w:r>
      <w:r>
        <w:rPr>
          <w:sz w:val="30"/>
          <w:szCs w:val="30"/>
        </w:rPr>
        <w:t xml:space="preserve">  </w:t>
      </w:r>
      <w:bookmarkEnd w:id="312"/>
      <w:bookmarkEnd w:id="313"/>
      <w:r>
        <w:rPr>
          <w:rFonts w:hint="eastAsia"/>
          <w:sz w:val="30"/>
          <w:szCs w:val="30"/>
        </w:rPr>
        <w:t>基金合同的变更、终止与基金财产的清算</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A0DBE33" w14:textId="77777777" w:rsidR="007B7C2A" w:rsidRDefault="007B7C2A">
      <w:pPr>
        <w:spacing w:line="360" w:lineRule="auto"/>
        <w:ind w:firstLineChars="200" w:firstLine="480"/>
        <w:rPr>
          <w:rFonts w:asciiTheme="minorEastAsia" w:hAnsiTheme="minorEastAsia" w:cs="Times New Roman" w:hint="eastAsia"/>
          <w:bCs/>
          <w:sz w:val="24"/>
          <w:szCs w:val="24"/>
        </w:rPr>
      </w:pPr>
    </w:p>
    <w:p w14:paraId="0C4675E9"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bookmarkStart w:id="330" w:name="_Toc139991748"/>
      <w:bookmarkStart w:id="331" w:name="_Toc3056"/>
      <w:bookmarkStart w:id="332" w:name="_Toc8512"/>
      <w:bookmarkStart w:id="333" w:name="_Toc21351"/>
      <w:bookmarkStart w:id="334" w:name="_Toc92662709"/>
      <w:bookmarkStart w:id="335" w:name="_Toc193"/>
      <w:bookmarkStart w:id="336" w:name="_Toc128310501"/>
      <w:bookmarkStart w:id="337" w:name="_Toc29289"/>
      <w:bookmarkStart w:id="338" w:name="_Toc12028"/>
      <w:bookmarkStart w:id="339" w:name="_Toc31866"/>
      <w:bookmarkStart w:id="340" w:name="_Toc11049"/>
      <w:bookmarkStart w:id="341" w:name="_Toc1421"/>
      <w:bookmarkStart w:id="342" w:name="_Toc11802"/>
      <w:bookmarkStart w:id="343" w:name="_Toc1173"/>
      <w:bookmarkStart w:id="344" w:name="_Toc141703898"/>
      <w:bookmarkStart w:id="345" w:name="_Toc93226151"/>
      <w:bookmarkStart w:id="346" w:name="_Toc352229764"/>
      <w:r>
        <w:rPr>
          <w:rFonts w:asciiTheme="minorEastAsia" w:hAnsiTheme="minorEastAsia" w:cs="Times New Roman" w:hint="eastAsia"/>
          <w:b/>
          <w:sz w:val="24"/>
          <w:szCs w:val="24"/>
        </w:rPr>
        <w:t>一、《基金合同》的变更</w:t>
      </w:r>
    </w:p>
    <w:p w14:paraId="062614C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、变更基金合同涉及法律法规规定或基金合同约定应经基金份额持有人大会决议通过的事项的，应召</w:t>
      </w:r>
      <w:proofErr w:type="gramStart"/>
      <w:r>
        <w:rPr>
          <w:rFonts w:asciiTheme="minorEastAsia" w:hAnsiTheme="minorEastAsia" w:cs="Times New Roman" w:hint="eastAsia"/>
          <w:sz w:val="24"/>
          <w:szCs w:val="24"/>
        </w:rPr>
        <w:t>开基金</w:t>
      </w:r>
      <w:proofErr w:type="gramEnd"/>
      <w:r>
        <w:rPr>
          <w:rFonts w:asciiTheme="minorEastAsia" w:hAnsiTheme="minorEastAsia" w:cs="Times New Roman" w:hint="eastAsia"/>
          <w:sz w:val="24"/>
          <w:szCs w:val="24"/>
        </w:rPr>
        <w:t>份额持有人大会决议通过。对于可不经基金份额持有人大会决议通过的事项，由基金管理人和基金托管人同意后变更并公告，并报中国证监会备案。</w:t>
      </w:r>
    </w:p>
    <w:p w14:paraId="7DF80BC7"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 xml:space="preserve"> 2</w:t>
      </w:r>
      <w:r>
        <w:rPr>
          <w:rFonts w:asciiTheme="minorEastAsia" w:hAnsiTheme="minorEastAsia" w:cs="Times New Roman" w:hint="eastAsia"/>
          <w:sz w:val="24"/>
          <w:szCs w:val="24"/>
        </w:rPr>
        <w:t>、关于《基金合同》变更的基金份额持有人大会决议自生效后方可执行，并</w:t>
      </w:r>
      <w:proofErr w:type="gramStart"/>
      <w:r>
        <w:rPr>
          <w:rFonts w:asciiTheme="minorEastAsia" w:hAnsiTheme="minorEastAsia" w:cs="Times New Roman" w:hint="eastAsia"/>
          <w:sz w:val="24"/>
          <w:szCs w:val="24"/>
        </w:rPr>
        <w:t>自决议</w:t>
      </w:r>
      <w:proofErr w:type="gramEnd"/>
      <w:r>
        <w:rPr>
          <w:rFonts w:asciiTheme="minorEastAsia" w:hAnsiTheme="minorEastAsia" w:cs="Times New Roman" w:hint="eastAsia"/>
          <w:sz w:val="24"/>
          <w:szCs w:val="24"/>
        </w:rPr>
        <w:t>生效后两个工作日内在指定媒介公告。</w:t>
      </w:r>
    </w:p>
    <w:p w14:paraId="2FE8CA4E"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二、《基金合同》的终止事由</w:t>
      </w:r>
    </w:p>
    <w:p w14:paraId="10A5D34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有下列情形之一的，《基金合同》应当终止：</w:t>
      </w:r>
    </w:p>
    <w:p w14:paraId="44A7F6F5"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、基金份额持有人大会决定终止的；</w:t>
      </w:r>
    </w:p>
    <w:p w14:paraId="7AB9E181"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、基金管理人、基金托管人职责终止，在</w:t>
      </w:r>
      <w:r>
        <w:rPr>
          <w:rFonts w:asciiTheme="minorEastAsia" w:hAnsiTheme="minorEastAsia" w:cs="Times New Roman" w:hint="eastAsia"/>
          <w:sz w:val="24"/>
          <w:szCs w:val="24"/>
        </w:rPr>
        <w:t>6</w:t>
      </w:r>
      <w:r>
        <w:rPr>
          <w:rFonts w:asciiTheme="minorEastAsia" w:hAnsiTheme="minorEastAsia" w:cs="Times New Roman" w:hint="eastAsia"/>
          <w:sz w:val="24"/>
          <w:szCs w:val="24"/>
        </w:rPr>
        <w:t>个月内没有新基金管理人、新基金托管人承接的；</w:t>
      </w:r>
    </w:p>
    <w:p w14:paraId="480CFD2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、《基金合同》约定的其他情形；</w:t>
      </w:r>
    </w:p>
    <w:p w14:paraId="3558EBE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、相关法律法规和中国证监会规定的其他情况。</w:t>
      </w:r>
    </w:p>
    <w:p w14:paraId="2F5FE1BA"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三、基金财产的清算</w:t>
      </w:r>
    </w:p>
    <w:p w14:paraId="0C63755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、基金财产清算小组：自出现《基金合同》终止事由之日起</w:t>
      </w:r>
      <w:r>
        <w:rPr>
          <w:rFonts w:asciiTheme="minorEastAsia" w:hAnsiTheme="minorEastAsia" w:cs="Times New Roman" w:hint="eastAsia"/>
          <w:sz w:val="24"/>
          <w:szCs w:val="24"/>
        </w:rPr>
        <w:t>30</w:t>
      </w:r>
      <w:r>
        <w:rPr>
          <w:rFonts w:asciiTheme="minorEastAsia" w:hAnsiTheme="minorEastAsia" w:cs="Times New Roman" w:hint="eastAsia"/>
          <w:sz w:val="24"/>
          <w:szCs w:val="24"/>
        </w:rPr>
        <w:t>个工作日内成立清算小组，基金管理人组织基金财产清算小组并在中国证监会的监督下进行基金清算。</w:t>
      </w:r>
    </w:p>
    <w:p w14:paraId="5E9A2DA0"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、基金财产清算小组组成：基金财产清算小组成员由基金管理人、基金托管人、具有证券、期货相关业务资格的注册会计师、律师以及中国证监会指定的人员组成。基金财产清算小组可以聘用必要的工作人员。</w:t>
      </w:r>
    </w:p>
    <w:p w14:paraId="5BD53FD8"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、基金财产清算小组职责：基金财产清算小组负责基金财产的保管、清理、估价、变现和分配。基金财产清算小组可以依法进行必要的民事活动。</w:t>
      </w:r>
    </w:p>
    <w:p w14:paraId="1EFF30D1"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、基金财产清算程序：</w:t>
      </w:r>
    </w:p>
    <w:p w14:paraId="3F007241"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1</w:t>
      </w:r>
      <w:r>
        <w:rPr>
          <w:rFonts w:asciiTheme="minorEastAsia" w:hAnsiTheme="minorEastAsia" w:cs="Times New Roman" w:hint="eastAsia"/>
          <w:sz w:val="24"/>
          <w:szCs w:val="24"/>
        </w:rPr>
        <w:t>）《基金合同》终止情形出现时，由基金财产清算小组统一接管基金；</w:t>
      </w:r>
    </w:p>
    <w:p w14:paraId="0F2C0786"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2</w:t>
      </w:r>
      <w:r>
        <w:rPr>
          <w:rFonts w:asciiTheme="minorEastAsia" w:hAnsiTheme="minorEastAsia" w:cs="Times New Roman" w:hint="eastAsia"/>
          <w:sz w:val="24"/>
          <w:szCs w:val="24"/>
        </w:rPr>
        <w:t>）对基金财产和债权债务进行清理和确认；</w:t>
      </w:r>
    </w:p>
    <w:p w14:paraId="27296657"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3</w:t>
      </w:r>
      <w:r>
        <w:rPr>
          <w:rFonts w:asciiTheme="minorEastAsia" w:hAnsiTheme="minorEastAsia" w:cs="Times New Roman" w:hint="eastAsia"/>
          <w:sz w:val="24"/>
          <w:szCs w:val="24"/>
        </w:rPr>
        <w:t>）对基金财产进行估值和变现；</w:t>
      </w:r>
    </w:p>
    <w:p w14:paraId="7A47D618"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4</w:t>
      </w:r>
      <w:r>
        <w:rPr>
          <w:rFonts w:asciiTheme="minorEastAsia" w:hAnsiTheme="minorEastAsia" w:cs="Times New Roman" w:hint="eastAsia"/>
          <w:sz w:val="24"/>
          <w:szCs w:val="24"/>
        </w:rPr>
        <w:t>）制作清算报告；</w:t>
      </w:r>
    </w:p>
    <w:p w14:paraId="30ED434B"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5</w:t>
      </w:r>
      <w:r>
        <w:rPr>
          <w:rFonts w:asciiTheme="minorEastAsia" w:hAnsiTheme="minorEastAsia" w:cs="Times New Roman" w:hint="eastAsia"/>
          <w:sz w:val="24"/>
          <w:szCs w:val="24"/>
        </w:rPr>
        <w:t>）聘请具有证券、期货相关业务资格的会计师事务所对清算报告进行外部审计，聘请律师事务所对清算报告出具法律意见书；</w:t>
      </w:r>
    </w:p>
    <w:p w14:paraId="193B4F5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6</w:t>
      </w:r>
      <w:r>
        <w:rPr>
          <w:rFonts w:asciiTheme="minorEastAsia" w:hAnsiTheme="minorEastAsia" w:cs="Times New Roman" w:hint="eastAsia"/>
          <w:sz w:val="24"/>
          <w:szCs w:val="24"/>
        </w:rPr>
        <w:t>）将清算报告报中国证监会备案并公告；</w:t>
      </w:r>
    </w:p>
    <w:p w14:paraId="136088B1"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w:t>
      </w:r>
      <w:r>
        <w:rPr>
          <w:rFonts w:asciiTheme="minorEastAsia" w:hAnsiTheme="minorEastAsia" w:cs="Times New Roman" w:hint="eastAsia"/>
          <w:sz w:val="24"/>
          <w:szCs w:val="24"/>
        </w:rPr>
        <w:t>7</w:t>
      </w:r>
      <w:r>
        <w:rPr>
          <w:rFonts w:asciiTheme="minorEastAsia" w:hAnsiTheme="minorEastAsia" w:cs="Times New Roman" w:hint="eastAsia"/>
          <w:sz w:val="24"/>
          <w:szCs w:val="24"/>
        </w:rPr>
        <w:t>）对基金剩余财产进行分配。</w:t>
      </w:r>
    </w:p>
    <w:p w14:paraId="7968A2F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5</w:t>
      </w:r>
      <w:r>
        <w:rPr>
          <w:rFonts w:asciiTheme="minorEastAsia" w:hAnsiTheme="minorEastAsia" w:cs="Times New Roman" w:hint="eastAsia"/>
          <w:sz w:val="24"/>
          <w:szCs w:val="24"/>
        </w:rPr>
        <w:t>、基金财产清算的期限为</w:t>
      </w:r>
      <w:r>
        <w:rPr>
          <w:rFonts w:asciiTheme="minorEastAsia" w:hAnsiTheme="minorEastAsia" w:cs="Times New Roman" w:hint="eastAsia"/>
          <w:sz w:val="24"/>
          <w:szCs w:val="24"/>
        </w:rPr>
        <w:t>6</w:t>
      </w:r>
      <w:r>
        <w:rPr>
          <w:rFonts w:asciiTheme="minorEastAsia" w:hAnsiTheme="minorEastAsia" w:cs="Times New Roman" w:hint="eastAsia"/>
          <w:sz w:val="24"/>
          <w:szCs w:val="24"/>
        </w:rPr>
        <w:t>个月。</w:t>
      </w:r>
    </w:p>
    <w:p w14:paraId="3E411EE5"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四、清算费用</w:t>
      </w:r>
    </w:p>
    <w:p w14:paraId="634B1B85"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清算费用是指基金财产清算小组在进行基金清算过程中发生的所有合理费用，清算费用由基金财产清算小组优先从基金财产中支付。</w:t>
      </w:r>
    </w:p>
    <w:p w14:paraId="536B9F79"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五、基金财产清算剩余资产的分配</w:t>
      </w:r>
    </w:p>
    <w:p w14:paraId="62D1BCD9"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2346AD25"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六、基金财产清算的公告</w:t>
      </w:r>
    </w:p>
    <w:p w14:paraId="696D35E3"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Pr>
          <w:rFonts w:asciiTheme="minorEastAsia" w:hAnsiTheme="minorEastAsia" w:cs="Times New Roman" w:hint="eastAsia"/>
          <w:sz w:val="24"/>
          <w:szCs w:val="24"/>
        </w:rPr>
        <w:t>5</w:t>
      </w:r>
      <w:r>
        <w:rPr>
          <w:rFonts w:asciiTheme="minorEastAsia" w:hAnsiTheme="minorEastAsia" w:cs="Times New Roman" w:hint="eastAsia"/>
          <w:sz w:val="24"/>
          <w:szCs w:val="24"/>
        </w:rPr>
        <w:t>个工作日内由基金财产清算小组进行公告。</w:t>
      </w:r>
    </w:p>
    <w:p w14:paraId="1DB93051" w14:textId="77777777" w:rsidR="007B7C2A" w:rsidRDefault="00072812">
      <w:pPr>
        <w:adjustRightInd w:val="0"/>
        <w:snapToGrid w:val="0"/>
        <w:spacing w:line="360" w:lineRule="auto"/>
        <w:ind w:firstLineChars="200" w:firstLine="482"/>
        <w:rPr>
          <w:rFonts w:asciiTheme="minorEastAsia" w:hAnsiTheme="minorEastAsia" w:cs="Times New Roman" w:hint="eastAsia"/>
          <w:b/>
          <w:sz w:val="24"/>
          <w:szCs w:val="24"/>
        </w:rPr>
      </w:pPr>
      <w:r>
        <w:rPr>
          <w:rFonts w:asciiTheme="minorEastAsia" w:hAnsiTheme="minorEastAsia" w:cs="Times New Roman" w:hint="eastAsia"/>
          <w:b/>
          <w:sz w:val="24"/>
          <w:szCs w:val="24"/>
        </w:rPr>
        <w:t>七、基金财产清算账册及文件的保存</w:t>
      </w:r>
    </w:p>
    <w:p w14:paraId="647F47A6"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基金财产清算账册及有关文件由基金托管人保存</w:t>
      </w:r>
      <w:r>
        <w:rPr>
          <w:rFonts w:asciiTheme="minorEastAsia" w:hAnsiTheme="minorEastAsia" w:cs="Times New Roman" w:hint="eastAsia"/>
          <w:sz w:val="24"/>
          <w:szCs w:val="24"/>
        </w:rPr>
        <w:t>15</w:t>
      </w:r>
      <w:r>
        <w:rPr>
          <w:rFonts w:asciiTheme="minorEastAsia" w:hAnsiTheme="minorEastAsia" w:cs="Times New Roman" w:hint="eastAsia"/>
          <w:sz w:val="24"/>
          <w:szCs w:val="24"/>
        </w:rPr>
        <w:t>年以上。</w:t>
      </w:r>
    </w:p>
    <w:p w14:paraId="01EC9C4D" w14:textId="77777777" w:rsidR="007B7C2A" w:rsidRDefault="00072812">
      <w:pPr>
        <w:widowControl/>
        <w:jc w:val="left"/>
        <w:rPr>
          <w:rFonts w:asciiTheme="minorEastAsia" w:hAnsiTheme="minorEastAsia" w:cs="Times New Roman" w:hint="eastAsia"/>
          <w:sz w:val="24"/>
          <w:szCs w:val="24"/>
        </w:rPr>
      </w:pPr>
      <w:r>
        <w:rPr>
          <w:rFonts w:asciiTheme="minorEastAsia" w:hAnsiTheme="minorEastAsia" w:cs="Times New Roman"/>
          <w:sz w:val="24"/>
          <w:szCs w:val="24"/>
        </w:rPr>
        <w:br w:type="page"/>
      </w:r>
    </w:p>
    <w:p w14:paraId="6D34E626" w14:textId="77777777" w:rsidR="007B7C2A" w:rsidRDefault="00072812">
      <w:pPr>
        <w:pStyle w:val="1"/>
        <w:ind w:firstLine="602"/>
        <w:jc w:val="center"/>
        <w:rPr>
          <w:sz w:val="30"/>
          <w:szCs w:val="30"/>
        </w:rPr>
      </w:pPr>
      <w:bookmarkStart w:id="347" w:name="_Toc214873607"/>
      <w:bookmarkStart w:id="348" w:name="_Toc263092326"/>
      <w:bookmarkStart w:id="349" w:name="_Toc146096535"/>
      <w:bookmarkStart w:id="350" w:name="_Toc416264553"/>
      <w:bookmarkStart w:id="351" w:name="_Toc27464"/>
      <w:bookmarkStart w:id="352" w:name="_Toc123102466"/>
      <w:bookmarkStart w:id="353" w:name="_Toc9005"/>
      <w:bookmarkStart w:id="354" w:name="_Toc25647"/>
      <w:bookmarkStart w:id="355" w:name="_Toc7170"/>
      <w:bookmarkStart w:id="356" w:name="_Toc141703899"/>
      <w:bookmarkStart w:id="357" w:name="_Toc8049"/>
      <w:bookmarkStart w:id="358" w:name="_Toc11113"/>
      <w:bookmarkStart w:id="359" w:name="_Toc8059"/>
      <w:bookmarkStart w:id="360" w:name="_Toc29891"/>
      <w:bookmarkStart w:id="361" w:name="_Toc123051465"/>
      <w:bookmarkStart w:id="362" w:name="_Toc352229765"/>
      <w:bookmarkStart w:id="363" w:name="_Toc22978"/>
      <w:bookmarkStart w:id="364" w:name="_Toc139991749"/>
      <w:bookmarkStart w:id="365" w:name="_Toc6237"/>
      <w:bookmarkStart w:id="366" w:name="_Toc10006"/>
      <w:bookmarkStart w:id="367" w:name="_Toc98560364"/>
      <w:bookmarkStart w:id="368" w:name="_Toc123112247"/>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sz w:val="30"/>
          <w:szCs w:val="30"/>
        </w:rPr>
        <w:t>第十八部分</w:t>
      </w:r>
      <w:r>
        <w:rPr>
          <w:sz w:val="30"/>
          <w:szCs w:val="30"/>
        </w:rPr>
        <w:t xml:space="preserve">  </w:t>
      </w:r>
      <w:r>
        <w:rPr>
          <w:rFonts w:hint="eastAsia"/>
          <w:sz w:val="30"/>
          <w:szCs w:val="30"/>
        </w:rPr>
        <w:t>基金合同的内容摘要</w:t>
      </w:r>
      <w:bookmarkEnd w:id="347"/>
      <w:bookmarkEnd w:id="348"/>
      <w:bookmarkEnd w:id="349"/>
      <w:bookmarkEnd w:id="350"/>
    </w:p>
    <w:p w14:paraId="216E3825" w14:textId="77777777" w:rsidR="007B7C2A" w:rsidRDefault="00072812">
      <w:pPr>
        <w:widowControl/>
        <w:spacing w:line="360" w:lineRule="auto"/>
        <w:ind w:firstLineChars="200" w:firstLine="482"/>
        <w:jc w:val="left"/>
        <w:rPr>
          <w:rFonts w:asciiTheme="minorEastAsia" w:hAnsiTheme="minorEastAsia" w:cs="Times New Roman" w:hint="eastAsia"/>
          <w:b/>
          <w:sz w:val="24"/>
          <w:szCs w:val="24"/>
        </w:rPr>
      </w:pPr>
      <w:r>
        <w:rPr>
          <w:rFonts w:asciiTheme="minorEastAsia" w:hAnsiTheme="minorEastAsia" w:cs="Times New Roman" w:hint="eastAsia"/>
          <w:b/>
          <w:sz w:val="24"/>
          <w:szCs w:val="24"/>
        </w:rPr>
        <w:t>一、基金份额持有人、基金管理人和基金托管人的权利、义务</w:t>
      </w:r>
    </w:p>
    <w:p w14:paraId="1C6CA30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w:t>
      </w:r>
      <w:r>
        <w:rPr>
          <w:rFonts w:asciiTheme="minorEastAsia" w:hAnsiTheme="minorEastAsia" w:cs="Times New Roman" w:hint="eastAsia"/>
          <w:bCs/>
          <w:sz w:val="24"/>
          <w:szCs w:val="24"/>
        </w:rPr>
        <w:tab/>
      </w:r>
      <w:r>
        <w:rPr>
          <w:rFonts w:asciiTheme="minorEastAsia" w:hAnsiTheme="minorEastAsia" w:cs="Times New Roman" w:hint="eastAsia"/>
          <w:bCs/>
          <w:sz w:val="24"/>
          <w:szCs w:val="24"/>
        </w:rPr>
        <w:t>基金管理人的权利与义务</w:t>
      </w:r>
    </w:p>
    <w:p w14:paraId="0EB8321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、根据《基金法》、《运作办法》及其他有关规定，基金管理人的权利包括但不限于：</w:t>
      </w:r>
    </w:p>
    <w:p w14:paraId="4B668CA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）依法募集资金；</w:t>
      </w:r>
    </w:p>
    <w:p w14:paraId="382F870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）自《基金合同》生效之日起，根据法律法规和《基金合同》独立运用并管理基金财产；</w:t>
      </w:r>
    </w:p>
    <w:p w14:paraId="125C5B5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）依照《基金合同》收取基金管理费以及法律法规规定或中国证监会批准的其他费用；</w:t>
      </w:r>
    </w:p>
    <w:p w14:paraId="7C28976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）销售基金份额；</w:t>
      </w:r>
    </w:p>
    <w:p w14:paraId="3C454E3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）按照规定召集基金份额持有人大会；</w:t>
      </w:r>
    </w:p>
    <w:p w14:paraId="49D6814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452B415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）在基金托管人更换时，提名新的基金托管人；</w:t>
      </w:r>
    </w:p>
    <w:p w14:paraId="27765C5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8</w:t>
      </w:r>
      <w:r>
        <w:rPr>
          <w:rFonts w:asciiTheme="minorEastAsia" w:hAnsiTheme="minorEastAsia" w:cs="Times New Roman" w:hint="eastAsia"/>
          <w:bCs/>
          <w:sz w:val="24"/>
          <w:szCs w:val="24"/>
        </w:rPr>
        <w:t>）选择、更换基金销售机构，对基金销售机构的相关行为进行监督和处理；</w:t>
      </w:r>
      <w:r>
        <w:rPr>
          <w:rFonts w:asciiTheme="minorEastAsia" w:hAnsiTheme="minorEastAsia" w:cs="Times New Roman" w:hint="eastAsia"/>
          <w:bCs/>
          <w:sz w:val="24"/>
          <w:szCs w:val="24"/>
        </w:rPr>
        <w:t xml:space="preserve"> </w:t>
      </w:r>
    </w:p>
    <w:p w14:paraId="02C0E56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9</w:t>
      </w:r>
      <w:r>
        <w:rPr>
          <w:rFonts w:asciiTheme="minorEastAsia" w:hAnsiTheme="minorEastAsia" w:cs="Times New Roman" w:hint="eastAsia"/>
          <w:bCs/>
          <w:sz w:val="24"/>
          <w:szCs w:val="24"/>
        </w:rPr>
        <w:t>）担任或委托其他符合条件的机构担任基金登记机构办理基金登记业务并获得《基金合同》规定的费用；</w:t>
      </w:r>
      <w:r>
        <w:rPr>
          <w:rFonts w:asciiTheme="minorEastAsia" w:hAnsiTheme="minorEastAsia" w:cs="Times New Roman" w:hint="eastAsia"/>
          <w:bCs/>
          <w:sz w:val="24"/>
          <w:szCs w:val="24"/>
        </w:rPr>
        <w:t xml:space="preserve"> </w:t>
      </w:r>
    </w:p>
    <w:p w14:paraId="3D2E311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）依据《基金合同》及有关法律规定决定基金收益的分配方案；</w:t>
      </w:r>
      <w:r>
        <w:rPr>
          <w:rFonts w:asciiTheme="minorEastAsia" w:hAnsiTheme="minorEastAsia" w:cs="Times New Roman" w:hint="eastAsia"/>
          <w:bCs/>
          <w:sz w:val="24"/>
          <w:szCs w:val="24"/>
        </w:rPr>
        <w:tab/>
      </w:r>
    </w:p>
    <w:p w14:paraId="301DCC1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11</w:t>
      </w:r>
      <w:r>
        <w:rPr>
          <w:rFonts w:asciiTheme="minorEastAsia" w:hAnsiTheme="minorEastAsia" w:cs="Times New Roman" w:hint="eastAsia"/>
          <w:bCs/>
          <w:sz w:val="24"/>
          <w:szCs w:val="24"/>
        </w:rPr>
        <w:t>）在《基金合同》约定的范围内，拒绝或暂停受理申购与赎回申请；</w:t>
      </w:r>
      <w:r>
        <w:rPr>
          <w:rFonts w:asciiTheme="minorEastAsia" w:hAnsiTheme="minorEastAsia" w:cs="Times New Roman" w:hint="eastAsia"/>
          <w:bCs/>
          <w:sz w:val="24"/>
          <w:szCs w:val="24"/>
        </w:rPr>
        <w:t xml:space="preserve"> </w:t>
      </w:r>
    </w:p>
    <w:p w14:paraId="022BA0E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12</w:t>
      </w:r>
      <w:r>
        <w:rPr>
          <w:rFonts w:asciiTheme="minorEastAsia" w:hAnsiTheme="minorEastAsia" w:cs="Times New Roman" w:hint="eastAsia"/>
          <w:bCs/>
          <w:sz w:val="24"/>
          <w:szCs w:val="24"/>
        </w:rPr>
        <w:t>）依照法律法规为基金的利益对被投资公司行使股东权利，为基金的利益行使因基金财产投资于证券所产生的权利；</w:t>
      </w:r>
      <w:r>
        <w:rPr>
          <w:rFonts w:asciiTheme="minorEastAsia" w:hAnsiTheme="minorEastAsia" w:cs="Times New Roman" w:hint="eastAsia"/>
          <w:bCs/>
          <w:sz w:val="24"/>
          <w:szCs w:val="24"/>
        </w:rPr>
        <w:tab/>
      </w:r>
    </w:p>
    <w:p w14:paraId="5EC915E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13</w:t>
      </w:r>
      <w:r>
        <w:rPr>
          <w:rFonts w:asciiTheme="minorEastAsia" w:hAnsiTheme="minorEastAsia" w:cs="Times New Roman" w:hint="eastAsia"/>
          <w:bCs/>
          <w:sz w:val="24"/>
          <w:szCs w:val="24"/>
        </w:rPr>
        <w:t>）以基金管理人的名义，代表基金份额持有人的利益行使诉讼权利或者实施其他法律行为；</w:t>
      </w:r>
      <w:r>
        <w:rPr>
          <w:rFonts w:asciiTheme="minorEastAsia" w:hAnsiTheme="minorEastAsia" w:cs="Times New Roman" w:hint="eastAsia"/>
          <w:bCs/>
          <w:sz w:val="24"/>
          <w:szCs w:val="24"/>
        </w:rPr>
        <w:tab/>
      </w:r>
    </w:p>
    <w:p w14:paraId="635B655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14</w:t>
      </w:r>
      <w:r>
        <w:rPr>
          <w:rFonts w:asciiTheme="minorEastAsia" w:hAnsiTheme="minorEastAsia" w:cs="Times New Roman" w:hint="eastAsia"/>
          <w:bCs/>
          <w:sz w:val="24"/>
          <w:szCs w:val="24"/>
        </w:rPr>
        <w:t>）选择、更换律师事务所、会计师事务所、证券经纪商、期货经纪商或其他为基金提供服务的外部机构；</w:t>
      </w:r>
      <w:r>
        <w:rPr>
          <w:rFonts w:asciiTheme="minorEastAsia" w:hAnsiTheme="minorEastAsia" w:cs="Times New Roman" w:hint="eastAsia"/>
          <w:bCs/>
          <w:sz w:val="24"/>
          <w:szCs w:val="24"/>
        </w:rPr>
        <w:tab/>
      </w:r>
    </w:p>
    <w:p w14:paraId="444C951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）在符合有关法律、法规的前提下，制订和调整有关基金认购、申购、赎回、转换和</w:t>
      </w:r>
      <w:proofErr w:type="gramStart"/>
      <w:r>
        <w:rPr>
          <w:rFonts w:asciiTheme="minorEastAsia" w:hAnsiTheme="minorEastAsia" w:cs="Times New Roman" w:hint="eastAsia"/>
          <w:bCs/>
          <w:sz w:val="24"/>
          <w:szCs w:val="24"/>
        </w:rPr>
        <w:t>非交易</w:t>
      </w:r>
      <w:proofErr w:type="gramEnd"/>
      <w:r>
        <w:rPr>
          <w:rFonts w:asciiTheme="minorEastAsia" w:hAnsiTheme="minorEastAsia" w:cs="Times New Roman" w:hint="eastAsia"/>
          <w:bCs/>
          <w:sz w:val="24"/>
          <w:szCs w:val="24"/>
        </w:rPr>
        <w:t>过户等业务规则；</w:t>
      </w:r>
    </w:p>
    <w:p w14:paraId="48FFD02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16</w:t>
      </w:r>
      <w:r>
        <w:rPr>
          <w:rFonts w:asciiTheme="minorEastAsia" w:hAnsiTheme="minorEastAsia" w:cs="Times New Roman" w:hint="eastAsia"/>
          <w:bCs/>
          <w:sz w:val="24"/>
          <w:szCs w:val="24"/>
        </w:rPr>
        <w:t>）法律法规及中国证监会规定的和《基金合同》约定的其他权利。</w:t>
      </w:r>
    </w:p>
    <w:p w14:paraId="18E0F7E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、根据《基金法》、《运作办法》及其他有关规定，基金管理人的义务包括但不限于：</w:t>
      </w:r>
    </w:p>
    <w:p w14:paraId="0993384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）依法募集资金，办理或者委托经中国证监会认定的其他机构代为办理基金份额的发售、申购、赎回和登记事宜；</w:t>
      </w:r>
    </w:p>
    <w:p w14:paraId="6FE3C49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）办理基金备案手续；</w:t>
      </w:r>
    </w:p>
    <w:p w14:paraId="0FF93D1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）自《基金合同》生效之日起，以诚实信用、谨慎勤勉的原则管理和运用基金财产；</w:t>
      </w:r>
    </w:p>
    <w:p w14:paraId="67A9F87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）配备足够的具有专业资格的人员进行基金投资分析、决策，以专业化的经营方式管理和运作基金财产；</w:t>
      </w:r>
    </w:p>
    <w:p w14:paraId="7EADEE4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719A2B9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）除依据《基金法》、《基金合同》及其他有关规定外，不得利用基金财产为自己及任何第三人谋取利益，不得委托第三人运作基金财产；</w:t>
      </w:r>
    </w:p>
    <w:p w14:paraId="428678E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）依法接受基金托管人的监督；</w:t>
      </w:r>
    </w:p>
    <w:p w14:paraId="3BD8E8F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8</w:t>
      </w:r>
      <w:r>
        <w:rPr>
          <w:rFonts w:asciiTheme="minorEastAsia" w:hAnsiTheme="minorEastAsia" w:cs="Times New Roman" w:hint="eastAsia"/>
          <w:bCs/>
          <w:sz w:val="24"/>
          <w:szCs w:val="24"/>
        </w:rPr>
        <w:t>）采取适当合理的措施使计算基金份额认购、申购、赎回和注销价格的方法符合《基金合同》等法律文件的规定，按有关规定计算并公告基金净值信息，确定基金份额申购、赎回对价，编制申购赎回清单；</w:t>
      </w:r>
    </w:p>
    <w:p w14:paraId="0B6D5A2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9</w:t>
      </w:r>
      <w:r>
        <w:rPr>
          <w:rFonts w:asciiTheme="minorEastAsia" w:hAnsiTheme="minorEastAsia" w:cs="Times New Roman" w:hint="eastAsia"/>
          <w:bCs/>
          <w:sz w:val="24"/>
          <w:szCs w:val="24"/>
        </w:rPr>
        <w:t>）进行基金会计核算并编制基金财务会计报告；</w:t>
      </w:r>
    </w:p>
    <w:p w14:paraId="7D27E2D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）编制季度报告、中期报告和年度报告；</w:t>
      </w:r>
    </w:p>
    <w:p w14:paraId="7E35D15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11</w:t>
      </w:r>
      <w:r>
        <w:rPr>
          <w:rFonts w:asciiTheme="minorEastAsia" w:hAnsiTheme="minorEastAsia" w:cs="Times New Roman" w:hint="eastAsia"/>
          <w:bCs/>
          <w:sz w:val="24"/>
          <w:szCs w:val="24"/>
        </w:rPr>
        <w:t>）严格按照《基金法》、《基金合同》及其他有关规定，履行信息披露及报告义务；</w:t>
      </w:r>
    </w:p>
    <w:p w14:paraId="71AD711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12</w:t>
      </w:r>
      <w:r>
        <w:rPr>
          <w:rFonts w:asciiTheme="minorEastAsia" w:hAnsiTheme="minorEastAsia" w:cs="Times New Roman" w:hint="eastAsia"/>
          <w:bCs/>
          <w:sz w:val="24"/>
          <w:szCs w:val="24"/>
        </w:rPr>
        <w:t>）保守基金商业秘密，不泄露基金投资计划、投资意向等。除《基金法》、《基金合同》及其他有关规定另有规定外，在基金信息公开披露前应予保密，不向他人泄露；</w:t>
      </w:r>
    </w:p>
    <w:p w14:paraId="25D861E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13</w:t>
      </w:r>
      <w:r>
        <w:rPr>
          <w:rFonts w:asciiTheme="minorEastAsia" w:hAnsiTheme="minorEastAsia" w:cs="Times New Roman" w:hint="eastAsia"/>
          <w:bCs/>
          <w:sz w:val="24"/>
          <w:szCs w:val="24"/>
        </w:rPr>
        <w:t>）按《基金合同》的约定确定基金收益分配方案，及时向基金份额持有人分配基金收益；</w:t>
      </w:r>
    </w:p>
    <w:p w14:paraId="793015E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14</w:t>
      </w:r>
      <w:r>
        <w:rPr>
          <w:rFonts w:asciiTheme="minorEastAsia" w:hAnsiTheme="minorEastAsia" w:cs="Times New Roman" w:hint="eastAsia"/>
          <w:bCs/>
          <w:sz w:val="24"/>
          <w:szCs w:val="24"/>
        </w:rPr>
        <w:t>）按规定受理申购与赎回申请，及时、足额支付赎回款项；</w:t>
      </w:r>
    </w:p>
    <w:p w14:paraId="44C55A5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）依据《基金法》、《基金合同》及其他有关规定召集基金份额持有人大会或配合基金托管人、基金份额持有人依法召集基金份额持有人大会；</w:t>
      </w:r>
    </w:p>
    <w:p w14:paraId="6226CB2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16</w:t>
      </w:r>
      <w:r>
        <w:rPr>
          <w:rFonts w:asciiTheme="minorEastAsia" w:hAnsiTheme="minorEastAsia" w:cs="Times New Roman" w:hint="eastAsia"/>
          <w:bCs/>
          <w:sz w:val="24"/>
          <w:szCs w:val="24"/>
        </w:rPr>
        <w:t>）按规定保存基金财产管理业务活动的会计账册、报表、记录和其他相关资料</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年以上；</w:t>
      </w:r>
    </w:p>
    <w:p w14:paraId="054BE54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17</w:t>
      </w:r>
      <w:r>
        <w:rPr>
          <w:rFonts w:asciiTheme="minorEastAsia" w:hAnsiTheme="minorEastAsia" w:cs="Times New Roman"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A73C9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18</w:t>
      </w:r>
      <w:r>
        <w:rPr>
          <w:rFonts w:asciiTheme="minorEastAsia" w:hAnsiTheme="minorEastAsia" w:cs="Times New Roman" w:hint="eastAsia"/>
          <w:bCs/>
          <w:sz w:val="24"/>
          <w:szCs w:val="24"/>
        </w:rPr>
        <w:t>）组织并参加基金财产清算小组，参与基金财产的保管、清理、估价、变现和分配；</w:t>
      </w:r>
    </w:p>
    <w:p w14:paraId="69CC535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19</w:t>
      </w:r>
      <w:r>
        <w:rPr>
          <w:rFonts w:asciiTheme="minorEastAsia" w:hAnsiTheme="minorEastAsia" w:cs="Times New Roman" w:hint="eastAsia"/>
          <w:bCs/>
          <w:sz w:val="24"/>
          <w:szCs w:val="24"/>
        </w:rPr>
        <w:t>）面临解散、依法被撤销或者被依法宣告破产时，及时报告中国证监会并通知基金托管人；</w:t>
      </w:r>
    </w:p>
    <w:p w14:paraId="5EA6B67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20</w:t>
      </w:r>
      <w:r>
        <w:rPr>
          <w:rFonts w:asciiTheme="minorEastAsia" w:hAnsiTheme="minorEastAsia" w:cs="Times New Roman" w:hint="eastAsia"/>
          <w:bCs/>
          <w:sz w:val="24"/>
          <w:szCs w:val="24"/>
        </w:rPr>
        <w:t>）因违反《基金合同》导致基金财产的损失或损害基金份额持有人合法权益时，应当承担赔偿责任，其赔偿责任不因其退任而免除；</w:t>
      </w:r>
    </w:p>
    <w:p w14:paraId="3CB3602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21</w:t>
      </w:r>
      <w:r>
        <w:rPr>
          <w:rFonts w:asciiTheme="minorEastAsia" w:hAnsiTheme="minorEastAsia" w:cs="Times New Roman"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487C9F5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22</w:t>
      </w:r>
      <w:r>
        <w:rPr>
          <w:rFonts w:asciiTheme="minorEastAsia" w:hAnsiTheme="minorEastAsia" w:cs="Times New Roman" w:hint="eastAsia"/>
          <w:bCs/>
          <w:sz w:val="24"/>
          <w:szCs w:val="24"/>
        </w:rPr>
        <w:t>）当基金管理人将其义务委托第三方处理时，应当对第三方处理有关基金事务的行为承担责任；</w:t>
      </w:r>
    </w:p>
    <w:p w14:paraId="6FF9D16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23</w:t>
      </w:r>
      <w:r>
        <w:rPr>
          <w:rFonts w:asciiTheme="minorEastAsia" w:hAnsiTheme="minorEastAsia" w:cs="Times New Roman" w:hint="eastAsia"/>
          <w:bCs/>
          <w:sz w:val="24"/>
          <w:szCs w:val="24"/>
        </w:rPr>
        <w:t>）以基金管理人名义，代表基金份额持有人利益行使诉讼权利或实施其他法律行为；</w:t>
      </w:r>
    </w:p>
    <w:p w14:paraId="5DE24AF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24</w:t>
      </w:r>
      <w:r>
        <w:rPr>
          <w:rFonts w:asciiTheme="minorEastAsia" w:hAnsiTheme="minorEastAsia" w:cs="Times New Roman" w:hint="eastAsia"/>
          <w:bCs/>
          <w:sz w:val="24"/>
          <w:szCs w:val="24"/>
        </w:rPr>
        <w:t>）基金管理人在募集期间未能达到基金的备案条件，《基金合同》不能生效，基金管理人承担全部募集费用，将已募集资金并加计银行同期活期存款利息在基金募集期结束后</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日内退还基金认购人；</w:t>
      </w:r>
    </w:p>
    <w:p w14:paraId="4D6369C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25</w:t>
      </w:r>
      <w:r>
        <w:rPr>
          <w:rFonts w:asciiTheme="minorEastAsia" w:hAnsiTheme="minorEastAsia" w:cs="Times New Roman" w:hint="eastAsia"/>
          <w:bCs/>
          <w:sz w:val="24"/>
          <w:szCs w:val="24"/>
        </w:rPr>
        <w:t>）执行生效的基金份额持有人大会的决议；</w:t>
      </w:r>
    </w:p>
    <w:p w14:paraId="79DEEFE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26</w:t>
      </w:r>
      <w:r>
        <w:rPr>
          <w:rFonts w:asciiTheme="minorEastAsia" w:hAnsiTheme="minorEastAsia" w:cs="Times New Roman" w:hint="eastAsia"/>
          <w:bCs/>
          <w:sz w:val="24"/>
          <w:szCs w:val="24"/>
        </w:rPr>
        <w:t>）建立并保存基金份额持有人名册；</w:t>
      </w:r>
    </w:p>
    <w:p w14:paraId="78A5881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27</w:t>
      </w:r>
      <w:r>
        <w:rPr>
          <w:rFonts w:asciiTheme="minorEastAsia" w:hAnsiTheme="minorEastAsia" w:cs="Times New Roman" w:hint="eastAsia"/>
          <w:bCs/>
          <w:sz w:val="24"/>
          <w:szCs w:val="24"/>
        </w:rPr>
        <w:t>）法律法规及中国证监会规定的和《基金合同》约定的其他义务。</w:t>
      </w:r>
    </w:p>
    <w:p w14:paraId="0162D63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w:t>
      </w:r>
      <w:r>
        <w:rPr>
          <w:rFonts w:asciiTheme="minorEastAsia" w:hAnsiTheme="minorEastAsia" w:cs="Times New Roman" w:hint="eastAsia"/>
          <w:bCs/>
          <w:sz w:val="24"/>
          <w:szCs w:val="24"/>
        </w:rPr>
        <w:tab/>
      </w:r>
      <w:r>
        <w:rPr>
          <w:rFonts w:asciiTheme="minorEastAsia" w:hAnsiTheme="minorEastAsia" w:cs="Times New Roman" w:hint="eastAsia"/>
          <w:bCs/>
          <w:sz w:val="24"/>
          <w:szCs w:val="24"/>
        </w:rPr>
        <w:t>基金托管人的权利与义务</w:t>
      </w:r>
    </w:p>
    <w:p w14:paraId="47C0B93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、根据《基金法》、《运作办法》及其他有关规定，基金托管人的权利包括但不限于：</w:t>
      </w:r>
    </w:p>
    <w:p w14:paraId="478D9C5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）自《基金合同》生效之日起，依法</w:t>
      </w:r>
      <w:proofErr w:type="gramStart"/>
      <w:r>
        <w:rPr>
          <w:rFonts w:asciiTheme="minorEastAsia" w:hAnsiTheme="minorEastAsia" w:cs="Times New Roman" w:hint="eastAsia"/>
          <w:bCs/>
          <w:sz w:val="24"/>
          <w:szCs w:val="24"/>
        </w:rPr>
        <w:t>律法规</w:t>
      </w:r>
      <w:proofErr w:type="gramEnd"/>
      <w:r>
        <w:rPr>
          <w:rFonts w:asciiTheme="minorEastAsia" w:hAnsiTheme="minorEastAsia" w:cs="Times New Roman" w:hint="eastAsia"/>
          <w:bCs/>
          <w:sz w:val="24"/>
          <w:szCs w:val="24"/>
        </w:rPr>
        <w:t>和《基金合同》的规定安全保管基金财产；</w:t>
      </w:r>
    </w:p>
    <w:p w14:paraId="1EB481F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）依《基金合同》约定获得基金托管费以及法律法规规定或监管部门批准的其他费用；</w:t>
      </w:r>
    </w:p>
    <w:p w14:paraId="0DEB977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21E477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）根据相关市场规则，为基金开设资金账户、证券账户等投资所需账户，为基金办理证券、期货交易资金清算；</w:t>
      </w:r>
    </w:p>
    <w:p w14:paraId="7EA8392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）提议召开或召集基金份额持有人大会；</w:t>
      </w:r>
    </w:p>
    <w:p w14:paraId="16A6863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）在基金管理人更换时，提名新的基金管理人；</w:t>
      </w:r>
    </w:p>
    <w:p w14:paraId="0D7779B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）法律法规及中国证监会规定的和《基金合同》约定的其他权利。</w:t>
      </w:r>
    </w:p>
    <w:p w14:paraId="3B845E5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、根据《基金法》、《运作办法》及其他有关规定，基金托管人的义务包括但不限于：</w:t>
      </w:r>
    </w:p>
    <w:p w14:paraId="6024A7D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）以诚实信用、勤勉尽责的原则持有并安全保管基金财产；</w:t>
      </w:r>
    </w:p>
    <w:p w14:paraId="7947DAB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）设立专门的基金托管部门，具有符合要求的营业场所，配备足够的、合格的熟悉基金托管业务的专职人员，负责基金财产托管事宜；</w:t>
      </w:r>
    </w:p>
    <w:p w14:paraId="549D8E3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B66C78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）除依据《基金法》、《基金合同》及其他有关规定外，不得利用基金财产为自己及任何第三人谋取利益，不得委托第三人托管基金财产；</w:t>
      </w:r>
    </w:p>
    <w:p w14:paraId="71023CB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）保管由基金管理人代表基金签订的与基金有关的重大合同及有关凭证；</w:t>
      </w:r>
    </w:p>
    <w:p w14:paraId="7DDF55A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）按规定开设基金财产的资金账户、证券账户等投资所需账户，按照《基金合同》的约定，根据基金管理人的投资指令，及时办理清算、交割事宜；</w:t>
      </w:r>
    </w:p>
    <w:p w14:paraId="7BE5AB2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）保守基金商业秘密，除《基金法》、《基金合同》及其他有关规定另有规定外，在基金信息公开披露前予以保密，不得向他人泄露；</w:t>
      </w:r>
    </w:p>
    <w:p w14:paraId="34E4D08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8</w:t>
      </w:r>
      <w:r>
        <w:rPr>
          <w:rFonts w:asciiTheme="minorEastAsia" w:hAnsiTheme="minorEastAsia" w:cs="Times New Roman" w:hint="eastAsia"/>
          <w:bCs/>
          <w:sz w:val="24"/>
          <w:szCs w:val="24"/>
        </w:rPr>
        <w:t>）复核、审查基金管理人计算的基金资产净值、基金份额净值、基金份额申购、赎回价格；</w:t>
      </w:r>
    </w:p>
    <w:p w14:paraId="4920127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9</w:t>
      </w:r>
      <w:r>
        <w:rPr>
          <w:rFonts w:asciiTheme="minorEastAsia" w:hAnsiTheme="minorEastAsia" w:cs="Times New Roman" w:hint="eastAsia"/>
          <w:bCs/>
          <w:sz w:val="24"/>
          <w:szCs w:val="24"/>
        </w:rPr>
        <w:t>）办理与基金托管业务活动有关的信息披露事项；</w:t>
      </w:r>
    </w:p>
    <w:p w14:paraId="6E71807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35A9DF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11</w:t>
      </w:r>
      <w:r>
        <w:rPr>
          <w:rFonts w:asciiTheme="minorEastAsia" w:hAnsiTheme="minorEastAsia" w:cs="Times New Roman" w:hint="eastAsia"/>
          <w:bCs/>
          <w:sz w:val="24"/>
          <w:szCs w:val="24"/>
        </w:rPr>
        <w:t>）保存基金托管业务活动的记录、账册、报表和其他相关资料</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年以上；</w:t>
      </w:r>
    </w:p>
    <w:p w14:paraId="166AD7E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12</w:t>
      </w:r>
      <w:r>
        <w:rPr>
          <w:rFonts w:asciiTheme="minorEastAsia" w:hAnsiTheme="minorEastAsia" w:cs="Times New Roman" w:hint="eastAsia"/>
          <w:bCs/>
          <w:sz w:val="24"/>
          <w:szCs w:val="24"/>
        </w:rPr>
        <w:t>）建立并保存基金份额持有人名册；</w:t>
      </w:r>
    </w:p>
    <w:p w14:paraId="1BE8DA1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13</w:t>
      </w:r>
      <w:r>
        <w:rPr>
          <w:rFonts w:asciiTheme="minorEastAsia" w:hAnsiTheme="minorEastAsia" w:cs="Times New Roman" w:hint="eastAsia"/>
          <w:bCs/>
          <w:sz w:val="24"/>
          <w:szCs w:val="24"/>
        </w:rPr>
        <w:t>）按规定制作相关账册并与基金管理人核对；</w:t>
      </w:r>
    </w:p>
    <w:p w14:paraId="4F024CF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14</w:t>
      </w:r>
      <w:r>
        <w:rPr>
          <w:rFonts w:asciiTheme="minorEastAsia" w:hAnsiTheme="minorEastAsia" w:cs="Times New Roman" w:hint="eastAsia"/>
          <w:bCs/>
          <w:sz w:val="24"/>
          <w:szCs w:val="24"/>
        </w:rPr>
        <w:t>）依据基金管理人的指令或有关规定向基金份额持有人支付基金收益和赎回款项；</w:t>
      </w:r>
    </w:p>
    <w:p w14:paraId="264E64B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15</w:t>
      </w:r>
      <w:r>
        <w:rPr>
          <w:rFonts w:asciiTheme="minorEastAsia" w:hAnsiTheme="minorEastAsia" w:cs="Times New Roman" w:hint="eastAsia"/>
          <w:bCs/>
          <w:sz w:val="24"/>
          <w:szCs w:val="24"/>
        </w:rPr>
        <w:t>）依据《基金法》、《基金合同》及其他有关规定，召集基金份额持有人大会或配合基金管理人、基金份额持有人依法召集基金份额持有人大会；</w:t>
      </w:r>
    </w:p>
    <w:p w14:paraId="287A659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16</w:t>
      </w:r>
      <w:r>
        <w:rPr>
          <w:rFonts w:asciiTheme="minorEastAsia" w:hAnsiTheme="minorEastAsia" w:cs="Times New Roman" w:hint="eastAsia"/>
          <w:bCs/>
          <w:sz w:val="24"/>
          <w:szCs w:val="24"/>
        </w:rPr>
        <w:t>）按照法律法规和《基金合同》的规定监督基金管理人的投资运作；</w:t>
      </w:r>
    </w:p>
    <w:p w14:paraId="7A97688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17</w:t>
      </w:r>
      <w:r>
        <w:rPr>
          <w:rFonts w:asciiTheme="minorEastAsia" w:hAnsiTheme="minorEastAsia" w:cs="Times New Roman" w:hint="eastAsia"/>
          <w:bCs/>
          <w:sz w:val="24"/>
          <w:szCs w:val="24"/>
        </w:rPr>
        <w:t>）参加基金财产清算小组，参与基金财产的保管、清理、估价、变现和分配；</w:t>
      </w:r>
    </w:p>
    <w:p w14:paraId="1D910E3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18</w:t>
      </w:r>
      <w:r>
        <w:rPr>
          <w:rFonts w:asciiTheme="minorEastAsia" w:hAnsiTheme="minorEastAsia" w:cs="Times New Roman" w:hint="eastAsia"/>
          <w:bCs/>
          <w:sz w:val="24"/>
          <w:szCs w:val="24"/>
        </w:rPr>
        <w:t>）面临解散、依法被撤销或者被依法宣告破产时，及时报告中国证监会和银行监管机构，并通知基金管理人；</w:t>
      </w:r>
    </w:p>
    <w:p w14:paraId="60DBC08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19</w:t>
      </w:r>
      <w:r>
        <w:rPr>
          <w:rFonts w:asciiTheme="minorEastAsia" w:hAnsiTheme="minorEastAsia" w:cs="Times New Roman" w:hint="eastAsia"/>
          <w:bCs/>
          <w:sz w:val="24"/>
          <w:szCs w:val="24"/>
        </w:rPr>
        <w:t>）因违反《基金合同》导致基金财产损失时，应承担赔偿责任，其赔偿责任不因其退任而免除；</w:t>
      </w:r>
    </w:p>
    <w:p w14:paraId="6975E5B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20</w:t>
      </w:r>
      <w:r>
        <w:rPr>
          <w:rFonts w:asciiTheme="minorEastAsia" w:hAnsiTheme="minorEastAsia" w:cs="Times New Roman" w:hint="eastAsia"/>
          <w:bCs/>
          <w:sz w:val="24"/>
          <w:szCs w:val="24"/>
        </w:rPr>
        <w:t>）按规定监督基金管理人按法律法规和《基金合同》规定履行自己的义务，基金管理人因违反《基金合同》造成基金财产损失时，应为基金份额持有人利益向基金管理人追偿；</w:t>
      </w:r>
    </w:p>
    <w:p w14:paraId="6AFB76A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21</w:t>
      </w:r>
      <w:r>
        <w:rPr>
          <w:rFonts w:asciiTheme="minorEastAsia" w:hAnsiTheme="minorEastAsia" w:cs="Times New Roman" w:hint="eastAsia"/>
          <w:bCs/>
          <w:sz w:val="24"/>
          <w:szCs w:val="24"/>
        </w:rPr>
        <w:t>）执行生效的基金份额持有人大会的决议；</w:t>
      </w:r>
    </w:p>
    <w:p w14:paraId="4C049DB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22</w:t>
      </w:r>
      <w:r>
        <w:rPr>
          <w:rFonts w:asciiTheme="minorEastAsia" w:hAnsiTheme="minorEastAsia" w:cs="Times New Roman" w:hint="eastAsia"/>
          <w:bCs/>
          <w:sz w:val="24"/>
          <w:szCs w:val="24"/>
        </w:rPr>
        <w:t>）法律法规及中国证监会规定的和《基金合同》约定的其他义务。</w:t>
      </w:r>
    </w:p>
    <w:p w14:paraId="682371C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（三）基金份额持有人的权利和义务</w:t>
      </w:r>
    </w:p>
    <w:p w14:paraId="32D112F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基金投资者持有本</w:t>
      </w:r>
      <w:proofErr w:type="gramStart"/>
      <w:r>
        <w:rPr>
          <w:rFonts w:asciiTheme="minorEastAsia" w:hAnsiTheme="minorEastAsia" w:cs="Times New Roman" w:hint="eastAsia"/>
          <w:bCs/>
          <w:sz w:val="24"/>
          <w:szCs w:val="24"/>
        </w:rPr>
        <w:t>基金基金</w:t>
      </w:r>
      <w:proofErr w:type="gramEnd"/>
      <w:r>
        <w:rPr>
          <w:rFonts w:asciiTheme="minorEastAsia" w:hAnsiTheme="minorEastAsia" w:cs="Times New Roman" w:hint="eastAsia"/>
          <w:bCs/>
          <w:sz w:val="24"/>
          <w:szCs w:val="24"/>
        </w:rPr>
        <w:t>份额的行为即视为对《基金合同》的承认和接受，基金投资者</w:t>
      </w:r>
      <w:proofErr w:type="gramStart"/>
      <w:r>
        <w:rPr>
          <w:rFonts w:asciiTheme="minorEastAsia" w:hAnsiTheme="minorEastAsia" w:cs="Times New Roman" w:hint="eastAsia"/>
          <w:bCs/>
          <w:sz w:val="24"/>
          <w:szCs w:val="24"/>
        </w:rPr>
        <w:t>自依据</w:t>
      </w:r>
      <w:proofErr w:type="gramEnd"/>
      <w:r>
        <w:rPr>
          <w:rFonts w:asciiTheme="minorEastAsia" w:hAnsiTheme="minorEastAsia" w:cs="Times New Roman"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19D1A3F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同一类别每份基金份额具有同等的合法权益。本基金</w:t>
      </w:r>
      <w:r>
        <w:rPr>
          <w:rFonts w:asciiTheme="minorEastAsia" w:hAnsiTheme="minorEastAsia" w:cs="Times New Roman" w:hint="eastAsia"/>
          <w:bCs/>
          <w:sz w:val="24"/>
          <w:szCs w:val="24"/>
        </w:rPr>
        <w:t>A</w:t>
      </w:r>
      <w:r>
        <w:rPr>
          <w:rFonts w:asciiTheme="minorEastAsia" w:hAnsiTheme="minorEastAsia" w:cs="Times New Roman" w:hint="eastAsia"/>
          <w:bCs/>
          <w:sz w:val="24"/>
          <w:szCs w:val="24"/>
        </w:rPr>
        <w:t>类基金份额与</w:t>
      </w:r>
      <w:r>
        <w:rPr>
          <w:rFonts w:asciiTheme="minorEastAsia" w:hAnsiTheme="minorEastAsia" w:cs="Times New Roman" w:hint="eastAsia"/>
          <w:bCs/>
          <w:sz w:val="24"/>
          <w:szCs w:val="24"/>
        </w:rPr>
        <w:t>C</w:t>
      </w:r>
      <w:r>
        <w:rPr>
          <w:rFonts w:asciiTheme="minorEastAsia" w:hAnsiTheme="minorEastAsia" w:cs="Times New Roman" w:hint="eastAsia"/>
          <w:bCs/>
          <w:sz w:val="24"/>
          <w:szCs w:val="24"/>
        </w:rPr>
        <w:t>类基金份额由于基金份额净值的不同，基金收益分配的金额以及参与清算后的剩余基金财产分配的数量将可能有所不同。</w:t>
      </w:r>
    </w:p>
    <w:p w14:paraId="1A8BF57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、根据《基金法》、《运作办法》及其他有关规定，基金份额持有人的权利包括但不限于：</w:t>
      </w:r>
    </w:p>
    <w:p w14:paraId="06550C6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）分享基金财产收益；</w:t>
      </w:r>
    </w:p>
    <w:p w14:paraId="07C8D4E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）参与分配清算后的剩余基金财产；</w:t>
      </w:r>
    </w:p>
    <w:p w14:paraId="3E9BAE4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）依法申请赎回其持有的基金份额；</w:t>
      </w:r>
    </w:p>
    <w:p w14:paraId="757AB5C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）按照规定要求召开基金份额持有人大会或者召集基金份额持有人大会；</w:t>
      </w:r>
    </w:p>
    <w:p w14:paraId="7F9BC1F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）出席或者委派代表出席基金份额持有人大会，对基金份额持有人大会审议事项行使表决权；</w:t>
      </w:r>
    </w:p>
    <w:p w14:paraId="156E2A7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）查阅或者复制公开披露的基金信息资料；</w:t>
      </w:r>
    </w:p>
    <w:p w14:paraId="3E60783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）监督基金管理人的投资运作；</w:t>
      </w:r>
    </w:p>
    <w:p w14:paraId="15F1A7E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8</w:t>
      </w:r>
      <w:r>
        <w:rPr>
          <w:rFonts w:asciiTheme="minorEastAsia" w:hAnsiTheme="minorEastAsia" w:cs="Times New Roman" w:hint="eastAsia"/>
          <w:bCs/>
          <w:sz w:val="24"/>
          <w:szCs w:val="24"/>
        </w:rPr>
        <w:t>）对基金管理人、基金托管人、基金服务机构损害其合法权益的行为依法提起诉讼或仲裁；</w:t>
      </w:r>
    </w:p>
    <w:p w14:paraId="72C350C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9</w:t>
      </w:r>
      <w:r>
        <w:rPr>
          <w:rFonts w:asciiTheme="minorEastAsia" w:hAnsiTheme="minorEastAsia" w:cs="Times New Roman" w:hint="eastAsia"/>
          <w:bCs/>
          <w:sz w:val="24"/>
          <w:szCs w:val="24"/>
        </w:rPr>
        <w:t>）法律法规及中国证监会规定的和《基金合同》约定的其他权利。</w:t>
      </w:r>
    </w:p>
    <w:p w14:paraId="49FE2EB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、根据《基金法》、《运作办法》及其他有关规定，基金份额持有人的义务包括但不限于：</w:t>
      </w:r>
    </w:p>
    <w:p w14:paraId="37540A1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）认真阅读并遵守《基金合同》、招募说明书等信息披露文件；</w:t>
      </w:r>
    </w:p>
    <w:p w14:paraId="2E12D5E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）了解所投资基金产品，了解自身风险承受能力，自主判断基金的投资价值，自主做出投资决策，自行承担投资风险；</w:t>
      </w:r>
    </w:p>
    <w:p w14:paraId="23A449A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）关注基金信息披露，及时行使权利和履行义务；</w:t>
      </w:r>
    </w:p>
    <w:p w14:paraId="70AA132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）缴纳基金认购、申购款项及法律法规和《基金合同》所规定的费用；</w:t>
      </w:r>
    </w:p>
    <w:p w14:paraId="47ADEC0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）在其持有的基金份额范围内，承担基金亏损或者《基金合同》终止的有限责任；</w:t>
      </w:r>
    </w:p>
    <w:p w14:paraId="7644A42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）不从事任何有损基金及其他《基金合同》当事人合法权益的活动；</w:t>
      </w:r>
    </w:p>
    <w:p w14:paraId="425B582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）执行生效的基金份额持有人大会的决议；</w:t>
      </w:r>
    </w:p>
    <w:p w14:paraId="4552535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8</w:t>
      </w:r>
      <w:r>
        <w:rPr>
          <w:rFonts w:asciiTheme="minorEastAsia" w:hAnsiTheme="minorEastAsia" w:cs="Times New Roman" w:hint="eastAsia"/>
          <w:bCs/>
          <w:sz w:val="24"/>
          <w:szCs w:val="24"/>
        </w:rPr>
        <w:t>）返还在基金交易过程中因任何原因获得的不当得利；</w:t>
      </w:r>
    </w:p>
    <w:p w14:paraId="02543C2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9</w:t>
      </w:r>
      <w:r>
        <w:rPr>
          <w:rFonts w:asciiTheme="minorEastAsia" w:hAnsiTheme="minorEastAsia" w:cs="Times New Roman" w:hint="eastAsia"/>
          <w:bCs/>
          <w:sz w:val="24"/>
          <w:szCs w:val="24"/>
        </w:rPr>
        <w:t>）法律法规及中国证监会规定的和《基金合同》约定的其他义务。</w:t>
      </w:r>
    </w:p>
    <w:p w14:paraId="74935357" w14:textId="77777777" w:rsidR="007B7C2A" w:rsidRDefault="00072812">
      <w:pPr>
        <w:widowControl/>
        <w:spacing w:line="360" w:lineRule="auto"/>
        <w:ind w:firstLineChars="200" w:firstLine="482"/>
        <w:jc w:val="left"/>
        <w:rPr>
          <w:rFonts w:asciiTheme="minorEastAsia" w:hAnsiTheme="minorEastAsia" w:cs="Times New Roman" w:hint="eastAsia"/>
          <w:bCs/>
          <w:sz w:val="24"/>
          <w:szCs w:val="24"/>
        </w:rPr>
      </w:pPr>
      <w:r>
        <w:rPr>
          <w:rFonts w:asciiTheme="minorEastAsia" w:hAnsiTheme="minorEastAsia" w:cs="Times New Roman" w:hint="eastAsia"/>
          <w:b/>
          <w:sz w:val="24"/>
          <w:szCs w:val="24"/>
        </w:rPr>
        <w:t>二、基金份额持有人大会召集、议事及表决的程序和规则</w:t>
      </w:r>
    </w:p>
    <w:p w14:paraId="52F127E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08944D5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本基金份额持有人大会不设日常机构。</w:t>
      </w:r>
    </w:p>
    <w:p w14:paraId="3C67D19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（一）召开事由</w:t>
      </w:r>
    </w:p>
    <w:p w14:paraId="75E005D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、当出现或需要决定下列事由之一的，应当召开基金份额持有人大会：</w:t>
      </w:r>
    </w:p>
    <w:p w14:paraId="2E4CD23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）终止《基金合同》，但《基金合同》另有约定的除外；</w:t>
      </w:r>
    </w:p>
    <w:p w14:paraId="542A2C6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）更换基金管理人；</w:t>
      </w:r>
    </w:p>
    <w:p w14:paraId="70F7294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）更换基金托管人；</w:t>
      </w:r>
    </w:p>
    <w:p w14:paraId="54F6DD1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）转换基金运作方式；</w:t>
      </w:r>
    </w:p>
    <w:p w14:paraId="1D8D590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）调整基金管理人、基金托管人</w:t>
      </w:r>
      <w:r>
        <w:rPr>
          <w:rFonts w:hint="eastAsia"/>
          <w:bCs/>
          <w:sz w:val="24"/>
          <w:szCs w:val="24"/>
        </w:rPr>
        <w:t>的报酬标准</w:t>
      </w:r>
      <w:r>
        <w:rPr>
          <w:rFonts w:asciiTheme="minorEastAsia" w:hAnsiTheme="minorEastAsia" w:cs="Times New Roman" w:hint="eastAsia"/>
          <w:bCs/>
          <w:sz w:val="24"/>
          <w:szCs w:val="24"/>
        </w:rPr>
        <w:t>或调高销售服务费率；</w:t>
      </w:r>
    </w:p>
    <w:p w14:paraId="529E5EC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）变更基金类别；</w:t>
      </w:r>
    </w:p>
    <w:p w14:paraId="20A6D95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）本基金与其他基金的合并；</w:t>
      </w:r>
    </w:p>
    <w:p w14:paraId="3BEC279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8</w:t>
      </w:r>
      <w:r>
        <w:rPr>
          <w:rFonts w:asciiTheme="minorEastAsia" w:hAnsiTheme="minorEastAsia" w:cs="Times New Roman" w:hint="eastAsia"/>
          <w:bCs/>
          <w:sz w:val="24"/>
          <w:szCs w:val="24"/>
        </w:rPr>
        <w:t>）变更基金投资目标、范围或策略；</w:t>
      </w:r>
    </w:p>
    <w:p w14:paraId="6DB8591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9</w:t>
      </w:r>
      <w:r>
        <w:rPr>
          <w:rFonts w:asciiTheme="minorEastAsia" w:hAnsiTheme="minorEastAsia" w:cs="Times New Roman" w:hint="eastAsia"/>
          <w:bCs/>
          <w:sz w:val="24"/>
          <w:szCs w:val="24"/>
        </w:rPr>
        <w:t>）变更基金份额持有人大会程序；</w:t>
      </w:r>
    </w:p>
    <w:p w14:paraId="543DF9B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）基金管理人或基金托管人要求召开基金份额持有人大会；</w:t>
      </w:r>
    </w:p>
    <w:p w14:paraId="68A24DE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11</w:t>
      </w:r>
      <w:r>
        <w:rPr>
          <w:rFonts w:asciiTheme="minorEastAsia" w:hAnsiTheme="minorEastAsia" w:cs="Times New Roman" w:hint="eastAsia"/>
          <w:bCs/>
          <w:sz w:val="24"/>
          <w:szCs w:val="24"/>
        </w:rPr>
        <w:t>）单独或合计持有本基金总份额</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以上（含</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）基金份额的基金份额持有人（以基金管理人收到提议当日的基金份额计算，下同）就同一事项书面要求召开基金份额持有人大会；</w:t>
      </w:r>
    </w:p>
    <w:p w14:paraId="35928D8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12</w:t>
      </w:r>
      <w:r>
        <w:rPr>
          <w:rFonts w:asciiTheme="minorEastAsia" w:hAnsiTheme="minorEastAsia" w:cs="Times New Roman" w:hint="eastAsia"/>
          <w:bCs/>
          <w:sz w:val="24"/>
          <w:szCs w:val="24"/>
        </w:rPr>
        <w:t>）对基金合同当事人权利和义务产生重大影响的其他事项；</w:t>
      </w:r>
    </w:p>
    <w:p w14:paraId="524B3C6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13</w:t>
      </w:r>
      <w:r>
        <w:rPr>
          <w:rFonts w:asciiTheme="minorEastAsia" w:hAnsiTheme="minorEastAsia" w:cs="Times New Roman" w:hint="eastAsia"/>
          <w:bCs/>
          <w:sz w:val="24"/>
          <w:szCs w:val="24"/>
        </w:rPr>
        <w:t>）法律法规、《基金合同》或中国证监会规定的其他应当召开基金份额持有人大会的事项。</w:t>
      </w:r>
    </w:p>
    <w:p w14:paraId="2B58C0D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、以下情况可由基金管理人和基金托管人协商后修改，不需召开基金份额持有人大会：</w:t>
      </w:r>
    </w:p>
    <w:p w14:paraId="06E9C86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）调低销售服务费；</w:t>
      </w:r>
    </w:p>
    <w:p w14:paraId="51B9CCE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）法律法规要求增加的基金费用的收取；</w:t>
      </w:r>
    </w:p>
    <w:p w14:paraId="5FF7215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在法律法规和《基金合同》规定的范围内且对现有基金份额持有人利益无实质性不利影响的前提下调整本基金的申购费率、调低赎回费率或变更收费方式、增加、减少或调整基金份额类别设置、对基金份额分类办法及规则进行调整、推出新业务或新服务；</w:t>
      </w:r>
    </w:p>
    <w:p w14:paraId="26C816B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w:t>
      </w:r>
      <w:proofErr w:type="gramStart"/>
      <w:r>
        <w:rPr>
          <w:rFonts w:asciiTheme="minorEastAsia" w:hAnsiTheme="minorEastAsia" w:cs="Times New Roman" w:hint="eastAsia"/>
          <w:bCs/>
          <w:sz w:val="24"/>
          <w:szCs w:val="24"/>
        </w:rPr>
        <w:t>因相应</w:t>
      </w:r>
      <w:proofErr w:type="gramEnd"/>
      <w:r>
        <w:rPr>
          <w:rFonts w:asciiTheme="minorEastAsia" w:hAnsiTheme="minorEastAsia" w:cs="Times New Roman" w:hint="eastAsia"/>
          <w:bCs/>
          <w:sz w:val="24"/>
          <w:szCs w:val="24"/>
        </w:rPr>
        <w:t>的法律法规发生变动而应当对《基金合同》进行修改；</w:t>
      </w:r>
    </w:p>
    <w:p w14:paraId="651C8F8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）对《基金合同》的修改对基金份额持有人利益无实质性不利影响或修改不涉及《基金合同》当事人权利义务关系发生重大变化；</w:t>
      </w:r>
    </w:p>
    <w:p w14:paraId="13BBCD9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）按照法律法规和《基金合同》规定不需召开基金份额持有人大会的其他情形。</w:t>
      </w:r>
    </w:p>
    <w:p w14:paraId="26CC057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（二）会议召集人及召集方式</w:t>
      </w:r>
    </w:p>
    <w:p w14:paraId="7BFB2CC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、除法律法规规定或《基金合同》另有约定外，基金份额持有人大会由基金管理人召集；</w:t>
      </w:r>
    </w:p>
    <w:p w14:paraId="6DF1BA1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、基金管理人未按规定召集或不能召集时，由基金托管人召集；</w:t>
      </w:r>
    </w:p>
    <w:p w14:paraId="6D7DD30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、基金托管人认为有必要召开基金份额持有人大会的，应当向基金管理人提出书面提议。基金管理人应当自收到书面提议之日起</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日内决定是否召集，并书面告知基金托管人。基金管理人决定召集的，应当自出具书面决定之日起日</w:t>
      </w:r>
      <w:r>
        <w:rPr>
          <w:rFonts w:asciiTheme="minorEastAsia" w:hAnsiTheme="minorEastAsia" w:cs="Times New Roman" w:hint="eastAsia"/>
          <w:bCs/>
          <w:sz w:val="24"/>
          <w:szCs w:val="24"/>
        </w:rPr>
        <w:t>60</w:t>
      </w:r>
      <w:r>
        <w:rPr>
          <w:rFonts w:asciiTheme="minorEastAsia" w:hAnsiTheme="minorEastAsia" w:cs="Times New Roman" w:hint="eastAsia"/>
          <w:bCs/>
          <w:sz w:val="24"/>
          <w:szCs w:val="24"/>
        </w:rPr>
        <w:t>日内召开；基金管理人决定不召集，基金托管人仍认为有必要召开的，应当由基金托管人自行召集，并自出具书面决定之日起</w:t>
      </w:r>
      <w:r>
        <w:rPr>
          <w:rFonts w:asciiTheme="minorEastAsia" w:hAnsiTheme="minorEastAsia" w:cs="Times New Roman" w:hint="eastAsia"/>
          <w:bCs/>
          <w:sz w:val="24"/>
          <w:szCs w:val="24"/>
        </w:rPr>
        <w:t>60</w:t>
      </w:r>
      <w:r>
        <w:rPr>
          <w:rFonts w:asciiTheme="minorEastAsia" w:hAnsiTheme="minorEastAsia" w:cs="Times New Roman" w:hint="eastAsia"/>
          <w:bCs/>
          <w:sz w:val="24"/>
          <w:szCs w:val="24"/>
        </w:rPr>
        <w:t>日内召开并告知基金管理人，基金管理人应当配合；</w:t>
      </w:r>
    </w:p>
    <w:p w14:paraId="0F16CF4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、代表基金份额</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以上（含</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）的基金份额持有人就同一事项书面要求召开基金份额持有人大会，应当向基金管理人提出书面提议。基金管理人应当自收到书面提议之日起</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日内决定是否召集，并书面告知提出提议的基金份额持有人代表和基金托管人。基金管理人决定召集的，应当自出具书面决定之日起</w:t>
      </w:r>
      <w:r>
        <w:rPr>
          <w:rFonts w:asciiTheme="minorEastAsia" w:hAnsiTheme="minorEastAsia" w:cs="Times New Roman" w:hint="eastAsia"/>
          <w:bCs/>
          <w:sz w:val="24"/>
          <w:szCs w:val="24"/>
        </w:rPr>
        <w:t>60</w:t>
      </w:r>
      <w:r>
        <w:rPr>
          <w:rFonts w:asciiTheme="minorEastAsia" w:hAnsiTheme="minorEastAsia" w:cs="Times New Roman" w:hint="eastAsia"/>
          <w:bCs/>
          <w:sz w:val="24"/>
          <w:szCs w:val="24"/>
        </w:rPr>
        <w:t>日内召开；基金管理人决定不召集，代表基金份额</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以上（含</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）的基金份额持有人仍认为有必要召开的，应当向基金托管人提出书面提议。基金托管人应当自收到书面提议之日起</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日内决定是否召集，并书面告知提出提议的基金份额持有人代表和基金管理人；基金托管人决定召集的，应当自出具书面决定之日起</w:t>
      </w:r>
      <w:r>
        <w:rPr>
          <w:rFonts w:asciiTheme="minorEastAsia" w:hAnsiTheme="minorEastAsia" w:cs="Times New Roman" w:hint="eastAsia"/>
          <w:bCs/>
          <w:sz w:val="24"/>
          <w:szCs w:val="24"/>
        </w:rPr>
        <w:t>60</w:t>
      </w:r>
      <w:r>
        <w:rPr>
          <w:rFonts w:asciiTheme="minorEastAsia" w:hAnsiTheme="minorEastAsia" w:cs="Times New Roman" w:hint="eastAsia"/>
          <w:bCs/>
          <w:sz w:val="24"/>
          <w:szCs w:val="24"/>
        </w:rPr>
        <w:t>日内召开并告知基金管理人，基金管理人应当配合；</w:t>
      </w:r>
    </w:p>
    <w:p w14:paraId="791A8EC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、代表基金份额</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以上（含</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）的基金份额持有人就同一事项要求召开基金份额持有人大会，而基金管理人、基金托管人都不召集的，单独或合计代表基金份额</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以上（含</w:t>
      </w:r>
      <w:r>
        <w:rPr>
          <w:rFonts w:asciiTheme="minorEastAsia" w:hAnsiTheme="minorEastAsia" w:cs="Times New Roman" w:hint="eastAsia"/>
          <w:bCs/>
          <w:sz w:val="24"/>
          <w:szCs w:val="24"/>
        </w:rPr>
        <w:t>10%</w:t>
      </w:r>
      <w:r>
        <w:rPr>
          <w:rFonts w:asciiTheme="minorEastAsia" w:hAnsiTheme="minorEastAsia" w:cs="Times New Roman" w:hint="eastAsia"/>
          <w:bCs/>
          <w:sz w:val="24"/>
          <w:szCs w:val="24"/>
        </w:rPr>
        <w:t>）的基金份额持有人有权自行召集，并至少提前</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日报中国证监会备案。基金份额持有人依法自行召集基金份额持有人大会的，基金管理人、基金托管人应当配合，不得阻碍、干扰；</w:t>
      </w:r>
    </w:p>
    <w:p w14:paraId="0AE3C2F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6</w:t>
      </w:r>
      <w:r>
        <w:rPr>
          <w:rFonts w:asciiTheme="minorEastAsia" w:hAnsiTheme="minorEastAsia" w:cs="Times New Roman" w:hint="eastAsia"/>
          <w:bCs/>
          <w:sz w:val="24"/>
          <w:szCs w:val="24"/>
        </w:rPr>
        <w:t>、基金份额持有人会议的召集人负责选择确定开会时间、地点、方式和权益登记日。</w:t>
      </w:r>
    </w:p>
    <w:p w14:paraId="5EBBDFA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（三）召开基金份额持有人大会的通知时间、通知内容、通知方式</w:t>
      </w:r>
    </w:p>
    <w:p w14:paraId="687F62D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、召开基金份额持有人大会，召集人应于会议召开前</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日，在指定媒介公告。基金份额持有人大会通知应至少载明以下内容：</w:t>
      </w:r>
    </w:p>
    <w:p w14:paraId="7A0041F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）会议召开的时间、地点和会议形式；</w:t>
      </w:r>
    </w:p>
    <w:p w14:paraId="76EEF1A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）会议</w:t>
      </w:r>
      <w:proofErr w:type="gramStart"/>
      <w:r>
        <w:rPr>
          <w:rFonts w:asciiTheme="minorEastAsia" w:hAnsiTheme="minorEastAsia" w:cs="Times New Roman" w:hint="eastAsia"/>
          <w:bCs/>
          <w:sz w:val="24"/>
          <w:szCs w:val="24"/>
        </w:rPr>
        <w:t>拟审议</w:t>
      </w:r>
      <w:proofErr w:type="gramEnd"/>
      <w:r>
        <w:rPr>
          <w:rFonts w:asciiTheme="minorEastAsia" w:hAnsiTheme="minorEastAsia" w:cs="Times New Roman" w:hint="eastAsia"/>
          <w:bCs/>
          <w:sz w:val="24"/>
          <w:szCs w:val="24"/>
        </w:rPr>
        <w:t>的事项、议事程序和表决方式；</w:t>
      </w:r>
    </w:p>
    <w:p w14:paraId="47BA50F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）有权出席基金份额持有人大会的基金份额持有人的权益登记日；</w:t>
      </w:r>
    </w:p>
    <w:p w14:paraId="51C1DD5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）授权委托证明的内容要求（包括但不限于代理人身份，代理权限和代理有效期限等）、送达时间和地点；</w:t>
      </w:r>
    </w:p>
    <w:p w14:paraId="15552DD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）会务常设联系人姓名及联系电话；</w:t>
      </w:r>
    </w:p>
    <w:p w14:paraId="7FCD80A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）出席会议者必须准备的文件和必须履行的手续；</w:t>
      </w:r>
    </w:p>
    <w:p w14:paraId="09CC784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）召集人需要通知的其他事项。</w:t>
      </w:r>
    </w:p>
    <w:p w14:paraId="04301DA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4EF71C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heme="minorEastAsia" w:hAnsiTheme="minorEastAsia" w:cs="Times New Roman" w:hint="eastAsia"/>
          <w:bCs/>
          <w:sz w:val="24"/>
          <w:szCs w:val="24"/>
        </w:rPr>
        <w:t>拒不派</w:t>
      </w:r>
      <w:proofErr w:type="gramEnd"/>
      <w:r>
        <w:rPr>
          <w:rFonts w:asciiTheme="minorEastAsia" w:hAnsiTheme="minorEastAsia" w:cs="Times New Roman" w:hint="eastAsia"/>
          <w:bCs/>
          <w:sz w:val="24"/>
          <w:szCs w:val="24"/>
        </w:rPr>
        <w:t>代表对表决意见的计票进行监督的，不影响表决意见的计票效力。</w:t>
      </w:r>
    </w:p>
    <w:p w14:paraId="30ECC9C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（四）基金份额持有人出席会议的方式</w:t>
      </w:r>
    </w:p>
    <w:p w14:paraId="0705425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6FCDD64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6A2F64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4CEE58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个月以后、</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048167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、通讯开会。通讯开会系指基金份额持有人将其对表决事项的投票以书面形式</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公告载明的其他方式在表决截至日以前送达至召集人指定的地址。通讯开会应以书面方式</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公告载明的其他方式进行表决。</w:t>
      </w:r>
    </w:p>
    <w:p w14:paraId="289232C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在同时符合以下条件时，通讯开会的方式视为有效：</w:t>
      </w:r>
    </w:p>
    <w:p w14:paraId="0BB3304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）会议召集人按《基金合同》约定公布会议通知后，在</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个工作日内连续公布相关提示性公告；</w:t>
      </w:r>
    </w:p>
    <w:p w14:paraId="744FAC7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F97620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个月以后、</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个月以内，就原定审议事项重新召集基金份额持有人大会。重新召集的基金份额持有人大会应当有代表三分之一（含三分之一）以上基金份额的持有人直接出具表决意见或授权他人代表出具表决意见；</w:t>
      </w:r>
    </w:p>
    <w:p w14:paraId="5D98DE3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）上述第（</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C90DF5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、在法律法规和监管机关允许的情况下，本基金的基金份额持有人亦可采用其他非书面方式授权其代理人出席基金份额持有人大会，具体方式由会议召集人确定并在会议通知中列明。</w:t>
      </w:r>
    </w:p>
    <w:p w14:paraId="6CD592E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、在会议召开方式上，本基金亦可采用其他非现场方式或者以现场方式与非现场方式相结合的方式召开基金份额持有人大会，会议程序比照现场开会和通讯方式开会的程序进行。</w:t>
      </w:r>
    </w:p>
    <w:p w14:paraId="58728B6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（五）议事内容与程序</w:t>
      </w:r>
    </w:p>
    <w:p w14:paraId="3D59D6B0"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、议事内容及提案权</w:t>
      </w:r>
    </w:p>
    <w:p w14:paraId="3A8DFE9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6CF33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12BAA72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基金份额持有人大会不得对未事先公告的议事内容进行表决。</w:t>
      </w:r>
    </w:p>
    <w:p w14:paraId="1DAC0CF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、议事程序</w:t>
      </w:r>
    </w:p>
    <w:p w14:paraId="6C7937B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）现场开会</w:t>
      </w:r>
    </w:p>
    <w:p w14:paraId="015C44B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Theme="minorEastAsia" w:hAnsiTheme="minorEastAsia" w:cs="Times New Roman" w:hint="eastAsia"/>
          <w:bCs/>
          <w:sz w:val="24"/>
          <w:szCs w:val="24"/>
        </w:rPr>
        <w:t>作出</w:t>
      </w:r>
      <w:proofErr w:type="gramEnd"/>
      <w:r>
        <w:rPr>
          <w:rFonts w:asciiTheme="minorEastAsia" w:hAnsiTheme="minorEastAsia" w:cs="Times New Roman" w:hint="eastAsia"/>
          <w:bCs/>
          <w:sz w:val="24"/>
          <w:szCs w:val="24"/>
        </w:rPr>
        <w:t>的决议的效力。</w:t>
      </w:r>
    </w:p>
    <w:p w14:paraId="4BC538C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会议召集人应当制作出席会议人员的签名册。签名</w:t>
      </w:r>
      <w:proofErr w:type="gramStart"/>
      <w:r>
        <w:rPr>
          <w:rFonts w:asciiTheme="minorEastAsia" w:hAnsiTheme="minorEastAsia" w:cs="Times New Roman" w:hint="eastAsia"/>
          <w:bCs/>
          <w:sz w:val="24"/>
          <w:szCs w:val="24"/>
        </w:rPr>
        <w:t>册</w:t>
      </w:r>
      <w:proofErr w:type="gramEnd"/>
      <w:r>
        <w:rPr>
          <w:rFonts w:asciiTheme="minorEastAsia" w:hAnsiTheme="minorEastAsia" w:cs="Times New Roman" w:hint="eastAsia"/>
          <w:bCs/>
          <w:sz w:val="24"/>
          <w:szCs w:val="24"/>
        </w:rPr>
        <w:t>载明参加会议人员姓名（或单位名称）、身份证明文件号码、持有或代表有表决权的基金份额、委托人姓名（或单位名称）和联系方式等事项。</w:t>
      </w:r>
    </w:p>
    <w:p w14:paraId="6821419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）通讯开会</w:t>
      </w:r>
    </w:p>
    <w:p w14:paraId="5EDEA58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在通讯开会的情况下，首先由召集人提前</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日公布提案，在所通知的表决截止日期后</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个工作日内在公证机关监督下由召集人统计全部有效表决，在公证机关监督下形成决议。</w:t>
      </w:r>
    </w:p>
    <w:p w14:paraId="1E81448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（六）表决</w:t>
      </w:r>
    </w:p>
    <w:p w14:paraId="602E94A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基金份额持有人所持每份基金份额有一票表决权。</w:t>
      </w:r>
    </w:p>
    <w:p w14:paraId="7609D1E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基金份额持有人大会决议分为一般决议和特别决议：</w:t>
      </w:r>
    </w:p>
    <w:p w14:paraId="71C6D28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、一般决议，一般决议须经参加大会的基金份额持有人或其代理人所持表决权的二分之一以上（含二分之一）通过方为有效；除下列第</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项所规定的须以特别决议通过事项以外的其他事项均以一般决议的方式通过。</w:t>
      </w:r>
    </w:p>
    <w:p w14:paraId="73875AA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AAEDD18"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基金份额持有人大会采取记名方式进行投票表决。</w:t>
      </w:r>
    </w:p>
    <w:p w14:paraId="11649C6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BD0646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基金份额持有人大会的各项提案或同一项提案内并列的各项议题应当分开审议、逐项表决。</w:t>
      </w:r>
    </w:p>
    <w:p w14:paraId="64A950A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（七）计票</w:t>
      </w:r>
    </w:p>
    <w:p w14:paraId="4E87490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、现场开会</w:t>
      </w:r>
    </w:p>
    <w:p w14:paraId="3709FDF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heme="minorEastAsia" w:hAnsiTheme="minorEastAsia" w:cs="Times New Roman" w:hint="eastAsia"/>
          <w:bCs/>
          <w:sz w:val="24"/>
          <w:szCs w:val="24"/>
        </w:rPr>
        <w:t>或大会</w:t>
      </w:r>
      <w:proofErr w:type="gramEnd"/>
      <w:r>
        <w:rPr>
          <w:rFonts w:asciiTheme="minorEastAsia" w:hAnsiTheme="minorEastAsia" w:cs="Times New Roman"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55FE35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）监票人应当在基金份额持有人表决后立即进行清点并由大会主持人当场公布计票结果。</w:t>
      </w:r>
    </w:p>
    <w:p w14:paraId="1AA048F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）如果会议主持人或基金份额持有人或代理人对于提交的表决结果有怀疑，可以在宣布表决结果后立即对所投票</w:t>
      </w:r>
      <w:proofErr w:type="gramStart"/>
      <w:r>
        <w:rPr>
          <w:rFonts w:asciiTheme="minorEastAsia" w:hAnsiTheme="minorEastAsia" w:cs="Times New Roman" w:hint="eastAsia"/>
          <w:bCs/>
          <w:sz w:val="24"/>
          <w:szCs w:val="24"/>
        </w:rPr>
        <w:t>数要求</w:t>
      </w:r>
      <w:proofErr w:type="gramEnd"/>
      <w:r>
        <w:rPr>
          <w:rFonts w:asciiTheme="minorEastAsia" w:hAnsiTheme="minorEastAsia" w:cs="Times New Roman" w:hint="eastAsia"/>
          <w:bCs/>
          <w:sz w:val="24"/>
          <w:szCs w:val="24"/>
        </w:rPr>
        <w:t>进行重新清点。监票人应当进行重新清点，重新清点以一次为限。重新清点后，大会主持人应当当场公布重新清点结果。</w:t>
      </w:r>
    </w:p>
    <w:p w14:paraId="121BB12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）计票过程应由公证机关予以公证，基金管理人或基金托管人拒不出席大会的，不影响计票的效力。</w:t>
      </w:r>
    </w:p>
    <w:p w14:paraId="4B66F57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、通讯开会</w:t>
      </w:r>
    </w:p>
    <w:p w14:paraId="47E38BB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Theme="minorEastAsia" w:hAnsiTheme="minorEastAsia" w:cs="Times New Roman" w:hint="eastAsia"/>
          <w:bCs/>
          <w:sz w:val="24"/>
          <w:szCs w:val="24"/>
        </w:rPr>
        <w:t>人拒派</w:t>
      </w:r>
      <w:proofErr w:type="gramEnd"/>
      <w:r>
        <w:rPr>
          <w:rFonts w:asciiTheme="minorEastAsia" w:hAnsiTheme="minorEastAsia" w:cs="Times New Roman" w:hint="eastAsia"/>
          <w:bCs/>
          <w:sz w:val="24"/>
          <w:szCs w:val="24"/>
        </w:rPr>
        <w:t>代表对表决意见的计票进行监督的，不影响计票和表决结果。</w:t>
      </w:r>
    </w:p>
    <w:p w14:paraId="7F7452E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（八）生效与公告</w:t>
      </w:r>
    </w:p>
    <w:p w14:paraId="2C9E780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基金份额持有人大会的决议，召集人应当自通过之日起</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日内报中国证监会备案。</w:t>
      </w:r>
    </w:p>
    <w:p w14:paraId="566FC99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基金份额持有人大会的决议自表决通过之日起生效。</w:t>
      </w:r>
    </w:p>
    <w:p w14:paraId="1996456F"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基金份额持有人大会决议自生效之日起</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个工作日内在指定媒介上公告。如果采用通讯方式进行表决，在公告基金份额持有人大会决议时，必须将公证书全文、公证机构、公证员姓名等一同公告。</w:t>
      </w:r>
    </w:p>
    <w:p w14:paraId="34F26C0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5327CF17"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（九）本部</w:t>
      </w:r>
      <w:proofErr w:type="gramStart"/>
      <w:r>
        <w:rPr>
          <w:rFonts w:asciiTheme="minorEastAsia" w:hAnsiTheme="minorEastAsia" w:cs="Times New Roman" w:hint="eastAsia"/>
          <w:bCs/>
          <w:sz w:val="24"/>
          <w:szCs w:val="24"/>
        </w:rPr>
        <w:t>分关于</w:t>
      </w:r>
      <w:proofErr w:type="gramEnd"/>
      <w:r>
        <w:rPr>
          <w:rFonts w:asciiTheme="minorEastAsia" w:hAnsiTheme="minorEastAsia" w:cs="Times New Roman"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3940912E" w14:textId="77777777" w:rsidR="007B7C2A" w:rsidRDefault="00072812">
      <w:pPr>
        <w:widowControl/>
        <w:spacing w:line="360" w:lineRule="auto"/>
        <w:ind w:firstLineChars="200" w:firstLine="482"/>
        <w:jc w:val="left"/>
        <w:rPr>
          <w:rFonts w:asciiTheme="minorEastAsia" w:hAnsiTheme="minorEastAsia" w:cs="Times New Roman" w:hint="eastAsia"/>
          <w:b/>
          <w:sz w:val="24"/>
          <w:szCs w:val="24"/>
        </w:rPr>
      </w:pPr>
      <w:r>
        <w:rPr>
          <w:rFonts w:asciiTheme="minorEastAsia" w:hAnsiTheme="minorEastAsia" w:cs="Times New Roman" w:hint="eastAsia"/>
          <w:b/>
          <w:sz w:val="24"/>
          <w:szCs w:val="24"/>
        </w:rPr>
        <w:t>三、基金合同解除和终止的事由、程序以及基金财产清算方式</w:t>
      </w:r>
    </w:p>
    <w:p w14:paraId="7D0E53C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（一）《基金合同》的变更</w:t>
      </w:r>
    </w:p>
    <w:p w14:paraId="29B19AE4"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、变更基金合同涉及法律法规规定或本基金合同约定应经基金份额持有人大会决议通过的事项的，应召</w:t>
      </w:r>
      <w:proofErr w:type="gramStart"/>
      <w:r>
        <w:rPr>
          <w:rFonts w:asciiTheme="minorEastAsia" w:hAnsiTheme="minorEastAsia" w:cs="Times New Roman" w:hint="eastAsia"/>
          <w:bCs/>
          <w:sz w:val="24"/>
          <w:szCs w:val="24"/>
        </w:rPr>
        <w:t>开基金</w:t>
      </w:r>
      <w:proofErr w:type="gramEnd"/>
      <w:r>
        <w:rPr>
          <w:rFonts w:asciiTheme="minorEastAsia" w:hAnsiTheme="minorEastAsia" w:cs="Times New Roman" w:hint="eastAsia"/>
          <w:bCs/>
          <w:sz w:val="24"/>
          <w:szCs w:val="24"/>
        </w:rPr>
        <w:t>份额持有人大会决议通过。对于可不经基金份额持有人大会决议通过的事项，由基金管理人和基金托管人同意后变更并公告，并报中国证监会备案。</w:t>
      </w:r>
    </w:p>
    <w:p w14:paraId="1D8FF85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 xml:space="preserve"> 2</w:t>
      </w:r>
      <w:r>
        <w:rPr>
          <w:rFonts w:asciiTheme="minorEastAsia" w:hAnsiTheme="minorEastAsia" w:cs="Times New Roman" w:hint="eastAsia"/>
          <w:bCs/>
          <w:sz w:val="24"/>
          <w:szCs w:val="24"/>
        </w:rPr>
        <w:t>、关于《基金合同》变更的基金份额持有人大会决议自生效后方可执行，并</w:t>
      </w:r>
      <w:proofErr w:type="gramStart"/>
      <w:r>
        <w:rPr>
          <w:rFonts w:asciiTheme="minorEastAsia" w:hAnsiTheme="minorEastAsia" w:cs="Times New Roman" w:hint="eastAsia"/>
          <w:bCs/>
          <w:sz w:val="24"/>
          <w:szCs w:val="24"/>
        </w:rPr>
        <w:t>自决议</w:t>
      </w:r>
      <w:proofErr w:type="gramEnd"/>
      <w:r>
        <w:rPr>
          <w:rFonts w:asciiTheme="minorEastAsia" w:hAnsiTheme="minorEastAsia" w:cs="Times New Roman" w:hint="eastAsia"/>
          <w:bCs/>
          <w:sz w:val="24"/>
          <w:szCs w:val="24"/>
        </w:rPr>
        <w:t>生效后两个工作日内在指定媒介公告。</w:t>
      </w:r>
    </w:p>
    <w:p w14:paraId="37360CF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（二）《基金合同》的终止事由</w:t>
      </w:r>
    </w:p>
    <w:p w14:paraId="2F9B91B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有下列情形之一的，《基金合同》应当终止：</w:t>
      </w:r>
    </w:p>
    <w:p w14:paraId="7E32896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、基金份额持有人大会决定终止的；</w:t>
      </w:r>
    </w:p>
    <w:p w14:paraId="73CDFF6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、基金管理人、基金托管人职责终止，在</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个月内没有新基金管理人、新基金托管人承接的；</w:t>
      </w:r>
    </w:p>
    <w:p w14:paraId="40CCA55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、《基金合同》约定的其他情形；</w:t>
      </w:r>
    </w:p>
    <w:p w14:paraId="05EF724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、相关法律法规和中国证监会规定的其他情况。</w:t>
      </w:r>
    </w:p>
    <w:p w14:paraId="4E00548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（三）基金财产的清算</w:t>
      </w:r>
    </w:p>
    <w:p w14:paraId="7DB6A79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、基金财产清算小组：自出现《基金合同》终止事由之日起</w:t>
      </w:r>
      <w:r>
        <w:rPr>
          <w:rFonts w:asciiTheme="minorEastAsia" w:hAnsiTheme="minorEastAsia" w:cs="Times New Roman" w:hint="eastAsia"/>
          <w:bCs/>
          <w:sz w:val="24"/>
          <w:szCs w:val="24"/>
        </w:rPr>
        <w:t>30</w:t>
      </w:r>
      <w:r>
        <w:rPr>
          <w:rFonts w:asciiTheme="minorEastAsia" w:hAnsiTheme="minorEastAsia" w:cs="Times New Roman" w:hint="eastAsia"/>
          <w:bCs/>
          <w:sz w:val="24"/>
          <w:szCs w:val="24"/>
        </w:rPr>
        <w:t>个工作日内成立清算小组，基金管理人组织基金财产清算小组并在中国证监会的监督下进行基金清算。</w:t>
      </w:r>
    </w:p>
    <w:p w14:paraId="63490833"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、基金财产清算小组组成：基金财产清算小组成员由基金管理人、基金托管人、具有证券、期货相关业务资格的注册会计师、律师以及中国证监会指定的人员组成。基金财产清算小组可以聘用必要的工作人员。</w:t>
      </w:r>
    </w:p>
    <w:p w14:paraId="03CC888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、基金财产清算小组职责：基金财产清算小组负责基金财产的保管、清理、估价、变现和分配。基金财产清算小组可以依法进行必要的民事活动。</w:t>
      </w:r>
    </w:p>
    <w:p w14:paraId="589EBAD9"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、基金财产清算程序：</w:t>
      </w:r>
    </w:p>
    <w:p w14:paraId="5C72F0D2"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1</w:t>
      </w:r>
      <w:r>
        <w:rPr>
          <w:rFonts w:asciiTheme="minorEastAsia" w:hAnsiTheme="minorEastAsia" w:cs="Times New Roman" w:hint="eastAsia"/>
          <w:bCs/>
          <w:sz w:val="24"/>
          <w:szCs w:val="24"/>
        </w:rPr>
        <w:t>）《基金合同》终止情形出现时，由基金财产清算小组统一接管基金；</w:t>
      </w:r>
    </w:p>
    <w:p w14:paraId="408D87E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2</w:t>
      </w:r>
      <w:r>
        <w:rPr>
          <w:rFonts w:asciiTheme="minorEastAsia" w:hAnsiTheme="minorEastAsia" w:cs="Times New Roman" w:hint="eastAsia"/>
          <w:bCs/>
          <w:sz w:val="24"/>
          <w:szCs w:val="24"/>
        </w:rPr>
        <w:t>）对基金财产和债权债务进行清理和确认；</w:t>
      </w:r>
    </w:p>
    <w:p w14:paraId="10A353B5"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3</w:t>
      </w:r>
      <w:r>
        <w:rPr>
          <w:rFonts w:asciiTheme="minorEastAsia" w:hAnsiTheme="minorEastAsia" w:cs="Times New Roman" w:hint="eastAsia"/>
          <w:bCs/>
          <w:sz w:val="24"/>
          <w:szCs w:val="24"/>
        </w:rPr>
        <w:t>）对基金财产进行估值和变现；</w:t>
      </w:r>
    </w:p>
    <w:p w14:paraId="64CEEF5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4</w:t>
      </w:r>
      <w:r>
        <w:rPr>
          <w:rFonts w:asciiTheme="minorEastAsia" w:hAnsiTheme="minorEastAsia" w:cs="Times New Roman" w:hint="eastAsia"/>
          <w:bCs/>
          <w:sz w:val="24"/>
          <w:szCs w:val="24"/>
        </w:rPr>
        <w:t>）制作清算报告；</w:t>
      </w:r>
    </w:p>
    <w:p w14:paraId="71C1ADD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5</w:t>
      </w:r>
      <w:r>
        <w:rPr>
          <w:rFonts w:asciiTheme="minorEastAsia" w:hAnsiTheme="minorEastAsia" w:cs="Times New Roman" w:hint="eastAsia"/>
          <w:bCs/>
          <w:sz w:val="24"/>
          <w:szCs w:val="24"/>
        </w:rPr>
        <w:t>）聘请具有证券、期货相关业务资格的会计师事务所对清算报告进行外部审计，聘请律师事务所对清算报告出具法律意见书；</w:t>
      </w:r>
    </w:p>
    <w:p w14:paraId="2E379A0E"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）将清算报告报中国证监会备案并公告；</w:t>
      </w:r>
    </w:p>
    <w:p w14:paraId="261DC95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w:t>
      </w:r>
      <w:r>
        <w:rPr>
          <w:rFonts w:asciiTheme="minorEastAsia" w:hAnsiTheme="minorEastAsia" w:cs="Times New Roman" w:hint="eastAsia"/>
          <w:bCs/>
          <w:sz w:val="24"/>
          <w:szCs w:val="24"/>
        </w:rPr>
        <w:t>7</w:t>
      </w:r>
      <w:r>
        <w:rPr>
          <w:rFonts w:asciiTheme="minorEastAsia" w:hAnsiTheme="minorEastAsia" w:cs="Times New Roman" w:hint="eastAsia"/>
          <w:bCs/>
          <w:sz w:val="24"/>
          <w:szCs w:val="24"/>
        </w:rPr>
        <w:t>）对基金剩余财产进行分配。</w:t>
      </w:r>
    </w:p>
    <w:p w14:paraId="5FC2595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5</w:t>
      </w:r>
      <w:r>
        <w:rPr>
          <w:rFonts w:asciiTheme="minorEastAsia" w:hAnsiTheme="minorEastAsia" w:cs="Times New Roman" w:hint="eastAsia"/>
          <w:bCs/>
          <w:sz w:val="24"/>
          <w:szCs w:val="24"/>
        </w:rPr>
        <w:t>、基金财产清算的期限为</w:t>
      </w:r>
      <w:r>
        <w:rPr>
          <w:rFonts w:asciiTheme="minorEastAsia" w:hAnsiTheme="minorEastAsia" w:cs="Times New Roman" w:hint="eastAsia"/>
          <w:bCs/>
          <w:sz w:val="24"/>
          <w:szCs w:val="24"/>
        </w:rPr>
        <w:t>6</w:t>
      </w:r>
      <w:r>
        <w:rPr>
          <w:rFonts w:asciiTheme="minorEastAsia" w:hAnsiTheme="minorEastAsia" w:cs="Times New Roman" w:hint="eastAsia"/>
          <w:bCs/>
          <w:sz w:val="24"/>
          <w:szCs w:val="24"/>
        </w:rPr>
        <w:t>个月。</w:t>
      </w:r>
    </w:p>
    <w:p w14:paraId="3DEB0C31"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四、争议解决方式</w:t>
      </w:r>
    </w:p>
    <w:p w14:paraId="7D3F919C"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各方当事人同意，因《基金合同》而产生的或与《基金合同》有关的一切争议，如经友好协商未能解决的，任何一方均有权将争议提交华南国际经济贸易仲裁委员会，根据该会当时有效的仲裁规则进行仲裁，仲裁地点为深圳市，仲裁裁决是终局性的并对各方当事人具有约束力，仲裁费由败诉方承担。</w:t>
      </w:r>
    </w:p>
    <w:p w14:paraId="0AC1F766"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争议处理期间，基金合同当事人应恪守各自的职责，继续忠实、勤勉、尽责地履行基金合同规定的义务，维护基金份额持有人的合法权益。</w:t>
      </w:r>
    </w:p>
    <w:p w14:paraId="4E3CC2EB"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《基金合同》受中国法律管辖。</w:t>
      </w:r>
    </w:p>
    <w:p w14:paraId="0C0E9A6D"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五、基金合同存放地和投资人取得基金合同的方式</w:t>
      </w:r>
    </w:p>
    <w:p w14:paraId="2746EE0A" w14:textId="77777777" w:rsidR="007B7C2A" w:rsidRDefault="00072812">
      <w:pPr>
        <w:widowControl/>
        <w:spacing w:line="360" w:lineRule="auto"/>
        <w:ind w:firstLineChars="200" w:firstLine="480"/>
        <w:jc w:val="left"/>
        <w:rPr>
          <w:rFonts w:asciiTheme="minorEastAsia" w:hAnsiTheme="minorEastAsia" w:cs="Times New Roman" w:hint="eastAsia"/>
          <w:bCs/>
          <w:sz w:val="24"/>
          <w:szCs w:val="24"/>
        </w:rPr>
      </w:pPr>
      <w:r>
        <w:rPr>
          <w:rFonts w:asciiTheme="minorEastAsia" w:hAnsiTheme="minorEastAsia" w:cs="Times New Roman" w:hint="eastAsia"/>
          <w:bCs/>
          <w:sz w:val="24"/>
          <w:szCs w:val="24"/>
        </w:rPr>
        <w:t>《基金合同》可印制成册，供投资人在基金管理人、基金托管人、销售机构的办公场所和营业场所查阅。</w:t>
      </w:r>
    </w:p>
    <w:p w14:paraId="6726B013" w14:textId="77777777" w:rsidR="007B7C2A" w:rsidRDefault="00072812">
      <w:pPr>
        <w:widowControl/>
        <w:jc w:val="left"/>
        <w:rPr>
          <w:rFonts w:asciiTheme="minorEastAsia" w:hAnsiTheme="minorEastAsia" w:cs="Times New Roman" w:hint="eastAsia"/>
          <w:bCs/>
          <w:sz w:val="24"/>
          <w:szCs w:val="24"/>
        </w:rPr>
      </w:pPr>
      <w:r>
        <w:rPr>
          <w:rFonts w:asciiTheme="minorEastAsia" w:hAnsiTheme="minorEastAsia" w:cs="Times New Roman"/>
          <w:bCs/>
          <w:sz w:val="24"/>
          <w:szCs w:val="24"/>
        </w:rPr>
        <w:br w:type="page"/>
      </w:r>
    </w:p>
    <w:p w14:paraId="523DBCD1" w14:textId="77777777" w:rsidR="007B7C2A" w:rsidRDefault="00072812">
      <w:pPr>
        <w:pStyle w:val="1"/>
        <w:ind w:firstLine="602"/>
        <w:jc w:val="center"/>
        <w:rPr>
          <w:sz w:val="30"/>
          <w:szCs w:val="30"/>
        </w:rPr>
      </w:pPr>
      <w:bookmarkStart w:id="369" w:name="_Toc214873614"/>
      <w:bookmarkStart w:id="370" w:name="_Toc416264554"/>
      <w:bookmarkStart w:id="371" w:name="_Toc263092327"/>
      <w:bookmarkStart w:id="372" w:name="_Toc146096536"/>
      <w:bookmarkStart w:id="373" w:name="_Toc21240"/>
      <w:bookmarkStart w:id="374" w:name="_Toc141703901"/>
      <w:bookmarkStart w:id="375" w:name="_Toc123112248"/>
      <w:bookmarkStart w:id="376" w:name="_Toc23166"/>
      <w:bookmarkStart w:id="377" w:name="_Toc23022"/>
      <w:bookmarkStart w:id="378" w:name="_Toc98560365"/>
      <w:bookmarkStart w:id="379" w:name="_Toc123102467"/>
      <w:bookmarkStart w:id="380" w:name="_Toc352229766"/>
      <w:bookmarkStart w:id="381" w:name="_Toc12191"/>
      <w:bookmarkStart w:id="382" w:name="_Toc139991750"/>
      <w:bookmarkStart w:id="383" w:name="_Toc13398"/>
      <w:bookmarkStart w:id="384" w:name="_Toc8710"/>
      <w:bookmarkStart w:id="385" w:name="_Toc30645"/>
      <w:bookmarkStart w:id="386" w:name="_Toc123051466"/>
      <w:bookmarkStart w:id="387" w:name="_Toc28549"/>
      <w:bookmarkStart w:id="388" w:name="_Toc27058"/>
      <w:bookmarkStart w:id="389" w:name="_Toc79392641"/>
      <w:bookmarkStart w:id="390" w:name="_Toc48649720"/>
      <w:bookmarkStart w:id="391" w:name="_Toc7367"/>
      <w:bookmarkStart w:id="392" w:name="_Toc9708"/>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sz w:val="30"/>
          <w:szCs w:val="30"/>
        </w:rPr>
        <w:t>第十九部分</w:t>
      </w:r>
      <w:r>
        <w:rPr>
          <w:sz w:val="30"/>
          <w:szCs w:val="30"/>
        </w:rPr>
        <w:t xml:space="preserve">  </w:t>
      </w:r>
      <w:r>
        <w:rPr>
          <w:rFonts w:hint="eastAsia"/>
          <w:sz w:val="30"/>
          <w:szCs w:val="30"/>
        </w:rPr>
        <w:t>基金托管协议的内容摘要</w:t>
      </w:r>
      <w:bookmarkEnd w:id="369"/>
      <w:bookmarkEnd w:id="370"/>
      <w:bookmarkEnd w:id="371"/>
      <w:bookmarkEnd w:id="372"/>
    </w:p>
    <w:p w14:paraId="258177B1" w14:textId="77777777" w:rsidR="007B7C2A" w:rsidRDefault="00072812">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一、托管协议当事人</w:t>
      </w:r>
    </w:p>
    <w:p w14:paraId="72D98C00"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（一）基金管理人（或简称“管理人”）</w:t>
      </w:r>
    </w:p>
    <w:p w14:paraId="1EDCDFE0"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名称：富荣基金管理有限公司</w:t>
      </w:r>
    </w:p>
    <w:p w14:paraId="1A85623A"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住所：广东省广州市南沙区横</w:t>
      </w:r>
      <w:proofErr w:type="gramStart"/>
      <w:r>
        <w:rPr>
          <w:rFonts w:asciiTheme="minorEastAsia" w:hAnsiTheme="minorEastAsia" w:cs="Arial" w:hint="eastAsia"/>
          <w:kern w:val="0"/>
          <w:sz w:val="24"/>
          <w:szCs w:val="24"/>
        </w:rPr>
        <w:t>沥</w:t>
      </w:r>
      <w:proofErr w:type="gramEnd"/>
      <w:r>
        <w:rPr>
          <w:rFonts w:asciiTheme="minorEastAsia" w:hAnsiTheme="minorEastAsia" w:cs="Arial" w:hint="eastAsia"/>
          <w:kern w:val="0"/>
          <w:sz w:val="24"/>
          <w:szCs w:val="24"/>
        </w:rPr>
        <w:t>镇汇通二街</w:t>
      </w:r>
      <w:r>
        <w:rPr>
          <w:rFonts w:asciiTheme="minorEastAsia" w:hAnsiTheme="minorEastAsia" w:cs="Arial" w:hint="eastAsia"/>
          <w:kern w:val="0"/>
          <w:sz w:val="24"/>
          <w:szCs w:val="24"/>
        </w:rPr>
        <w:t>2</w:t>
      </w:r>
      <w:r>
        <w:rPr>
          <w:rFonts w:asciiTheme="minorEastAsia" w:hAnsiTheme="minorEastAsia" w:cs="Arial" w:hint="eastAsia"/>
          <w:kern w:val="0"/>
          <w:sz w:val="24"/>
          <w:szCs w:val="24"/>
        </w:rPr>
        <w:t>号</w:t>
      </w:r>
      <w:r>
        <w:rPr>
          <w:rFonts w:asciiTheme="minorEastAsia" w:hAnsiTheme="minorEastAsia" w:cs="Arial" w:hint="eastAsia"/>
          <w:kern w:val="0"/>
          <w:sz w:val="24"/>
          <w:szCs w:val="24"/>
        </w:rPr>
        <w:t>3110</w:t>
      </w:r>
      <w:r>
        <w:rPr>
          <w:rFonts w:asciiTheme="minorEastAsia" w:hAnsiTheme="minorEastAsia" w:cs="Arial" w:hint="eastAsia"/>
          <w:kern w:val="0"/>
          <w:sz w:val="24"/>
          <w:szCs w:val="24"/>
        </w:rPr>
        <w:t>房</w:t>
      </w:r>
    </w:p>
    <w:p w14:paraId="0A161A59"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办公地址：广东省深圳市福田区八卦四路</w:t>
      </w:r>
      <w:r>
        <w:rPr>
          <w:rFonts w:asciiTheme="minorEastAsia" w:hAnsiTheme="minorEastAsia" w:cs="Arial" w:hint="eastAsia"/>
          <w:kern w:val="0"/>
          <w:sz w:val="24"/>
          <w:szCs w:val="24"/>
        </w:rPr>
        <w:t>52</w:t>
      </w:r>
      <w:r>
        <w:rPr>
          <w:rFonts w:asciiTheme="minorEastAsia" w:hAnsiTheme="minorEastAsia" w:cs="Arial" w:hint="eastAsia"/>
          <w:kern w:val="0"/>
          <w:sz w:val="24"/>
          <w:szCs w:val="24"/>
        </w:rPr>
        <w:t>号安吉尔大厦</w:t>
      </w:r>
      <w:r>
        <w:rPr>
          <w:rFonts w:asciiTheme="minorEastAsia" w:hAnsiTheme="minorEastAsia" w:cs="Arial" w:hint="eastAsia"/>
          <w:kern w:val="0"/>
          <w:sz w:val="24"/>
          <w:szCs w:val="24"/>
        </w:rPr>
        <w:t>24</w:t>
      </w:r>
      <w:r>
        <w:rPr>
          <w:rFonts w:asciiTheme="minorEastAsia" w:hAnsiTheme="minorEastAsia" w:cs="Arial" w:hint="eastAsia"/>
          <w:kern w:val="0"/>
          <w:sz w:val="24"/>
          <w:szCs w:val="24"/>
        </w:rPr>
        <w:t>层</w:t>
      </w:r>
    </w:p>
    <w:p w14:paraId="0CFD828E"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法定代表人：王亦伟</w:t>
      </w:r>
    </w:p>
    <w:p w14:paraId="74863A3B"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成立日期：</w:t>
      </w:r>
      <w:r>
        <w:rPr>
          <w:rFonts w:asciiTheme="minorEastAsia" w:hAnsiTheme="minorEastAsia" w:cs="Arial" w:hint="eastAsia"/>
          <w:kern w:val="0"/>
          <w:sz w:val="24"/>
          <w:szCs w:val="24"/>
        </w:rPr>
        <w:t>2016</w:t>
      </w:r>
      <w:r>
        <w:rPr>
          <w:rFonts w:asciiTheme="minorEastAsia" w:hAnsiTheme="minorEastAsia" w:cs="Arial" w:hint="eastAsia"/>
          <w:kern w:val="0"/>
          <w:sz w:val="24"/>
          <w:szCs w:val="24"/>
        </w:rPr>
        <w:t>年</w:t>
      </w:r>
      <w:r>
        <w:rPr>
          <w:rFonts w:asciiTheme="minorEastAsia" w:hAnsiTheme="minorEastAsia" w:cs="Arial" w:hint="eastAsia"/>
          <w:kern w:val="0"/>
          <w:sz w:val="24"/>
          <w:szCs w:val="24"/>
        </w:rPr>
        <w:t>1</w:t>
      </w:r>
      <w:r>
        <w:rPr>
          <w:rFonts w:asciiTheme="minorEastAsia" w:hAnsiTheme="minorEastAsia" w:cs="Arial" w:hint="eastAsia"/>
          <w:kern w:val="0"/>
          <w:sz w:val="24"/>
          <w:szCs w:val="24"/>
        </w:rPr>
        <w:t>月</w:t>
      </w:r>
      <w:r>
        <w:rPr>
          <w:rFonts w:asciiTheme="minorEastAsia" w:hAnsiTheme="minorEastAsia" w:cs="Arial" w:hint="eastAsia"/>
          <w:kern w:val="0"/>
          <w:sz w:val="24"/>
          <w:szCs w:val="24"/>
        </w:rPr>
        <w:t>25</w:t>
      </w:r>
      <w:r>
        <w:rPr>
          <w:rFonts w:asciiTheme="minorEastAsia" w:hAnsiTheme="minorEastAsia" w:cs="Arial" w:hint="eastAsia"/>
          <w:kern w:val="0"/>
          <w:sz w:val="24"/>
          <w:szCs w:val="24"/>
        </w:rPr>
        <w:t>日</w:t>
      </w:r>
      <w:r>
        <w:rPr>
          <w:rFonts w:asciiTheme="minorEastAsia" w:hAnsiTheme="minorEastAsia" w:cs="Arial" w:hint="eastAsia"/>
          <w:kern w:val="0"/>
          <w:sz w:val="24"/>
          <w:szCs w:val="24"/>
        </w:rPr>
        <w:tab/>
      </w:r>
    </w:p>
    <w:p w14:paraId="5C74CF8F"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批准设立机关及批准设立文号：中国证监会证监许可【</w:t>
      </w:r>
      <w:r>
        <w:rPr>
          <w:rFonts w:asciiTheme="minorEastAsia" w:hAnsiTheme="minorEastAsia" w:cs="Arial" w:hint="eastAsia"/>
          <w:kern w:val="0"/>
          <w:sz w:val="24"/>
          <w:szCs w:val="24"/>
        </w:rPr>
        <w:t>2015</w:t>
      </w:r>
      <w:r>
        <w:rPr>
          <w:rFonts w:asciiTheme="minorEastAsia" w:hAnsiTheme="minorEastAsia" w:cs="Arial" w:hint="eastAsia"/>
          <w:kern w:val="0"/>
          <w:sz w:val="24"/>
          <w:szCs w:val="24"/>
        </w:rPr>
        <w:t>】</w:t>
      </w:r>
      <w:r>
        <w:rPr>
          <w:rFonts w:asciiTheme="minorEastAsia" w:hAnsiTheme="minorEastAsia" w:cs="Arial" w:hint="eastAsia"/>
          <w:kern w:val="0"/>
          <w:sz w:val="24"/>
          <w:szCs w:val="24"/>
        </w:rPr>
        <w:t>3118</w:t>
      </w:r>
      <w:r>
        <w:rPr>
          <w:rFonts w:asciiTheme="minorEastAsia" w:hAnsiTheme="minorEastAsia" w:cs="Arial" w:hint="eastAsia"/>
          <w:kern w:val="0"/>
          <w:sz w:val="24"/>
          <w:szCs w:val="24"/>
        </w:rPr>
        <w:t>号</w:t>
      </w:r>
    </w:p>
    <w:p w14:paraId="084B90F9"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组织形式：有限责任公司</w:t>
      </w:r>
    </w:p>
    <w:p w14:paraId="560542C6"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注册资本：</w:t>
      </w:r>
      <w:r>
        <w:rPr>
          <w:rFonts w:asciiTheme="minorEastAsia" w:hAnsiTheme="minorEastAsia" w:cs="Arial"/>
          <w:kern w:val="0"/>
          <w:sz w:val="24"/>
          <w:szCs w:val="24"/>
        </w:rPr>
        <w:t>2</w:t>
      </w:r>
      <w:r>
        <w:rPr>
          <w:rFonts w:asciiTheme="minorEastAsia" w:hAnsiTheme="minorEastAsia" w:cs="Arial" w:hint="eastAsia"/>
          <w:kern w:val="0"/>
          <w:sz w:val="24"/>
          <w:szCs w:val="24"/>
        </w:rPr>
        <w:t>亿元人民币</w:t>
      </w:r>
    </w:p>
    <w:p w14:paraId="22DF871D"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存续期间：永续经营</w:t>
      </w:r>
    </w:p>
    <w:p w14:paraId="744F2D90" w14:textId="77777777" w:rsidR="007B7C2A" w:rsidRDefault="00072812">
      <w:pPr>
        <w:adjustRightInd w:val="0"/>
        <w:snapToGrid w:val="0"/>
        <w:spacing w:line="360" w:lineRule="auto"/>
        <w:ind w:left="84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经营范围：基金募集；基金销售；资产管理以及中国证监会许可的其它业务</w:t>
      </w:r>
    </w:p>
    <w:p w14:paraId="1C93D8D6" w14:textId="77777777" w:rsidR="007B7C2A" w:rsidRDefault="00072812">
      <w:pPr>
        <w:adjustRightInd w:val="0"/>
        <w:snapToGrid w:val="0"/>
        <w:spacing w:line="360" w:lineRule="auto"/>
        <w:ind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（二）基金托管人</w:t>
      </w:r>
    </w:p>
    <w:p w14:paraId="6EF2566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名称：平安银行股份有限公司</w:t>
      </w:r>
    </w:p>
    <w:p w14:paraId="61E9338F"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注册地址：广东省深圳市深南东路</w:t>
      </w:r>
      <w:r>
        <w:rPr>
          <w:rFonts w:asciiTheme="minorEastAsia" w:hAnsiTheme="minorEastAsia" w:cs="Arial" w:hint="eastAsia"/>
          <w:sz w:val="24"/>
          <w:szCs w:val="24"/>
        </w:rPr>
        <w:t xml:space="preserve">5047 </w:t>
      </w:r>
      <w:r>
        <w:rPr>
          <w:rFonts w:asciiTheme="minorEastAsia" w:hAnsiTheme="minorEastAsia" w:cs="Arial" w:hint="eastAsia"/>
          <w:sz w:val="24"/>
          <w:szCs w:val="24"/>
        </w:rPr>
        <w:t>号</w:t>
      </w:r>
    </w:p>
    <w:p w14:paraId="4A6BF14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办公地址：广东省深圳市福田区益田路</w:t>
      </w:r>
      <w:r>
        <w:rPr>
          <w:rFonts w:asciiTheme="minorEastAsia" w:hAnsiTheme="minorEastAsia" w:cs="Arial" w:hint="eastAsia"/>
          <w:sz w:val="24"/>
          <w:szCs w:val="24"/>
        </w:rPr>
        <w:t>5023</w:t>
      </w:r>
      <w:r>
        <w:rPr>
          <w:rFonts w:asciiTheme="minorEastAsia" w:hAnsiTheme="minorEastAsia" w:cs="Arial" w:hint="eastAsia"/>
          <w:sz w:val="24"/>
          <w:szCs w:val="24"/>
        </w:rPr>
        <w:t>号平安金融中心</w:t>
      </w:r>
      <w:r>
        <w:rPr>
          <w:rFonts w:asciiTheme="minorEastAsia" w:hAnsiTheme="minorEastAsia" w:cs="Arial" w:hint="eastAsia"/>
          <w:sz w:val="24"/>
          <w:szCs w:val="24"/>
        </w:rPr>
        <w:t>B</w:t>
      </w:r>
      <w:r>
        <w:rPr>
          <w:rFonts w:asciiTheme="minorEastAsia" w:hAnsiTheme="minorEastAsia" w:cs="Arial" w:hint="eastAsia"/>
          <w:sz w:val="24"/>
          <w:szCs w:val="24"/>
        </w:rPr>
        <w:t>座</w:t>
      </w:r>
      <w:r>
        <w:rPr>
          <w:rFonts w:asciiTheme="minorEastAsia" w:hAnsiTheme="minorEastAsia" w:cs="Arial" w:hint="eastAsia"/>
          <w:sz w:val="24"/>
          <w:szCs w:val="24"/>
        </w:rPr>
        <w:t>26</w:t>
      </w:r>
      <w:r>
        <w:rPr>
          <w:rFonts w:asciiTheme="minorEastAsia" w:hAnsiTheme="minorEastAsia" w:cs="Arial" w:hint="eastAsia"/>
          <w:sz w:val="24"/>
          <w:szCs w:val="24"/>
        </w:rPr>
        <w:t>楼</w:t>
      </w:r>
    </w:p>
    <w:p w14:paraId="2A13319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法定代表人：</w:t>
      </w:r>
      <w:r>
        <w:rPr>
          <w:rFonts w:ascii="宋体" w:hAnsi="宋体" w:hint="eastAsia"/>
          <w:color w:val="000000"/>
          <w:sz w:val="24"/>
        </w:rPr>
        <w:t>谢永林</w:t>
      </w:r>
    </w:p>
    <w:p w14:paraId="3D61512E"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成立时间：</w:t>
      </w:r>
      <w:r>
        <w:rPr>
          <w:rFonts w:asciiTheme="minorEastAsia" w:hAnsiTheme="minorEastAsia" w:cs="Arial" w:hint="eastAsia"/>
          <w:sz w:val="24"/>
          <w:szCs w:val="24"/>
        </w:rPr>
        <w:t>1987</w:t>
      </w:r>
      <w:r>
        <w:rPr>
          <w:rFonts w:asciiTheme="minorEastAsia" w:hAnsiTheme="minorEastAsia" w:cs="Arial" w:hint="eastAsia"/>
          <w:sz w:val="24"/>
          <w:szCs w:val="24"/>
        </w:rPr>
        <w:t>年</w:t>
      </w:r>
      <w:r>
        <w:rPr>
          <w:rFonts w:asciiTheme="minorEastAsia" w:hAnsiTheme="minorEastAsia" w:cs="Arial" w:hint="eastAsia"/>
          <w:sz w:val="24"/>
          <w:szCs w:val="24"/>
        </w:rPr>
        <w:t>12</w:t>
      </w:r>
      <w:r>
        <w:rPr>
          <w:rFonts w:asciiTheme="minorEastAsia" w:hAnsiTheme="minorEastAsia" w:cs="Arial" w:hint="eastAsia"/>
          <w:sz w:val="24"/>
          <w:szCs w:val="24"/>
        </w:rPr>
        <w:t>月</w:t>
      </w:r>
      <w:r>
        <w:rPr>
          <w:rFonts w:asciiTheme="minorEastAsia" w:hAnsiTheme="minorEastAsia" w:cs="Arial" w:hint="eastAsia"/>
          <w:sz w:val="24"/>
          <w:szCs w:val="24"/>
        </w:rPr>
        <w:t>22</w:t>
      </w:r>
      <w:r>
        <w:rPr>
          <w:rFonts w:asciiTheme="minorEastAsia" w:hAnsiTheme="minorEastAsia" w:cs="Arial" w:hint="eastAsia"/>
          <w:sz w:val="24"/>
          <w:szCs w:val="24"/>
        </w:rPr>
        <w:t>日</w:t>
      </w:r>
    </w:p>
    <w:p w14:paraId="597432D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组织形式：股份有限公司</w:t>
      </w:r>
    </w:p>
    <w:p w14:paraId="59CE655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注册资本：</w:t>
      </w:r>
      <w:r>
        <w:rPr>
          <w:rFonts w:asciiTheme="minorEastAsia" w:hAnsiTheme="minorEastAsia" w:cs="Arial"/>
          <w:sz w:val="24"/>
          <w:szCs w:val="24"/>
        </w:rPr>
        <w:t>19,405,918,198</w:t>
      </w:r>
      <w:r>
        <w:rPr>
          <w:rFonts w:ascii="宋体" w:hAnsi="宋体" w:cs="Times New Roman" w:hint="eastAsia"/>
          <w:color w:val="000000"/>
          <w:sz w:val="24"/>
          <w:szCs w:val="24"/>
        </w:rPr>
        <w:t>元人民币</w:t>
      </w:r>
    </w:p>
    <w:p w14:paraId="5E12F6F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存续期间：永续经营</w:t>
      </w:r>
    </w:p>
    <w:p w14:paraId="1899A106"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基金托管资格批准文号：中国证监会证监许可</w:t>
      </w:r>
      <w:r>
        <w:rPr>
          <w:rFonts w:asciiTheme="minorEastAsia" w:hAnsiTheme="minorEastAsia" w:cs="Arial" w:hint="eastAsia"/>
          <w:sz w:val="24"/>
          <w:szCs w:val="24"/>
        </w:rPr>
        <w:t>[2008]1037</w:t>
      </w:r>
      <w:r>
        <w:rPr>
          <w:rFonts w:asciiTheme="minorEastAsia" w:hAnsiTheme="minorEastAsia" w:cs="Arial" w:hint="eastAsia"/>
          <w:sz w:val="24"/>
          <w:szCs w:val="24"/>
        </w:rPr>
        <w:t>号</w:t>
      </w:r>
    </w:p>
    <w:p w14:paraId="58C3329A"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经营范围：办理人民币存、贷、结算、汇兑业务；人民币票据承兑和贴现各项信托业务；经监管机构批准发行或买卖人民币有价证券；发行金融债券；代理发行、代理兑付、承销政府债券；买卖政府债券；外汇存款、汇款；境内境外借款；从事同业拆借；外汇借款；外汇担保；在境内境外发行或代理发行外币有价证券；买卖或代客买卖外汇及外币有价证券、自营外汇买卖；贸易、非贸易结算；办理国内结算；国际结算；外币票据的承兑和贴现；外汇贷款；资信调查、咨询、见证业务；保险兼业代理业务；代理收付款项；黄金进口业务；提供信用证服务及担保；提供保管箱服务；外币兑换；结汇、售汇；信用卡业务；经有关监管机构批准或允许的其他业务。</w:t>
      </w:r>
    </w:p>
    <w:p w14:paraId="53792C77" w14:textId="77777777" w:rsidR="007B7C2A" w:rsidRDefault="00072812">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二、基金托管人对基金管理人的业务监督和核查</w:t>
      </w:r>
    </w:p>
    <w:p w14:paraId="6AABA7FF"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（一）基金托管人根据有关法律法规的规定及基金合同的约定，对基金投资范围、投资对象进行监督。</w:t>
      </w:r>
    </w:p>
    <w:p w14:paraId="5658C883"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2711327E"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范围主要为具有良好流动性的金融工具，包括国内依法发行上市的股票（包括中小板、创业板及其他经中国证监会核准上市的股票）、存托凭证，债券（含国债、金融债、企业债、公司债、央行票据、中期票据、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、超短期融资</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、政府支持机构债、地方政府债、次级债、可转换债券、可交换债券、中小企业私募</w:t>
      </w:r>
      <w:proofErr w:type="gramStart"/>
      <w:r>
        <w:rPr>
          <w:rFonts w:asciiTheme="minorEastAsia" w:hAnsiTheme="minorEastAsia" w:cs="Arial" w:hint="eastAsia"/>
          <w:color w:val="000000"/>
          <w:sz w:val="24"/>
          <w:szCs w:val="24"/>
        </w:rPr>
        <w:t>债及其</w:t>
      </w:r>
      <w:proofErr w:type="gramEnd"/>
      <w:r>
        <w:rPr>
          <w:rFonts w:asciiTheme="minorEastAsia" w:hAnsiTheme="minorEastAsia" w:cs="Arial" w:hint="eastAsia"/>
          <w:color w:val="000000"/>
          <w:sz w:val="24"/>
          <w:szCs w:val="24"/>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59CACAA3"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本基金的投资组合比例为：股票资产占基金资产的</w:t>
      </w:r>
      <w:r>
        <w:rPr>
          <w:rFonts w:asciiTheme="minorEastAsia" w:hAnsiTheme="minorEastAsia" w:cs="Arial" w:hint="eastAsia"/>
          <w:color w:val="000000"/>
          <w:sz w:val="24"/>
          <w:szCs w:val="24"/>
        </w:rPr>
        <w:t>0%-95%</w:t>
      </w:r>
      <w:r>
        <w:rPr>
          <w:rFonts w:asciiTheme="minorEastAsia" w:hAnsiTheme="minorEastAsia" w:cs="Arial" w:hint="eastAsia"/>
          <w:color w:val="000000"/>
          <w:sz w:val="24"/>
          <w:szCs w:val="24"/>
        </w:rPr>
        <w:t>；每个交易日日终在扣除股指期货、国债期货合约需缴纳的保证金以后，本基金保留的现金或到期日在一年以内的政府债券不低于基金资产净值的</w:t>
      </w:r>
      <w:r>
        <w:rPr>
          <w:rFonts w:asciiTheme="minorEastAsia" w:hAnsiTheme="minorEastAsia" w:cs="Arial" w:hint="eastAsia"/>
          <w:color w:val="000000"/>
          <w:sz w:val="24"/>
          <w:szCs w:val="24"/>
        </w:rPr>
        <w:t>5%</w:t>
      </w:r>
      <w:r>
        <w:rPr>
          <w:rFonts w:hint="eastAsia"/>
          <w:bCs/>
          <w:sz w:val="24"/>
        </w:rPr>
        <w:t>，其中现金不包括结算备付金、存出保证金、应收申购款等</w:t>
      </w:r>
      <w:r>
        <w:rPr>
          <w:rFonts w:asciiTheme="minorEastAsia" w:hAnsiTheme="minorEastAsia" w:cs="Arial" w:hint="eastAsia"/>
          <w:color w:val="000000"/>
          <w:sz w:val="24"/>
          <w:szCs w:val="24"/>
        </w:rPr>
        <w:t>；权证投资占基金资产净值的</w:t>
      </w:r>
      <w:r>
        <w:rPr>
          <w:rFonts w:asciiTheme="minorEastAsia" w:hAnsiTheme="minorEastAsia" w:cs="Arial" w:hint="eastAsia"/>
          <w:color w:val="000000"/>
          <w:sz w:val="24"/>
          <w:szCs w:val="24"/>
        </w:rPr>
        <w:t>0-3%</w:t>
      </w:r>
      <w:r>
        <w:rPr>
          <w:rFonts w:asciiTheme="minorEastAsia" w:hAnsiTheme="minorEastAsia" w:cs="Arial" w:hint="eastAsia"/>
          <w:color w:val="000000"/>
          <w:sz w:val="24"/>
          <w:szCs w:val="24"/>
        </w:rPr>
        <w:t>。</w:t>
      </w:r>
    </w:p>
    <w:p w14:paraId="53CCB843"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（二）基金托管人根据有关法律法规的规定及基金合同的约定，对基金投资、融资比例进行监督。基金托管人按下述比例和调整期限进行监督：</w:t>
      </w:r>
    </w:p>
    <w:p w14:paraId="6FC5D581"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基金的投资组合应遵循以下限制：</w:t>
      </w:r>
    </w:p>
    <w:p w14:paraId="139C96AC"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w:t>
      </w:r>
      <w:r>
        <w:rPr>
          <w:rFonts w:asciiTheme="minorEastAsia" w:hAnsiTheme="minorEastAsia" w:cs="Arial" w:hint="eastAsia"/>
          <w:color w:val="000000"/>
          <w:sz w:val="24"/>
          <w:szCs w:val="24"/>
        </w:rPr>
        <w:t>）股票投资占基金资产的比例为</w:t>
      </w:r>
      <w:r>
        <w:rPr>
          <w:rFonts w:asciiTheme="minorEastAsia" w:hAnsiTheme="minorEastAsia" w:cs="Arial" w:hint="eastAsia"/>
          <w:color w:val="000000"/>
          <w:sz w:val="24"/>
          <w:szCs w:val="24"/>
        </w:rPr>
        <w:t>0%</w:t>
      </w: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95%</w:t>
      </w:r>
      <w:r>
        <w:rPr>
          <w:rFonts w:asciiTheme="minorEastAsia" w:hAnsiTheme="minorEastAsia" w:cs="Arial" w:hint="eastAsia"/>
          <w:color w:val="000000"/>
          <w:sz w:val="24"/>
          <w:szCs w:val="24"/>
        </w:rPr>
        <w:t>；</w:t>
      </w:r>
    </w:p>
    <w:p w14:paraId="794D1208"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2</w:t>
      </w:r>
      <w:r>
        <w:rPr>
          <w:rFonts w:asciiTheme="minorEastAsia" w:hAnsiTheme="minorEastAsia" w:cs="Arial" w:hint="eastAsia"/>
          <w:color w:val="000000"/>
          <w:sz w:val="24"/>
          <w:szCs w:val="24"/>
        </w:rPr>
        <w:t>）每个交易日日终在扣除股指期货、国债期货合约需缴纳的交易保证金后，保持不低于基金资产净值</w:t>
      </w:r>
      <w:r>
        <w:rPr>
          <w:rFonts w:asciiTheme="minorEastAsia" w:hAnsiTheme="minorEastAsia" w:cs="Arial" w:hint="eastAsia"/>
          <w:color w:val="000000"/>
          <w:sz w:val="24"/>
          <w:szCs w:val="24"/>
        </w:rPr>
        <w:t>5</w:t>
      </w:r>
      <w:r>
        <w:rPr>
          <w:rFonts w:asciiTheme="minorEastAsia" w:hAnsiTheme="minorEastAsia" w:cs="Arial" w:hint="eastAsia"/>
          <w:color w:val="000000"/>
          <w:sz w:val="24"/>
          <w:szCs w:val="24"/>
        </w:rPr>
        <w:t>％的现金或者到期日在一年以内的政府债券</w:t>
      </w:r>
      <w:r>
        <w:rPr>
          <w:rFonts w:hint="eastAsia"/>
          <w:bCs/>
          <w:sz w:val="24"/>
        </w:rPr>
        <w:t>，其中现金不包括结算备付金、存出保证金、应收申购款等</w:t>
      </w:r>
      <w:r>
        <w:rPr>
          <w:rFonts w:asciiTheme="minorEastAsia" w:hAnsiTheme="minorEastAsia" w:cs="Arial" w:hint="eastAsia"/>
          <w:color w:val="000000"/>
          <w:sz w:val="24"/>
          <w:szCs w:val="24"/>
        </w:rPr>
        <w:t>；</w:t>
      </w:r>
    </w:p>
    <w:p w14:paraId="1CB9BD09"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3</w:t>
      </w:r>
      <w:r>
        <w:rPr>
          <w:rFonts w:asciiTheme="minorEastAsia" w:hAnsiTheme="minorEastAsia" w:cs="Arial" w:hint="eastAsia"/>
          <w:color w:val="000000"/>
          <w:sz w:val="24"/>
          <w:szCs w:val="24"/>
        </w:rPr>
        <w:t>）本基金持有一家公司发行的证券，其市值不超过基金资产净值的</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w:t>
      </w:r>
    </w:p>
    <w:p w14:paraId="1C95CD20"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4</w:t>
      </w:r>
      <w:r>
        <w:rPr>
          <w:rFonts w:asciiTheme="minorEastAsia" w:hAnsiTheme="minorEastAsia" w:cs="Arial" w:hint="eastAsia"/>
          <w:color w:val="000000"/>
          <w:sz w:val="24"/>
          <w:szCs w:val="24"/>
        </w:rPr>
        <w:t>）本基金管理人管理的全部基金持有一家公司发行的证券，不超过该证券的</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w:t>
      </w:r>
    </w:p>
    <w:p w14:paraId="39EB09B6"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5</w:t>
      </w:r>
      <w:r>
        <w:rPr>
          <w:rFonts w:asciiTheme="minorEastAsia" w:hAnsiTheme="minorEastAsia" w:cs="Arial" w:hint="eastAsia"/>
          <w:color w:val="000000"/>
          <w:sz w:val="24"/>
          <w:szCs w:val="24"/>
        </w:rPr>
        <w:t>）本基金持有的全部权证，其市值不得超过基金资产净值的</w:t>
      </w:r>
      <w:r>
        <w:rPr>
          <w:rFonts w:asciiTheme="minorEastAsia" w:hAnsiTheme="minorEastAsia" w:cs="Arial" w:hint="eastAsia"/>
          <w:color w:val="000000"/>
          <w:sz w:val="24"/>
          <w:szCs w:val="24"/>
        </w:rPr>
        <w:t>3</w:t>
      </w:r>
      <w:r>
        <w:rPr>
          <w:rFonts w:asciiTheme="minorEastAsia" w:hAnsiTheme="minorEastAsia" w:cs="Arial" w:hint="eastAsia"/>
          <w:color w:val="000000"/>
          <w:sz w:val="24"/>
          <w:szCs w:val="24"/>
        </w:rPr>
        <w:t>％；</w:t>
      </w:r>
    </w:p>
    <w:p w14:paraId="08E050BB"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6</w:t>
      </w:r>
      <w:r>
        <w:rPr>
          <w:rFonts w:asciiTheme="minorEastAsia" w:hAnsiTheme="minorEastAsia" w:cs="Arial" w:hint="eastAsia"/>
          <w:color w:val="000000"/>
          <w:sz w:val="24"/>
          <w:szCs w:val="24"/>
        </w:rPr>
        <w:t>）本基金管理人管理的全部基金持有的同一权证，不得超过该权证的</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w:t>
      </w:r>
    </w:p>
    <w:p w14:paraId="2085BF99"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7</w:t>
      </w:r>
      <w:r>
        <w:rPr>
          <w:rFonts w:asciiTheme="minorEastAsia" w:hAnsiTheme="minorEastAsia" w:cs="Arial" w:hint="eastAsia"/>
          <w:color w:val="000000"/>
          <w:sz w:val="24"/>
          <w:szCs w:val="24"/>
        </w:rPr>
        <w:t>）本基金在任何交易日买入权证的总金额，不得超过上一交易日基金资产净值的</w:t>
      </w:r>
      <w:r>
        <w:rPr>
          <w:rFonts w:asciiTheme="minorEastAsia" w:hAnsiTheme="minorEastAsia" w:cs="Arial" w:hint="eastAsia"/>
          <w:color w:val="000000"/>
          <w:sz w:val="24"/>
          <w:szCs w:val="24"/>
        </w:rPr>
        <w:t>0.5</w:t>
      </w:r>
      <w:r>
        <w:rPr>
          <w:rFonts w:asciiTheme="minorEastAsia" w:hAnsiTheme="minorEastAsia" w:cs="Arial" w:hint="eastAsia"/>
          <w:color w:val="000000"/>
          <w:sz w:val="24"/>
          <w:szCs w:val="24"/>
        </w:rPr>
        <w:t>％；</w:t>
      </w:r>
    </w:p>
    <w:p w14:paraId="461403C2"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8</w:t>
      </w:r>
      <w:r>
        <w:rPr>
          <w:rFonts w:asciiTheme="minorEastAsia" w:hAnsiTheme="minorEastAsia" w:cs="Arial" w:hint="eastAsia"/>
          <w:color w:val="000000"/>
          <w:sz w:val="24"/>
          <w:szCs w:val="24"/>
        </w:rPr>
        <w:t>）本基金投资于同一原始权益人的各类资产支持证券的比例，不得超过基金资产净值的</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w:t>
      </w:r>
    </w:p>
    <w:p w14:paraId="08E105A4"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9</w:t>
      </w:r>
      <w:r>
        <w:rPr>
          <w:rFonts w:asciiTheme="minorEastAsia" w:hAnsiTheme="minorEastAsia" w:cs="Arial" w:hint="eastAsia"/>
          <w:color w:val="000000"/>
          <w:sz w:val="24"/>
          <w:szCs w:val="24"/>
        </w:rPr>
        <w:t>）本基金持有的全部资产支持证券，其市值不得超过基金资产净值的</w:t>
      </w:r>
      <w:r>
        <w:rPr>
          <w:rFonts w:asciiTheme="minorEastAsia" w:hAnsiTheme="minorEastAsia" w:cs="Arial" w:hint="eastAsia"/>
          <w:color w:val="000000"/>
          <w:sz w:val="24"/>
          <w:szCs w:val="24"/>
        </w:rPr>
        <w:t>20</w:t>
      </w:r>
      <w:r>
        <w:rPr>
          <w:rFonts w:asciiTheme="minorEastAsia" w:hAnsiTheme="minorEastAsia" w:cs="Arial" w:hint="eastAsia"/>
          <w:color w:val="000000"/>
          <w:sz w:val="24"/>
          <w:szCs w:val="24"/>
        </w:rPr>
        <w:t>％，中国证监会规定的特殊品种除外；</w:t>
      </w:r>
    </w:p>
    <w:p w14:paraId="3BA22817"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）本基金持有的同一</w:t>
      </w: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指同一信用级别</w:t>
      </w: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资产支持证券的比例，不得超过该资产支持证券规模的</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w:t>
      </w:r>
    </w:p>
    <w:p w14:paraId="56E8C715"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11</w:t>
      </w:r>
      <w:r>
        <w:rPr>
          <w:rFonts w:asciiTheme="minorEastAsia" w:hAnsiTheme="minorEastAsia" w:cs="Arial" w:hint="eastAsia"/>
          <w:color w:val="000000"/>
          <w:sz w:val="24"/>
          <w:szCs w:val="24"/>
        </w:rPr>
        <w:t>）本基金管理人管理的全部基金投资于同一原始权益人的各类资产支持证券，不得超过其各类资产支持证券合计规模的</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w:t>
      </w:r>
    </w:p>
    <w:p w14:paraId="3B2A4A78"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12</w:t>
      </w:r>
      <w:r>
        <w:rPr>
          <w:rFonts w:asciiTheme="minorEastAsia" w:hAnsiTheme="minorEastAsia" w:cs="Arial" w:hint="eastAsia"/>
          <w:color w:val="000000"/>
          <w:sz w:val="24"/>
          <w:szCs w:val="24"/>
        </w:rPr>
        <w:t>）本基金应投资于信用级别评级为</w:t>
      </w:r>
      <w:r>
        <w:rPr>
          <w:rFonts w:asciiTheme="minorEastAsia" w:hAnsiTheme="minorEastAsia" w:cs="Arial" w:hint="eastAsia"/>
          <w:color w:val="000000"/>
          <w:sz w:val="24"/>
          <w:szCs w:val="24"/>
        </w:rPr>
        <w:t>BBB</w:t>
      </w:r>
      <w:r>
        <w:rPr>
          <w:rFonts w:asciiTheme="minorEastAsia" w:hAnsiTheme="minorEastAsia" w:cs="Arial" w:hint="eastAsia"/>
          <w:color w:val="000000"/>
          <w:sz w:val="24"/>
          <w:szCs w:val="24"/>
        </w:rPr>
        <w:t>以上</w:t>
      </w: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含</w:t>
      </w:r>
      <w:r>
        <w:rPr>
          <w:rFonts w:asciiTheme="minorEastAsia" w:hAnsiTheme="minorEastAsia" w:cs="Arial" w:hint="eastAsia"/>
          <w:color w:val="000000"/>
          <w:sz w:val="24"/>
          <w:szCs w:val="24"/>
        </w:rPr>
        <w:t>BBB)</w:t>
      </w:r>
      <w:r>
        <w:rPr>
          <w:rFonts w:asciiTheme="minorEastAsia" w:hAnsiTheme="minorEastAsia" w:cs="Arial" w:hint="eastAsia"/>
          <w:color w:val="000000"/>
          <w:sz w:val="24"/>
          <w:szCs w:val="24"/>
        </w:rPr>
        <w:t>的资产支持证券。基金持有资产支持证券期间，如果其信用等级下降、不再符合投资标准，应在评级报告发布之日起</w:t>
      </w:r>
      <w:r>
        <w:rPr>
          <w:rFonts w:asciiTheme="minorEastAsia" w:hAnsiTheme="minorEastAsia" w:cs="Arial" w:hint="eastAsia"/>
          <w:color w:val="000000"/>
          <w:sz w:val="24"/>
          <w:szCs w:val="24"/>
        </w:rPr>
        <w:t>3</w:t>
      </w:r>
      <w:r>
        <w:rPr>
          <w:rFonts w:asciiTheme="minorEastAsia" w:hAnsiTheme="minorEastAsia" w:cs="Arial" w:hint="eastAsia"/>
          <w:color w:val="000000"/>
          <w:sz w:val="24"/>
          <w:szCs w:val="24"/>
        </w:rPr>
        <w:t>个月内予以全部卖出；</w:t>
      </w:r>
    </w:p>
    <w:p w14:paraId="6077AF44"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13</w:t>
      </w:r>
      <w:r>
        <w:rPr>
          <w:rFonts w:asciiTheme="minorEastAsia" w:hAnsiTheme="minorEastAsia" w:cs="Arial" w:hint="eastAsia"/>
          <w:color w:val="000000"/>
          <w:sz w:val="24"/>
          <w:szCs w:val="24"/>
        </w:rPr>
        <w:t>）基金财产参与股票发行申购，本基金所申报的金额不超过本基金的总资产，本基金所申报的股票数量不超过拟发行股票公司本次发行股票的总量；</w:t>
      </w:r>
    </w:p>
    <w:p w14:paraId="6A8B9D17"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14</w:t>
      </w:r>
      <w:r>
        <w:rPr>
          <w:rFonts w:asciiTheme="minorEastAsia" w:hAnsiTheme="minorEastAsia" w:cs="Arial" w:hint="eastAsia"/>
          <w:color w:val="000000"/>
          <w:sz w:val="24"/>
          <w:szCs w:val="24"/>
        </w:rPr>
        <w:t>）本基金进入全国银行间同业市场进行债券回购的资金余额不得超过基金资产净值的</w:t>
      </w:r>
      <w:r>
        <w:rPr>
          <w:rFonts w:asciiTheme="minorEastAsia" w:hAnsiTheme="minorEastAsia" w:cs="Arial" w:hint="eastAsia"/>
          <w:color w:val="000000"/>
          <w:sz w:val="24"/>
          <w:szCs w:val="24"/>
        </w:rPr>
        <w:t>40%</w:t>
      </w:r>
      <w:r>
        <w:rPr>
          <w:rFonts w:asciiTheme="minorEastAsia" w:hAnsiTheme="minorEastAsia" w:cs="Arial" w:hint="eastAsia"/>
          <w:color w:val="000000"/>
          <w:sz w:val="24"/>
          <w:szCs w:val="24"/>
        </w:rPr>
        <w:t>，在全国银行间同业市场的债券回购最长期限为</w:t>
      </w:r>
      <w:r>
        <w:rPr>
          <w:rFonts w:asciiTheme="minorEastAsia" w:hAnsiTheme="minorEastAsia" w:cs="Arial" w:hint="eastAsia"/>
          <w:color w:val="000000"/>
          <w:sz w:val="24"/>
          <w:szCs w:val="24"/>
        </w:rPr>
        <w:t>1</w:t>
      </w:r>
      <w:r>
        <w:rPr>
          <w:rFonts w:asciiTheme="minorEastAsia" w:hAnsiTheme="minorEastAsia" w:cs="Arial" w:hint="eastAsia"/>
          <w:color w:val="000000"/>
          <w:sz w:val="24"/>
          <w:szCs w:val="24"/>
        </w:rPr>
        <w:t>年，债券回购到期后不得展期；</w:t>
      </w:r>
    </w:p>
    <w:p w14:paraId="09166FF3"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15</w:t>
      </w:r>
      <w:r>
        <w:rPr>
          <w:rFonts w:asciiTheme="minorEastAsia" w:hAnsiTheme="minorEastAsia" w:cs="Arial" w:hint="eastAsia"/>
          <w:color w:val="000000"/>
          <w:sz w:val="24"/>
          <w:szCs w:val="24"/>
        </w:rPr>
        <w:t>）本基金总资产不得超过基金净资产的</w:t>
      </w:r>
      <w:r>
        <w:rPr>
          <w:rFonts w:asciiTheme="minorEastAsia" w:hAnsiTheme="minorEastAsia" w:cs="Arial" w:hint="eastAsia"/>
          <w:color w:val="000000"/>
          <w:sz w:val="24"/>
          <w:szCs w:val="24"/>
        </w:rPr>
        <w:t xml:space="preserve"> 140%</w:t>
      </w:r>
      <w:r>
        <w:rPr>
          <w:rFonts w:asciiTheme="minorEastAsia" w:hAnsiTheme="minorEastAsia" w:cs="Arial" w:hint="eastAsia"/>
          <w:color w:val="000000"/>
          <w:sz w:val="24"/>
          <w:szCs w:val="24"/>
        </w:rPr>
        <w:t>；</w:t>
      </w:r>
    </w:p>
    <w:p w14:paraId="3CD162AB" w14:textId="77777777" w:rsidR="007B7C2A" w:rsidRDefault="00072812">
      <w:pPr>
        <w:adjustRightInd w:val="0"/>
        <w:snapToGrid w:val="0"/>
        <w:spacing w:line="276"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16</w:t>
      </w:r>
      <w:r>
        <w:rPr>
          <w:rFonts w:asciiTheme="minorEastAsia" w:hAnsiTheme="minorEastAsia" w:cs="Arial" w:hint="eastAsia"/>
          <w:color w:val="000000"/>
          <w:sz w:val="24"/>
          <w:szCs w:val="24"/>
        </w:rPr>
        <w:t>）</w:t>
      </w:r>
      <w:r>
        <w:rPr>
          <w:rFonts w:hint="eastAsia"/>
          <w:bCs/>
          <w:sz w:val="24"/>
        </w:rPr>
        <w:t>本基金持有单只中小企业私募债券，其市值不得超过本基金资产净值的</w:t>
      </w:r>
      <w:r>
        <w:rPr>
          <w:rFonts w:hint="eastAsia"/>
          <w:bCs/>
          <w:sz w:val="24"/>
        </w:rPr>
        <w:t>10%</w:t>
      </w:r>
      <w:r>
        <w:rPr>
          <w:rFonts w:hint="eastAsia"/>
          <w:bCs/>
          <w:sz w:val="24"/>
        </w:rPr>
        <w:t>；</w:t>
      </w:r>
      <w:r>
        <w:rPr>
          <w:rFonts w:asciiTheme="minorEastAsia" w:hAnsiTheme="minorEastAsia" w:cs="Arial" w:hint="eastAsia"/>
          <w:color w:val="000000"/>
          <w:sz w:val="24"/>
          <w:szCs w:val="24"/>
        </w:rPr>
        <w:t>基金投资于中小企业私募债的比例不超过基金资产净值的</w:t>
      </w:r>
      <w:r>
        <w:rPr>
          <w:rFonts w:asciiTheme="minorEastAsia" w:hAnsiTheme="minorEastAsia" w:cs="Arial" w:hint="eastAsia"/>
          <w:color w:val="000000"/>
          <w:sz w:val="24"/>
          <w:szCs w:val="24"/>
        </w:rPr>
        <w:t>20%</w:t>
      </w:r>
      <w:r>
        <w:rPr>
          <w:rFonts w:asciiTheme="minorEastAsia" w:hAnsiTheme="minorEastAsia" w:cs="Arial" w:hint="eastAsia"/>
          <w:color w:val="000000"/>
          <w:sz w:val="24"/>
          <w:szCs w:val="24"/>
        </w:rPr>
        <w:t>；</w:t>
      </w:r>
    </w:p>
    <w:p w14:paraId="47C30619"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17</w:t>
      </w:r>
      <w:r>
        <w:rPr>
          <w:rFonts w:asciiTheme="minorEastAsia" w:hAnsiTheme="minorEastAsia" w:cs="Arial" w:hint="eastAsia"/>
          <w:color w:val="000000"/>
          <w:sz w:val="24"/>
          <w:szCs w:val="24"/>
        </w:rPr>
        <w:t>）本基金</w:t>
      </w:r>
      <w:proofErr w:type="gramStart"/>
      <w:r>
        <w:rPr>
          <w:rFonts w:asciiTheme="minorEastAsia" w:hAnsiTheme="minorEastAsia" w:cs="Arial" w:hint="eastAsia"/>
          <w:color w:val="000000"/>
          <w:sz w:val="24"/>
          <w:szCs w:val="24"/>
        </w:rPr>
        <w:t>若参</w:t>
      </w:r>
      <w:proofErr w:type="gramEnd"/>
      <w:r>
        <w:rPr>
          <w:rFonts w:asciiTheme="minorEastAsia" w:hAnsiTheme="minorEastAsia" w:cs="Arial" w:hint="eastAsia"/>
          <w:color w:val="000000"/>
          <w:sz w:val="24"/>
          <w:szCs w:val="24"/>
        </w:rPr>
        <w:t>与股指期货、国债期货交易，需遵守下列规定：</w:t>
      </w:r>
    </w:p>
    <w:p w14:paraId="1FCDCDF7" w14:textId="77777777" w:rsidR="007B7C2A" w:rsidRDefault="00072812">
      <w:pPr>
        <w:adjustRightInd w:val="0"/>
        <w:snapToGrid w:val="0"/>
        <w:spacing w:line="276"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w:t>
      </w:r>
      <w:r>
        <w:rPr>
          <w:rFonts w:asciiTheme="minorEastAsia" w:hAnsiTheme="minorEastAsia" w:cs="Arial" w:hint="eastAsia"/>
          <w:color w:val="000000"/>
          <w:sz w:val="24"/>
          <w:szCs w:val="24"/>
        </w:rPr>
        <w:t>）本基金在任何交易日日终，持有的买入股指期货合约价值，不得超过基金资产净值的</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w:t>
      </w:r>
    </w:p>
    <w:p w14:paraId="35635140"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w:t>
      </w:r>
      <w:r>
        <w:rPr>
          <w:rFonts w:asciiTheme="minorEastAsia" w:hAnsiTheme="minorEastAsia" w:cs="Arial" w:hint="eastAsia"/>
          <w:color w:val="000000"/>
          <w:sz w:val="24"/>
          <w:szCs w:val="24"/>
        </w:rPr>
        <w:t>）本基金在任何交易日日终，持有的买入股指期货、国债期货合约价值与有价证券市值之和，不得超过基金资产净值的</w:t>
      </w:r>
      <w:r>
        <w:rPr>
          <w:rFonts w:asciiTheme="minorEastAsia" w:hAnsiTheme="minorEastAsia" w:cs="Arial" w:hint="eastAsia"/>
          <w:color w:val="000000"/>
          <w:sz w:val="24"/>
          <w:szCs w:val="24"/>
        </w:rPr>
        <w:t>95%</w:t>
      </w:r>
      <w:r>
        <w:rPr>
          <w:rFonts w:asciiTheme="minorEastAsia" w:hAnsiTheme="minorEastAsia" w:cs="Arial" w:hint="eastAsia"/>
          <w:color w:val="000000"/>
          <w:sz w:val="24"/>
          <w:szCs w:val="24"/>
        </w:rPr>
        <w:t>，其中，有价证券指股票、债券（不含到期日在一年以内的政府债券）、权证、资产支持证券、买入返售金融资产（不含质押式回购）等；</w:t>
      </w:r>
    </w:p>
    <w:p w14:paraId="3E30D9E5"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w:t>
      </w:r>
      <w:r>
        <w:rPr>
          <w:rFonts w:asciiTheme="minorEastAsia" w:hAnsiTheme="minorEastAsia" w:cs="Arial" w:hint="eastAsia"/>
          <w:color w:val="000000"/>
          <w:sz w:val="24"/>
          <w:szCs w:val="24"/>
        </w:rPr>
        <w:t>）本基金在任何交易日日终，持有的卖出股指期货合约价值不得超过基金持有的股票总市值的</w:t>
      </w:r>
      <w:r>
        <w:rPr>
          <w:rFonts w:asciiTheme="minorEastAsia" w:hAnsiTheme="minorEastAsia" w:cs="Arial" w:hint="eastAsia"/>
          <w:color w:val="000000"/>
          <w:sz w:val="24"/>
          <w:szCs w:val="24"/>
        </w:rPr>
        <w:t>20%</w:t>
      </w:r>
      <w:r>
        <w:rPr>
          <w:rFonts w:asciiTheme="minorEastAsia" w:hAnsiTheme="minorEastAsia" w:cs="Arial" w:hint="eastAsia"/>
          <w:color w:val="000000"/>
          <w:sz w:val="24"/>
          <w:szCs w:val="24"/>
        </w:rPr>
        <w:t>；</w:t>
      </w:r>
    </w:p>
    <w:p w14:paraId="7323F144"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w:t>
      </w:r>
      <w:r>
        <w:rPr>
          <w:rFonts w:asciiTheme="minorEastAsia" w:hAnsiTheme="minorEastAsia" w:cs="Arial" w:hint="eastAsia"/>
          <w:color w:val="000000"/>
          <w:sz w:val="24"/>
          <w:szCs w:val="24"/>
        </w:rPr>
        <w:t>）本基金在任何交易日内交易（不包括平仓）的股指期货合约的成交金额不得超过上一交易日基金资产净值的</w:t>
      </w:r>
      <w:r>
        <w:rPr>
          <w:rFonts w:asciiTheme="minorEastAsia" w:hAnsiTheme="minorEastAsia" w:cs="Arial" w:hint="eastAsia"/>
          <w:color w:val="000000"/>
          <w:sz w:val="24"/>
          <w:szCs w:val="24"/>
        </w:rPr>
        <w:t>20%</w:t>
      </w:r>
      <w:r>
        <w:rPr>
          <w:rFonts w:asciiTheme="minorEastAsia" w:hAnsiTheme="minorEastAsia" w:cs="Arial" w:hint="eastAsia"/>
          <w:color w:val="000000"/>
          <w:sz w:val="24"/>
          <w:szCs w:val="24"/>
        </w:rPr>
        <w:t>；</w:t>
      </w:r>
    </w:p>
    <w:p w14:paraId="44EBBE0E"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5</w:t>
      </w:r>
      <w:r>
        <w:rPr>
          <w:rFonts w:asciiTheme="minorEastAsia" w:hAnsiTheme="minorEastAsia" w:cs="Arial" w:hint="eastAsia"/>
          <w:color w:val="000000"/>
          <w:sz w:val="24"/>
          <w:szCs w:val="24"/>
        </w:rPr>
        <w:t>）本基金所持有的股票市值和买入、卖出股指期货合约价值，合计（轧差计算）应当符合基金合同关于股票投资比例的有关规定；</w:t>
      </w:r>
    </w:p>
    <w:p w14:paraId="22E6FEC5"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w:t>
      </w:r>
      <w:r>
        <w:rPr>
          <w:rFonts w:asciiTheme="minorEastAsia" w:hAnsiTheme="minorEastAsia" w:cs="Arial" w:hint="eastAsia"/>
          <w:color w:val="000000"/>
          <w:sz w:val="24"/>
          <w:szCs w:val="24"/>
        </w:rPr>
        <w:t>）本基金在任何交易日日终，持有的买入国债期货合约价值，不得超过基金资产净值的</w:t>
      </w:r>
      <w:r>
        <w:rPr>
          <w:rFonts w:asciiTheme="minorEastAsia" w:hAnsiTheme="minorEastAsia" w:cs="Arial" w:hint="eastAsia"/>
          <w:color w:val="000000"/>
          <w:sz w:val="24"/>
          <w:szCs w:val="24"/>
        </w:rPr>
        <w:t>15%</w:t>
      </w:r>
      <w:r>
        <w:rPr>
          <w:rFonts w:asciiTheme="minorEastAsia" w:hAnsiTheme="minorEastAsia" w:cs="Arial" w:hint="eastAsia"/>
          <w:color w:val="000000"/>
          <w:sz w:val="24"/>
          <w:szCs w:val="24"/>
        </w:rPr>
        <w:t>；</w:t>
      </w:r>
    </w:p>
    <w:p w14:paraId="12C8A3AF"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7</w:t>
      </w:r>
      <w:r>
        <w:rPr>
          <w:rFonts w:asciiTheme="minorEastAsia" w:hAnsiTheme="minorEastAsia" w:cs="Arial" w:hint="eastAsia"/>
          <w:color w:val="000000"/>
          <w:sz w:val="24"/>
          <w:szCs w:val="24"/>
        </w:rPr>
        <w:t>）本基金在任何交易日日终，持有的卖出国债期货合约价值不得超过基金持有的债券总市值的</w:t>
      </w:r>
      <w:r>
        <w:rPr>
          <w:rFonts w:asciiTheme="minorEastAsia" w:hAnsiTheme="minorEastAsia" w:cs="Arial" w:hint="eastAsia"/>
          <w:color w:val="000000"/>
          <w:sz w:val="24"/>
          <w:szCs w:val="24"/>
        </w:rPr>
        <w:t>30%</w:t>
      </w:r>
      <w:r>
        <w:rPr>
          <w:rFonts w:asciiTheme="minorEastAsia" w:hAnsiTheme="minorEastAsia" w:cs="Arial" w:hint="eastAsia"/>
          <w:color w:val="000000"/>
          <w:sz w:val="24"/>
          <w:szCs w:val="24"/>
        </w:rPr>
        <w:t>；</w:t>
      </w:r>
    </w:p>
    <w:p w14:paraId="363C3B6E"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8</w:t>
      </w:r>
      <w:r>
        <w:rPr>
          <w:rFonts w:asciiTheme="minorEastAsia" w:hAnsiTheme="minorEastAsia" w:cs="Arial" w:hint="eastAsia"/>
          <w:color w:val="000000"/>
          <w:sz w:val="24"/>
          <w:szCs w:val="24"/>
        </w:rPr>
        <w:t>）本基金在任何交易日内交易（不包括平仓）的国债期货合约的成交金额不得超过上一交易日基金资产净值的</w:t>
      </w:r>
      <w:r>
        <w:rPr>
          <w:rFonts w:asciiTheme="minorEastAsia" w:hAnsiTheme="minorEastAsia" w:cs="Arial" w:hint="eastAsia"/>
          <w:color w:val="000000"/>
          <w:sz w:val="24"/>
          <w:szCs w:val="24"/>
        </w:rPr>
        <w:t>30%</w:t>
      </w:r>
      <w:r>
        <w:rPr>
          <w:rFonts w:asciiTheme="minorEastAsia" w:hAnsiTheme="minorEastAsia" w:cs="Arial" w:hint="eastAsia"/>
          <w:color w:val="000000"/>
          <w:sz w:val="24"/>
          <w:szCs w:val="24"/>
        </w:rPr>
        <w:t>；</w:t>
      </w:r>
    </w:p>
    <w:p w14:paraId="3FC0B00C"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18</w:t>
      </w:r>
      <w:r>
        <w:rPr>
          <w:rFonts w:asciiTheme="minorEastAsia" w:hAnsiTheme="minorEastAsia" w:cs="Arial" w:hint="eastAsia"/>
          <w:color w:val="000000"/>
          <w:sz w:val="24"/>
          <w:szCs w:val="24"/>
        </w:rPr>
        <w:t>）本基金</w:t>
      </w:r>
      <w:proofErr w:type="gramStart"/>
      <w:r>
        <w:rPr>
          <w:rFonts w:asciiTheme="minorEastAsia" w:hAnsiTheme="minorEastAsia" w:cs="Arial" w:hint="eastAsia"/>
          <w:color w:val="000000"/>
          <w:sz w:val="24"/>
          <w:szCs w:val="24"/>
        </w:rPr>
        <w:t>若参</w:t>
      </w:r>
      <w:proofErr w:type="gramEnd"/>
      <w:r>
        <w:rPr>
          <w:rFonts w:asciiTheme="minorEastAsia" w:hAnsiTheme="minorEastAsia" w:cs="Arial" w:hint="eastAsia"/>
          <w:color w:val="000000"/>
          <w:sz w:val="24"/>
          <w:szCs w:val="24"/>
        </w:rPr>
        <w:t>与股票期权交易，需遵守下列投资比例限制：</w:t>
      </w:r>
    </w:p>
    <w:p w14:paraId="5E2E81F7"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w:t>
      </w:r>
      <w:r>
        <w:rPr>
          <w:rFonts w:asciiTheme="minorEastAsia" w:hAnsiTheme="minorEastAsia" w:cs="Arial" w:hint="eastAsia"/>
          <w:color w:val="000000"/>
          <w:sz w:val="24"/>
          <w:szCs w:val="24"/>
        </w:rPr>
        <w:t>）本基金因未平仓的期权合约支付和收取的权利金总额不得超过基金资产净值的</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w:t>
      </w:r>
    </w:p>
    <w:p w14:paraId="393CD71E"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w:t>
      </w:r>
      <w:r>
        <w:rPr>
          <w:rFonts w:asciiTheme="minorEastAsia" w:hAnsiTheme="minorEastAsia" w:cs="Arial" w:hint="eastAsia"/>
          <w:color w:val="000000"/>
          <w:sz w:val="24"/>
          <w:szCs w:val="24"/>
        </w:rPr>
        <w:t>）本基金开仓卖出认购期权的，应持有足额标的证券；开仓卖出认沽期权的，应持有合约行权所需的全额现金或交易所规则认可的可冲抵期权保证金的现金等价物；</w:t>
      </w:r>
    </w:p>
    <w:p w14:paraId="6E15736F"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w:t>
      </w:r>
      <w:r>
        <w:rPr>
          <w:rFonts w:asciiTheme="minorEastAsia" w:hAnsiTheme="minorEastAsia" w:cs="Arial" w:hint="eastAsia"/>
          <w:color w:val="000000"/>
          <w:sz w:val="24"/>
          <w:szCs w:val="24"/>
        </w:rPr>
        <w:t>）本基金未平仓的期权合约面值不得超过基金资产净值的</w:t>
      </w:r>
      <w:r>
        <w:rPr>
          <w:rFonts w:asciiTheme="minorEastAsia" w:hAnsiTheme="minorEastAsia" w:cs="Arial" w:hint="eastAsia"/>
          <w:color w:val="000000"/>
          <w:sz w:val="24"/>
          <w:szCs w:val="24"/>
        </w:rPr>
        <w:t>20%</w:t>
      </w:r>
      <w:r>
        <w:rPr>
          <w:rFonts w:asciiTheme="minorEastAsia" w:hAnsiTheme="minorEastAsia" w:cs="Arial" w:hint="eastAsia"/>
          <w:color w:val="000000"/>
          <w:sz w:val="24"/>
          <w:szCs w:val="24"/>
        </w:rPr>
        <w:t>。其中，合约面值按照行权价乘以合约乘数计算；</w:t>
      </w:r>
    </w:p>
    <w:p w14:paraId="47FA6BD9" w14:textId="77777777" w:rsidR="007B7C2A" w:rsidRDefault="00072812">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6D084DDA" w14:textId="77777777" w:rsidR="007B7C2A" w:rsidRDefault="00072812">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）本基金主动投资于流动性受限资产的市值合计不得超过基金资产净值的</w:t>
      </w:r>
      <w:r>
        <w:rPr>
          <w:rFonts w:hint="eastAsia"/>
          <w:bCs/>
          <w:sz w:val="24"/>
        </w:rPr>
        <w:t>15%</w:t>
      </w:r>
      <w:r>
        <w:rPr>
          <w:rFonts w:hint="eastAsia"/>
          <w:bCs/>
          <w:sz w:val="24"/>
        </w:rPr>
        <w:t>；</w:t>
      </w:r>
    </w:p>
    <w:p w14:paraId="729FA538" w14:textId="77777777" w:rsidR="007B7C2A" w:rsidRDefault="00072812">
      <w:pPr>
        <w:spacing w:line="360" w:lineRule="auto"/>
        <w:ind w:firstLineChars="200" w:firstLine="480"/>
        <w:rPr>
          <w:bCs/>
          <w:sz w:val="24"/>
        </w:rPr>
      </w:pP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71924D73" w14:textId="77777777" w:rsidR="007B7C2A" w:rsidRDefault="00072812">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14B23B94" w14:textId="77777777" w:rsidR="007B7C2A" w:rsidRDefault="000728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）本基金投资存托凭证的比例限制依照境内上市交易的股票执行，与境内上市交易的股票合并计算；</w:t>
      </w:r>
    </w:p>
    <w:p w14:paraId="14A4478D" w14:textId="77777777" w:rsidR="007B7C2A" w:rsidRDefault="00072812">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7D59BB32" w14:textId="77777777" w:rsidR="007B7C2A" w:rsidRDefault="00072812">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766F583C"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基金管理人应当自基金合同生效之日起</w:t>
      </w:r>
      <w:r>
        <w:rPr>
          <w:rFonts w:asciiTheme="minorEastAsia" w:hAnsiTheme="minorEastAsia" w:cs="Arial" w:hint="eastAsia"/>
          <w:color w:val="000000"/>
          <w:sz w:val="24"/>
          <w:szCs w:val="24"/>
        </w:rPr>
        <w:t>6</w:t>
      </w:r>
      <w:r>
        <w:rPr>
          <w:rFonts w:asciiTheme="minorEastAsia" w:hAnsiTheme="minorEastAsia" w:cs="Arial" w:hint="eastAsia"/>
          <w:color w:val="000000"/>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2898E55E"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法律法规或监管部门取消或变更上述限制，如适用于本基金，基金管理人在履行适当程序后，则本基金投资不再受相关限制或按调整后的规定执行。</w:t>
      </w:r>
    </w:p>
    <w:p w14:paraId="0CA40C76"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（三）基金托管人根据有关法律法规的规定及基金合同的约定，对本托管协议第十五条第九款基金投资禁止行为进行监督。</w:t>
      </w:r>
    </w:p>
    <w:p w14:paraId="0C7EBF05"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基金托管人通过事后监督方式对基金管理人基金投资禁止行为进行监督。</w:t>
      </w:r>
    </w:p>
    <w:p w14:paraId="7572E679"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根据法律法规有关基金从事关联交易的规定，基金管理人和基金托管人应事先相互提供与本机构有控股关系的股东、与本机构有其他重大利害关系的公司名单及有关关联</w:t>
      </w:r>
      <w:proofErr w:type="gramStart"/>
      <w:r>
        <w:rPr>
          <w:rFonts w:asciiTheme="minorEastAsia" w:hAnsiTheme="minorEastAsia" w:cs="Arial" w:hint="eastAsia"/>
          <w:color w:val="000000"/>
          <w:sz w:val="24"/>
          <w:szCs w:val="24"/>
        </w:rPr>
        <w:t>方发行</w:t>
      </w:r>
      <w:proofErr w:type="gramEnd"/>
      <w:r>
        <w:rPr>
          <w:rFonts w:asciiTheme="minorEastAsia" w:hAnsiTheme="minorEastAsia" w:cs="Arial" w:hint="eastAsia"/>
          <w:color w:val="000000"/>
          <w:sz w:val="24"/>
          <w:szCs w:val="24"/>
        </w:rPr>
        <w:t>的证券名单。基金管理人和基金托管人有责任确保关联交易名单的真实性、准确性、完整性，并负责及时将更新后的名单发送给对方。</w:t>
      </w:r>
    </w:p>
    <w:p w14:paraId="5400B0FC"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（四）基金托管人根据有关法律法规的规定及基金合同的约定，对基金管理人参与银行间债券市场进行监督。</w:t>
      </w:r>
    </w:p>
    <w:p w14:paraId="3992854B"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的，应向基金托管人说明理由，并在与交易对手发生交易前</w:t>
      </w:r>
      <w:r>
        <w:rPr>
          <w:rFonts w:asciiTheme="minorEastAsia" w:hAnsiTheme="minorEastAsia" w:cs="Arial" w:hint="eastAsia"/>
          <w:color w:val="000000"/>
          <w:sz w:val="24"/>
          <w:szCs w:val="24"/>
        </w:rPr>
        <w:t>3</w:t>
      </w:r>
      <w:r>
        <w:rPr>
          <w:rFonts w:asciiTheme="minorEastAsia" w:hAnsiTheme="minorEastAsia" w:cs="Arial" w:hint="eastAsia"/>
          <w:color w:val="000000"/>
          <w:sz w:val="24"/>
          <w:szCs w:val="24"/>
        </w:rPr>
        <w:t>个工作日内与基金托管人协商解决。</w:t>
      </w:r>
    </w:p>
    <w:p w14:paraId="45106E9B"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226FFA6A"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（五）基金托管人根据有关法律法规的规定及《基金合同》的约定，对基金管理人选择存款银行进行监督。</w:t>
      </w:r>
      <w:r>
        <w:rPr>
          <w:rFonts w:asciiTheme="minorEastAsia" w:hAnsiTheme="minorEastAsia" w:cs="Arial" w:hint="eastAsia"/>
          <w:color w:val="000000"/>
          <w:sz w:val="24"/>
          <w:szCs w:val="24"/>
        </w:rPr>
        <w:t xml:space="preserve"> </w:t>
      </w:r>
    </w:p>
    <w:p w14:paraId="3CE680A3"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r>
        <w:rPr>
          <w:rFonts w:asciiTheme="minorEastAsia" w:hAnsiTheme="minorEastAsia" w:cs="Arial" w:hint="eastAsia"/>
          <w:color w:val="000000"/>
          <w:sz w:val="24"/>
          <w:szCs w:val="24"/>
        </w:rPr>
        <w:t xml:space="preserve"> </w:t>
      </w:r>
    </w:p>
    <w:p w14:paraId="71E1B5AB"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本基金投资银行存款应符合如下规定：</w:t>
      </w:r>
      <w:r>
        <w:rPr>
          <w:rFonts w:asciiTheme="minorEastAsia" w:hAnsiTheme="minorEastAsia" w:cs="Arial" w:hint="eastAsia"/>
          <w:color w:val="000000"/>
          <w:sz w:val="24"/>
          <w:szCs w:val="24"/>
        </w:rPr>
        <w:t xml:space="preserve"> </w:t>
      </w:r>
    </w:p>
    <w:p w14:paraId="7B0353C2"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w:t>
      </w:r>
      <w:r>
        <w:rPr>
          <w:rFonts w:asciiTheme="minorEastAsia" w:hAnsiTheme="minorEastAsia" w:cs="Arial" w:hint="eastAsia"/>
          <w:color w:val="000000"/>
          <w:sz w:val="24"/>
          <w:szCs w:val="24"/>
        </w:rPr>
        <w:t>、基金管理人、基金托管人应当与存款银行建立定期对账机制，确保基金银行存款业务账目及核算的真实、准确。</w:t>
      </w:r>
    </w:p>
    <w:p w14:paraId="49B13662"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w:t>
      </w:r>
      <w:r>
        <w:rPr>
          <w:rFonts w:asciiTheme="minorEastAsia" w:hAnsiTheme="minorEastAsia" w:cs="Arial" w:hint="eastAsia"/>
          <w:color w:val="000000"/>
          <w:sz w:val="24"/>
          <w:szCs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r>
        <w:rPr>
          <w:rFonts w:asciiTheme="minorEastAsia" w:hAnsiTheme="minorEastAsia" w:cs="Arial" w:hint="eastAsia"/>
          <w:color w:val="000000"/>
          <w:sz w:val="24"/>
          <w:szCs w:val="24"/>
        </w:rPr>
        <w:t xml:space="preserve"> </w:t>
      </w:r>
    </w:p>
    <w:p w14:paraId="2E801FA6"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w:t>
      </w:r>
      <w:r>
        <w:rPr>
          <w:rFonts w:asciiTheme="minorEastAsia" w:hAnsiTheme="minorEastAsia" w:cs="Arial" w:hint="eastAsia"/>
          <w:color w:val="000000"/>
          <w:sz w:val="24"/>
          <w:szCs w:val="24"/>
        </w:rPr>
        <w:t>、基金托管人应加强对基金银行存款业务的监督与核查，严格审查、复核相关协议、账户资料、投资指令、存款证实书等有关文件，切实履行托管职责。</w:t>
      </w:r>
    </w:p>
    <w:p w14:paraId="044AF92D"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w:t>
      </w:r>
      <w:r>
        <w:rPr>
          <w:rFonts w:asciiTheme="minorEastAsia" w:hAnsiTheme="minorEastAsia" w:cs="Arial" w:hint="eastAsia"/>
          <w:color w:val="000000"/>
          <w:sz w:val="24"/>
          <w:szCs w:val="24"/>
        </w:rPr>
        <w:t>、基金管理人与基金托管人在开展基金存款业务时，应严格遵守《基金法》、《运作办法》等有关法律法规，以及国家有关账户管理、利率管理、支付结算等的各项规定。</w:t>
      </w:r>
      <w:r>
        <w:rPr>
          <w:rFonts w:asciiTheme="minorEastAsia" w:hAnsiTheme="minorEastAsia" w:cs="Arial" w:hint="eastAsia"/>
          <w:color w:val="000000"/>
          <w:sz w:val="24"/>
          <w:szCs w:val="24"/>
        </w:rPr>
        <w:t xml:space="preserve"> </w:t>
      </w:r>
      <w:r>
        <w:rPr>
          <w:rFonts w:asciiTheme="minorEastAsia" w:hAnsiTheme="minorEastAsia" w:cs="Arial" w:hint="eastAsia"/>
          <w:color w:val="000000"/>
          <w:sz w:val="24"/>
          <w:szCs w:val="24"/>
        </w:rPr>
        <w:t>基金托管人发现基金管理人在选择存款银行时有违反有关法律法规的规定及《基金合同》的约定的行为，应及时以书面形式通知基金管理人在</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个工作日内纠正。基金管理人对基金托管人通知的违规事项未能在</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个工作日内纠正的，基金托管人应报告中国证监会。基金托管人发现基金管理人有重大违规行为，应立即报告中国证监会，同时通知基金管理人在</w:t>
      </w:r>
      <w:r>
        <w:rPr>
          <w:rFonts w:asciiTheme="minorEastAsia" w:hAnsiTheme="minorEastAsia" w:cs="Arial" w:hint="eastAsia"/>
          <w:color w:val="000000"/>
          <w:sz w:val="24"/>
          <w:szCs w:val="24"/>
        </w:rPr>
        <w:t>10</w:t>
      </w:r>
      <w:r>
        <w:rPr>
          <w:rFonts w:asciiTheme="minorEastAsia" w:hAnsiTheme="minorEastAsia" w:cs="Arial" w:hint="eastAsia"/>
          <w:color w:val="000000"/>
          <w:sz w:val="24"/>
          <w:szCs w:val="24"/>
        </w:rPr>
        <w:t>个工作日内纠正或拒绝结算，</w:t>
      </w:r>
      <w:proofErr w:type="gramStart"/>
      <w:r>
        <w:rPr>
          <w:rFonts w:asciiTheme="minorEastAsia" w:hAnsiTheme="minorEastAsia" w:cs="Arial" w:hint="eastAsia"/>
          <w:color w:val="000000"/>
          <w:sz w:val="24"/>
          <w:szCs w:val="24"/>
        </w:rPr>
        <w:t>若基金</w:t>
      </w:r>
      <w:proofErr w:type="gramEnd"/>
      <w:r>
        <w:rPr>
          <w:rFonts w:asciiTheme="minorEastAsia" w:hAnsiTheme="minorEastAsia" w:cs="Arial" w:hint="eastAsia"/>
          <w:color w:val="000000"/>
          <w:sz w:val="24"/>
          <w:szCs w:val="24"/>
        </w:rPr>
        <w:t>管理人拒不执行造成基金财产的损失，基金托管人不承担任何责任。</w:t>
      </w:r>
    </w:p>
    <w:p w14:paraId="4B45ECF8"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（六）基金托管人根据有关法律法规的规定及基金合同的约定，对基金投资流通受限证券进行监督。</w:t>
      </w:r>
    </w:p>
    <w:p w14:paraId="54A0B3B8"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1</w:t>
      </w:r>
      <w:r>
        <w:rPr>
          <w:rFonts w:asciiTheme="minorEastAsia" w:hAnsiTheme="minorEastAsia" w:cs="Arial" w:hint="eastAsia"/>
          <w:color w:val="000000"/>
          <w:sz w:val="24"/>
          <w:szCs w:val="24"/>
        </w:rPr>
        <w:t>．基金投资流通受限证券，应遵守《关于基金投资非公开发行股票等流通受限证券有关问题的通知》等有关法律法规规定。</w:t>
      </w:r>
    </w:p>
    <w:p w14:paraId="341B7A94"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2</w:t>
      </w:r>
      <w:r>
        <w:rPr>
          <w:rFonts w:asciiTheme="minorEastAsia" w:hAnsiTheme="minorEastAsia" w:cs="Arial" w:hint="eastAsia"/>
          <w:color w:val="000000"/>
          <w:sz w:val="24"/>
          <w:szCs w:val="24"/>
        </w:rPr>
        <w:t>．流通受限证券，包括由《上市公司证券发行管理办法》规范的非公开发行股票、公开发行股票网下配售部分等在发行时明确一定期限锁定期的可交易证券</w:t>
      </w:r>
      <w:r>
        <w:rPr>
          <w:rFonts w:asciiTheme="minorEastAsia" w:hAnsiTheme="minorEastAsia" w:cs="Arial" w:hint="eastAsia"/>
          <w:color w:val="000000"/>
          <w:sz w:val="24"/>
          <w:szCs w:val="24"/>
        </w:rPr>
        <w:t>,</w:t>
      </w:r>
      <w:r>
        <w:rPr>
          <w:rFonts w:asciiTheme="minorEastAsia" w:hAnsiTheme="minorEastAsia" w:cs="Arial" w:hint="eastAsia"/>
          <w:color w:val="000000"/>
          <w:sz w:val="24"/>
          <w:szCs w:val="24"/>
        </w:rPr>
        <w:t>不包括由于发布重大消息或其他原因而临时停牌的证券、已发行未上市证券、回购交易中的质押</w:t>
      </w:r>
      <w:proofErr w:type="gramStart"/>
      <w:r>
        <w:rPr>
          <w:rFonts w:asciiTheme="minorEastAsia" w:hAnsiTheme="minorEastAsia" w:cs="Arial" w:hint="eastAsia"/>
          <w:color w:val="000000"/>
          <w:sz w:val="24"/>
          <w:szCs w:val="24"/>
        </w:rPr>
        <w:t>券</w:t>
      </w:r>
      <w:proofErr w:type="gramEnd"/>
      <w:r>
        <w:rPr>
          <w:rFonts w:asciiTheme="minorEastAsia" w:hAnsiTheme="minorEastAsia" w:cs="Arial" w:hint="eastAsia"/>
          <w:color w:val="000000"/>
          <w:sz w:val="24"/>
          <w:szCs w:val="24"/>
        </w:rPr>
        <w:t>等流通受限证券。</w:t>
      </w:r>
    </w:p>
    <w:p w14:paraId="1D3A465A"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3</w:t>
      </w:r>
      <w:r>
        <w:rPr>
          <w:rFonts w:asciiTheme="minorEastAsia" w:hAnsiTheme="minorEastAsia" w:cs="Arial" w:hint="eastAsia"/>
          <w:color w:val="000000"/>
          <w:sz w:val="24"/>
          <w:szCs w:val="24"/>
        </w:rPr>
        <w:t>．在首次投资流通受限证券之前，基金管理人应当制定相关投资决策流程、风险控制等规章制度。基金管理人应当根据基金的投资风格和流动性的需要合理安排流通受限证券的投资比例，并在相关制度中明确具体比例，避免基金出现流动性风险。基金投资非公开发行股票，基金管理人还应提供流动性风险处置预案。上述资料应包括但不限于基金投资流通受限证券的投资额度和投资比例控制情况。</w:t>
      </w:r>
    </w:p>
    <w:p w14:paraId="5FA9A237"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上述规章制度须经基金管理人董事会批准。上述规章制度经董事会通过之后，基金管理人应至少</w:t>
      </w:r>
      <w:proofErr w:type="gramStart"/>
      <w:r>
        <w:rPr>
          <w:rFonts w:asciiTheme="minorEastAsia" w:hAnsiTheme="minorEastAsia" w:cs="Arial" w:hint="eastAsia"/>
          <w:color w:val="000000"/>
          <w:sz w:val="24"/>
          <w:szCs w:val="24"/>
        </w:rPr>
        <w:t>于首次</w:t>
      </w:r>
      <w:proofErr w:type="gramEnd"/>
      <w:r>
        <w:rPr>
          <w:rFonts w:asciiTheme="minorEastAsia" w:hAnsiTheme="minorEastAsia" w:cs="Arial" w:hint="eastAsia"/>
          <w:color w:val="000000"/>
          <w:sz w:val="24"/>
          <w:szCs w:val="24"/>
        </w:rPr>
        <w:t>投资流通受限证券之前两个工作日将上述资料书面发至基金托管人，保证基金托管人有足够的时间进行审核。</w:t>
      </w:r>
    </w:p>
    <w:p w14:paraId="09C108AD"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4</w:t>
      </w:r>
      <w:r>
        <w:rPr>
          <w:rFonts w:asciiTheme="minorEastAsia" w:hAnsiTheme="minorEastAsia" w:cs="Arial" w:hint="eastAsia"/>
          <w:color w:val="000000"/>
          <w:sz w:val="24"/>
          <w:szCs w:val="24"/>
        </w:rPr>
        <w:t>．在投资流通受限证券之前，基金管理人应按约定时间向基金托管人提供符合法律法规要求的有关流通受限证券的信息，具体应当包括但不限于如下文件（如有）：拟发行证券主体的中国证监会批准文件、拟发行数量、定价依据、锁定期、基金拟认购的数量、价格、总成本、总成本占基金资产净值的比例、已持有流通受限证券市值占基金资产净值的比例、划款账号、划款金额、划款时间文件等。基金管理人应保证上述信息的真实、完整。</w:t>
      </w:r>
    </w:p>
    <w:p w14:paraId="4D768F84"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5.</w:t>
      </w:r>
      <w:r>
        <w:rPr>
          <w:rFonts w:asciiTheme="minorEastAsia" w:hAnsiTheme="minorEastAsia" w:cs="Arial" w:hint="eastAsia"/>
          <w:color w:val="000000"/>
          <w:sz w:val="24"/>
          <w:szCs w:val="24"/>
        </w:rPr>
        <w:t>基金投资流通受限证券，基金管理人应根据本协议的规定与基金托管银行签订风险控制补充协议。协议应包括基金托管人对于基金管理人是否遵守相关制度、流动</w:t>
      </w:r>
      <w:proofErr w:type="gramStart"/>
      <w:r>
        <w:rPr>
          <w:rFonts w:asciiTheme="minorEastAsia" w:hAnsiTheme="minorEastAsia" w:cs="Arial" w:hint="eastAsia"/>
          <w:color w:val="000000"/>
          <w:sz w:val="24"/>
          <w:szCs w:val="24"/>
        </w:rPr>
        <w:t>型风险</w:t>
      </w:r>
      <w:proofErr w:type="gramEnd"/>
      <w:r>
        <w:rPr>
          <w:rFonts w:asciiTheme="minorEastAsia" w:hAnsiTheme="minorEastAsia" w:cs="Arial" w:hint="eastAsia"/>
          <w:color w:val="000000"/>
          <w:sz w:val="24"/>
          <w:szCs w:val="24"/>
        </w:rPr>
        <w:t>处置预案以及相关投资额度和比例的情况进行监督等内容。</w:t>
      </w:r>
    </w:p>
    <w:p w14:paraId="586C9D68"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6</w:t>
      </w:r>
      <w:r>
        <w:rPr>
          <w:rFonts w:asciiTheme="minorEastAsia" w:hAnsiTheme="minorEastAsia" w:cs="Arial" w:hint="eastAsia"/>
          <w:color w:val="000000"/>
          <w:sz w:val="24"/>
          <w:szCs w:val="24"/>
        </w:rPr>
        <w:t>．基金管理人应在基金投资非公开发行股票后两个交易日内，在中国证监会指定媒介披露所投资非公开发行股票的名称、数量、总成本、账面价值，以及总成本和账面价值占基金资产净值的比例、锁定期等信息。</w:t>
      </w:r>
    </w:p>
    <w:p w14:paraId="59DF928B"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7</w:t>
      </w:r>
      <w:r>
        <w:rPr>
          <w:rFonts w:asciiTheme="minorEastAsia" w:hAnsiTheme="minorEastAsia" w:cs="Arial" w:hint="eastAsia"/>
          <w:color w:val="000000"/>
          <w:sz w:val="24"/>
          <w:szCs w:val="24"/>
        </w:rPr>
        <w:t>．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7105D0AF"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如基金管理人和基金托管人无法达成一致，应及时上报中国证监会请求解决。</w:t>
      </w:r>
    </w:p>
    <w:p w14:paraId="0723C2E3"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1F834F1"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（八）基金托管人发现基金管理人的上述事项及投资指令或实际投资运作违反法律法规、基金合同和本托管协议的规定，应及时以电话提醒或书面提示等方式通知基金管理人限期纠正。</w:t>
      </w:r>
    </w:p>
    <w:p w14:paraId="2A13B70D"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应积极配合和协助基金托管人的监督和核查。基金管理人收到书面通知后应在两个工作日内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1623BBA"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（九）基金管理人有义务配合和协助基金托管人依照法律法规、基金合同和本托管协议对基金业务执行核查。</w:t>
      </w:r>
    </w:p>
    <w:p w14:paraId="409A1C6C"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3412A81"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（十）</w:t>
      </w:r>
      <w:proofErr w:type="gramStart"/>
      <w:r>
        <w:rPr>
          <w:rFonts w:asciiTheme="minorEastAsia" w:hAnsiTheme="minorEastAsia" w:cs="Arial" w:hint="eastAsia"/>
          <w:color w:val="000000"/>
          <w:sz w:val="24"/>
          <w:szCs w:val="24"/>
        </w:rPr>
        <w:t>若基金</w:t>
      </w:r>
      <w:proofErr w:type="gramEnd"/>
      <w:r>
        <w:rPr>
          <w:rFonts w:asciiTheme="minorEastAsia" w:hAnsiTheme="minorEastAsia" w:cs="Arial" w:hint="eastAsia"/>
          <w:color w:val="000000"/>
          <w:sz w:val="24"/>
          <w:szCs w:val="24"/>
        </w:rPr>
        <w:t>托管人发现基金管理人依据交易程序已经生效的指令违反法律、行政法规和其他有关规定，或者违反基金合同约定的，应当立即通知基金管理人。</w:t>
      </w:r>
    </w:p>
    <w:p w14:paraId="26089DD0"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（十一）基金托管人发现基金管理人有重大违规行为，应及时报告中国证监会，同时通知基金管理人限期纠正，并将纠正结果报告中国证监会。</w:t>
      </w:r>
    </w:p>
    <w:p w14:paraId="339AED49" w14:textId="77777777" w:rsidR="007B7C2A" w:rsidRDefault="00072812">
      <w:pPr>
        <w:adjustRightInd w:val="0"/>
        <w:snapToGrid w:val="0"/>
        <w:spacing w:line="360" w:lineRule="auto"/>
        <w:ind w:firstLineChars="200" w:firstLine="480"/>
        <w:rPr>
          <w:rFonts w:asciiTheme="minorEastAsia" w:hAnsiTheme="minorEastAsia" w:cs="Arial" w:hint="eastAsia"/>
          <w:color w:val="000000"/>
          <w:sz w:val="24"/>
          <w:szCs w:val="24"/>
        </w:rPr>
      </w:pPr>
      <w:r>
        <w:rPr>
          <w:rFonts w:asciiTheme="minorEastAsia" w:hAnsiTheme="minorEastAsia" w:cs="Arial" w:hint="eastAsia"/>
          <w:color w:val="000000"/>
          <w:sz w:val="24"/>
          <w:szCs w:val="24"/>
        </w:rPr>
        <w:t>基金管理人无正当理由，拒绝、阻挠对方根据本托管协议规定行使监督权，或采取拖延、欺诈等手段妨碍对方进行有效监督，情节严重或经基金托管人提出警告仍不改正的，基金托管人应报告中国证监会。</w:t>
      </w:r>
    </w:p>
    <w:p w14:paraId="598DD040" w14:textId="77777777" w:rsidR="007B7C2A" w:rsidRDefault="00072812">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三、基金管理人对基金托管人的业务核查</w:t>
      </w:r>
    </w:p>
    <w:p w14:paraId="307B1313"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管理人对基金托管人履行托管职责情况进行核查，核查事项包括基金托管人安全保管基金财产、开设基金财产的资金账户、证券账户、期货账户等投资所需账户、复核基金管理人计算的基金资产净值和基金份额净值、根据基金管理人指令办理清算交收、相关信息披露和监督基金投资运作等行为。</w:t>
      </w:r>
    </w:p>
    <w:p w14:paraId="7C9781F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p>
    <w:p w14:paraId="5B62A8B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Theme="minorEastAsia" w:hAnsiTheme="minorEastAsia" w:cs="Arial" w:hint="eastAsia"/>
          <w:sz w:val="24"/>
          <w:szCs w:val="24"/>
        </w:rPr>
        <w:t>供基金</w:t>
      </w:r>
      <w:proofErr w:type="gramEnd"/>
      <w:r>
        <w:rPr>
          <w:rFonts w:asciiTheme="minorEastAsia" w:hAnsiTheme="minorEastAsia" w:cs="Arial" w:hint="eastAsia"/>
          <w:sz w:val="24"/>
          <w:szCs w:val="24"/>
        </w:rPr>
        <w:t>管理人核查托管财产的完整性和真实性，在规定时间内答复基金管理人并改正。</w:t>
      </w:r>
    </w:p>
    <w:p w14:paraId="72EE69C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（三）基金管理人发现基金托管人有重大违规行为，应及时报告中国证监会，同时通知基金托管人限期纠正，并将纠正结果报告中国证监会。</w:t>
      </w:r>
    </w:p>
    <w:p w14:paraId="3F5D3BE8"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基金托管人无正当理由，拒绝、阻挠对方根据本协议规定行使监督权，或采取拖延、欺诈等手段妨碍对方进行有效监督，情节严重或经基金管理人提出警告仍不改正的，基金管理人应报告中国证监会。</w:t>
      </w:r>
    </w:p>
    <w:p w14:paraId="76CFFEBB" w14:textId="77777777" w:rsidR="007B7C2A" w:rsidRDefault="00072812">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四、基金财产的保管</w:t>
      </w:r>
    </w:p>
    <w:p w14:paraId="246C48C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（一）基金财产保管的原则</w:t>
      </w:r>
    </w:p>
    <w:p w14:paraId="6930525B"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．基金财产应独立于基金管理人、基金托管人的固有财产；</w:t>
      </w:r>
    </w:p>
    <w:p w14:paraId="7DD44E03"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．基金托管人应安全保管基金财产；</w:t>
      </w:r>
    </w:p>
    <w:p w14:paraId="54C1CAF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．基金托管人按照规定开设基金财产的资金账户、证券账户和期货账户等投资所需账户；</w:t>
      </w:r>
    </w:p>
    <w:p w14:paraId="29935126"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w:t>
      </w:r>
      <w:r>
        <w:rPr>
          <w:rFonts w:asciiTheme="minorEastAsia" w:hAnsiTheme="minorEastAsia" w:cs="Arial" w:hint="eastAsia"/>
          <w:sz w:val="24"/>
          <w:szCs w:val="24"/>
        </w:rPr>
        <w:t>．基金托管人对所托管的不同基金财产分别设置账户，确保基金财产的完整与独立；</w:t>
      </w:r>
      <w:r>
        <w:rPr>
          <w:rFonts w:asciiTheme="minorEastAsia" w:hAnsiTheme="minorEastAsia" w:cs="Arial" w:hint="eastAsia"/>
          <w:sz w:val="24"/>
          <w:szCs w:val="24"/>
        </w:rPr>
        <w:t xml:space="preserve"> </w:t>
      </w:r>
    </w:p>
    <w:p w14:paraId="139CF13B"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w:t>
      </w:r>
      <w:r>
        <w:rPr>
          <w:rFonts w:asciiTheme="minorEastAsia" w:hAnsiTheme="minorEastAsia" w:cs="Arial" w:hint="eastAsia"/>
          <w:sz w:val="24"/>
          <w:szCs w:val="24"/>
        </w:rPr>
        <w:t>．基金托管人根据基金管理人的指令，按照基金合同和本协议的约定保管基金财产，如有特殊情况双方可另行协商解决；</w:t>
      </w:r>
    </w:p>
    <w:p w14:paraId="06DF106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6</w:t>
      </w:r>
      <w:r>
        <w:rPr>
          <w:rFonts w:asciiTheme="minorEastAsia" w:hAnsiTheme="minorEastAsia" w:cs="Arial" w:hint="eastAsia"/>
          <w:sz w:val="24"/>
          <w:szCs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685A44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7</w:t>
      </w:r>
      <w:r>
        <w:rPr>
          <w:rFonts w:asciiTheme="minorEastAsia" w:hAnsiTheme="minorEastAsia" w:cs="Arial" w:hint="eastAsia"/>
          <w:sz w:val="24"/>
          <w:szCs w:val="24"/>
        </w:rPr>
        <w:t>．除依据法律法规和基金合同的规定外，基金托管人不得委托第三人托管基金财产。</w:t>
      </w:r>
    </w:p>
    <w:p w14:paraId="3FFAFAC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（二）基金募集期间及募集资金的验资</w:t>
      </w:r>
    </w:p>
    <w:p w14:paraId="1A7266E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．基金募集期间募集的资金应存于基金募集专户，该账户由基金管理人开立并管理。</w:t>
      </w:r>
    </w:p>
    <w:p w14:paraId="31E17206"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基金募集期满或基金停止募集时，募集的基金份额总额、基金募集金额、基金份额持有人人数符合《基金法》、《运作办法》等有关规定后，基金管理人应将属于基金财产的全部资金划入基金托管人开立的基金托管专户，同时在规定时间内，聘请具有从事证券相关业务资格的会计师事务所进行验资，出具验资报告。出具的验资报告由参加验资的</w:t>
      </w:r>
      <w:r>
        <w:rPr>
          <w:rFonts w:asciiTheme="minorEastAsia" w:hAnsiTheme="minorEastAsia" w:cs="Arial" w:hint="eastAsia"/>
          <w:sz w:val="24"/>
          <w:szCs w:val="24"/>
        </w:rPr>
        <w:t>2</w:t>
      </w:r>
      <w:r>
        <w:rPr>
          <w:rFonts w:asciiTheme="minorEastAsia" w:hAnsiTheme="minorEastAsia" w:cs="Arial" w:hint="eastAsia"/>
          <w:sz w:val="24"/>
          <w:szCs w:val="24"/>
        </w:rPr>
        <w:t>名或</w:t>
      </w:r>
      <w:r>
        <w:rPr>
          <w:rFonts w:asciiTheme="minorEastAsia" w:hAnsiTheme="minorEastAsia" w:cs="Arial" w:hint="eastAsia"/>
          <w:sz w:val="24"/>
          <w:szCs w:val="24"/>
        </w:rPr>
        <w:t>2</w:t>
      </w:r>
      <w:r>
        <w:rPr>
          <w:rFonts w:asciiTheme="minorEastAsia" w:hAnsiTheme="minorEastAsia" w:cs="Arial" w:hint="eastAsia"/>
          <w:sz w:val="24"/>
          <w:szCs w:val="24"/>
        </w:rPr>
        <w:t>名以上中国注册会计师签字方为有效。</w:t>
      </w:r>
    </w:p>
    <w:p w14:paraId="30E01112"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w:t>
      </w:r>
      <w:proofErr w:type="gramStart"/>
      <w:r>
        <w:rPr>
          <w:rFonts w:asciiTheme="minorEastAsia" w:hAnsiTheme="minorEastAsia" w:cs="Arial" w:hint="eastAsia"/>
          <w:sz w:val="24"/>
          <w:szCs w:val="24"/>
        </w:rPr>
        <w:t>若基金</w:t>
      </w:r>
      <w:proofErr w:type="gramEnd"/>
      <w:r>
        <w:rPr>
          <w:rFonts w:asciiTheme="minorEastAsia" w:hAnsiTheme="minorEastAsia" w:cs="Arial" w:hint="eastAsia"/>
          <w:sz w:val="24"/>
          <w:szCs w:val="24"/>
        </w:rPr>
        <w:t>募集期限届满，未能达到基金合同生效的条件，由基金管理人按规定办理退款等事宜。</w:t>
      </w:r>
    </w:p>
    <w:p w14:paraId="1EFB9E8E"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（三）基金托管专户的开立和管理</w:t>
      </w:r>
    </w:p>
    <w:p w14:paraId="35FE7E36"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基金托管人以本基金的名义在其营业机构开设基金托管专户，保管基金的银行存款。本基金的一切货币收支活动，包括但不限于投资、支付赎回金额、支付基金收益、收取申购款，均需通过基金托管专户进行。基金管理人授权基金托管人办理托管专户的开立、销户、变更工作，本基金托管账户无需预留印鉴，具体按基金托管人要求办理。</w:t>
      </w:r>
    </w:p>
    <w:p w14:paraId="7F3CA22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．基金托管专户的开立和使用，限于满足开展本基金业务的需要。基金托管人和基金管理人不得假借本基金的名义开立任何其他银行账户；亦不得使用基金的任何账户进行本基金业务以外的活动。</w:t>
      </w:r>
    </w:p>
    <w:p w14:paraId="542679E7"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．基金托管专户的开立和管理应符合有关法律法规以及银行业监督管理机构的其他有关规定。</w:t>
      </w:r>
    </w:p>
    <w:p w14:paraId="631F7FF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（四）基金证券账户和结算备付金账户的开立和管理</w:t>
      </w:r>
    </w:p>
    <w:p w14:paraId="4A7BFF0A"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．基金托管人在中国证券登记结算有限责任公司上海分公司、深圳分公司为基金开立基金托管人与本基金联名的证券账户。</w:t>
      </w:r>
    </w:p>
    <w:p w14:paraId="11F40F35"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．基金证券账户的开立和使用，仅限于满足开展本基金业务的需要。基金托管人和基金管理人不得出借或转让基金的任何证券账户，亦不得使用基金的任何账户进行本基金业务以外的活动。</w:t>
      </w:r>
    </w:p>
    <w:p w14:paraId="5AF81F4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．基金证券账户的开立和证券账户卡的保管由基金托管人负责，账户资产的管理和运用由基金管理人负责。</w:t>
      </w:r>
    </w:p>
    <w:p w14:paraId="7BD5858A"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4</w:t>
      </w:r>
      <w:r>
        <w:rPr>
          <w:rFonts w:asciiTheme="minorEastAsia" w:hAnsiTheme="minorEastAsia" w:cs="Arial" w:hint="eastAsia"/>
          <w:sz w:val="24"/>
          <w:szCs w:val="24"/>
        </w:rPr>
        <w:t>．基金托管人以基金托管人的名义在中国证券登记结算有限责任公司上海分公司、深圳分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497104A8"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5</w:t>
      </w:r>
      <w:r>
        <w:rPr>
          <w:rFonts w:asciiTheme="minorEastAsia" w:hAnsiTheme="minorEastAsia" w:cs="Arial" w:hint="eastAsia"/>
          <w:sz w:val="24"/>
          <w:szCs w:val="24"/>
        </w:rPr>
        <w:t>．若中国证监会或其他监管机构在本托管协议订立日之后允许基金从事其他投资品种的投资业务，涉及相关账户的开立、使用的，若无相关规定，</w:t>
      </w:r>
      <w:proofErr w:type="gramStart"/>
      <w:r>
        <w:rPr>
          <w:rFonts w:asciiTheme="minorEastAsia" w:hAnsiTheme="minorEastAsia" w:cs="Arial" w:hint="eastAsia"/>
          <w:sz w:val="24"/>
          <w:szCs w:val="24"/>
        </w:rPr>
        <w:t>则基金</w:t>
      </w:r>
      <w:proofErr w:type="gramEnd"/>
      <w:r>
        <w:rPr>
          <w:rFonts w:asciiTheme="minorEastAsia" w:hAnsiTheme="minorEastAsia" w:cs="Arial" w:hint="eastAsia"/>
          <w:sz w:val="24"/>
          <w:szCs w:val="24"/>
        </w:rPr>
        <w:t>托管人比照上述关于账户开立、使用的规定执行。</w:t>
      </w:r>
    </w:p>
    <w:p w14:paraId="0FCC6EE3"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（五）银行间债券托管专户的开设和管理</w:t>
      </w:r>
    </w:p>
    <w:p w14:paraId="30C6A36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合同生效后，基金管理人负责以本基金的名义申请并取得进入全国银行间同业拆借市场的交易资格，并代表基金进行交易；基金托管人负责以本基金的名义在中央国债登记结算有限责任公司和银行间市场清算所股份有限公司开设银行间债券市场债券托管账户，并代表基金进行银行间市场债券的结算。基金管理人和基金托管人共同代表基金签订全国银行间债券市场债券回购主协议，基金管理人保管协议正本，基金托管人保存协议副本。</w:t>
      </w:r>
    </w:p>
    <w:p w14:paraId="4F767A75"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（六）其他账户的开立和管理</w:t>
      </w:r>
    </w:p>
    <w:p w14:paraId="0F44B98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5A8DBCB7"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（七）基金财产投资的有关有价凭证等的保管</w:t>
      </w:r>
    </w:p>
    <w:p w14:paraId="0A8DA86D"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基金财产投资的有关实物证券等有价凭证由基金托管人存放于基金托管人的保管库，也可存入中央国债登记结算有限责任公司、中国证券登记结算有限责任公司上海分公司</w:t>
      </w:r>
      <w:r>
        <w:rPr>
          <w:rFonts w:asciiTheme="minorEastAsia" w:hAnsiTheme="minorEastAsia" w:cs="Arial" w:hint="eastAsia"/>
          <w:sz w:val="24"/>
          <w:szCs w:val="24"/>
        </w:rPr>
        <w:t>/</w:t>
      </w:r>
      <w:r>
        <w:rPr>
          <w:rFonts w:asciiTheme="minorEastAsia" w:hAnsiTheme="minorEastAsia" w:cs="Arial" w:hint="eastAsia"/>
          <w:sz w:val="24"/>
          <w:szCs w:val="24"/>
        </w:rPr>
        <w:t>深圳分公司或票据营业中心的代保管库，保管凭证由基金托管人持有。实物证券等有价凭证的购买和转让，由基金管理人和基金托管人共同办理。基金托管人对由基金托管人以外机构实际有效控制的证券不承担保管责任。</w:t>
      </w:r>
    </w:p>
    <w:p w14:paraId="77831F4F"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（八）与基金财产有关的重大合同的保管</w:t>
      </w:r>
    </w:p>
    <w:p w14:paraId="7C54FF0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基金管理人应保证基金管理人和基金托管人至少各持有一份正本的原件。基金管理人应在重大合同签署后及时将重大合同传真给基金托管人，并在</w:t>
      </w:r>
      <w:r>
        <w:rPr>
          <w:rFonts w:asciiTheme="minorEastAsia" w:hAnsiTheme="minorEastAsia" w:cs="Arial" w:hint="eastAsia"/>
          <w:sz w:val="24"/>
          <w:szCs w:val="24"/>
        </w:rPr>
        <w:t>30</w:t>
      </w:r>
      <w:r>
        <w:rPr>
          <w:rFonts w:asciiTheme="minorEastAsia" w:hAnsiTheme="minorEastAsia" w:cs="Arial" w:hint="eastAsia"/>
          <w:sz w:val="24"/>
          <w:szCs w:val="24"/>
        </w:rPr>
        <w:t>个工作日内将正本送达基金托管人处。重大合同的保管期限为基金合同终止后</w:t>
      </w:r>
      <w:r>
        <w:rPr>
          <w:rFonts w:asciiTheme="minorEastAsia" w:hAnsiTheme="minorEastAsia" w:cs="Arial" w:hint="eastAsia"/>
          <w:sz w:val="24"/>
          <w:szCs w:val="24"/>
        </w:rPr>
        <w:t>15</w:t>
      </w:r>
      <w:r>
        <w:rPr>
          <w:rFonts w:asciiTheme="minorEastAsia" w:hAnsiTheme="minorEastAsia" w:cs="Arial" w:hint="eastAsia"/>
          <w:sz w:val="24"/>
          <w:szCs w:val="24"/>
        </w:rPr>
        <w:t>年。</w:t>
      </w:r>
    </w:p>
    <w:p w14:paraId="63C79304" w14:textId="77777777" w:rsidR="007B7C2A" w:rsidRDefault="00072812">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五、基金资产净值计算、估值和会计核算</w:t>
      </w:r>
    </w:p>
    <w:p w14:paraId="7A5FEF92"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（一）基金资产净值的计算、复核与完成的时间及程序</w:t>
      </w:r>
    </w:p>
    <w:p w14:paraId="4D769C30"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．基金资产净值</w:t>
      </w:r>
    </w:p>
    <w:p w14:paraId="5A52C9D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基金资产净值是指基金资产总值减去负债后的金额。</w:t>
      </w:r>
    </w:p>
    <w:p w14:paraId="3516D065"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基金份额净值是指基金资产净值除以基金份额总数，基金份额净值的计算，精确到</w:t>
      </w:r>
      <w:r>
        <w:rPr>
          <w:rFonts w:asciiTheme="minorEastAsia" w:hAnsiTheme="minorEastAsia" w:cs="Arial" w:hint="eastAsia"/>
          <w:sz w:val="24"/>
          <w:szCs w:val="24"/>
        </w:rPr>
        <w:t>0.0001</w:t>
      </w:r>
      <w:r>
        <w:rPr>
          <w:rFonts w:asciiTheme="minorEastAsia" w:hAnsiTheme="minorEastAsia" w:cs="Arial" w:hint="eastAsia"/>
          <w:sz w:val="24"/>
          <w:szCs w:val="24"/>
        </w:rPr>
        <w:t>元，小数点后第</w:t>
      </w:r>
      <w:r>
        <w:rPr>
          <w:rFonts w:asciiTheme="minorEastAsia" w:hAnsiTheme="minorEastAsia" w:cs="Arial" w:hint="eastAsia"/>
          <w:sz w:val="24"/>
          <w:szCs w:val="24"/>
        </w:rPr>
        <w:t>5</w:t>
      </w:r>
      <w:r>
        <w:rPr>
          <w:rFonts w:asciiTheme="minorEastAsia" w:hAnsiTheme="minorEastAsia" w:cs="Arial" w:hint="eastAsia"/>
          <w:sz w:val="24"/>
          <w:szCs w:val="24"/>
        </w:rPr>
        <w:t>位四舍五入，国家另有规定的，从其规定。</w:t>
      </w:r>
    </w:p>
    <w:p w14:paraId="47457381"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基金管理人每个工作日计算基金资产净值及基金份额净值，经基金托管人复核，按规定公告。</w:t>
      </w:r>
    </w:p>
    <w:p w14:paraId="4E6CFA46"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．复核程序</w:t>
      </w:r>
    </w:p>
    <w:p w14:paraId="45CA242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基金管理人每工作日对基金资产进行估值后，将基金份额净值结果发送基金托管人，经基金托管人复核无误后，由基金管理人对外公布。</w:t>
      </w:r>
    </w:p>
    <w:p w14:paraId="76DA9688"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3</w:t>
      </w:r>
      <w:r>
        <w:rPr>
          <w:rFonts w:asciiTheme="minorEastAsia" w:hAnsiTheme="minorEastAsia" w:cs="Arial"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3ACDC47C"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（二）基金会计核算</w:t>
      </w:r>
    </w:p>
    <w:p w14:paraId="02F7A43D"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1</w:t>
      </w:r>
      <w:r>
        <w:rPr>
          <w:rFonts w:asciiTheme="minorEastAsia" w:hAnsiTheme="minorEastAsia" w:cs="Arial" w:hint="eastAsia"/>
          <w:sz w:val="24"/>
          <w:szCs w:val="24"/>
        </w:rPr>
        <w:t>、基金账册的建立</w:t>
      </w:r>
    </w:p>
    <w:p w14:paraId="71646DCE"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基金管理人进行基金会计核算并编制基金财务会计报告。基金管理人、基金托管人独立地设置、记录和保管本基金的全套账册。</w:t>
      </w:r>
      <w:proofErr w:type="gramStart"/>
      <w:r>
        <w:rPr>
          <w:rFonts w:asciiTheme="minorEastAsia" w:hAnsiTheme="minorEastAsia" w:cs="Arial" w:hint="eastAsia"/>
          <w:sz w:val="24"/>
          <w:szCs w:val="24"/>
        </w:rPr>
        <w:t>若基金</w:t>
      </w:r>
      <w:proofErr w:type="gramEnd"/>
      <w:r>
        <w:rPr>
          <w:rFonts w:asciiTheme="minorEastAsia" w:hAnsiTheme="minorEastAsia"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14:paraId="34D57A24"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2</w:t>
      </w:r>
      <w:r>
        <w:rPr>
          <w:rFonts w:asciiTheme="minorEastAsia" w:hAnsiTheme="minorEastAsia" w:cs="Arial" w:hint="eastAsia"/>
          <w:sz w:val="24"/>
          <w:szCs w:val="24"/>
        </w:rPr>
        <w:t>、基金财务报表和定期报告的编制和复核</w:t>
      </w:r>
    </w:p>
    <w:p w14:paraId="7CBB7CAF"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基金管理人应当在每月结束后</w:t>
      </w:r>
      <w:r>
        <w:rPr>
          <w:rFonts w:asciiTheme="minorEastAsia" w:hAnsiTheme="minorEastAsia" w:cs="Arial" w:hint="eastAsia"/>
          <w:sz w:val="24"/>
          <w:szCs w:val="24"/>
        </w:rPr>
        <w:t>5</w:t>
      </w:r>
      <w:r>
        <w:rPr>
          <w:rFonts w:asciiTheme="minorEastAsia" w:hAnsiTheme="minorEastAsia" w:cs="Arial" w:hint="eastAsia"/>
          <w:sz w:val="24"/>
          <w:szCs w:val="24"/>
        </w:rPr>
        <w:t>个工作日内完成月度报表的编制；在每个季度结束之日起</w:t>
      </w:r>
      <w:r>
        <w:rPr>
          <w:rFonts w:asciiTheme="minorEastAsia" w:hAnsiTheme="minorEastAsia" w:cs="Arial" w:hint="eastAsia"/>
          <w:sz w:val="24"/>
          <w:szCs w:val="24"/>
        </w:rPr>
        <w:t>15</w:t>
      </w:r>
      <w:r>
        <w:rPr>
          <w:rFonts w:asciiTheme="minorEastAsia" w:hAnsiTheme="minorEastAsia" w:cs="Arial" w:hint="eastAsia"/>
          <w:sz w:val="24"/>
          <w:szCs w:val="24"/>
        </w:rPr>
        <w:t>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14:paraId="3FAB3BF6"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72825E9"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基金管理人应留足充分的时间，便于基金托管人复核相关报表及报告。</w:t>
      </w:r>
    </w:p>
    <w:p w14:paraId="4A431171" w14:textId="77777777" w:rsidR="007B7C2A" w:rsidRDefault="00072812">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六、基金份额持有人名册的保管</w:t>
      </w:r>
    </w:p>
    <w:p w14:paraId="0A0105EE"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管方式可以采用电子或文档的形式，保存期不少于</w:t>
      </w:r>
      <w:r>
        <w:rPr>
          <w:rFonts w:asciiTheme="minorEastAsia" w:hAnsiTheme="minorEastAsia" w:cs="Arial" w:hint="eastAsia"/>
          <w:sz w:val="24"/>
          <w:szCs w:val="24"/>
        </w:rPr>
        <w:t>15</w:t>
      </w:r>
      <w:r>
        <w:rPr>
          <w:rFonts w:asciiTheme="minorEastAsia" w:hAnsiTheme="minorEastAsia" w:cs="Arial" w:hint="eastAsia"/>
          <w:sz w:val="24"/>
          <w:szCs w:val="24"/>
        </w:rPr>
        <w:t>年。如不能妥善保管，则按相关法规承担责任。</w:t>
      </w:r>
    </w:p>
    <w:p w14:paraId="644D21D3" w14:textId="77777777" w:rsidR="007B7C2A" w:rsidRDefault="00072812">
      <w:pPr>
        <w:adjustRightInd w:val="0"/>
        <w:snapToGrid w:val="0"/>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7E17757D" w14:textId="77777777" w:rsidR="007B7C2A" w:rsidRDefault="00072812">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七、争议解决方式</w:t>
      </w:r>
    </w:p>
    <w:p w14:paraId="65033471"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因本协议产生或与之相关的争议，双方当事人应通过协商、调解解决，协商、调解不能解决的，任何一方均有权将争议提交华南国际经济贸易仲裁委员会，仲裁地点为深圳市，按照华南国际经济贸易仲裁委员会届时有效的仲裁规则进行仲裁。仲裁裁决是终局的，对当事人均有约束力，仲裁费用由败诉方承担。</w:t>
      </w:r>
    </w:p>
    <w:p w14:paraId="46FFD2F4"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争议处理期间，双方当事人应恪守基金管理人和基金托管人职责，各自继续忠实、勤勉、尽责地履行基金合同和本托管协议规定的义务，维护基金份额持有人的合法权益。</w:t>
      </w:r>
    </w:p>
    <w:p w14:paraId="5F4CB6C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本协议受中国法律管辖。</w:t>
      </w:r>
    </w:p>
    <w:p w14:paraId="1D0DC059" w14:textId="77777777" w:rsidR="007B7C2A" w:rsidRDefault="00072812">
      <w:pPr>
        <w:adjustRightInd w:val="0"/>
        <w:snapToGrid w:val="0"/>
        <w:spacing w:line="360" w:lineRule="auto"/>
        <w:ind w:firstLineChars="200" w:firstLine="482"/>
        <w:rPr>
          <w:rFonts w:asciiTheme="minorEastAsia" w:hAnsiTheme="minorEastAsia" w:cs="Arial" w:hint="eastAsia"/>
          <w:b/>
          <w:sz w:val="24"/>
          <w:szCs w:val="24"/>
        </w:rPr>
      </w:pPr>
      <w:r>
        <w:rPr>
          <w:rFonts w:asciiTheme="minorEastAsia" w:hAnsiTheme="minorEastAsia" w:cs="Arial" w:hint="eastAsia"/>
          <w:b/>
          <w:sz w:val="24"/>
          <w:szCs w:val="24"/>
        </w:rPr>
        <w:t>八、</w:t>
      </w:r>
      <w:r>
        <w:rPr>
          <w:rFonts w:asciiTheme="minorEastAsia" w:hAnsiTheme="minorEastAsia" w:cs="Times New Roman" w:hint="eastAsia"/>
          <w:b/>
          <w:color w:val="000000"/>
          <w:sz w:val="24"/>
          <w:szCs w:val="24"/>
        </w:rPr>
        <w:t>托管协议的变更、终止与基金财产的清算</w:t>
      </w:r>
    </w:p>
    <w:p w14:paraId="3398E30F"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（一）托管协议的变更</w:t>
      </w:r>
    </w:p>
    <w:p w14:paraId="0B4B904B"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本协议双方当事人经协商一致，可以对协议进行修改。修改后的新协议，其内容不得与基金合同的规定有任何冲突。基金托管协议的变更报中国证监会备案。</w:t>
      </w:r>
    </w:p>
    <w:p w14:paraId="6CEB388D"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（二）基金托管协议终止出现的情形</w:t>
      </w:r>
    </w:p>
    <w:p w14:paraId="16E578FA"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1.</w:t>
      </w:r>
      <w:r>
        <w:rPr>
          <w:rFonts w:asciiTheme="minorEastAsia" w:hAnsiTheme="minorEastAsia" w:cs="Times New Roman" w:hint="eastAsia"/>
          <w:sz w:val="24"/>
          <w:szCs w:val="24"/>
        </w:rPr>
        <w:tab/>
      </w:r>
      <w:r>
        <w:rPr>
          <w:rFonts w:asciiTheme="minorEastAsia" w:hAnsiTheme="minorEastAsia" w:cs="Times New Roman" w:hint="eastAsia"/>
          <w:sz w:val="24"/>
          <w:szCs w:val="24"/>
        </w:rPr>
        <w:t>基金合同终止；</w:t>
      </w:r>
    </w:p>
    <w:p w14:paraId="7C5EDD1E"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2.</w:t>
      </w:r>
      <w:r>
        <w:rPr>
          <w:rFonts w:asciiTheme="minorEastAsia" w:hAnsiTheme="minorEastAsia" w:cs="Times New Roman" w:hint="eastAsia"/>
          <w:sz w:val="24"/>
          <w:szCs w:val="24"/>
        </w:rPr>
        <w:tab/>
      </w:r>
      <w:r>
        <w:rPr>
          <w:rFonts w:asciiTheme="minorEastAsia" w:hAnsiTheme="minorEastAsia" w:cs="Times New Roman" w:hint="eastAsia"/>
          <w:sz w:val="24"/>
          <w:szCs w:val="24"/>
        </w:rPr>
        <w:t>基金托管人解散、依法被撤销、破产或由其他基金托管人接管基金资产；</w:t>
      </w:r>
    </w:p>
    <w:p w14:paraId="5E55C0FB"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3.</w:t>
      </w:r>
      <w:r>
        <w:rPr>
          <w:rFonts w:asciiTheme="minorEastAsia" w:hAnsiTheme="minorEastAsia" w:cs="Times New Roman" w:hint="eastAsia"/>
          <w:sz w:val="24"/>
          <w:szCs w:val="24"/>
        </w:rPr>
        <w:tab/>
      </w:r>
      <w:r>
        <w:rPr>
          <w:rFonts w:asciiTheme="minorEastAsia" w:hAnsiTheme="minorEastAsia" w:cs="Times New Roman" w:hint="eastAsia"/>
          <w:sz w:val="24"/>
          <w:szCs w:val="24"/>
        </w:rPr>
        <w:t>基金管理人解散、依法被撤销、破产或由其他基金管理人接管基金管理权；</w:t>
      </w:r>
    </w:p>
    <w:p w14:paraId="1AD94B68" w14:textId="77777777" w:rsidR="007B7C2A" w:rsidRDefault="00072812">
      <w:pPr>
        <w:adjustRightInd w:val="0"/>
        <w:snapToGrid w:val="0"/>
        <w:spacing w:line="360" w:lineRule="auto"/>
        <w:ind w:firstLineChars="200" w:firstLine="480"/>
        <w:rPr>
          <w:rFonts w:asciiTheme="minorEastAsia" w:hAnsiTheme="minorEastAsia" w:cs="Times New Roman" w:hint="eastAsia"/>
          <w:sz w:val="24"/>
          <w:szCs w:val="24"/>
        </w:rPr>
      </w:pPr>
      <w:r>
        <w:rPr>
          <w:rFonts w:asciiTheme="minorEastAsia" w:hAnsiTheme="minorEastAsia" w:cs="Times New Roman" w:hint="eastAsia"/>
          <w:sz w:val="24"/>
          <w:szCs w:val="24"/>
        </w:rPr>
        <w:t>4.</w:t>
      </w:r>
      <w:r>
        <w:rPr>
          <w:rFonts w:asciiTheme="minorEastAsia" w:hAnsiTheme="minorEastAsia" w:cs="Times New Roman" w:hint="eastAsia"/>
          <w:sz w:val="24"/>
          <w:szCs w:val="24"/>
        </w:rPr>
        <w:tab/>
      </w:r>
      <w:r>
        <w:rPr>
          <w:rFonts w:asciiTheme="minorEastAsia" w:hAnsiTheme="minorEastAsia" w:cs="Times New Roman" w:hint="eastAsia"/>
          <w:sz w:val="24"/>
          <w:szCs w:val="24"/>
        </w:rPr>
        <w:t>发生法律法规或基金合同规定的终止事项。</w:t>
      </w:r>
    </w:p>
    <w:p w14:paraId="1D2E8FAD" w14:textId="77777777" w:rsidR="007B7C2A" w:rsidRDefault="00072812">
      <w:pPr>
        <w:widowControl/>
        <w:jc w:val="left"/>
        <w:rPr>
          <w:rFonts w:asciiTheme="minorEastAsia" w:hAnsiTheme="minorEastAsia" w:cs="Times New Roman" w:hint="eastAsia"/>
          <w:sz w:val="24"/>
          <w:szCs w:val="24"/>
        </w:rPr>
      </w:pPr>
      <w:r>
        <w:rPr>
          <w:rFonts w:asciiTheme="minorEastAsia" w:hAnsiTheme="minorEastAsia" w:cs="Times New Roman"/>
          <w:sz w:val="24"/>
          <w:szCs w:val="24"/>
        </w:rPr>
        <w:br w:type="page"/>
      </w:r>
    </w:p>
    <w:p w14:paraId="1E4AB0D9" w14:textId="77777777" w:rsidR="007B7C2A" w:rsidRDefault="00072812">
      <w:pPr>
        <w:pStyle w:val="1"/>
        <w:ind w:firstLine="602"/>
        <w:jc w:val="center"/>
        <w:rPr>
          <w:sz w:val="30"/>
          <w:szCs w:val="30"/>
        </w:rPr>
      </w:pPr>
      <w:bookmarkStart w:id="393" w:name="_Toc146096537"/>
      <w:bookmarkStart w:id="394" w:name="_Toc147463123"/>
      <w:bookmarkStart w:id="395" w:name="_Toc416264555"/>
      <w:bookmarkStart w:id="396" w:name="_Toc12357176"/>
      <w:bookmarkStart w:id="397" w:name="_Toc21073396"/>
      <w:bookmarkStart w:id="398" w:name="_Toc214873621"/>
      <w:bookmarkStart w:id="399" w:name="_Toc263092328"/>
      <w:bookmarkStart w:id="400" w:name="_Toc23999"/>
      <w:bookmarkStart w:id="401" w:name="_Toc1790"/>
      <w:bookmarkStart w:id="402" w:name="_Toc30350"/>
      <w:bookmarkStart w:id="403" w:name="_Toc141703902"/>
      <w:bookmarkStart w:id="404" w:name="_Toc8636"/>
      <w:bookmarkStart w:id="405" w:name="_Toc25651"/>
      <w:bookmarkStart w:id="406" w:name="_Toc352229767"/>
      <w:bookmarkStart w:id="407" w:name="_Toc21983"/>
      <w:bookmarkStart w:id="408" w:name="_Toc6110"/>
      <w:bookmarkStart w:id="409" w:name="_Toc123112249"/>
      <w:bookmarkStart w:id="410" w:name="_Toc3319"/>
      <w:bookmarkStart w:id="411" w:name="_Toc98560366"/>
      <w:bookmarkStart w:id="412" w:name="_Toc123102468"/>
      <w:bookmarkStart w:id="413" w:name="_Toc139991751"/>
      <w:bookmarkStart w:id="414" w:name="_Toc123051467"/>
      <w:bookmarkStart w:id="415" w:name="_Toc6202"/>
      <w:bookmarkStart w:id="416" w:name="_Toc7288"/>
      <w:bookmarkStart w:id="417" w:name="_Toc24923"/>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rFonts w:hint="eastAsia"/>
          <w:sz w:val="30"/>
          <w:szCs w:val="30"/>
        </w:rPr>
        <w:t>第二十部分</w:t>
      </w:r>
      <w:r>
        <w:rPr>
          <w:sz w:val="30"/>
          <w:szCs w:val="30"/>
        </w:rPr>
        <w:t xml:space="preserve">  </w:t>
      </w:r>
      <w:r>
        <w:rPr>
          <w:rFonts w:hint="eastAsia"/>
          <w:sz w:val="30"/>
          <w:szCs w:val="30"/>
        </w:rPr>
        <w:t>对基金份额持有人的服务</w:t>
      </w:r>
      <w:bookmarkEnd w:id="393"/>
    </w:p>
    <w:p w14:paraId="253A74EB"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4EA42C71"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（一）电话人工咨询服务</w:t>
      </w:r>
    </w:p>
    <w:p w14:paraId="0B49D96C"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投资者可以通过拨打基金管理人客服热线转人工坐席，进行基金业务的相关咨询，人工坐席服务时间为每周一至周五上午</w:t>
      </w:r>
      <w:r>
        <w:rPr>
          <w:rFonts w:asciiTheme="minorEastAsia" w:hAnsiTheme="minorEastAsia" w:cs="Arial" w:hint="eastAsia"/>
          <w:sz w:val="24"/>
          <w:szCs w:val="24"/>
        </w:rPr>
        <w:t>9:00-11:30</w:t>
      </w:r>
      <w:r>
        <w:rPr>
          <w:rFonts w:asciiTheme="minorEastAsia" w:hAnsiTheme="minorEastAsia" w:cs="Arial" w:hint="eastAsia"/>
          <w:sz w:val="24"/>
          <w:szCs w:val="24"/>
        </w:rPr>
        <w:t>，下午</w:t>
      </w:r>
      <w:r>
        <w:rPr>
          <w:rFonts w:asciiTheme="minorEastAsia" w:hAnsiTheme="minorEastAsia" w:cs="Arial" w:hint="eastAsia"/>
          <w:sz w:val="24"/>
          <w:szCs w:val="24"/>
        </w:rPr>
        <w:t>13:00-17:00</w:t>
      </w:r>
      <w:r>
        <w:rPr>
          <w:rFonts w:asciiTheme="minorEastAsia" w:hAnsiTheme="minorEastAsia" w:cs="Arial" w:hint="eastAsia"/>
          <w:sz w:val="24"/>
          <w:szCs w:val="24"/>
        </w:rPr>
        <w:t>（法定节假日及因此导致的证券交易所休市日除外）。针对非人工服务时间内的电话留言，基金管理人将设有专员进行及时回复。</w:t>
      </w:r>
    </w:p>
    <w:p w14:paraId="2B26CD11"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（二）自助查询服务</w:t>
      </w:r>
    </w:p>
    <w:p w14:paraId="0A95CDEF"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300A0B9D"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（三）邮件咨询服务</w:t>
      </w:r>
    </w:p>
    <w:p w14:paraId="0C6C4BF2"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31AA4873"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（四）免费信息订阅服务</w:t>
      </w:r>
    </w:p>
    <w:p w14:paraId="6CAA2CD4"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为了给投资者带来良好的服务体验，基金管理人除了交易确认短信外，提供免费信息订阅服务。投资人可以通过拨打基金管理人客服热线提交信息定制申请，在申请获基金管理人确认后，基金管理人将通过手机短信、电子邮件等方式为客户发送所定制的信息。可定制的信息包括：月度电子对账单、持有基金周末净值等信息。基金管理人将根据业务发展需要和实际情况，适时调整发送的定制信息内容。</w:t>
      </w:r>
    </w:p>
    <w:p w14:paraId="5786C50A"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（五）客户投诉受理服务</w:t>
      </w:r>
    </w:p>
    <w:p w14:paraId="6841EC91"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投资人可以通过客服热线、书信、电子邮件等渠道，对基金管理人和销售机构所提供的服务进行投诉。基金管理人承诺在</w:t>
      </w:r>
      <w:r>
        <w:rPr>
          <w:rFonts w:asciiTheme="minorEastAsia" w:hAnsiTheme="minorEastAsia" w:cs="Arial" w:hint="eastAsia"/>
          <w:sz w:val="24"/>
          <w:szCs w:val="24"/>
        </w:rPr>
        <w:t xml:space="preserve"> 20</w:t>
      </w:r>
      <w:r>
        <w:rPr>
          <w:rFonts w:asciiTheme="minorEastAsia" w:hAnsiTheme="minorEastAsia" w:cs="Arial" w:hint="eastAsia"/>
          <w:sz w:val="24"/>
          <w:szCs w:val="24"/>
        </w:rPr>
        <w:t>个工作日之内对基金投资人的投诉做出回复。</w:t>
      </w:r>
    </w:p>
    <w:p w14:paraId="441D7202"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（六）基金管理人联系方式</w:t>
      </w:r>
      <w:r>
        <w:rPr>
          <w:rFonts w:asciiTheme="minorEastAsia" w:hAnsiTheme="minorEastAsia" w:cs="Arial" w:hint="eastAsia"/>
          <w:sz w:val="24"/>
          <w:szCs w:val="24"/>
        </w:rPr>
        <w:t xml:space="preserve"> </w:t>
      </w:r>
    </w:p>
    <w:p w14:paraId="38AB8FD1"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基金管理人网址：</w:t>
      </w:r>
      <w:r>
        <w:rPr>
          <w:rFonts w:asciiTheme="minorEastAsia" w:hAnsiTheme="minorEastAsia" w:cs="Arial" w:hint="eastAsia"/>
          <w:sz w:val="24"/>
          <w:szCs w:val="24"/>
        </w:rPr>
        <w:t xml:space="preserve"> www.furamc.com.cn</w:t>
      </w:r>
    </w:p>
    <w:p w14:paraId="28B91DA5"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电子信箱：</w:t>
      </w:r>
      <w:r>
        <w:rPr>
          <w:rFonts w:asciiTheme="minorEastAsia" w:hAnsiTheme="minorEastAsia" w:cs="Arial" w:hint="eastAsia"/>
          <w:sz w:val="24"/>
          <w:szCs w:val="24"/>
        </w:rPr>
        <w:t>service@furamc.com.cn</w:t>
      </w:r>
    </w:p>
    <w:p w14:paraId="60B2F8D0"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客服热线：</w:t>
      </w:r>
      <w:r>
        <w:rPr>
          <w:rFonts w:asciiTheme="minorEastAsia" w:hAnsiTheme="minorEastAsia" w:cs="Arial" w:hint="eastAsia"/>
          <w:sz w:val="24"/>
          <w:szCs w:val="24"/>
        </w:rPr>
        <w:t>4006855600</w:t>
      </w:r>
    </w:p>
    <w:p w14:paraId="4D003467"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客户服务部门地址：深圳市福田区八卦四路</w:t>
      </w:r>
      <w:r>
        <w:rPr>
          <w:rFonts w:asciiTheme="minorEastAsia" w:hAnsiTheme="minorEastAsia" w:cs="Arial" w:hint="eastAsia"/>
          <w:sz w:val="24"/>
          <w:szCs w:val="24"/>
        </w:rPr>
        <w:t>52</w:t>
      </w:r>
      <w:r>
        <w:rPr>
          <w:rFonts w:asciiTheme="minorEastAsia" w:hAnsiTheme="minorEastAsia" w:cs="Arial" w:hint="eastAsia"/>
          <w:sz w:val="24"/>
          <w:szCs w:val="24"/>
        </w:rPr>
        <w:t>号安吉尔大厦</w:t>
      </w:r>
      <w:r>
        <w:rPr>
          <w:rFonts w:asciiTheme="minorEastAsia" w:hAnsiTheme="minorEastAsia" w:cs="Arial" w:hint="eastAsia"/>
          <w:sz w:val="24"/>
          <w:szCs w:val="24"/>
        </w:rPr>
        <w:t>24</w:t>
      </w:r>
      <w:r>
        <w:rPr>
          <w:rFonts w:asciiTheme="minorEastAsia" w:hAnsiTheme="minorEastAsia" w:cs="Arial" w:hint="eastAsia"/>
          <w:sz w:val="24"/>
          <w:szCs w:val="24"/>
        </w:rPr>
        <w:t>层，富荣基金管理有限公司客户服务部门（收）</w:t>
      </w:r>
    </w:p>
    <w:p w14:paraId="1BE74264"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邮编：</w:t>
      </w:r>
      <w:r>
        <w:rPr>
          <w:rFonts w:asciiTheme="minorEastAsia" w:hAnsiTheme="minorEastAsia" w:cs="Arial" w:hint="eastAsia"/>
          <w:sz w:val="24"/>
          <w:szCs w:val="24"/>
        </w:rPr>
        <w:t>518038</w:t>
      </w:r>
    </w:p>
    <w:p w14:paraId="11EAAA2F" w14:textId="77777777" w:rsidR="007B7C2A" w:rsidRDefault="00072812">
      <w:pPr>
        <w:spacing w:line="360" w:lineRule="auto"/>
        <w:ind w:firstLineChars="200" w:firstLine="480"/>
        <w:rPr>
          <w:rFonts w:asciiTheme="minorEastAsia" w:hAnsiTheme="minorEastAsia" w:cs="Arial" w:hint="eastAsia"/>
          <w:sz w:val="24"/>
          <w:szCs w:val="24"/>
        </w:rPr>
      </w:pPr>
      <w:r>
        <w:rPr>
          <w:rFonts w:asciiTheme="minorEastAsia" w:hAnsiTheme="minorEastAsia" w:cs="Arial" w:hint="eastAsia"/>
          <w:sz w:val="24"/>
          <w:szCs w:val="24"/>
        </w:rPr>
        <w:t>（七）如本招募说明书存在任何您</w:t>
      </w:r>
      <w:r>
        <w:rPr>
          <w:rFonts w:asciiTheme="minorEastAsia" w:hAnsiTheme="minorEastAsia" w:cs="Arial" w:hint="eastAsia"/>
          <w:sz w:val="24"/>
          <w:szCs w:val="24"/>
        </w:rPr>
        <w:t>/</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无法理解的内容，请通过</w:t>
      </w:r>
      <w:proofErr w:type="gramStart"/>
      <w:r>
        <w:rPr>
          <w:rFonts w:asciiTheme="minorEastAsia" w:hAnsiTheme="minorEastAsia" w:cs="Arial" w:hint="eastAsia"/>
          <w:sz w:val="24"/>
          <w:szCs w:val="24"/>
        </w:rPr>
        <w:t>上述联系</w:t>
      </w:r>
      <w:proofErr w:type="gramEnd"/>
      <w:r>
        <w:rPr>
          <w:rFonts w:asciiTheme="minorEastAsia" w:hAnsiTheme="minorEastAsia" w:cs="Arial" w:hint="eastAsia"/>
          <w:sz w:val="24"/>
          <w:szCs w:val="24"/>
        </w:rPr>
        <w:t>方式联系基金管理人。</w:t>
      </w:r>
      <w:proofErr w:type="gramStart"/>
      <w:r>
        <w:rPr>
          <w:rFonts w:asciiTheme="minorEastAsia" w:hAnsiTheme="minorEastAsia" w:cs="Arial" w:hint="eastAsia"/>
          <w:sz w:val="24"/>
          <w:szCs w:val="24"/>
        </w:rPr>
        <w:t>请确保</w:t>
      </w:r>
      <w:proofErr w:type="gramEnd"/>
      <w:r>
        <w:rPr>
          <w:rFonts w:asciiTheme="minorEastAsia" w:hAnsiTheme="minorEastAsia" w:cs="Arial" w:hint="eastAsia"/>
          <w:sz w:val="24"/>
          <w:szCs w:val="24"/>
        </w:rPr>
        <w:t>投资前，您</w:t>
      </w:r>
      <w:r>
        <w:rPr>
          <w:rFonts w:asciiTheme="minorEastAsia" w:hAnsiTheme="minorEastAsia" w:cs="Arial" w:hint="eastAsia"/>
          <w:sz w:val="24"/>
          <w:szCs w:val="24"/>
        </w:rPr>
        <w:t>/</w:t>
      </w:r>
      <w:proofErr w:type="gramStart"/>
      <w:r>
        <w:rPr>
          <w:rFonts w:asciiTheme="minorEastAsia" w:hAnsiTheme="minorEastAsia" w:cs="Arial" w:hint="eastAsia"/>
          <w:sz w:val="24"/>
          <w:szCs w:val="24"/>
        </w:rPr>
        <w:t>贵机构</w:t>
      </w:r>
      <w:proofErr w:type="gramEnd"/>
      <w:r>
        <w:rPr>
          <w:rFonts w:asciiTheme="minorEastAsia" w:hAnsiTheme="minorEastAsia" w:cs="Arial" w:hint="eastAsia"/>
          <w:sz w:val="24"/>
          <w:szCs w:val="24"/>
        </w:rPr>
        <w:t>已经全面理解了本招募说明书。</w:t>
      </w:r>
    </w:p>
    <w:p w14:paraId="1E093745" w14:textId="77777777" w:rsidR="007B7C2A" w:rsidRDefault="007B7C2A">
      <w:pPr>
        <w:spacing w:line="360" w:lineRule="auto"/>
        <w:rPr>
          <w:rFonts w:asciiTheme="minorEastAsia" w:hAnsiTheme="minorEastAsia" w:cs="Arial" w:hint="eastAsia"/>
          <w:sz w:val="24"/>
          <w:szCs w:val="24"/>
        </w:rPr>
      </w:pPr>
    </w:p>
    <w:p w14:paraId="24ED904F" w14:textId="77777777" w:rsidR="007B7C2A" w:rsidRDefault="007B7C2A">
      <w:pPr>
        <w:spacing w:line="360" w:lineRule="auto"/>
        <w:ind w:firstLineChars="200" w:firstLine="480"/>
        <w:rPr>
          <w:rFonts w:asciiTheme="minorEastAsia" w:hAnsiTheme="minorEastAsia" w:hint="eastAsia"/>
          <w:sz w:val="24"/>
          <w:szCs w:val="24"/>
        </w:rPr>
        <w:sectPr w:rsidR="007B7C2A">
          <w:footerReference w:type="default" r:id="rId20"/>
          <w:pgSz w:w="11906" w:h="16838"/>
          <w:pgMar w:top="1440" w:right="1800" w:bottom="1440" w:left="1800" w:header="851" w:footer="992" w:gutter="0"/>
          <w:pgNumType w:start="1" w:chapStyle="1"/>
          <w:cols w:space="720"/>
          <w:docGrid w:type="lines" w:linePitch="312"/>
        </w:sectPr>
      </w:pPr>
    </w:p>
    <w:p w14:paraId="48C5F6B9" w14:textId="77777777" w:rsidR="007B7C2A" w:rsidRDefault="00072812">
      <w:pPr>
        <w:pStyle w:val="1"/>
        <w:ind w:firstLine="602"/>
        <w:jc w:val="center"/>
        <w:rPr>
          <w:sz w:val="30"/>
          <w:szCs w:val="30"/>
        </w:rPr>
      </w:pPr>
      <w:bookmarkStart w:id="418" w:name="_Toc530223198"/>
      <w:bookmarkStart w:id="419" w:name="_Toc263092329"/>
      <w:bookmarkStart w:id="420" w:name="_Toc416264556"/>
      <w:bookmarkStart w:id="421" w:name="_Toc214873622"/>
      <w:bookmarkEnd w:id="394"/>
      <w:bookmarkEnd w:id="395"/>
      <w:bookmarkEnd w:id="396"/>
      <w:bookmarkEnd w:id="397"/>
      <w:bookmarkEnd w:id="398"/>
      <w:bookmarkEnd w:id="399"/>
      <w:r>
        <w:rPr>
          <w:rFonts w:hint="eastAsia"/>
          <w:sz w:val="30"/>
          <w:szCs w:val="30"/>
        </w:rPr>
        <w:t xml:space="preserve"> </w:t>
      </w:r>
      <w:bookmarkStart w:id="422" w:name="_Toc146096538"/>
      <w:r>
        <w:rPr>
          <w:rFonts w:hint="eastAsia"/>
          <w:sz w:val="30"/>
          <w:szCs w:val="30"/>
        </w:rPr>
        <w:t>第</w:t>
      </w:r>
      <w:r>
        <w:rPr>
          <w:sz w:val="30"/>
          <w:szCs w:val="30"/>
        </w:rPr>
        <w:t>二十一部分</w:t>
      </w:r>
      <w:r>
        <w:rPr>
          <w:rFonts w:hint="eastAsia"/>
          <w:sz w:val="30"/>
          <w:szCs w:val="30"/>
        </w:rPr>
        <w:t xml:space="preserve"> </w:t>
      </w:r>
      <w:r>
        <w:rPr>
          <w:sz w:val="30"/>
          <w:szCs w:val="30"/>
        </w:rPr>
        <w:t xml:space="preserve"> </w:t>
      </w:r>
      <w:r>
        <w:rPr>
          <w:rFonts w:hint="eastAsia"/>
          <w:sz w:val="30"/>
          <w:szCs w:val="30"/>
        </w:rPr>
        <w:t>其他</w:t>
      </w:r>
      <w:r>
        <w:rPr>
          <w:sz w:val="30"/>
          <w:szCs w:val="30"/>
        </w:rPr>
        <w:t>应披露事项</w:t>
      </w:r>
      <w:bookmarkEnd w:id="422"/>
    </w:p>
    <w:tbl>
      <w:tblPr>
        <w:tblW w:w="8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245"/>
        <w:gridCol w:w="2292"/>
      </w:tblGrid>
      <w:tr w:rsidR="007B7C2A" w14:paraId="0B72CA30"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0CB80DB3" w14:textId="77777777" w:rsidR="007B7C2A" w:rsidRDefault="00072812">
            <w:pPr>
              <w:jc w:val="center"/>
              <w:rPr>
                <w:rFonts w:ascii="宋体" w:eastAsia="宋体" w:hAnsi="宋体" w:hint="eastAsia"/>
                <w:sz w:val="24"/>
                <w:szCs w:val="24"/>
              </w:rPr>
            </w:pPr>
            <w:r>
              <w:rPr>
                <w:rFonts w:ascii="宋体" w:eastAsia="宋体" w:hAnsi="宋体" w:hint="eastAsia"/>
                <w:sz w:val="24"/>
                <w:szCs w:val="24"/>
              </w:rPr>
              <w:t>序号</w:t>
            </w:r>
          </w:p>
        </w:tc>
        <w:tc>
          <w:tcPr>
            <w:tcW w:w="5245" w:type="dxa"/>
            <w:tcBorders>
              <w:top w:val="single" w:sz="4" w:space="0" w:color="auto"/>
              <w:left w:val="single" w:sz="4" w:space="0" w:color="auto"/>
              <w:bottom w:val="single" w:sz="4" w:space="0" w:color="auto"/>
              <w:right w:val="single" w:sz="4" w:space="0" w:color="auto"/>
            </w:tcBorders>
            <w:vAlign w:val="bottom"/>
          </w:tcPr>
          <w:p w14:paraId="0BF24E91" w14:textId="77777777" w:rsidR="007B7C2A" w:rsidRDefault="00072812">
            <w:pPr>
              <w:jc w:val="center"/>
              <w:rPr>
                <w:rFonts w:ascii="宋体" w:eastAsia="宋体" w:hAnsi="宋体" w:hint="eastAsia"/>
                <w:sz w:val="24"/>
                <w:szCs w:val="24"/>
              </w:rPr>
            </w:pPr>
            <w:r>
              <w:rPr>
                <w:rFonts w:ascii="宋体" w:eastAsia="宋体" w:hAnsi="宋体" w:hint="eastAsia"/>
                <w:sz w:val="24"/>
                <w:szCs w:val="24"/>
              </w:rPr>
              <w:t>公告事项</w:t>
            </w:r>
          </w:p>
        </w:tc>
        <w:tc>
          <w:tcPr>
            <w:tcW w:w="2292" w:type="dxa"/>
            <w:tcBorders>
              <w:top w:val="single" w:sz="4" w:space="0" w:color="auto"/>
              <w:left w:val="single" w:sz="4" w:space="0" w:color="auto"/>
              <w:bottom w:val="single" w:sz="4" w:space="0" w:color="auto"/>
              <w:right w:val="single" w:sz="4" w:space="0" w:color="auto"/>
            </w:tcBorders>
            <w:vAlign w:val="center"/>
          </w:tcPr>
          <w:p w14:paraId="69BCCF8A" w14:textId="77777777" w:rsidR="007B7C2A" w:rsidRDefault="00072812">
            <w:pPr>
              <w:jc w:val="center"/>
              <w:rPr>
                <w:rFonts w:ascii="宋体" w:eastAsia="宋体" w:hAnsi="宋体" w:hint="eastAsia"/>
                <w:sz w:val="24"/>
                <w:szCs w:val="24"/>
              </w:rPr>
            </w:pPr>
            <w:r>
              <w:rPr>
                <w:rFonts w:ascii="宋体" w:eastAsia="宋体" w:hAnsi="宋体" w:hint="eastAsia"/>
                <w:sz w:val="24"/>
                <w:szCs w:val="24"/>
              </w:rPr>
              <w:t>披露日期</w:t>
            </w:r>
          </w:p>
        </w:tc>
      </w:tr>
      <w:tr w:rsidR="007B7C2A" w14:paraId="1763EAE4"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4DC339E0"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w:t>
            </w:r>
          </w:p>
        </w:tc>
        <w:tc>
          <w:tcPr>
            <w:tcW w:w="5245" w:type="dxa"/>
            <w:tcBorders>
              <w:top w:val="single" w:sz="4" w:space="0" w:color="auto"/>
              <w:left w:val="single" w:sz="4" w:space="0" w:color="auto"/>
              <w:bottom w:val="single" w:sz="4" w:space="0" w:color="auto"/>
              <w:right w:val="single" w:sz="4" w:space="0" w:color="auto"/>
            </w:tcBorders>
            <w:vAlign w:val="bottom"/>
          </w:tcPr>
          <w:p w14:paraId="5590272E"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w:t>
            </w:r>
            <w:proofErr w:type="gramStart"/>
            <w:r>
              <w:rPr>
                <w:rFonts w:asciiTheme="minorEastAsia" w:hAnsiTheme="minorEastAsia" w:cstheme="minorEastAsia" w:hint="eastAsia"/>
                <w:color w:val="000000"/>
                <w:kern w:val="0"/>
                <w:sz w:val="24"/>
                <w:szCs w:val="24"/>
                <w:lang w:bidi="ar"/>
              </w:rPr>
              <w:t>荣基金</w:t>
            </w:r>
            <w:proofErr w:type="gramEnd"/>
            <w:r>
              <w:rPr>
                <w:rFonts w:asciiTheme="minorEastAsia" w:hAnsiTheme="minorEastAsia" w:cstheme="minorEastAsia" w:hint="eastAsia"/>
                <w:color w:val="000000"/>
                <w:kern w:val="0"/>
                <w:sz w:val="24"/>
                <w:szCs w:val="24"/>
                <w:lang w:bidi="ar"/>
              </w:rPr>
              <w:t>管理有限公司关于终止北京中</w:t>
            </w:r>
            <w:proofErr w:type="gramStart"/>
            <w:r>
              <w:rPr>
                <w:rFonts w:asciiTheme="minorEastAsia" w:hAnsiTheme="minorEastAsia" w:cstheme="minorEastAsia" w:hint="eastAsia"/>
                <w:color w:val="000000"/>
                <w:kern w:val="0"/>
                <w:sz w:val="24"/>
                <w:szCs w:val="24"/>
                <w:lang w:bidi="ar"/>
              </w:rPr>
              <w:t>植基金</w:t>
            </w:r>
            <w:proofErr w:type="gramEnd"/>
            <w:r>
              <w:rPr>
                <w:rFonts w:asciiTheme="minorEastAsia" w:hAnsiTheme="minorEastAsia" w:cstheme="minorEastAsia" w:hint="eastAsia"/>
                <w:color w:val="000000"/>
                <w:kern w:val="0"/>
                <w:sz w:val="24"/>
                <w:szCs w:val="24"/>
                <w:lang w:bidi="ar"/>
              </w:rPr>
              <w:t>销售有限公司办理旗下基金相关销售业务的公告</w:t>
            </w:r>
          </w:p>
        </w:tc>
        <w:tc>
          <w:tcPr>
            <w:tcW w:w="2292" w:type="dxa"/>
            <w:tcBorders>
              <w:top w:val="single" w:sz="4" w:space="0" w:color="auto"/>
              <w:left w:val="single" w:sz="4" w:space="0" w:color="auto"/>
              <w:bottom w:val="single" w:sz="4" w:space="0" w:color="auto"/>
              <w:right w:val="single" w:sz="4" w:space="0" w:color="auto"/>
            </w:tcBorders>
            <w:vAlign w:val="center"/>
          </w:tcPr>
          <w:p w14:paraId="163C03A1"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8</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28</w:t>
            </w:r>
            <w:r>
              <w:rPr>
                <w:rFonts w:asciiTheme="minorEastAsia" w:hAnsiTheme="minorEastAsia" w:cstheme="minorEastAsia" w:hint="eastAsia"/>
                <w:color w:val="000000"/>
                <w:kern w:val="0"/>
                <w:sz w:val="24"/>
                <w:szCs w:val="24"/>
                <w:lang w:bidi="ar"/>
              </w:rPr>
              <w:t>日</w:t>
            </w:r>
          </w:p>
        </w:tc>
      </w:tr>
      <w:tr w:rsidR="007B7C2A" w14:paraId="682FABFB"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6F36F787"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2</w:t>
            </w:r>
          </w:p>
        </w:tc>
        <w:tc>
          <w:tcPr>
            <w:tcW w:w="5245" w:type="dxa"/>
            <w:tcBorders>
              <w:top w:val="single" w:sz="4" w:space="0" w:color="auto"/>
              <w:left w:val="single" w:sz="4" w:space="0" w:color="auto"/>
              <w:bottom w:val="single" w:sz="4" w:space="0" w:color="auto"/>
              <w:right w:val="single" w:sz="4" w:space="0" w:color="auto"/>
            </w:tcBorders>
            <w:vAlign w:val="bottom"/>
          </w:tcPr>
          <w:p w14:paraId="2AC2F9EB"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富荣基金管理有限公司旗下全部基金</w:t>
            </w: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年中期报告提示性公告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14FA7A39"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8</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31</w:t>
            </w:r>
            <w:r>
              <w:rPr>
                <w:rFonts w:asciiTheme="minorEastAsia" w:hAnsiTheme="minorEastAsia" w:cstheme="minorEastAsia" w:hint="eastAsia"/>
                <w:color w:val="000000"/>
                <w:kern w:val="0"/>
                <w:sz w:val="24"/>
                <w:szCs w:val="24"/>
                <w:lang w:bidi="ar"/>
              </w:rPr>
              <w:t>日</w:t>
            </w:r>
          </w:p>
        </w:tc>
      </w:tr>
      <w:tr w:rsidR="007B7C2A" w14:paraId="72A40BF7"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07E59CC5"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3</w:t>
            </w:r>
          </w:p>
        </w:tc>
        <w:tc>
          <w:tcPr>
            <w:tcW w:w="5245" w:type="dxa"/>
            <w:tcBorders>
              <w:top w:val="single" w:sz="4" w:space="0" w:color="auto"/>
              <w:left w:val="single" w:sz="4" w:space="0" w:color="auto"/>
              <w:bottom w:val="single" w:sz="4" w:space="0" w:color="auto"/>
              <w:right w:val="single" w:sz="4" w:space="0" w:color="auto"/>
            </w:tcBorders>
            <w:vAlign w:val="bottom"/>
          </w:tcPr>
          <w:p w14:paraId="0EBBEA37"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关于以通讯方式召开富荣福鑫灵活配置混合型证券投资</w:t>
            </w:r>
            <w:proofErr w:type="gramStart"/>
            <w:r>
              <w:rPr>
                <w:rFonts w:asciiTheme="minorEastAsia" w:hAnsiTheme="minorEastAsia" w:cstheme="minorEastAsia" w:hint="eastAsia"/>
                <w:color w:val="000000"/>
                <w:kern w:val="0"/>
                <w:sz w:val="24"/>
                <w:szCs w:val="24"/>
                <w:lang w:bidi="ar"/>
              </w:rPr>
              <w:t>基金基金</w:t>
            </w:r>
            <w:proofErr w:type="gramEnd"/>
            <w:r>
              <w:rPr>
                <w:rFonts w:asciiTheme="minorEastAsia" w:hAnsiTheme="minorEastAsia" w:cstheme="minorEastAsia" w:hint="eastAsia"/>
                <w:color w:val="000000"/>
                <w:kern w:val="0"/>
                <w:sz w:val="24"/>
                <w:szCs w:val="24"/>
                <w:lang w:bidi="ar"/>
              </w:rPr>
              <w:t>份额持有人大会的公告</w:t>
            </w:r>
          </w:p>
        </w:tc>
        <w:tc>
          <w:tcPr>
            <w:tcW w:w="2292" w:type="dxa"/>
            <w:tcBorders>
              <w:top w:val="single" w:sz="4" w:space="0" w:color="auto"/>
              <w:left w:val="single" w:sz="4" w:space="0" w:color="auto"/>
              <w:bottom w:val="single" w:sz="4" w:space="0" w:color="auto"/>
              <w:right w:val="single" w:sz="4" w:space="0" w:color="auto"/>
            </w:tcBorders>
            <w:vAlign w:val="center"/>
          </w:tcPr>
          <w:p w14:paraId="5A14FFBE"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9</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19</w:t>
            </w:r>
            <w:r>
              <w:rPr>
                <w:rFonts w:asciiTheme="minorEastAsia" w:hAnsiTheme="minorEastAsia" w:cstheme="minorEastAsia" w:hint="eastAsia"/>
                <w:color w:val="000000"/>
                <w:kern w:val="0"/>
                <w:sz w:val="24"/>
                <w:szCs w:val="24"/>
                <w:lang w:bidi="ar"/>
              </w:rPr>
              <w:t>日</w:t>
            </w:r>
          </w:p>
        </w:tc>
      </w:tr>
      <w:tr w:rsidR="007B7C2A" w14:paraId="23DA8ADF"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1A6BEACF"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4</w:t>
            </w:r>
          </w:p>
        </w:tc>
        <w:tc>
          <w:tcPr>
            <w:tcW w:w="5245" w:type="dxa"/>
            <w:tcBorders>
              <w:top w:val="single" w:sz="4" w:space="0" w:color="auto"/>
              <w:left w:val="single" w:sz="4" w:space="0" w:color="auto"/>
              <w:bottom w:val="single" w:sz="4" w:space="0" w:color="auto"/>
              <w:right w:val="single" w:sz="4" w:space="0" w:color="auto"/>
            </w:tcBorders>
            <w:vAlign w:val="bottom"/>
          </w:tcPr>
          <w:p w14:paraId="391BC637"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关于以通讯方式召开富荣福鑫</w:t>
            </w:r>
            <w:r>
              <w:rPr>
                <w:rFonts w:asciiTheme="minorEastAsia" w:hAnsiTheme="minorEastAsia" w:cstheme="minorEastAsia" w:hint="eastAsia"/>
                <w:color w:val="000000"/>
                <w:kern w:val="0"/>
                <w:sz w:val="24"/>
                <w:szCs w:val="24"/>
                <w:lang w:bidi="ar"/>
              </w:rPr>
              <w:t>灵活配置混合型证券投资</w:t>
            </w:r>
            <w:proofErr w:type="gramStart"/>
            <w:r>
              <w:rPr>
                <w:rFonts w:asciiTheme="minorEastAsia" w:hAnsiTheme="minorEastAsia" w:cstheme="minorEastAsia" w:hint="eastAsia"/>
                <w:color w:val="000000"/>
                <w:kern w:val="0"/>
                <w:sz w:val="24"/>
                <w:szCs w:val="24"/>
                <w:lang w:bidi="ar"/>
              </w:rPr>
              <w:t>基金基金</w:t>
            </w:r>
            <w:proofErr w:type="gramEnd"/>
            <w:r>
              <w:rPr>
                <w:rFonts w:asciiTheme="minorEastAsia" w:hAnsiTheme="minorEastAsia" w:cstheme="minorEastAsia" w:hint="eastAsia"/>
                <w:color w:val="000000"/>
                <w:kern w:val="0"/>
                <w:sz w:val="24"/>
                <w:szCs w:val="24"/>
                <w:lang w:bidi="ar"/>
              </w:rPr>
              <w:t>份额持有人大会的第一次提示性公告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798FFC9A"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9</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20</w:t>
            </w:r>
            <w:r>
              <w:rPr>
                <w:rFonts w:asciiTheme="minorEastAsia" w:hAnsiTheme="minorEastAsia" w:cstheme="minorEastAsia" w:hint="eastAsia"/>
                <w:color w:val="000000"/>
                <w:kern w:val="0"/>
                <w:sz w:val="24"/>
                <w:szCs w:val="24"/>
                <w:lang w:bidi="ar"/>
              </w:rPr>
              <w:t>日</w:t>
            </w:r>
          </w:p>
        </w:tc>
      </w:tr>
      <w:tr w:rsidR="007B7C2A" w14:paraId="2CDDBB21"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120E4848"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5</w:t>
            </w:r>
          </w:p>
        </w:tc>
        <w:tc>
          <w:tcPr>
            <w:tcW w:w="5245" w:type="dxa"/>
            <w:tcBorders>
              <w:top w:val="single" w:sz="4" w:space="0" w:color="auto"/>
              <w:left w:val="single" w:sz="4" w:space="0" w:color="auto"/>
              <w:bottom w:val="single" w:sz="4" w:space="0" w:color="auto"/>
              <w:right w:val="single" w:sz="4" w:space="0" w:color="auto"/>
            </w:tcBorders>
            <w:vAlign w:val="bottom"/>
          </w:tcPr>
          <w:p w14:paraId="48F7BFA2"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关于以通讯方式召开富荣福鑫灵活配置混合型证券投资</w:t>
            </w:r>
            <w:proofErr w:type="gramStart"/>
            <w:r>
              <w:rPr>
                <w:rFonts w:asciiTheme="minorEastAsia" w:hAnsiTheme="minorEastAsia" w:cstheme="minorEastAsia" w:hint="eastAsia"/>
                <w:color w:val="000000"/>
                <w:kern w:val="0"/>
                <w:sz w:val="24"/>
                <w:szCs w:val="24"/>
                <w:lang w:bidi="ar"/>
              </w:rPr>
              <w:t>基金基金</w:t>
            </w:r>
            <w:proofErr w:type="gramEnd"/>
            <w:r>
              <w:rPr>
                <w:rFonts w:asciiTheme="minorEastAsia" w:hAnsiTheme="minorEastAsia" w:cstheme="minorEastAsia" w:hint="eastAsia"/>
                <w:color w:val="000000"/>
                <w:kern w:val="0"/>
                <w:sz w:val="24"/>
                <w:szCs w:val="24"/>
                <w:lang w:bidi="ar"/>
              </w:rPr>
              <w:t>份额持有人大会的第二次提示性公告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637F7CA5"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9</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21</w:t>
            </w:r>
            <w:r>
              <w:rPr>
                <w:rFonts w:asciiTheme="minorEastAsia" w:hAnsiTheme="minorEastAsia" w:cstheme="minorEastAsia" w:hint="eastAsia"/>
                <w:color w:val="000000"/>
                <w:kern w:val="0"/>
                <w:sz w:val="24"/>
                <w:szCs w:val="24"/>
                <w:lang w:bidi="ar"/>
              </w:rPr>
              <w:t>日</w:t>
            </w:r>
          </w:p>
        </w:tc>
      </w:tr>
      <w:tr w:rsidR="007B7C2A" w14:paraId="7CE04AA9"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5160BE20"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6</w:t>
            </w:r>
          </w:p>
        </w:tc>
        <w:tc>
          <w:tcPr>
            <w:tcW w:w="5245" w:type="dxa"/>
            <w:tcBorders>
              <w:top w:val="single" w:sz="4" w:space="0" w:color="auto"/>
              <w:left w:val="single" w:sz="4" w:space="0" w:color="auto"/>
              <w:bottom w:val="single" w:sz="4" w:space="0" w:color="auto"/>
              <w:right w:val="single" w:sz="4" w:space="0" w:color="auto"/>
            </w:tcBorders>
            <w:vAlign w:val="bottom"/>
          </w:tcPr>
          <w:p w14:paraId="076AA300"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富荣基金管理有限公司关于旗下部分公开募集证券投资基金更新招募说明书及产品资料概要的提示性公告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20FBF485"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9</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23</w:t>
            </w:r>
            <w:r>
              <w:rPr>
                <w:rFonts w:asciiTheme="minorEastAsia" w:hAnsiTheme="minorEastAsia" w:cstheme="minorEastAsia" w:hint="eastAsia"/>
                <w:color w:val="000000"/>
                <w:kern w:val="0"/>
                <w:sz w:val="24"/>
                <w:szCs w:val="24"/>
                <w:lang w:bidi="ar"/>
              </w:rPr>
              <w:t>日</w:t>
            </w:r>
          </w:p>
        </w:tc>
      </w:tr>
      <w:tr w:rsidR="007B7C2A" w14:paraId="137F0F75"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439D2603"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7</w:t>
            </w:r>
          </w:p>
        </w:tc>
        <w:tc>
          <w:tcPr>
            <w:tcW w:w="5245" w:type="dxa"/>
            <w:tcBorders>
              <w:top w:val="single" w:sz="4" w:space="0" w:color="auto"/>
              <w:left w:val="single" w:sz="4" w:space="0" w:color="auto"/>
              <w:bottom w:val="single" w:sz="4" w:space="0" w:color="auto"/>
              <w:right w:val="single" w:sz="4" w:space="0" w:color="auto"/>
            </w:tcBorders>
            <w:vAlign w:val="bottom"/>
          </w:tcPr>
          <w:p w14:paraId="7EC81B3A"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富荣福鑫灵活配置混合型证券投资</w:t>
            </w:r>
            <w:proofErr w:type="gramStart"/>
            <w:r>
              <w:rPr>
                <w:rFonts w:asciiTheme="minorEastAsia" w:hAnsiTheme="minorEastAsia" w:cstheme="minorEastAsia" w:hint="eastAsia"/>
                <w:color w:val="000000"/>
                <w:kern w:val="0"/>
                <w:sz w:val="24"/>
                <w:szCs w:val="24"/>
                <w:lang w:bidi="ar"/>
              </w:rPr>
              <w:t>基金基金</w:t>
            </w:r>
            <w:proofErr w:type="gramEnd"/>
            <w:r>
              <w:rPr>
                <w:rFonts w:asciiTheme="minorEastAsia" w:hAnsiTheme="minorEastAsia" w:cstheme="minorEastAsia" w:hint="eastAsia"/>
                <w:color w:val="000000"/>
                <w:kern w:val="0"/>
                <w:sz w:val="24"/>
                <w:szCs w:val="24"/>
                <w:lang w:bidi="ar"/>
              </w:rPr>
              <w:t>份额持有人大会表决结果</w:t>
            </w:r>
            <w:proofErr w:type="gramStart"/>
            <w:r>
              <w:rPr>
                <w:rFonts w:asciiTheme="minorEastAsia" w:hAnsiTheme="minorEastAsia" w:cstheme="minorEastAsia" w:hint="eastAsia"/>
                <w:color w:val="000000"/>
                <w:kern w:val="0"/>
                <w:sz w:val="24"/>
                <w:szCs w:val="24"/>
                <w:lang w:bidi="ar"/>
              </w:rPr>
              <w:t>暨决议</w:t>
            </w:r>
            <w:proofErr w:type="gramEnd"/>
            <w:r>
              <w:rPr>
                <w:rFonts w:asciiTheme="minorEastAsia" w:hAnsiTheme="minorEastAsia" w:cstheme="minorEastAsia" w:hint="eastAsia"/>
                <w:color w:val="000000"/>
                <w:kern w:val="0"/>
                <w:sz w:val="24"/>
                <w:szCs w:val="24"/>
                <w:lang w:bidi="ar"/>
              </w:rPr>
              <w:t>生效的公告</w:t>
            </w:r>
          </w:p>
        </w:tc>
        <w:tc>
          <w:tcPr>
            <w:tcW w:w="2292" w:type="dxa"/>
            <w:tcBorders>
              <w:top w:val="single" w:sz="4" w:space="0" w:color="auto"/>
              <w:left w:val="single" w:sz="4" w:space="0" w:color="auto"/>
              <w:bottom w:val="single" w:sz="4" w:space="0" w:color="auto"/>
              <w:right w:val="single" w:sz="4" w:space="0" w:color="auto"/>
            </w:tcBorders>
            <w:vAlign w:val="center"/>
          </w:tcPr>
          <w:p w14:paraId="5DC96D9D"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10</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23</w:t>
            </w:r>
            <w:r>
              <w:rPr>
                <w:rFonts w:asciiTheme="minorEastAsia" w:hAnsiTheme="minorEastAsia" w:cstheme="minorEastAsia" w:hint="eastAsia"/>
                <w:color w:val="000000"/>
                <w:kern w:val="0"/>
                <w:sz w:val="24"/>
                <w:szCs w:val="24"/>
                <w:lang w:bidi="ar"/>
              </w:rPr>
              <w:t>日</w:t>
            </w:r>
          </w:p>
        </w:tc>
      </w:tr>
      <w:tr w:rsidR="007B7C2A" w14:paraId="4279B8D8"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0C80B2CE"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8</w:t>
            </w:r>
          </w:p>
        </w:tc>
        <w:tc>
          <w:tcPr>
            <w:tcW w:w="5245" w:type="dxa"/>
            <w:tcBorders>
              <w:top w:val="single" w:sz="4" w:space="0" w:color="auto"/>
              <w:left w:val="single" w:sz="4" w:space="0" w:color="auto"/>
              <w:bottom w:val="single" w:sz="4" w:space="0" w:color="auto"/>
              <w:right w:val="single" w:sz="4" w:space="0" w:color="auto"/>
            </w:tcBorders>
            <w:vAlign w:val="bottom"/>
          </w:tcPr>
          <w:p w14:paraId="40583E43"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富荣基金管理有限公司旗下全部基金</w:t>
            </w: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年第</w:t>
            </w:r>
            <w:r>
              <w:rPr>
                <w:rFonts w:asciiTheme="minorEastAsia" w:hAnsiTheme="minorEastAsia" w:cstheme="minorEastAsia" w:hint="eastAsia"/>
                <w:color w:val="000000"/>
                <w:kern w:val="0"/>
                <w:sz w:val="24"/>
                <w:szCs w:val="24"/>
                <w:lang w:bidi="ar"/>
              </w:rPr>
              <w:t>3</w:t>
            </w:r>
            <w:r>
              <w:rPr>
                <w:rFonts w:asciiTheme="minorEastAsia" w:hAnsiTheme="minorEastAsia" w:cstheme="minorEastAsia" w:hint="eastAsia"/>
                <w:color w:val="000000"/>
                <w:kern w:val="0"/>
                <w:sz w:val="24"/>
                <w:szCs w:val="24"/>
                <w:lang w:bidi="ar"/>
              </w:rPr>
              <w:t>季度报告提示性公告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14595760"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10</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25</w:t>
            </w:r>
            <w:r>
              <w:rPr>
                <w:rFonts w:asciiTheme="minorEastAsia" w:hAnsiTheme="minorEastAsia" w:cstheme="minorEastAsia" w:hint="eastAsia"/>
                <w:color w:val="000000"/>
                <w:kern w:val="0"/>
                <w:sz w:val="24"/>
                <w:szCs w:val="24"/>
                <w:lang w:bidi="ar"/>
              </w:rPr>
              <w:t>日</w:t>
            </w:r>
          </w:p>
        </w:tc>
      </w:tr>
      <w:tr w:rsidR="007B7C2A" w14:paraId="3B1D7013"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52B50E6F"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9</w:t>
            </w:r>
          </w:p>
        </w:tc>
        <w:tc>
          <w:tcPr>
            <w:tcW w:w="5245" w:type="dxa"/>
            <w:tcBorders>
              <w:top w:val="single" w:sz="4" w:space="0" w:color="auto"/>
              <w:left w:val="single" w:sz="4" w:space="0" w:color="auto"/>
              <w:bottom w:val="single" w:sz="4" w:space="0" w:color="auto"/>
              <w:right w:val="single" w:sz="4" w:space="0" w:color="auto"/>
            </w:tcBorders>
            <w:vAlign w:val="bottom"/>
          </w:tcPr>
          <w:p w14:paraId="06F79B9C"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富荣基金管理有限公司高级管理人员变更公告</w:t>
            </w:r>
          </w:p>
        </w:tc>
        <w:tc>
          <w:tcPr>
            <w:tcW w:w="2292" w:type="dxa"/>
            <w:tcBorders>
              <w:top w:val="single" w:sz="4" w:space="0" w:color="auto"/>
              <w:left w:val="single" w:sz="4" w:space="0" w:color="auto"/>
              <w:bottom w:val="single" w:sz="4" w:space="0" w:color="auto"/>
              <w:right w:val="single" w:sz="4" w:space="0" w:color="auto"/>
            </w:tcBorders>
            <w:vAlign w:val="center"/>
          </w:tcPr>
          <w:p w14:paraId="641956A2"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11</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7</w:t>
            </w:r>
            <w:r>
              <w:rPr>
                <w:rFonts w:asciiTheme="minorEastAsia" w:hAnsiTheme="minorEastAsia" w:cstheme="minorEastAsia" w:hint="eastAsia"/>
                <w:color w:val="000000"/>
                <w:kern w:val="0"/>
                <w:sz w:val="24"/>
                <w:szCs w:val="24"/>
                <w:lang w:bidi="ar"/>
              </w:rPr>
              <w:t>日</w:t>
            </w:r>
          </w:p>
        </w:tc>
      </w:tr>
      <w:tr w:rsidR="007B7C2A" w14:paraId="7CCDE1C0"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73615FF7"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10</w:t>
            </w:r>
          </w:p>
        </w:tc>
        <w:tc>
          <w:tcPr>
            <w:tcW w:w="5245" w:type="dxa"/>
            <w:tcBorders>
              <w:top w:val="single" w:sz="4" w:space="0" w:color="auto"/>
              <w:left w:val="single" w:sz="4" w:space="0" w:color="auto"/>
              <w:bottom w:val="single" w:sz="4" w:space="0" w:color="auto"/>
              <w:right w:val="single" w:sz="4" w:space="0" w:color="auto"/>
            </w:tcBorders>
            <w:vAlign w:val="bottom"/>
          </w:tcPr>
          <w:p w14:paraId="79AB897A"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w:t>
            </w:r>
            <w:proofErr w:type="gramStart"/>
            <w:r>
              <w:rPr>
                <w:rFonts w:asciiTheme="minorEastAsia" w:hAnsiTheme="minorEastAsia" w:cstheme="minorEastAsia" w:hint="eastAsia"/>
                <w:color w:val="000000"/>
                <w:kern w:val="0"/>
                <w:sz w:val="24"/>
                <w:szCs w:val="24"/>
                <w:lang w:bidi="ar"/>
              </w:rPr>
              <w:t>荣基金</w:t>
            </w:r>
            <w:proofErr w:type="gramEnd"/>
            <w:r>
              <w:rPr>
                <w:rFonts w:asciiTheme="minorEastAsia" w:hAnsiTheme="minorEastAsia" w:cstheme="minorEastAsia" w:hint="eastAsia"/>
                <w:color w:val="000000"/>
                <w:kern w:val="0"/>
                <w:sz w:val="24"/>
                <w:szCs w:val="24"/>
                <w:lang w:bidi="ar"/>
              </w:rPr>
              <w:t>管理有限公司关于旗下部分基金新</w:t>
            </w:r>
            <w:proofErr w:type="gramStart"/>
            <w:r>
              <w:rPr>
                <w:rFonts w:asciiTheme="minorEastAsia" w:hAnsiTheme="minorEastAsia" w:cstheme="minorEastAsia" w:hint="eastAsia"/>
                <w:color w:val="000000"/>
                <w:kern w:val="0"/>
                <w:sz w:val="24"/>
                <w:szCs w:val="24"/>
                <w:lang w:bidi="ar"/>
              </w:rPr>
              <w:t>增广发</w:t>
            </w:r>
            <w:proofErr w:type="gramEnd"/>
            <w:r>
              <w:rPr>
                <w:rFonts w:asciiTheme="minorEastAsia" w:hAnsiTheme="minorEastAsia" w:cstheme="minorEastAsia" w:hint="eastAsia"/>
                <w:color w:val="000000"/>
                <w:kern w:val="0"/>
                <w:sz w:val="24"/>
                <w:szCs w:val="24"/>
                <w:lang w:bidi="ar"/>
              </w:rPr>
              <w:t>期货有限公司为销售机构、开通基金定期定额投资业务和基金转换业务并参加申购及定期定额投资申购费率优惠活动的公告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44C60C2D"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12</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w:t>
            </w:r>
            <w:r>
              <w:rPr>
                <w:rFonts w:asciiTheme="minorEastAsia" w:hAnsiTheme="minorEastAsia" w:cstheme="minorEastAsia" w:hint="eastAsia"/>
                <w:color w:val="000000"/>
                <w:kern w:val="0"/>
                <w:sz w:val="24"/>
                <w:szCs w:val="24"/>
                <w:lang w:bidi="ar"/>
              </w:rPr>
              <w:t>日</w:t>
            </w:r>
          </w:p>
        </w:tc>
      </w:tr>
      <w:tr w:rsidR="007B7C2A" w14:paraId="2129109E"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015A86ED"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11</w:t>
            </w:r>
          </w:p>
        </w:tc>
        <w:tc>
          <w:tcPr>
            <w:tcW w:w="5245" w:type="dxa"/>
            <w:tcBorders>
              <w:top w:val="single" w:sz="4" w:space="0" w:color="auto"/>
              <w:left w:val="single" w:sz="4" w:space="0" w:color="auto"/>
              <w:bottom w:val="single" w:sz="4" w:space="0" w:color="auto"/>
              <w:right w:val="single" w:sz="4" w:space="0" w:color="auto"/>
            </w:tcBorders>
            <w:vAlign w:val="bottom"/>
          </w:tcPr>
          <w:p w14:paraId="08F6F576"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富荣基金管理有限公司基金行业高级管理人员变更公告</w:t>
            </w:r>
          </w:p>
        </w:tc>
        <w:tc>
          <w:tcPr>
            <w:tcW w:w="2292" w:type="dxa"/>
            <w:tcBorders>
              <w:top w:val="single" w:sz="4" w:space="0" w:color="auto"/>
              <w:left w:val="single" w:sz="4" w:space="0" w:color="auto"/>
              <w:bottom w:val="single" w:sz="4" w:space="0" w:color="auto"/>
              <w:right w:val="single" w:sz="4" w:space="0" w:color="auto"/>
            </w:tcBorders>
            <w:vAlign w:val="center"/>
          </w:tcPr>
          <w:p w14:paraId="05336EAA"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12</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3</w:t>
            </w:r>
            <w:r>
              <w:rPr>
                <w:rFonts w:asciiTheme="minorEastAsia" w:hAnsiTheme="minorEastAsia" w:cstheme="minorEastAsia" w:hint="eastAsia"/>
                <w:color w:val="000000"/>
                <w:kern w:val="0"/>
                <w:sz w:val="24"/>
                <w:szCs w:val="24"/>
                <w:lang w:bidi="ar"/>
              </w:rPr>
              <w:t>日</w:t>
            </w:r>
          </w:p>
        </w:tc>
      </w:tr>
      <w:tr w:rsidR="007B7C2A" w14:paraId="7677976B"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3F6F369B"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12</w:t>
            </w:r>
          </w:p>
        </w:tc>
        <w:tc>
          <w:tcPr>
            <w:tcW w:w="5245" w:type="dxa"/>
            <w:tcBorders>
              <w:top w:val="single" w:sz="4" w:space="0" w:color="auto"/>
              <w:left w:val="single" w:sz="4" w:space="0" w:color="auto"/>
              <w:bottom w:val="single" w:sz="4" w:space="0" w:color="auto"/>
              <w:right w:val="single" w:sz="4" w:space="0" w:color="auto"/>
            </w:tcBorders>
            <w:vAlign w:val="bottom"/>
          </w:tcPr>
          <w:p w14:paraId="288EB928"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富荣基金管理有限公司基金行业高级管理人员变更公告</w:t>
            </w:r>
          </w:p>
        </w:tc>
        <w:tc>
          <w:tcPr>
            <w:tcW w:w="2292" w:type="dxa"/>
            <w:tcBorders>
              <w:top w:val="single" w:sz="4" w:space="0" w:color="auto"/>
              <w:left w:val="single" w:sz="4" w:space="0" w:color="auto"/>
              <w:bottom w:val="single" w:sz="4" w:space="0" w:color="auto"/>
              <w:right w:val="single" w:sz="4" w:space="0" w:color="auto"/>
            </w:tcBorders>
            <w:vAlign w:val="center"/>
          </w:tcPr>
          <w:p w14:paraId="0661F16D"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12</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3</w:t>
            </w:r>
            <w:r>
              <w:rPr>
                <w:rFonts w:asciiTheme="minorEastAsia" w:hAnsiTheme="minorEastAsia" w:cstheme="minorEastAsia" w:hint="eastAsia"/>
                <w:color w:val="000000"/>
                <w:kern w:val="0"/>
                <w:sz w:val="24"/>
                <w:szCs w:val="24"/>
                <w:lang w:bidi="ar"/>
              </w:rPr>
              <w:t>日</w:t>
            </w:r>
          </w:p>
        </w:tc>
      </w:tr>
      <w:tr w:rsidR="007B7C2A" w14:paraId="00869DDB"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64F8E63F"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13</w:t>
            </w:r>
          </w:p>
        </w:tc>
        <w:tc>
          <w:tcPr>
            <w:tcW w:w="5245" w:type="dxa"/>
            <w:tcBorders>
              <w:top w:val="single" w:sz="4" w:space="0" w:color="auto"/>
              <w:left w:val="single" w:sz="4" w:space="0" w:color="auto"/>
              <w:bottom w:val="single" w:sz="4" w:space="0" w:color="auto"/>
              <w:right w:val="single" w:sz="4" w:space="0" w:color="auto"/>
            </w:tcBorders>
            <w:vAlign w:val="bottom"/>
          </w:tcPr>
          <w:p w14:paraId="3BA5DAD3"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富荣基金管理有限公司旗下全部基金</w:t>
            </w: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年第</w:t>
            </w:r>
            <w:r>
              <w:rPr>
                <w:rFonts w:asciiTheme="minorEastAsia" w:hAnsiTheme="minorEastAsia" w:cstheme="minorEastAsia" w:hint="eastAsia"/>
                <w:color w:val="000000"/>
                <w:kern w:val="0"/>
                <w:sz w:val="24"/>
                <w:szCs w:val="24"/>
                <w:lang w:bidi="ar"/>
              </w:rPr>
              <w:t>4</w:t>
            </w:r>
            <w:r>
              <w:rPr>
                <w:rFonts w:asciiTheme="minorEastAsia" w:hAnsiTheme="minorEastAsia" w:cstheme="minorEastAsia" w:hint="eastAsia"/>
                <w:color w:val="000000"/>
                <w:kern w:val="0"/>
                <w:sz w:val="24"/>
                <w:szCs w:val="24"/>
                <w:lang w:bidi="ar"/>
              </w:rPr>
              <w:t>季度报告提示性公告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64C8A59E"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1</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22</w:t>
            </w:r>
            <w:r>
              <w:rPr>
                <w:rFonts w:asciiTheme="minorEastAsia" w:hAnsiTheme="minorEastAsia" w:cstheme="minorEastAsia" w:hint="eastAsia"/>
                <w:color w:val="000000"/>
                <w:kern w:val="0"/>
                <w:sz w:val="24"/>
                <w:szCs w:val="24"/>
                <w:lang w:bidi="ar"/>
              </w:rPr>
              <w:t>日</w:t>
            </w:r>
          </w:p>
        </w:tc>
      </w:tr>
      <w:tr w:rsidR="007B7C2A" w14:paraId="07BB22F4"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47628CE9"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14</w:t>
            </w:r>
          </w:p>
        </w:tc>
        <w:tc>
          <w:tcPr>
            <w:tcW w:w="5245" w:type="dxa"/>
            <w:tcBorders>
              <w:top w:val="single" w:sz="4" w:space="0" w:color="auto"/>
              <w:left w:val="single" w:sz="4" w:space="0" w:color="auto"/>
              <w:bottom w:val="single" w:sz="4" w:space="0" w:color="auto"/>
              <w:right w:val="single" w:sz="4" w:space="0" w:color="auto"/>
            </w:tcBorders>
            <w:vAlign w:val="bottom"/>
          </w:tcPr>
          <w:p w14:paraId="2AC4A2E2"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w:t>
            </w:r>
            <w:proofErr w:type="gramStart"/>
            <w:r>
              <w:rPr>
                <w:rFonts w:asciiTheme="minorEastAsia" w:hAnsiTheme="minorEastAsia" w:cstheme="minorEastAsia" w:hint="eastAsia"/>
                <w:color w:val="000000"/>
                <w:kern w:val="0"/>
                <w:sz w:val="24"/>
                <w:szCs w:val="24"/>
                <w:lang w:bidi="ar"/>
              </w:rPr>
              <w:t>荣基金</w:t>
            </w:r>
            <w:proofErr w:type="gramEnd"/>
            <w:r>
              <w:rPr>
                <w:rFonts w:asciiTheme="minorEastAsia" w:hAnsiTheme="minorEastAsia" w:cstheme="minorEastAsia" w:hint="eastAsia"/>
                <w:color w:val="000000"/>
                <w:kern w:val="0"/>
                <w:sz w:val="24"/>
                <w:szCs w:val="24"/>
                <w:lang w:bidi="ar"/>
              </w:rPr>
              <w:t>管理有限公司关于旗下部分基金</w:t>
            </w:r>
            <w:proofErr w:type="gramStart"/>
            <w:r>
              <w:rPr>
                <w:rFonts w:asciiTheme="minorEastAsia" w:hAnsiTheme="minorEastAsia" w:cstheme="minorEastAsia" w:hint="eastAsia"/>
                <w:color w:val="000000"/>
                <w:kern w:val="0"/>
                <w:sz w:val="24"/>
                <w:szCs w:val="24"/>
                <w:lang w:bidi="ar"/>
              </w:rPr>
              <w:t>新增国</w:t>
            </w:r>
            <w:proofErr w:type="gramEnd"/>
            <w:r>
              <w:rPr>
                <w:rFonts w:asciiTheme="minorEastAsia" w:hAnsiTheme="minorEastAsia" w:cstheme="minorEastAsia" w:hint="eastAsia"/>
                <w:color w:val="000000"/>
                <w:kern w:val="0"/>
                <w:sz w:val="24"/>
                <w:szCs w:val="24"/>
                <w:lang w:bidi="ar"/>
              </w:rPr>
              <w:t>泰君安证券股份有限公司为销售机构、开通基金定期定额投资业务和基金转换业务并参加申购及定期定额投资申购费率优惠活动的公告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54A98E0B"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3</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17</w:t>
            </w:r>
            <w:r>
              <w:rPr>
                <w:rFonts w:asciiTheme="minorEastAsia" w:hAnsiTheme="minorEastAsia" w:cstheme="minorEastAsia" w:hint="eastAsia"/>
                <w:color w:val="000000"/>
                <w:kern w:val="0"/>
                <w:sz w:val="24"/>
                <w:szCs w:val="24"/>
                <w:lang w:bidi="ar"/>
              </w:rPr>
              <w:t>日</w:t>
            </w:r>
          </w:p>
        </w:tc>
      </w:tr>
      <w:tr w:rsidR="007B7C2A" w14:paraId="738D75FB"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31388DC9"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15</w:t>
            </w:r>
          </w:p>
        </w:tc>
        <w:tc>
          <w:tcPr>
            <w:tcW w:w="5245" w:type="dxa"/>
            <w:tcBorders>
              <w:top w:val="single" w:sz="4" w:space="0" w:color="auto"/>
              <w:left w:val="single" w:sz="4" w:space="0" w:color="auto"/>
              <w:bottom w:val="single" w:sz="4" w:space="0" w:color="auto"/>
              <w:right w:val="single" w:sz="4" w:space="0" w:color="auto"/>
            </w:tcBorders>
            <w:vAlign w:val="bottom"/>
          </w:tcPr>
          <w:p w14:paraId="61A412C3"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富荣基金管理有限公司旗下全部基金</w:t>
            </w:r>
            <w:r>
              <w:rPr>
                <w:rFonts w:asciiTheme="minorEastAsia" w:hAnsiTheme="minorEastAsia" w:cstheme="minorEastAsia" w:hint="eastAsia"/>
                <w:color w:val="000000"/>
                <w:kern w:val="0"/>
                <w:sz w:val="24"/>
                <w:szCs w:val="24"/>
                <w:lang w:bidi="ar"/>
              </w:rPr>
              <w:t>2024</w:t>
            </w:r>
            <w:r>
              <w:rPr>
                <w:rFonts w:asciiTheme="minorEastAsia" w:hAnsiTheme="minorEastAsia" w:cstheme="minorEastAsia" w:hint="eastAsia"/>
                <w:color w:val="000000"/>
                <w:kern w:val="0"/>
                <w:sz w:val="24"/>
                <w:szCs w:val="24"/>
                <w:lang w:bidi="ar"/>
              </w:rPr>
              <w:t>年年度报告提示性公告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6E70AC43"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3</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31</w:t>
            </w:r>
            <w:r>
              <w:rPr>
                <w:rFonts w:asciiTheme="minorEastAsia" w:hAnsiTheme="minorEastAsia" w:cstheme="minorEastAsia" w:hint="eastAsia"/>
                <w:color w:val="000000"/>
                <w:kern w:val="0"/>
                <w:sz w:val="24"/>
                <w:szCs w:val="24"/>
                <w:lang w:bidi="ar"/>
              </w:rPr>
              <w:t>日</w:t>
            </w:r>
          </w:p>
        </w:tc>
      </w:tr>
      <w:tr w:rsidR="007B7C2A" w14:paraId="42E63114"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14F410E7"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16</w:t>
            </w:r>
          </w:p>
        </w:tc>
        <w:tc>
          <w:tcPr>
            <w:tcW w:w="5245" w:type="dxa"/>
            <w:tcBorders>
              <w:top w:val="single" w:sz="4" w:space="0" w:color="auto"/>
              <w:left w:val="single" w:sz="4" w:space="0" w:color="auto"/>
              <w:bottom w:val="single" w:sz="4" w:space="0" w:color="auto"/>
              <w:right w:val="single" w:sz="4" w:space="0" w:color="auto"/>
            </w:tcBorders>
            <w:vAlign w:val="bottom"/>
          </w:tcPr>
          <w:p w14:paraId="723924FD"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富荣基金管理有限公司基金行业高级管理人员变更公告</w:t>
            </w:r>
          </w:p>
        </w:tc>
        <w:tc>
          <w:tcPr>
            <w:tcW w:w="2292" w:type="dxa"/>
            <w:tcBorders>
              <w:top w:val="single" w:sz="4" w:space="0" w:color="auto"/>
              <w:left w:val="single" w:sz="4" w:space="0" w:color="auto"/>
              <w:bottom w:val="single" w:sz="4" w:space="0" w:color="auto"/>
              <w:right w:val="single" w:sz="4" w:space="0" w:color="auto"/>
            </w:tcBorders>
            <w:vAlign w:val="center"/>
          </w:tcPr>
          <w:p w14:paraId="154CEB29"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4</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4</w:t>
            </w:r>
            <w:r>
              <w:rPr>
                <w:rFonts w:asciiTheme="minorEastAsia" w:hAnsiTheme="minorEastAsia" w:cstheme="minorEastAsia" w:hint="eastAsia"/>
                <w:color w:val="000000"/>
                <w:kern w:val="0"/>
                <w:sz w:val="24"/>
                <w:szCs w:val="24"/>
                <w:lang w:bidi="ar"/>
              </w:rPr>
              <w:t>日</w:t>
            </w:r>
          </w:p>
        </w:tc>
      </w:tr>
      <w:tr w:rsidR="007B7C2A" w14:paraId="35281143"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13F5940D"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17</w:t>
            </w:r>
          </w:p>
        </w:tc>
        <w:tc>
          <w:tcPr>
            <w:tcW w:w="5245" w:type="dxa"/>
            <w:tcBorders>
              <w:top w:val="single" w:sz="4" w:space="0" w:color="auto"/>
              <w:left w:val="single" w:sz="4" w:space="0" w:color="auto"/>
              <w:bottom w:val="single" w:sz="4" w:space="0" w:color="auto"/>
              <w:right w:val="single" w:sz="4" w:space="0" w:color="auto"/>
            </w:tcBorders>
            <w:vAlign w:val="bottom"/>
          </w:tcPr>
          <w:p w14:paraId="4F3D6AA6"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富荣基金管理有限公司关于旗下部分基金新增销售机构、开通基金定期定额投资和基金转换业务并参加销售机构申购及定期定额投资申购费率优惠活动的公告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0231376D"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4</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10</w:t>
            </w:r>
            <w:r>
              <w:rPr>
                <w:rFonts w:asciiTheme="minorEastAsia" w:hAnsiTheme="minorEastAsia" w:cstheme="minorEastAsia" w:hint="eastAsia"/>
                <w:color w:val="000000"/>
                <w:kern w:val="0"/>
                <w:sz w:val="24"/>
                <w:szCs w:val="24"/>
                <w:lang w:bidi="ar"/>
              </w:rPr>
              <w:t>日</w:t>
            </w:r>
          </w:p>
        </w:tc>
      </w:tr>
      <w:tr w:rsidR="007B7C2A" w14:paraId="40885496"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5D2B07D0"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18</w:t>
            </w:r>
          </w:p>
        </w:tc>
        <w:tc>
          <w:tcPr>
            <w:tcW w:w="5245" w:type="dxa"/>
            <w:tcBorders>
              <w:top w:val="single" w:sz="4" w:space="0" w:color="auto"/>
              <w:left w:val="single" w:sz="4" w:space="0" w:color="auto"/>
              <w:bottom w:val="single" w:sz="4" w:space="0" w:color="auto"/>
              <w:right w:val="single" w:sz="4" w:space="0" w:color="auto"/>
            </w:tcBorders>
            <w:vAlign w:val="bottom"/>
          </w:tcPr>
          <w:p w14:paraId="56D7AA8D"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富荣基金管理有限公司旗下全部基金</w:t>
            </w: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年第</w:t>
            </w:r>
            <w:r>
              <w:rPr>
                <w:rFonts w:asciiTheme="minorEastAsia" w:hAnsiTheme="minorEastAsia" w:cstheme="minorEastAsia" w:hint="eastAsia"/>
                <w:color w:val="000000"/>
                <w:kern w:val="0"/>
                <w:sz w:val="24"/>
                <w:szCs w:val="24"/>
                <w:lang w:bidi="ar"/>
              </w:rPr>
              <w:t>1</w:t>
            </w:r>
            <w:r>
              <w:rPr>
                <w:rFonts w:asciiTheme="minorEastAsia" w:hAnsiTheme="minorEastAsia" w:cstheme="minorEastAsia" w:hint="eastAsia"/>
                <w:color w:val="000000"/>
                <w:kern w:val="0"/>
                <w:sz w:val="24"/>
                <w:szCs w:val="24"/>
                <w:lang w:bidi="ar"/>
              </w:rPr>
              <w:t>季度报告提示性公告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2AB6C3F5"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4</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22</w:t>
            </w:r>
            <w:r>
              <w:rPr>
                <w:rFonts w:asciiTheme="minorEastAsia" w:hAnsiTheme="minorEastAsia" w:cstheme="minorEastAsia" w:hint="eastAsia"/>
                <w:color w:val="000000"/>
                <w:kern w:val="0"/>
                <w:sz w:val="24"/>
                <w:szCs w:val="24"/>
                <w:lang w:bidi="ar"/>
              </w:rPr>
              <w:t>日</w:t>
            </w:r>
          </w:p>
        </w:tc>
      </w:tr>
      <w:tr w:rsidR="007B7C2A" w14:paraId="3100C836"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4921DC61"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19</w:t>
            </w:r>
          </w:p>
        </w:tc>
        <w:tc>
          <w:tcPr>
            <w:tcW w:w="5245" w:type="dxa"/>
            <w:tcBorders>
              <w:top w:val="single" w:sz="4" w:space="0" w:color="auto"/>
              <w:left w:val="single" w:sz="4" w:space="0" w:color="auto"/>
              <w:bottom w:val="single" w:sz="4" w:space="0" w:color="auto"/>
              <w:right w:val="single" w:sz="4" w:space="0" w:color="auto"/>
            </w:tcBorders>
            <w:vAlign w:val="bottom"/>
          </w:tcPr>
          <w:p w14:paraId="33103F91"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富荣基金管理有限公司关于提醒投资者防范不法分子假冒本公司名义从事诈骗活动的公告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11637EB6"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5</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6</w:t>
            </w:r>
            <w:r>
              <w:rPr>
                <w:rFonts w:asciiTheme="minorEastAsia" w:hAnsiTheme="minorEastAsia" w:cstheme="minorEastAsia" w:hint="eastAsia"/>
                <w:color w:val="000000"/>
                <w:kern w:val="0"/>
                <w:sz w:val="24"/>
                <w:szCs w:val="24"/>
                <w:lang w:bidi="ar"/>
              </w:rPr>
              <w:t>日</w:t>
            </w:r>
          </w:p>
        </w:tc>
      </w:tr>
      <w:tr w:rsidR="007B7C2A" w14:paraId="6847A139"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060D8D06"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20</w:t>
            </w:r>
          </w:p>
        </w:tc>
        <w:tc>
          <w:tcPr>
            <w:tcW w:w="5245" w:type="dxa"/>
            <w:tcBorders>
              <w:top w:val="single" w:sz="4" w:space="0" w:color="auto"/>
              <w:left w:val="single" w:sz="4" w:space="0" w:color="auto"/>
              <w:bottom w:val="single" w:sz="4" w:space="0" w:color="auto"/>
              <w:right w:val="single" w:sz="4" w:space="0" w:color="auto"/>
            </w:tcBorders>
            <w:vAlign w:val="bottom"/>
          </w:tcPr>
          <w:p w14:paraId="50E7C4A5"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w:t>
            </w:r>
            <w:proofErr w:type="gramStart"/>
            <w:r>
              <w:rPr>
                <w:rFonts w:asciiTheme="minorEastAsia" w:hAnsiTheme="minorEastAsia" w:cstheme="minorEastAsia" w:hint="eastAsia"/>
                <w:color w:val="000000"/>
                <w:kern w:val="0"/>
                <w:sz w:val="24"/>
                <w:szCs w:val="24"/>
                <w:lang w:bidi="ar"/>
              </w:rPr>
              <w:t>荣基金</w:t>
            </w:r>
            <w:proofErr w:type="gramEnd"/>
            <w:r>
              <w:rPr>
                <w:rFonts w:asciiTheme="minorEastAsia" w:hAnsiTheme="minorEastAsia" w:cstheme="minorEastAsia" w:hint="eastAsia"/>
                <w:color w:val="000000"/>
                <w:kern w:val="0"/>
                <w:sz w:val="24"/>
                <w:szCs w:val="24"/>
                <w:lang w:bidi="ar"/>
              </w:rPr>
              <w:t>管理有限公司关于旗下部分基金新增麦</w:t>
            </w:r>
            <w:proofErr w:type="gramStart"/>
            <w:r>
              <w:rPr>
                <w:rFonts w:asciiTheme="minorEastAsia" w:hAnsiTheme="minorEastAsia" w:cstheme="minorEastAsia" w:hint="eastAsia"/>
                <w:color w:val="000000"/>
                <w:kern w:val="0"/>
                <w:sz w:val="24"/>
                <w:szCs w:val="24"/>
                <w:lang w:bidi="ar"/>
              </w:rPr>
              <w:t>高证券</w:t>
            </w:r>
            <w:proofErr w:type="gramEnd"/>
            <w:r>
              <w:rPr>
                <w:rFonts w:asciiTheme="minorEastAsia" w:hAnsiTheme="minorEastAsia" w:cstheme="minorEastAsia" w:hint="eastAsia"/>
                <w:color w:val="000000"/>
                <w:kern w:val="0"/>
                <w:sz w:val="24"/>
                <w:szCs w:val="24"/>
                <w:lang w:bidi="ar"/>
              </w:rPr>
              <w:t>有限责任公司为销售机构、开通基金定期定额投资业务和基金转换业务并参加申购及定期定额投资申购费率优惠活动的公告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666FC0E3"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5</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15</w:t>
            </w:r>
            <w:r>
              <w:rPr>
                <w:rFonts w:asciiTheme="minorEastAsia" w:hAnsiTheme="minorEastAsia" w:cstheme="minorEastAsia" w:hint="eastAsia"/>
                <w:color w:val="000000"/>
                <w:kern w:val="0"/>
                <w:sz w:val="24"/>
                <w:szCs w:val="24"/>
                <w:lang w:bidi="ar"/>
              </w:rPr>
              <w:t>日</w:t>
            </w:r>
          </w:p>
        </w:tc>
      </w:tr>
      <w:tr w:rsidR="007B7C2A" w14:paraId="56BEBDC4"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1F0102F7"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21</w:t>
            </w:r>
          </w:p>
        </w:tc>
        <w:tc>
          <w:tcPr>
            <w:tcW w:w="5245" w:type="dxa"/>
            <w:tcBorders>
              <w:top w:val="single" w:sz="4" w:space="0" w:color="auto"/>
              <w:left w:val="single" w:sz="4" w:space="0" w:color="auto"/>
              <w:bottom w:val="single" w:sz="4" w:space="0" w:color="auto"/>
              <w:right w:val="single" w:sz="4" w:space="0" w:color="auto"/>
            </w:tcBorders>
            <w:vAlign w:val="bottom"/>
          </w:tcPr>
          <w:p w14:paraId="04DB8FDB"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富荣基金管理有限公司关于旗下部分基金新增江苏银行股份有限公司为销售机构、开通基金定期定额投资业务和基金转换业务并参加申购及定期定额投资申购费率优惠活动的公告</w:t>
            </w:r>
          </w:p>
        </w:tc>
        <w:tc>
          <w:tcPr>
            <w:tcW w:w="2292" w:type="dxa"/>
            <w:tcBorders>
              <w:top w:val="single" w:sz="4" w:space="0" w:color="auto"/>
              <w:left w:val="single" w:sz="4" w:space="0" w:color="auto"/>
              <w:bottom w:val="single" w:sz="4" w:space="0" w:color="auto"/>
              <w:right w:val="single" w:sz="4" w:space="0" w:color="auto"/>
            </w:tcBorders>
            <w:vAlign w:val="center"/>
          </w:tcPr>
          <w:p w14:paraId="762A7B07"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5</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23</w:t>
            </w:r>
            <w:r>
              <w:rPr>
                <w:rFonts w:asciiTheme="minorEastAsia" w:hAnsiTheme="minorEastAsia" w:cstheme="minorEastAsia" w:hint="eastAsia"/>
                <w:color w:val="000000"/>
                <w:kern w:val="0"/>
                <w:sz w:val="24"/>
                <w:szCs w:val="24"/>
                <w:lang w:bidi="ar"/>
              </w:rPr>
              <w:t>日</w:t>
            </w:r>
          </w:p>
        </w:tc>
      </w:tr>
      <w:tr w:rsidR="007B7C2A" w14:paraId="288A85BE"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6E82FCB7"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22</w:t>
            </w:r>
          </w:p>
        </w:tc>
        <w:tc>
          <w:tcPr>
            <w:tcW w:w="5245" w:type="dxa"/>
            <w:tcBorders>
              <w:top w:val="single" w:sz="4" w:space="0" w:color="auto"/>
              <w:left w:val="single" w:sz="4" w:space="0" w:color="auto"/>
              <w:bottom w:val="single" w:sz="4" w:space="0" w:color="auto"/>
              <w:right w:val="single" w:sz="4" w:space="0" w:color="auto"/>
            </w:tcBorders>
            <w:vAlign w:val="bottom"/>
          </w:tcPr>
          <w:p w14:paraId="3225E3A1"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w:t>
            </w:r>
            <w:proofErr w:type="gramStart"/>
            <w:r>
              <w:rPr>
                <w:rFonts w:asciiTheme="minorEastAsia" w:hAnsiTheme="minorEastAsia" w:cstheme="minorEastAsia" w:hint="eastAsia"/>
                <w:color w:val="000000"/>
                <w:kern w:val="0"/>
                <w:sz w:val="24"/>
                <w:szCs w:val="24"/>
                <w:lang w:bidi="ar"/>
              </w:rPr>
              <w:t>荣基金</w:t>
            </w:r>
            <w:proofErr w:type="gramEnd"/>
            <w:r>
              <w:rPr>
                <w:rFonts w:asciiTheme="minorEastAsia" w:hAnsiTheme="minorEastAsia" w:cstheme="minorEastAsia" w:hint="eastAsia"/>
                <w:color w:val="000000"/>
                <w:kern w:val="0"/>
                <w:sz w:val="24"/>
                <w:szCs w:val="24"/>
                <w:lang w:bidi="ar"/>
              </w:rPr>
              <w:t>管理有限公司关于终止民</w:t>
            </w:r>
            <w:proofErr w:type="gramStart"/>
            <w:r>
              <w:rPr>
                <w:rFonts w:asciiTheme="minorEastAsia" w:hAnsiTheme="minorEastAsia" w:cstheme="minorEastAsia" w:hint="eastAsia"/>
                <w:color w:val="000000"/>
                <w:kern w:val="0"/>
                <w:sz w:val="24"/>
                <w:szCs w:val="24"/>
                <w:lang w:bidi="ar"/>
              </w:rPr>
              <w:t>商基金</w:t>
            </w:r>
            <w:proofErr w:type="gramEnd"/>
            <w:r>
              <w:rPr>
                <w:rFonts w:asciiTheme="minorEastAsia" w:hAnsiTheme="minorEastAsia" w:cstheme="minorEastAsia" w:hint="eastAsia"/>
                <w:color w:val="000000"/>
                <w:kern w:val="0"/>
                <w:sz w:val="24"/>
                <w:szCs w:val="24"/>
                <w:lang w:bidi="ar"/>
              </w:rPr>
              <w:t>销售（上海）有限公司办理旗下基金相关销售业务的公告</w:t>
            </w:r>
          </w:p>
        </w:tc>
        <w:tc>
          <w:tcPr>
            <w:tcW w:w="2292" w:type="dxa"/>
            <w:tcBorders>
              <w:top w:val="single" w:sz="4" w:space="0" w:color="auto"/>
              <w:left w:val="single" w:sz="4" w:space="0" w:color="auto"/>
              <w:bottom w:val="single" w:sz="4" w:space="0" w:color="auto"/>
              <w:right w:val="single" w:sz="4" w:space="0" w:color="auto"/>
            </w:tcBorders>
            <w:vAlign w:val="center"/>
          </w:tcPr>
          <w:p w14:paraId="729A67BC"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6</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10</w:t>
            </w:r>
            <w:r>
              <w:rPr>
                <w:rFonts w:asciiTheme="minorEastAsia" w:hAnsiTheme="minorEastAsia" w:cstheme="minorEastAsia" w:hint="eastAsia"/>
                <w:color w:val="000000"/>
                <w:kern w:val="0"/>
                <w:sz w:val="24"/>
                <w:szCs w:val="24"/>
                <w:lang w:bidi="ar"/>
              </w:rPr>
              <w:t>日</w:t>
            </w:r>
          </w:p>
        </w:tc>
      </w:tr>
      <w:tr w:rsidR="007B7C2A" w14:paraId="101FBC3B"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653999F8"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23</w:t>
            </w:r>
          </w:p>
        </w:tc>
        <w:tc>
          <w:tcPr>
            <w:tcW w:w="5245" w:type="dxa"/>
            <w:tcBorders>
              <w:top w:val="single" w:sz="4" w:space="0" w:color="auto"/>
              <w:left w:val="single" w:sz="4" w:space="0" w:color="auto"/>
              <w:bottom w:val="single" w:sz="4" w:space="0" w:color="auto"/>
              <w:right w:val="single" w:sz="4" w:space="0" w:color="auto"/>
            </w:tcBorders>
            <w:vAlign w:val="bottom"/>
          </w:tcPr>
          <w:p w14:paraId="6DD4B807"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富荣基金管理有限公司关于提醒投资者持续完善身份信息资料的公告</w:t>
            </w:r>
          </w:p>
        </w:tc>
        <w:tc>
          <w:tcPr>
            <w:tcW w:w="2292" w:type="dxa"/>
            <w:tcBorders>
              <w:top w:val="single" w:sz="4" w:space="0" w:color="auto"/>
              <w:left w:val="single" w:sz="4" w:space="0" w:color="auto"/>
              <w:bottom w:val="single" w:sz="4" w:space="0" w:color="auto"/>
              <w:right w:val="single" w:sz="4" w:space="0" w:color="auto"/>
            </w:tcBorders>
            <w:vAlign w:val="center"/>
          </w:tcPr>
          <w:p w14:paraId="14A4C4D4"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6</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24</w:t>
            </w:r>
            <w:r>
              <w:rPr>
                <w:rFonts w:asciiTheme="minorEastAsia" w:hAnsiTheme="minorEastAsia" w:cstheme="minorEastAsia" w:hint="eastAsia"/>
                <w:color w:val="000000"/>
                <w:kern w:val="0"/>
                <w:sz w:val="24"/>
                <w:szCs w:val="24"/>
                <w:lang w:bidi="ar"/>
              </w:rPr>
              <w:t>日</w:t>
            </w:r>
          </w:p>
        </w:tc>
      </w:tr>
      <w:tr w:rsidR="007B7C2A" w14:paraId="17477F35" w14:textId="77777777">
        <w:trPr>
          <w:trHeight w:val="340"/>
        </w:trPr>
        <w:tc>
          <w:tcPr>
            <w:tcW w:w="817" w:type="dxa"/>
            <w:tcBorders>
              <w:top w:val="single" w:sz="4" w:space="0" w:color="auto"/>
              <w:left w:val="single" w:sz="4" w:space="0" w:color="auto"/>
              <w:bottom w:val="single" w:sz="4" w:space="0" w:color="auto"/>
              <w:right w:val="single" w:sz="4" w:space="0" w:color="auto"/>
            </w:tcBorders>
          </w:tcPr>
          <w:p w14:paraId="2C84D44A"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sz w:val="24"/>
                <w:szCs w:val="24"/>
              </w:rPr>
              <w:t>24</w:t>
            </w:r>
          </w:p>
        </w:tc>
        <w:tc>
          <w:tcPr>
            <w:tcW w:w="5245" w:type="dxa"/>
            <w:tcBorders>
              <w:top w:val="single" w:sz="4" w:space="0" w:color="auto"/>
              <w:left w:val="single" w:sz="4" w:space="0" w:color="auto"/>
              <w:bottom w:val="single" w:sz="4" w:space="0" w:color="auto"/>
              <w:right w:val="single" w:sz="4" w:space="0" w:color="auto"/>
            </w:tcBorders>
            <w:vAlign w:val="bottom"/>
          </w:tcPr>
          <w:p w14:paraId="7ED0DED7" w14:textId="77777777" w:rsidR="007B7C2A" w:rsidRDefault="00072812">
            <w:pPr>
              <w:jc w:val="left"/>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富荣基金管理有限公司旗下全部基金</w:t>
            </w: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年第</w:t>
            </w:r>
            <w:r>
              <w:rPr>
                <w:rFonts w:asciiTheme="minorEastAsia" w:hAnsiTheme="minorEastAsia" w:cstheme="minorEastAsia" w:hint="eastAsia"/>
                <w:color w:val="000000"/>
                <w:kern w:val="0"/>
                <w:sz w:val="24"/>
                <w:szCs w:val="24"/>
                <w:lang w:bidi="ar"/>
              </w:rPr>
              <w:t>2</w:t>
            </w:r>
            <w:r>
              <w:rPr>
                <w:rFonts w:asciiTheme="minorEastAsia" w:hAnsiTheme="minorEastAsia" w:cstheme="minorEastAsia" w:hint="eastAsia"/>
                <w:color w:val="000000"/>
                <w:kern w:val="0"/>
                <w:sz w:val="24"/>
                <w:szCs w:val="24"/>
                <w:lang w:bidi="ar"/>
              </w:rPr>
              <w:t>季度报告提示性公告</w:t>
            </w:r>
          </w:p>
        </w:tc>
        <w:tc>
          <w:tcPr>
            <w:tcW w:w="2292" w:type="dxa"/>
            <w:tcBorders>
              <w:top w:val="single" w:sz="4" w:space="0" w:color="auto"/>
              <w:left w:val="single" w:sz="4" w:space="0" w:color="auto"/>
              <w:bottom w:val="single" w:sz="4" w:space="0" w:color="auto"/>
              <w:right w:val="single" w:sz="4" w:space="0" w:color="auto"/>
            </w:tcBorders>
            <w:vAlign w:val="center"/>
          </w:tcPr>
          <w:p w14:paraId="2E01D4A5" w14:textId="77777777" w:rsidR="007B7C2A" w:rsidRDefault="00072812">
            <w:pPr>
              <w:jc w:val="center"/>
              <w:rPr>
                <w:rFonts w:asciiTheme="minorEastAsia" w:hAnsiTheme="minorEastAsia" w:hint="eastAsia"/>
                <w:sz w:val="24"/>
                <w:szCs w:val="24"/>
              </w:rPr>
            </w:pPr>
            <w:r>
              <w:rPr>
                <w:rFonts w:asciiTheme="minorEastAsia" w:hAnsiTheme="minorEastAsia" w:cstheme="minorEastAsia" w:hint="eastAsia"/>
                <w:color w:val="000000"/>
                <w:kern w:val="0"/>
                <w:sz w:val="24"/>
                <w:szCs w:val="24"/>
                <w:lang w:bidi="ar"/>
              </w:rPr>
              <w:t>2025</w:t>
            </w:r>
            <w:r>
              <w:rPr>
                <w:rFonts w:asciiTheme="minorEastAsia" w:hAnsiTheme="minorEastAsia" w:cstheme="minorEastAsia" w:hint="eastAsia"/>
                <w:color w:val="000000"/>
                <w:kern w:val="0"/>
                <w:sz w:val="24"/>
                <w:szCs w:val="24"/>
                <w:lang w:bidi="ar"/>
              </w:rPr>
              <w:t>年</w:t>
            </w:r>
            <w:r>
              <w:rPr>
                <w:rFonts w:asciiTheme="minorEastAsia" w:hAnsiTheme="minorEastAsia" w:cstheme="minorEastAsia" w:hint="eastAsia"/>
                <w:color w:val="000000"/>
                <w:kern w:val="0"/>
                <w:sz w:val="24"/>
                <w:szCs w:val="24"/>
                <w:lang w:bidi="ar"/>
              </w:rPr>
              <w:t>7</w:t>
            </w:r>
            <w:r>
              <w:rPr>
                <w:rFonts w:asciiTheme="minorEastAsia" w:hAnsiTheme="minorEastAsia" w:cstheme="minorEastAsia" w:hint="eastAsia"/>
                <w:color w:val="000000"/>
                <w:kern w:val="0"/>
                <w:sz w:val="24"/>
                <w:szCs w:val="24"/>
                <w:lang w:bidi="ar"/>
              </w:rPr>
              <w:t>月</w:t>
            </w:r>
            <w:r>
              <w:rPr>
                <w:rFonts w:asciiTheme="minorEastAsia" w:hAnsiTheme="minorEastAsia" w:cstheme="minorEastAsia" w:hint="eastAsia"/>
                <w:color w:val="000000"/>
                <w:kern w:val="0"/>
                <w:sz w:val="24"/>
                <w:szCs w:val="24"/>
                <w:lang w:bidi="ar"/>
              </w:rPr>
              <w:t>21</w:t>
            </w:r>
            <w:r>
              <w:rPr>
                <w:rFonts w:asciiTheme="minorEastAsia" w:hAnsiTheme="minorEastAsia" w:cstheme="minorEastAsia" w:hint="eastAsia"/>
                <w:color w:val="000000"/>
                <w:kern w:val="0"/>
                <w:sz w:val="24"/>
                <w:szCs w:val="24"/>
                <w:lang w:bidi="ar"/>
              </w:rPr>
              <w:t>日</w:t>
            </w:r>
          </w:p>
        </w:tc>
      </w:tr>
    </w:tbl>
    <w:p w14:paraId="3B9F0459" w14:textId="77777777" w:rsidR="007B7C2A" w:rsidRDefault="00072812">
      <w:pPr>
        <w:ind w:firstLine="420"/>
        <w:rPr>
          <w:lang w:val="zh-CN"/>
        </w:rPr>
      </w:pPr>
      <w:r>
        <w:rPr>
          <w:lang w:val="zh-CN"/>
        </w:rPr>
        <w:br w:type="page"/>
      </w:r>
    </w:p>
    <w:p w14:paraId="5E76A79E" w14:textId="77777777" w:rsidR="007B7C2A" w:rsidRDefault="00072812">
      <w:pPr>
        <w:pStyle w:val="1"/>
        <w:ind w:firstLine="602"/>
        <w:jc w:val="center"/>
        <w:rPr>
          <w:sz w:val="30"/>
          <w:szCs w:val="30"/>
        </w:rPr>
      </w:pPr>
      <w:bookmarkStart w:id="423" w:name="_Toc146096539"/>
      <w:r>
        <w:rPr>
          <w:rFonts w:hint="eastAsia"/>
          <w:sz w:val="30"/>
          <w:szCs w:val="30"/>
        </w:rPr>
        <w:t>第二十二部分</w:t>
      </w:r>
      <w:r>
        <w:rPr>
          <w:sz w:val="30"/>
          <w:szCs w:val="30"/>
        </w:rPr>
        <w:t xml:space="preserve">  </w:t>
      </w:r>
      <w:r>
        <w:rPr>
          <w:rFonts w:hint="eastAsia"/>
          <w:sz w:val="30"/>
          <w:szCs w:val="30"/>
        </w:rPr>
        <w:t>招募说明书存放及查阅方式</w:t>
      </w:r>
      <w:bookmarkEnd w:id="418"/>
      <w:bookmarkEnd w:id="419"/>
      <w:bookmarkEnd w:id="420"/>
      <w:bookmarkEnd w:id="421"/>
      <w:bookmarkEnd w:id="423"/>
    </w:p>
    <w:p w14:paraId="090937B6"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依法必须披露的信息发布后，基金管理人、基金托管人应当按照相关法律法规规定将信息置备于公司住所、基金上市交易的证券交易所，供社会公众查阅、复制；投资人在支付工本费后，可在合理时间内取得上述文件复制件或复印件。对投资人按此种方式所获得的文件及其复印件，基金管理人保证文本的内容与所公告的内容完全一致。</w:t>
      </w:r>
    </w:p>
    <w:p w14:paraId="41AAF664"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投资人还可以直接登录基金管理人的网站（</w:t>
      </w:r>
      <w:r>
        <w:rPr>
          <w:rFonts w:asciiTheme="minorEastAsia" w:hAnsiTheme="minorEastAsia" w:cs="Arial" w:hint="eastAsia"/>
          <w:kern w:val="0"/>
          <w:sz w:val="24"/>
          <w:szCs w:val="24"/>
        </w:rPr>
        <w:t>www.furamc.com.cn</w:t>
      </w:r>
      <w:r>
        <w:rPr>
          <w:rFonts w:asciiTheme="minorEastAsia" w:hAnsiTheme="minorEastAsia" w:cs="Arial" w:hint="eastAsia"/>
          <w:kern w:val="0"/>
          <w:sz w:val="24"/>
          <w:szCs w:val="24"/>
        </w:rPr>
        <w:t>）查阅和下载招募说明书。</w:t>
      </w:r>
    </w:p>
    <w:p w14:paraId="56BB39C9" w14:textId="77777777" w:rsidR="007B7C2A" w:rsidRDefault="00072812">
      <w:pPr>
        <w:widowControl/>
        <w:jc w:val="left"/>
        <w:rPr>
          <w:rFonts w:asciiTheme="minorEastAsia" w:hAnsiTheme="minorEastAsia" w:cs="Arial" w:hint="eastAsia"/>
          <w:kern w:val="0"/>
          <w:sz w:val="24"/>
          <w:szCs w:val="24"/>
        </w:rPr>
      </w:pPr>
      <w:r>
        <w:rPr>
          <w:rFonts w:asciiTheme="minorEastAsia" w:hAnsiTheme="minorEastAsia" w:cs="Arial"/>
          <w:kern w:val="0"/>
          <w:sz w:val="24"/>
          <w:szCs w:val="24"/>
        </w:rPr>
        <w:br w:type="page"/>
      </w:r>
    </w:p>
    <w:p w14:paraId="67A4BD97" w14:textId="77777777" w:rsidR="007B7C2A" w:rsidRDefault="00072812">
      <w:pPr>
        <w:pStyle w:val="1"/>
        <w:ind w:firstLine="602"/>
        <w:jc w:val="center"/>
        <w:rPr>
          <w:sz w:val="30"/>
          <w:szCs w:val="30"/>
        </w:rPr>
      </w:pPr>
      <w:bookmarkStart w:id="424" w:name="_Toc146096540"/>
      <w:bookmarkEnd w:id="62"/>
      <w:bookmarkEnd w:id="63"/>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sz w:val="30"/>
          <w:szCs w:val="30"/>
        </w:rPr>
        <w:t>第二十</w:t>
      </w:r>
      <w:r>
        <w:rPr>
          <w:rFonts w:hint="eastAsia"/>
          <w:sz w:val="30"/>
          <w:szCs w:val="30"/>
        </w:rPr>
        <w:t>三</w:t>
      </w:r>
      <w:r>
        <w:rPr>
          <w:sz w:val="30"/>
          <w:szCs w:val="30"/>
        </w:rPr>
        <w:t>部分</w:t>
      </w:r>
      <w:r>
        <w:rPr>
          <w:sz w:val="30"/>
          <w:szCs w:val="30"/>
        </w:rPr>
        <w:t xml:space="preserve">  </w:t>
      </w:r>
      <w:r>
        <w:rPr>
          <w:sz w:val="30"/>
          <w:szCs w:val="30"/>
        </w:rPr>
        <w:t>备查文件</w:t>
      </w:r>
      <w:bookmarkEnd w:id="424"/>
    </w:p>
    <w:p w14:paraId="360A4770" w14:textId="77777777" w:rsidR="007B7C2A" w:rsidRDefault="007B7C2A">
      <w:pPr>
        <w:rPr>
          <w:rFonts w:asciiTheme="minorEastAsia" w:hAnsiTheme="minorEastAsia" w:cs="Times New Roman" w:hint="eastAsia"/>
          <w:sz w:val="24"/>
          <w:szCs w:val="24"/>
          <w:lang w:val="zh-CN"/>
        </w:rPr>
      </w:pPr>
    </w:p>
    <w:p w14:paraId="436357A6"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以下备查文件存放在基金管理人的办公场所，在办公时间可供免费查阅。</w:t>
      </w:r>
    </w:p>
    <w:p w14:paraId="55264B7A"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（一）中国证监会</w:t>
      </w:r>
      <w:r>
        <w:rPr>
          <w:rFonts w:asciiTheme="minorEastAsia" w:hAnsiTheme="minorEastAsia" w:cs="Arial" w:hint="eastAsia"/>
          <w:kern w:val="0"/>
          <w:sz w:val="24"/>
          <w:szCs w:val="24"/>
        </w:rPr>
        <w:t>准予</w:t>
      </w:r>
      <w:r>
        <w:rPr>
          <w:rFonts w:asciiTheme="minorEastAsia" w:hAnsiTheme="minorEastAsia" w:cs="Arial"/>
          <w:kern w:val="0"/>
          <w:sz w:val="24"/>
          <w:szCs w:val="24"/>
        </w:rPr>
        <w:t>富荣福鑫灵活配置混合型证券投资基金募集</w:t>
      </w:r>
      <w:r>
        <w:rPr>
          <w:rFonts w:asciiTheme="minorEastAsia" w:hAnsiTheme="minorEastAsia" w:cs="Arial" w:hint="eastAsia"/>
          <w:kern w:val="0"/>
          <w:sz w:val="24"/>
          <w:szCs w:val="24"/>
        </w:rPr>
        <w:t>注册</w:t>
      </w:r>
      <w:r>
        <w:rPr>
          <w:rFonts w:asciiTheme="minorEastAsia" w:hAnsiTheme="minorEastAsia" w:cs="Arial"/>
          <w:kern w:val="0"/>
          <w:sz w:val="24"/>
          <w:szCs w:val="24"/>
        </w:rPr>
        <w:t>的文件</w:t>
      </w:r>
      <w:r>
        <w:rPr>
          <w:rFonts w:asciiTheme="minorEastAsia" w:hAnsiTheme="minorEastAsia" w:cs="Arial"/>
          <w:kern w:val="0"/>
          <w:sz w:val="24"/>
          <w:szCs w:val="24"/>
        </w:rPr>
        <w:t xml:space="preserve"> </w:t>
      </w:r>
    </w:p>
    <w:p w14:paraId="392A6ECC"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（二）《富荣福鑫灵活配置混合型证券投资基金基金合同》</w:t>
      </w:r>
      <w:r>
        <w:rPr>
          <w:rFonts w:asciiTheme="minorEastAsia" w:hAnsiTheme="minorEastAsia" w:cs="Arial"/>
          <w:kern w:val="0"/>
          <w:sz w:val="24"/>
          <w:szCs w:val="24"/>
        </w:rPr>
        <w:t xml:space="preserve"> </w:t>
      </w:r>
    </w:p>
    <w:p w14:paraId="2BE95C08"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（三）《富荣福鑫灵活配置混合型证券投资基金托管协议》</w:t>
      </w:r>
      <w:r>
        <w:rPr>
          <w:rFonts w:asciiTheme="minorEastAsia" w:hAnsiTheme="minorEastAsia" w:cs="Arial"/>
          <w:kern w:val="0"/>
          <w:sz w:val="24"/>
          <w:szCs w:val="24"/>
        </w:rPr>
        <w:t xml:space="preserve"> </w:t>
      </w:r>
    </w:p>
    <w:p w14:paraId="327C632B"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（四）基金管理人业务资格批件、营业执照</w:t>
      </w:r>
    </w:p>
    <w:p w14:paraId="68F52E4D"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（五）基金托管人业务资格批件、营业执照</w:t>
      </w:r>
    </w:p>
    <w:p w14:paraId="20FE3D54"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（六）关于申请募集</w:t>
      </w:r>
      <w:r>
        <w:rPr>
          <w:rFonts w:asciiTheme="minorEastAsia" w:hAnsiTheme="minorEastAsia" w:cs="Arial" w:hint="eastAsia"/>
          <w:kern w:val="0"/>
          <w:sz w:val="24"/>
          <w:szCs w:val="24"/>
        </w:rPr>
        <w:t>注册</w:t>
      </w:r>
      <w:r>
        <w:rPr>
          <w:rFonts w:asciiTheme="minorEastAsia" w:hAnsiTheme="minorEastAsia" w:cs="Arial"/>
          <w:kern w:val="0"/>
          <w:sz w:val="24"/>
          <w:szCs w:val="24"/>
        </w:rPr>
        <w:t>富荣福鑫灵活配置混合型证券投资基金</w:t>
      </w:r>
      <w:r>
        <w:rPr>
          <w:rFonts w:asciiTheme="minorEastAsia" w:hAnsiTheme="minorEastAsia" w:cs="Arial" w:hint="eastAsia"/>
          <w:kern w:val="0"/>
          <w:sz w:val="24"/>
          <w:szCs w:val="24"/>
        </w:rPr>
        <w:t>的</w:t>
      </w:r>
      <w:r>
        <w:rPr>
          <w:rFonts w:asciiTheme="minorEastAsia" w:hAnsiTheme="minorEastAsia" w:cs="Arial"/>
          <w:kern w:val="0"/>
          <w:sz w:val="24"/>
          <w:szCs w:val="24"/>
        </w:rPr>
        <w:t>法律意见书</w:t>
      </w:r>
    </w:p>
    <w:p w14:paraId="548394EF"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hint="eastAsia"/>
          <w:kern w:val="0"/>
          <w:sz w:val="24"/>
          <w:szCs w:val="24"/>
        </w:rPr>
        <w:t>（七）中国证监会要求的其他文件</w:t>
      </w:r>
    </w:p>
    <w:p w14:paraId="56F5715C" w14:textId="77777777" w:rsidR="007B7C2A" w:rsidRDefault="00072812">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r>
        <w:rPr>
          <w:rFonts w:asciiTheme="minorEastAsia" w:hAnsiTheme="minorEastAsia" w:cs="Arial"/>
          <w:kern w:val="0"/>
          <w:sz w:val="24"/>
          <w:szCs w:val="24"/>
        </w:rPr>
        <w:t>查阅方式：投资者可在营业时间免费查阅，也可按工本费购买复印件。</w:t>
      </w:r>
    </w:p>
    <w:p w14:paraId="210ABCC7" w14:textId="77777777" w:rsidR="007B7C2A" w:rsidRDefault="007B7C2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33F8D66A" w14:textId="77777777" w:rsidR="007B7C2A" w:rsidRDefault="007B7C2A">
      <w:pPr>
        <w:widowControl/>
        <w:adjustRightInd w:val="0"/>
        <w:snapToGrid w:val="0"/>
        <w:spacing w:line="360" w:lineRule="auto"/>
        <w:ind w:rightChars="-85" w:right="-178" w:firstLineChars="200" w:firstLine="480"/>
        <w:rPr>
          <w:rFonts w:asciiTheme="minorEastAsia" w:hAnsiTheme="minorEastAsia" w:cs="Arial" w:hint="eastAsia"/>
          <w:kern w:val="0"/>
          <w:sz w:val="24"/>
          <w:szCs w:val="24"/>
        </w:rPr>
      </w:pPr>
    </w:p>
    <w:p w14:paraId="6C467C38"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671856C5"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2BC5A919" w14:textId="77777777" w:rsidR="007B7C2A" w:rsidRDefault="00072812">
      <w:pPr>
        <w:widowControl/>
        <w:adjustRightInd w:val="0"/>
        <w:snapToGrid w:val="0"/>
        <w:spacing w:line="360" w:lineRule="auto"/>
        <w:ind w:rightChars="-85" w:right="-178"/>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富荣基金管理有限公司</w:t>
      </w:r>
    </w:p>
    <w:p w14:paraId="44B37279" w14:textId="0BA9F7EE" w:rsidR="007B7C2A" w:rsidRDefault="00072812">
      <w:pPr>
        <w:widowControl/>
        <w:adjustRightInd w:val="0"/>
        <w:snapToGrid w:val="0"/>
        <w:spacing w:line="360" w:lineRule="auto"/>
        <w:ind w:rightChars="-85" w:right="-178"/>
        <w:jc w:val="center"/>
        <w:rPr>
          <w:rFonts w:asciiTheme="minorEastAsia" w:hAnsiTheme="minorEastAsia" w:cs="Arial" w:hint="eastAsia"/>
          <w:kern w:val="0"/>
          <w:sz w:val="24"/>
          <w:szCs w:val="24"/>
        </w:rPr>
      </w:pPr>
      <w:r>
        <w:rPr>
          <w:rFonts w:asciiTheme="minorEastAsia" w:hAnsiTheme="minorEastAsia" w:cs="Arial" w:hint="eastAsia"/>
          <w:kern w:val="0"/>
          <w:sz w:val="24"/>
          <w:szCs w:val="24"/>
        </w:rPr>
        <w:t xml:space="preserve">                                                  2026</w:t>
      </w:r>
      <w:r>
        <w:rPr>
          <w:rFonts w:asciiTheme="minorEastAsia" w:hAnsiTheme="minorEastAsia" w:cs="Arial" w:hint="eastAsia"/>
          <w:kern w:val="0"/>
          <w:sz w:val="24"/>
          <w:szCs w:val="24"/>
        </w:rPr>
        <w:t>年</w:t>
      </w:r>
      <w:r>
        <w:rPr>
          <w:rFonts w:asciiTheme="minorEastAsia" w:hAnsiTheme="minorEastAsia" w:cs="Arial" w:hint="eastAsia"/>
          <w:kern w:val="0"/>
          <w:sz w:val="24"/>
          <w:szCs w:val="24"/>
        </w:rPr>
        <w:t>3</w:t>
      </w:r>
      <w:r>
        <w:rPr>
          <w:rFonts w:asciiTheme="minorEastAsia" w:hAnsiTheme="minorEastAsia" w:cs="Arial" w:hint="eastAsia"/>
          <w:kern w:val="0"/>
          <w:sz w:val="24"/>
          <w:szCs w:val="24"/>
        </w:rPr>
        <w:t>月</w:t>
      </w:r>
      <w:r>
        <w:rPr>
          <w:rFonts w:asciiTheme="minorEastAsia" w:hAnsiTheme="minorEastAsia" w:cs="Arial" w:hint="eastAsia"/>
          <w:kern w:val="0"/>
          <w:sz w:val="24"/>
          <w:szCs w:val="24"/>
        </w:rPr>
        <w:t>3</w:t>
      </w:r>
      <w:r w:rsidR="00B121B1">
        <w:rPr>
          <w:rFonts w:asciiTheme="minorEastAsia" w:hAnsiTheme="minorEastAsia" w:cs="Arial" w:hint="eastAsia"/>
          <w:kern w:val="0"/>
          <w:sz w:val="24"/>
          <w:szCs w:val="24"/>
        </w:rPr>
        <w:t>0</w:t>
      </w:r>
      <w:r>
        <w:rPr>
          <w:rFonts w:asciiTheme="minorEastAsia" w:hAnsiTheme="minorEastAsia" w:cs="Arial" w:hint="eastAsia"/>
          <w:kern w:val="0"/>
          <w:sz w:val="24"/>
          <w:szCs w:val="24"/>
        </w:rPr>
        <w:t>日</w:t>
      </w:r>
    </w:p>
    <w:p w14:paraId="333B6E44"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0A01E62C"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05E7D3B2"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29B0FF80"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06468EF2"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5BE68B4A"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367A8A9F"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1624CF74"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1D3758E1"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6F596B01"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546AF934"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26E712D7" w14:textId="77777777" w:rsidR="007B7C2A" w:rsidRDefault="007B7C2A">
      <w:pPr>
        <w:widowControl/>
        <w:adjustRightInd w:val="0"/>
        <w:snapToGrid w:val="0"/>
        <w:spacing w:line="360" w:lineRule="auto"/>
        <w:ind w:rightChars="-85" w:right="-178" w:firstLineChars="200" w:firstLine="420"/>
        <w:rPr>
          <w:rFonts w:ascii="Arial" w:eastAsia="宋体" w:hAnsi="Arial" w:cs="Arial"/>
          <w:kern w:val="0"/>
          <w:szCs w:val="21"/>
        </w:rPr>
      </w:pPr>
    </w:p>
    <w:p w14:paraId="09CA7882" w14:textId="77777777" w:rsidR="007B7C2A" w:rsidRDefault="007B7C2A">
      <w:pPr>
        <w:widowControl/>
        <w:adjustRightInd w:val="0"/>
        <w:snapToGrid w:val="0"/>
        <w:spacing w:line="360" w:lineRule="auto"/>
        <w:ind w:rightChars="-85" w:right="-178" w:firstLineChars="3050" w:firstLine="6405"/>
        <w:rPr>
          <w:lang w:val="zh-CN"/>
        </w:rPr>
      </w:pPr>
    </w:p>
    <w:sectPr w:rsidR="007B7C2A">
      <w:pgSz w:w="11906" w:h="16838"/>
      <w:pgMar w:top="1440" w:right="1800" w:bottom="1440" w:left="1800" w:header="851" w:footer="992" w:gutter="0"/>
      <w:pgNumType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85D8" w14:textId="77777777" w:rsidR="00012893" w:rsidRDefault="00012893">
      <w:r>
        <w:separator/>
      </w:r>
    </w:p>
  </w:endnote>
  <w:endnote w:type="continuationSeparator" w:id="0">
    <w:p w14:paraId="45361D87" w14:textId="77777777" w:rsidR="00012893" w:rsidRDefault="0001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方正仿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2358" w14:textId="77777777" w:rsidR="007B7C2A" w:rsidRDefault="007B7C2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7413" w14:textId="77777777" w:rsidR="007B7C2A" w:rsidRDefault="007B7C2A">
    <w:pPr>
      <w:pStyle w:val="ae"/>
      <w:jc w:val="center"/>
    </w:pPr>
  </w:p>
  <w:p w14:paraId="63EBEFEA" w14:textId="77777777" w:rsidR="007B7C2A" w:rsidRDefault="007B7C2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9CDC" w14:textId="77777777" w:rsidR="007B7C2A" w:rsidRDefault="007B7C2A">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6952" w14:textId="77777777" w:rsidR="007B7C2A" w:rsidRDefault="007B7C2A">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327828"/>
    </w:sdtPr>
    <w:sdtEndPr/>
    <w:sdtContent>
      <w:p w14:paraId="51229DAB" w14:textId="77777777" w:rsidR="007B7C2A" w:rsidRDefault="00072812">
        <w:pPr>
          <w:pStyle w:val="ae"/>
          <w:jc w:val="center"/>
          <w:rPr>
            <w:lang w:val="zh-CN"/>
          </w:rPr>
        </w:pPr>
        <w:r>
          <w:rPr>
            <w:lang w:val="zh-CN"/>
          </w:rPr>
          <w:fldChar w:fldCharType="begin"/>
        </w:r>
        <w:r>
          <w:rPr>
            <w:lang w:val="zh-CN"/>
          </w:rPr>
          <w:instrText>PAGE   \* MERGEFORMAT</w:instrText>
        </w:r>
        <w:r>
          <w:rPr>
            <w:lang w:val="zh-CN"/>
          </w:rPr>
          <w:fldChar w:fldCharType="separate"/>
        </w:r>
        <w:r>
          <w:rPr>
            <w:lang w:val="zh-CN"/>
          </w:rPr>
          <w:t>11</w:t>
        </w:r>
        <w:r>
          <w:rPr>
            <w:lang w:val="zh-CN"/>
          </w:rPr>
          <w:fldChar w:fldCharType="end"/>
        </w:r>
      </w:p>
    </w:sdtContent>
  </w:sdt>
  <w:p w14:paraId="3807855C" w14:textId="77777777" w:rsidR="007B7C2A" w:rsidRDefault="007B7C2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74D6" w14:textId="77777777" w:rsidR="00012893" w:rsidRDefault="00012893">
      <w:r>
        <w:separator/>
      </w:r>
    </w:p>
  </w:footnote>
  <w:footnote w:type="continuationSeparator" w:id="0">
    <w:p w14:paraId="01584D39" w14:textId="77777777" w:rsidR="00012893" w:rsidRDefault="0001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CCDA" w14:textId="77777777" w:rsidR="007B7C2A" w:rsidRDefault="007B7C2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9CE1" w14:textId="14113B60" w:rsidR="007B7C2A" w:rsidRDefault="00072812">
    <w:pPr>
      <w:pStyle w:val="af0"/>
      <w:jc w:val="left"/>
    </w:pPr>
    <w:r>
      <w:rPr>
        <w:rFonts w:ascii="Arial" w:hAnsi="Arial" w:cs="Arial" w:hint="eastAsia"/>
        <w:szCs w:val="21"/>
      </w:rPr>
      <w:t>富荣福鑫灵活配置混合型证券投资基金更新</w:t>
    </w:r>
    <w:r>
      <w:rPr>
        <w:rFonts w:ascii="Arial" w:hAnsi="Arial" w:cs="Arial"/>
        <w:szCs w:val="21"/>
      </w:rPr>
      <w:t>的招募说明书</w:t>
    </w:r>
    <w:r>
      <w:rPr>
        <w:rFonts w:ascii="Arial" w:hAnsi="Arial" w:cs="Arial" w:hint="eastAsia"/>
        <w:szCs w:val="21"/>
      </w:rPr>
      <w:t>（</w:t>
    </w:r>
    <w:r>
      <w:rPr>
        <w:rFonts w:ascii="Arial" w:hAnsi="Arial" w:cs="Arial" w:hint="eastAsia"/>
        <w:szCs w:val="21"/>
      </w:rPr>
      <w:t>2026</w:t>
    </w:r>
    <w:r>
      <w:rPr>
        <w:rFonts w:ascii="Arial" w:hAnsi="Arial" w:cs="Arial" w:hint="eastAsia"/>
        <w:szCs w:val="21"/>
      </w:rPr>
      <w:t>年第</w:t>
    </w:r>
    <w:r>
      <w:rPr>
        <w:rFonts w:ascii="Arial" w:hAnsi="Arial" w:cs="Arial" w:hint="eastAsia"/>
        <w:szCs w:val="21"/>
      </w:rPr>
      <w:t>1</w:t>
    </w:r>
    <w:r>
      <w:rPr>
        <w:rFonts w:ascii="Arial" w:hAnsi="Arial" w:cs="Arial" w:hint="eastAsia"/>
        <w:szCs w:val="21"/>
      </w:rPr>
      <w:t>号）</w:t>
    </w:r>
    <w:r>
      <w:rPr>
        <w:rFonts w:ascii="Arial" w:hAnsi="Arial" w:cs="Arial" w:hint="eastAsia"/>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1229" w14:textId="77777777" w:rsidR="007B7C2A" w:rsidRDefault="007B7C2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FC8C49"/>
    <w:multiLevelType w:val="singleLevel"/>
    <w:tmpl w:val="8BFC8C49"/>
    <w:lvl w:ilvl="0">
      <w:start w:val="2"/>
      <w:numFmt w:val="decimal"/>
      <w:suff w:val="nothing"/>
      <w:lvlText w:val="%1、"/>
      <w:lvlJc w:val="left"/>
    </w:lvl>
  </w:abstractNum>
  <w:abstractNum w:abstractNumId="1"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singleLevel"/>
    <w:tmpl w:val="0000000D"/>
    <w:lvl w:ilvl="0">
      <w:start w:val="1"/>
      <w:numFmt w:val="bullet"/>
      <w:pStyle w:val="Listbullet"/>
      <w:lvlText w:val=""/>
      <w:lvlJc w:val="left"/>
      <w:pPr>
        <w:tabs>
          <w:tab w:val="left" w:pos="360"/>
        </w:tabs>
        <w:ind w:left="360" w:hanging="360"/>
      </w:pPr>
      <w:rPr>
        <w:rFonts w:ascii="Symbol" w:hAnsi="Symbol" w:hint="default"/>
        <w:color w:val="auto"/>
      </w:rPr>
    </w:lvl>
  </w:abstractNum>
  <w:num w:numId="1" w16cid:durableId="2125998136">
    <w:abstractNumId w:val="1"/>
  </w:num>
  <w:num w:numId="2" w16cid:durableId="1613438090">
    <w:abstractNumId w:val="2"/>
  </w:num>
  <w:num w:numId="3" w16cid:durableId="127902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Y2ODUzNGVlMWY5MTdmYzk4NTgyYTQzMDZkYWUyOTUifQ=="/>
  </w:docVars>
  <w:rsids>
    <w:rsidRoot w:val="00F562CC"/>
    <w:rsid w:val="0000032A"/>
    <w:rsid w:val="00002CBF"/>
    <w:rsid w:val="0000336D"/>
    <w:rsid w:val="000064AF"/>
    <w:rsid w:val="00007218"/>
    <w:rsid w:val="00011E0C"/>
    <w:rsid w:val="00012893"/>
    <w:rsid w:val="000133F3"/>
    <w:rsid w:val="000134DF"/>
    <w:rsid w:val="000141B3"/>
    <w:rsid w:val="000150A1"/>
    <w:rsid w:val="0001617B"/>
    <w:rsid w:val="00016B2F"/>
    <w:rsid w:val="000178C9"/>
    <w:rsid w:val="00017B51"/>
    <w:rsid w:val="000201A2"/>
    <w:rsid w:val="000219D5"/>
    <w:rsid w:val="00021C6F"/>
    <w:rsid w:val="00026156"/>
    <w:rsid w:val="000267AF"/>
    <w:rsid w:val="00026A47"/>
    <w:rsid w:val="00032C15"/>
    <w:rsid w:val="00035DF8"/>
    <w:rsid w:val="00041B54"/>
    <w:rsid w:val="00043AE1"/>
    <w:rsid w:val="00043AE3"/>
    <w:rsid w:val="000455CE"/>
    <w:rsid w:val="00047A49"/>
    <w:rsid w:val="000507C1"/>
    <w:rsid w:val="00050D60"/>
    <w:rsid w:val="00050E32"/>
    <w:rsid w:val="00051A60"/>
    <w:rsid w:val="0005270F"/>
    <w:rsid w:val="00053A28"/>
    <w:rsid w:val="00055889"/>
    <w:rsid w:val="00056B75"/>
    <w:rsid w:val="0005737F"/>
    <w:rsid w:val="0006090B"/>
    <w:rsid w:val="00060CE1"/>
    <w:rsid w:val="00061EFE"/>
    <w:rsid w:val="00062C1B"/>
    <w:rsid w:val="000664C2"/>
    <w:rsid w:val="00066597"/>
    <w:rsid w:val="0007157D"/>
    <w:rsid w:val="0007164A"/>
    <w:rsid w:val="00072066"/>
    <w:rsid w:val="00072812"/>
    <w:rsid w:val="000728A4"/>
    <w:rsid w:val="00073169"/>
    <w:rsid w:val="0007316A"/>
    <w:rsid w:val="00073EEF"/>
    <w:rsid w:val="00076E9C"/>
    <w:rsid w:val="00076F0A"/>
    <w:rsid w:val="000817BB"/>
    <w:rsid w:val="00084A9D"/>
    <w:rsid w:val="00084EBD"/>
    <w:rsid w:val="00085490"/>
    <w:rsid w:val="00087E3E"/>
    <w:rsid w:val="00092FE3"/>
    <w:rsid w:val="00093B11"/>
    <w:rsid w:val="0009505B"/>
    <w:rsid w:val="0009610D"/>
    <w:rsid w:val="000969CD"/>
    <w:rsid w:val="00096D0E"/>
    <w:rsid w:val="00097759"/>
    <w:rsid w:val="000A04C4"/>
    <w:rsid w:val="000A1798"/>
    <w:rsid w:val="000A1D6A"/>
    <w:rsid w:val="000A1FED"/>
    <w:rsid w:val="000A2809"/>
    <w:rsid w:val="000A2E2D"/>
    <w:rsid w:val="000B0075"/>
    <w:rsid w:val="000B0F0B"/>
    <w:rsid w:val="000B47D5"/>
    <w:rsid w:val="000B4DA0"/>
    <w:rsid w:val="000B6836"/>
    <w:rsid w:val="000B720D"/>
    <w:rsid w:val="000B7428"/>
    <w:rsid w:val="000B7622"/>
    <w:rsid w:val="000B7ACE"/>
    <w:rsid w:val="000C3020"/>
    <w:rsid w:val="000C36FD"/>
    <w:rsid w:val="000C4C8F"/>
    <w:rsid w:val="000C5204"/>
    <w:rsid w:val="000C5F1A"/>
    <w:rsid w:val="000C6A77"/>
    <w:rsid w:val="000D3337"/>
    <w:rsid w:val="000D3685"/>
    <w:rsid w:val="000D6FDD"/>
    <w:rsid w:val="000D721E"/>
    <w:rsid w:val="000E1E9B"/>
    <w:rsid w:val="000E3D34"/>
    <w:rsid w:val="000E4187"/>
    <w:rsid w:val="000E41F6"/>
    <w:rsid w:val="000E541B"/>
    <w:rsid w:val="000E67E3"/>
    <w:rsid w:val="000E6E2E"/>
    <w:rsid w:val="000F08B1"/>
    <w:rsid w:val="000F248B"/>
    <w:rsid w:val="000F4000"/>
    <w:rsid w:val="000F5C40"/>
    <w:rsid w:val="000F63F5"/>
    <w:rsid w:val="00102D5B"/>
    <w:rsid w:val="00112609"/>
    <w:rsid w:val="00112BE2"/>
    <w:rsid w:val="0012019B"/>
    <w:rsid w:val="00121C63"/>
    <w:rsid w:val="00127ED5"/>
    <w:rsid w:val="00132839"/>
    <w:rsid w:val="00133E74"/>
    <w:rsid w:val="001369D9"/>
    <w:rsid w:val="00145063"/>
    <w:rsid w:val="00147C35"/>
    <w:rsid w:val="00150907"/>
    <w:rsid w:val="00150A8E"/>
    <w:rsid w:val="00152A02"/>
    <w:rsid w:val="001545B6"/>
    <w:rsid w:val="00157C21"/>
    <w:rsid w:val="001609F9"/>
    <w:rsid w:val="0016112E"/>
    <w:rsid w:val="001635EE"/>
    <w:rsid w:val="00163E1B"/>
    <w:rsid w:val="0016420F"/>
    <w:rsid w:val="00164340"/>
    <w:rsid w:val="001649DE"/>
    <w:rsid w:val="00165259"/>
    <w:rsid w:val="00166406"/>
    <w:rsid w:val="0016706A"/>
    <w:rsid w:val="001745C9"/>
    <w:rsid w:val="0017467F"/>
    <w:rsid w:val="00174F6A"/>
    <w:rsid w:val="00176E46"/>
    <w:rsid w:val="001809C8"/>
    <w:rsid w:val="0018127A"/>
    <w:rsid w:val="00181F45"/>
    <w:rsid w:val="00182252"/>
    <w:rsid w:val="001824D3"/>
    <w:rsid w:val="00184AAE"/>
    <w:rsid w:val="00184E9F"/>
    <w:rsid w:val="00185938"/>
    <w:rsid w:val="00185F7E"/>
    <w:rsid w:val="00186BD5"/>
    <w:rsid w:val="001903DC"/>
    <w:rsid w:val="00191BD1"/>
    <w:rsid w:val="0019372E"/>
    <w:rsid w:val="00193779"/>
    <w:rsid w:val="001A092A"/>
    <w:rsid w:val="001A0D71"/>
    <w:rsid w:val="001A0FAD"/>
    <w:rsid w:val="001A1315"/>
    <w:rsid w:val="001A3539"/>
    <w:rsid w:val="001A64DD"/>
    <w:rsid w:val="001B02C1"/>
    <w:rsid w:val="001B101B"/>
    <w:rsid w:val="001B11B3"/>
    <w:rsid w:val="001B1C13"/>
    <w:rsid w:val="001B32CE"/>
    <w:rsid w:val="001B4A8C"/>
    <w:rsid w:val="001B598D"/>
    <w:rsid w:val="001B6904"/>
    <w:rsid w:val="001B716E"/>
    <w:rsid w:val="001C0AE8"/>
    <w:rsid w:val="001C258D"/>
    <w:rsid w:val="001C3B1D"/>
    <w:rsid w:val="001C404F"/>
    <w:rsid w:val="001D0185"/>
    <w:rsid w:val="001D16D4"/>
    <w:rsid w:val="001D2EF8"/>
    <w:rsid w:val="001D2F48"/>
    <w:rsid w:val="001E05E8"/>
    <w:rsid w:val="001E40EA"/>
    <w:rsid w:val="001F13FC"/>
    <w:rsid w:val="001F141D"/>
    <w:rsid w:val="001F2A1F"/>
    <w:rsid w:val="001F32BF"/>
    <w:rsid w:val="001F5570"/>
    <w:rsid w:val="001F6581"/>
    <w:rsid w:val="001F7512"/>
    <w:rsid w:val="002001D3"/>
    <w:rsid w:val="00201AB5"/>
    <w:rsid w:val="002047D1"/>
    <w:rsid w:val="00205E21"/>
    <w:rsid w:val="002078F3"/>
    <w:rsid w:val="00207CD5"/>
    <w:rsid w:val="00212CA5"/>
    <w:rsid w:val="00213F3E"/>
    <w:rsid w:val="00214E5D"/>
    <w:rsid w:val="00220CDC"/>
    <w:rsid w:val="00224EE1"/>
    <w:rsid w:val="0022597A"/>
    <w:rsid w:val="00227859"/>
    <w:rsid w:val="00231846"/>
    <w:rsid w:val="0023220C"/>
    <w:rsid w:val="00233D45"/>
    <w:rsid w:val="00234849"/>
    <w:rsid w:val="0023618C"/>
    <w:rsid w:val="00240553"/>
    <w:rsid w:val="00241ACA"/>
    <w:rsid w:val="002430FE"/>
    <w:rsid w:val="00244A82"/>
    <w:rsid w:val="002453CC"/>
    <w:rsid w:val="0025072D"/>
    <w:rsid w:val="002507FE"/>
    <w:rsid w:val="00250CC4"/>
    <w:rsid w:val="0025184A"/>
    <w:rsid w:val="0025287F"/>
    <w:rsid w:val="0025398C"/>
    <w:rsid w:val="002601E9"/>
    <w:rsid w:val="00260AE0"/>
    <w:rsid w:val="00263BCA"/>
    <w:rsid w:val="00266A12"/>
    <w:rsid w:val="002701CE"/>
    <w:rsid w:val="002706A4"/>
    <w:rsid w:val="0027136F"/>
    <w:rsid w:val="00272F3A"/>
    <w:rsid w:val="00273F62"/>
    <w:rsid w:val="00274D96"/>
    <w:rsid w:val="00275C73"/>
    <w:rsid w:val="00276378"/>
    <w:rsid w:val="00276DBD"/>
    <w:rsid w:val="00277344"/>
    <w:rsid w:val="00277C9D"/>
    <w:rsid w:val="0028015E"/>
    <w:rsid w:val="0028092B"/>
    <w:rsid w:val="00282420"/>
    <w:rsid w:val="00283A8E"/>
    <w:rsid w:val="00283F15"/>
    <w:rsid w:val="00286219"/>
    <w:rsid w:val="002863C8"/>
    <w:rsid w:val="00291943"/>
    <w:rsid w:val="00293EA5"/>
    <w:rsid w:val="00294189"/>
    <w:rsid w:val="002966EC"/>
    <w:rsid w:val="002968F6"/>
    <w:rsid w:val="002A00BA"/>
    <w:rsid w:val="002A1559"/>
    <w:rsid w:val="002A1DD0"/>
    <w:rsid w:val="002A326D"/>
    <w:rsid w:val="002A6E10"/>
    <w:rsid w:val="002A74CB"/>
    <w:rsid w:val="002A7618"/>
    <w:rsid w:val="002B01D8"/>
    <w:rsid w:val="002B028E"/>
    <w:rsid w:val="002B0535"/>
    <w:rsid w:val="002B0575"/>
    <w:rsid w:val="002B2488"/>
    <w:rsid w:val="002B64A8"/>
    <w:rsid w:val="002C05BF"/>
    <w:rsid w:val="002C438F"/>
    <w:rsid w:val="002C4E0D"/>
    <w:rsid w:val="002D0DE7"/>
    <w:rsid w:val="002D2F8F"/>
    <w:rsid w:val="002D32E2"/>
    <w:rsid w:val="002E342B"/>
    <w:rsid w:val="002E3582"/>
    <w:rsid w:val="002E43DE"/>
    <w:rsid w:val="002E458F"/>
    <w:rsid w:val="002E6770"/>
    <w:rsid w:val="002E7690"/>
    <w:rsid w:val="002F0AEB"/>
    <w:rsid w:val="002F1260"/>
    <w:rsid w:val="002F29FC"/>
    <w:rsid w:val="002F71C2"/>
    <w:rsid w:val="002F7A61"/>
    <w:rsid w:val="00301FB3"/>
    <w:rsid w:val="0030224D"/>
    <w:rsid w:val="00302E91"/>
    <w:rsid w:val="003050DA"/>
    <w:rsid w:val="00310536"/>
    <w:rsid w:val="0031518F"/>
    <w:rsid w:val="003155E3"/>
    <w:rsid w:val="00315AD6"/>
    <w:rsid w:val="00315D57"/>
    <w:rsid w:val="00317ABB"/>
    <w:rsid w:val="00322772"/>
    <w:rsid w:val="0032630C"/>
    <w:rsid w:val="00326A72"/>
    <w:rsid w:val="003271BF"/>
    <w:rsid w:val="00327368"/>
    <w:rsid w:val="0032747B"/>
    <w:rsid w:val="00327B0A"/>
    <w:rsid w:val="00327DF4"/>
    <w:rsid w:val="0033271C"/>
    <w:rsid w:val="0033347C"/>
    <w:rsid w:val="00333E36"/>
    <w:rsid w:val="00334B30"/>
    <w:rsid w:val="00335EB6"/>
    <w:rsid w:val="0033785C"/>
    <w:rsid w:val="00344461"/>
    <w:rsid w:val="00345D8B"/>
    <w:rsid w:val="003464D5"/>
    <w:rsid w:val="0035181F"/>
    <w:rsid w:val="00352C16"/>
    <w:rsid w:val="00353591"/>
    <w:rsid w:val="00354A44"/>
    <w:rsid w:val="00363440"/>
    <w:rsid w:val="00363E46"/>
    <w:rsid w:val="00364A4D"/>
    <w:rsid w:val="00365C58"/>
    <w:rsid w:val="0036697D"/>
    <w:rsid w:val="0037081A"/>
    <w:rsid w:val="00370B4F"/>
    <w:rsid w:val="00371ED5"/>
    <w:rsid w:val="00377542"/>
    <w:rsid w:val="003801BB"/>
    <w:rsid w:val="00381F48"/>
    <w:rsid w:val="003847E5"/>
    <w:rsid w:val="003854AA"/>
    <w:rsid w:val="00386107"/>
    <w:rsid w:val="00386A86"/>
    <w:rsid w:val="00386C47"/>
    <w:rsid w:val="00390719"/>
    <w:rsid w:val="00391D58"/>
    <w:rsid w:val="00392683"/>
    <w:rsid w:val="003928DF"/>
    <w:rsid w:val="003962D5"/>
    <w:rsid w:val="003A1C92"/>
    <w:rsid w:val="003A3022"/>
    <w:rsid w:val="003A36FE"/>
    <w:rsid w:val="003A6148"/>
    <w:rsid w:val="003A733C"/>
    <w:rsid w:val="003A7AE3"/>
    <w:rsid w:val="003B0808"/>
    <w:rsid w:val="003B2407"/>
    <w:rsid w:val="003B31EB"/>
    <w:rsid w:val="003B374D"/>
    <w:rsid w:val="003B4F90"/>
    <w:rsid w:val="003B5179"/>
    <w:rsid w:val="003B66F5"/>
    <w:rsid w:val="003B6C20"/>
    <w:rsid w:val="003C0A28"/>
    <w:rsid w:val="003C3BD4"/>
    <w:rsid w:val="003C3CB2"/>
    <w:rsid w:val="003C439C"/>
    <w:rsid w:val="003C4E68"/>
    <w:rsid w:val="003C51F4"/>
    <w:rsid w:val="003D1420"/>
    <w:rsid w:val="003D1CE3"/>
    <w:rsid w:val="003D2DE0"/>
    <w:rsid w:val="003D3084"/>
    <w:rsid w:val="003D32C5"/>
    <w:rsid w:val="003D4F54"/>
    <w:rsid w:val="003E4D36"/>
    <w:rsid w:val="003F024E"/>
    <w:rsid w:val="003F0D6B"/>
    <w:rsid w:val="003F1507"/>
    <w:rsid w:val="003F1645"/>
    <w:rsid w:val="003F2C03"/>
    <w:rsid w:val="003F7179"/>
    <w:rsid w:val="003F78C2"/>
    <w:rsid w:val="00402349"/>
    <w:rsid w:val="00403C00"/>
    <w:rsid w:val="004052E3"/>
    <w:rsid w:val="004118FA"/>
    <w:rsid w:val="00412850"/>
    <w:rsid w:val="00413376"/>
    <w:rsid w:val="00413B26"/>
    <w:rsid w:val="00413F98"/>
    <w:rsid w:val="0041547F"/>
    <w:rsid w:val="00416668"/>
    <w:rsid w:val="00416A03"/>
    <w:rsid w:val="00417728"/>
    <w:rsid w:val="00424E71"/>
    <w:rsid w:val="004254CB"/>
    <w:rsid w:val="00427D57"/>
    <w:rsid w:val="004313D8"/>
    <w:rsid w:val="00432722"/>
    <w:rsid w:val="004334EC"/>
    <w:rsid w:val="00434ACE"/>
    <w:rsid w:val="004351BE"/>
    <w:rsid w:val="00441196"/>
    <w:rsid w:val="004419FB"/>
    <w:rsid w:val="004431AC"/>
    <w:rsid w:val="00443B45"/>
    <w:rsid w:val="00443C74"/>
    <w:rsid w:val="004479EB"/>
    <w:rsid w:val="004545F7"/>
    <w:rsid w:val="004568B0"/>
    <w:rsid w:val="00456A20"/>
    <w:rsid w:val="00463A1B"/>
    <w:rsid w:val="00463AC0"/>
    <w:rsid w:val="00463C2B"/>
    <w:rsid w:val="00463D15"/>
    <w:rsid w:val="004657EA"/>
    <w:rsid w:val="00465DA1"/>
    <w:rsid w:val="00466071"/>
    <w:rsid w:val="00467F0E"/>
    <w:rsid w:val="0047040E"/>
    <w:rsid w:val="00470701"/>
    <w:rsid w:val="00480918"/>
    <w:rsid w:val="0048208A"/>
    <w:rsid w:val="004822FB"/>
    <w:rsid w:val="0048406C"/>
    <w:rsid w:val="00485822"/>
    <w:rsid w:val="00485D15"/>
    <w:rsid w:val="0048715E"/>
    <w:rsid w:val="00487357"/>
    <w:rsid w:val="00487A54"/>
    <w:rsid w:val="00487BD8"/>
    <w:rsid w:val="00494FA6"/>
    <w:rsid w:val="00495EB6"/>
    <w:rsid w:val="004A5A63"/>
    <w:rsid w:val="004B4797"/>
    <w:rsid w:val="004B4833"/>
    <w:rsid w:val="004B518D"/>
    <w:rsid w:val="004B75B3"/>
    <w:rsid w:val="004C1F9B"/>
    <w:rsid w:val="004C27F1"/>
    <w:rsid w:val="004C3863"/>
    <w:rsid w:val="004C4A0F"/>
    <w:rsid w:val="004C6CFC"/>
    <w:rsid w:val="004D0399"/>
    <w:rsid w:val="004D1012"/>
    <w:rsid w:val="004D1CA7"/>
    <w:rsid w:val="004D2D86"/>
    <w:rsid w:val="004D3208"/>
    <w:rsid w:val="004D73CA"/>
    <w:rsid w:val="004D7A1C"/>
    <w:rsid w:val="004E08FD"/>
    <w:rsid w:val="004E274B"/>
    <w:rsid w:val="004E3346"/>
    <w:rsid w:val="004E35AE"/>
    <w:rsid w:val="004E3E71"/>
    <w:rsid w:val="004E3F4E"/>
    <w:rsid w:val="004E42F6"/>
    <w:rsid w:val="004F02E3"/>
    <w:rsid w:val="004F18F3"/>
    <w:rsid w:val="004F1B10"/>
    <w:rsid w:val="004F2FBD"/>
    <w:rsid w:val="004F4E07"/>
    <w:rsid w:val="004F4E5A"/>
    <w:rsid w:val="004F7007"/>
    <w:rsid w:val="005017D5"/>
    <w:rsid w:val="00501B0D"/>
    <w:rsid w:val="005043F9"/>
    <w:rsid w:val="005046CA"/>
    <w:rsid w:val="00505039"/>
    <w:rsid w:val="00506A9D"/>
    <w:rsid w:val="00511556"/>
    <w:rsid w:val="005147D1"/>
    <w:rsid w:val="00516090"/>
    <w:rsid w:val="00517167"/>
    <w:rsid w:val="00520016"/>
    <w:rsid w:val="0052005F"/>
    <w:rsid w:val="00521136"/>
    <w:rsid w:val="00522EB2"/>
    <w:rsid w:val="005266D4"/>
    <w:rsid w:val="0053517A"/>
    <w:rsid w:val="005368DD"/>
    <w:rsid w:val="00540285"/>
    <w:rsid w:val="00541BE6"/>
    <w:rsid w:val="005435FB"/>
    <w:rsid w:val="00552750"/>
    <w:rsid w:val="00555BA2"/>
    <w:rsid w:val="0055734F"/>
    <w:rsid w:val="0055787C"/>
    <w:rsid w:val="005607CB"/>
    <w:rsid w:val="005622B6"/>
    <w:rsid w:val="005677AD"/>
    <w:rsid w:val="00571308"/>
    <w:rsid w:val="005730A9"/>
    <w:rsid w:val="005762FB"/>
    <w:rsid w:val="0057704C"/>
    <w:rsid w:val="005803F4"/>
    <w:rsid w:val="005819A7"/>
    <w:rsid w:val="0058387A"/>
    <w:rsid w:val="00585287"/>
    <w:rsid w:val="00585A88"/>
    <w:rsid w:val="0059102D"/>
    <w:rsid w:val="005916C4"/>
    <w:rsid w:val="005921E3"/>
    <w:rsid w:val="0059486A"/>
    <w:rsid w:val="00596A50"/>
    <w:rsid w:val="00597B85"/>
    <w:rsid w:val="005A2582"/>
    <w:rsid w:val="005A3450"/>
    <w:rsid w:val="005A3605"/>
    <w:rsid w:val="005A4328"/>
    <w:rsid w:val="005A463E"/>
    <w:rsid w:val="005A7A85"/>
    <w:rsid w:val="005B0297"/>
    <w:rsid w:val="005B618F"/>
    <w:rsid w:val="005B68FD"/>
    <w:rsid w:val="005B766D"/>
    <w:rsid w:val="005C3137"/>
    <w:rsid w:val="005C5145"/>
    <w:rsid w:val="005C53FC"/>
    <w:rsid w:val="005D58E2"/>
    <w:rsid w:val="005D7E0D"/>
    <w:rsid w:val="005D7E1E"/>
    <w:rsid w:val="005D7FB8"/>
    <w:rsid w:val="005E18B6"/>
    <w:rsid w:val="005F06B4"/>
    <w:rsid w:val="005F1C38"/>
    <w:rsid w:val="005F32C1"/>
    <w:rsid w:val="005F3AD5"/>
    <w:rsid w:val="005F62D9"/>
    <w:rsid w:val="005F6F61"/>
    <w:rsid w:val="00601DA1"/>
    <w:rsid w:val="00601EBA"/>
    <w:rsid w:val="006038C3"/>
    <w:rsid w:val="00603927"/>
    <w:rsid w:val="006059FA"/>
    <w:rsid w:val="006061C4"/>
    <w:rsid w:val="00611CEA"/>
    <w:rsid w:val="006126C4"/>
    <w:rsid w:val="006132D5"/>
    <w:rsid w:val="006140CC"/>
    <w:rsid w:val="0061438B"/>
    <w:rsid w:val="006146FA"/>
    <w:rsid w:val="00616C7B"/>
    <w:rsid w:val="006212EC"/>
    <w:rsid w:val="00624027"/>
    <w:rsid w:val="00625649"/>
    <w:rsid w:val="006259CB"/>
    <w:rsid w:val="00625B7B"/>
    <w:rsid w:val="00627DBF"/>
    <w:rsid w:val="00632249"/>
    <w:rsid w:val="00634514"/>
    <w:rsid w:val="00634919"/>
    <w:rsid w:val="00635709"/>
    <w:rsid w:val="006367A1"/>
    <w:rsid w:val="00637A2B"/>
    <w:rsid w:val="0064244A"/>
    <w:rsid w:val="006424F1"/>
    <w:rsid w:val="0064649E"/>
    <w:rsid w:val="00646533"/>
    <w:rsid w:val="00646DF1"/>
    <w:rsid w:val="00647036"/>
    <w:rsid w:val="006504AF"/>
    <w:rsid w:val="006509C3"/>
    <w:rsid w:val="00650D71"/>
    <w:rsid w:val="00656F9A"/>
    <w:rsid w:val="00660591"/>
    <w:rsid w:val="00661717"/>
    <w:rsid w:val="006620BA"/>
    <w:rsid w:val="00662717"/>
    <w:rsid w:val="00664829"/>
    <w:rsid w:val="006662A1"/>
    <w:rsid w:val="00666C25"/>
    <w:rsid w:val="00671A34"/>
    <w:rsid w:val="00671DB5"/>
    <w:rsid w:val="00673707"/>
    <w:rsid w:val="00673746"/>
    <w:rsid w:val="00673B6A"/>
    <w:rsid w:val="00673BD7"/>
    <w:rsid w:val="006748D6"/>
    <w:rsid w:val="00675885"/>
    <w:rsid w:val="0068156F"/>
    <w:rsid w:val="0068209D"/>
    <w:rsid w:val="006827D6"/>
    <w:rsid w:val="006845DD"/>
    <w:rsid w:val="00685B0F"/>
    <w:rsid w:val="00687495"/>
    <w:rsid w:val="00687B59"/>
    <w:rsid w:val="00692BE9"/>
    <w:rsid w:val="006A38A7"/>
    <w:rsid w:val="006A3AEA"/>
    <w:rsid w:val="006A609D"/>
    <w:rsid w:val="006A62A6"/>
    <w:rsid w:val="006B11BB"/>
    <w:rsid w:val="006B324A"/>
    <w:rsid w:val="006B5B58"/>
    <w:rsid w:val="006B5E4E"/>
    <w:rsid w:val="006B788D"/>
    <w:rsid w:val="006C2816"/>
    <w:rsid w:val="006C632A"/>
    <w:rsid w:val="006C6E97"/>
    <w:rsid w:val="006D0194"/>
    <w:rsid w:val="006D11CD"/>
    <w:rsid w:val="006D4512"/>
    <w:rsid w:val="006D49F1"/>
    <w:rsid w:val="006D4C81"/>
    <w:rsid w:val="006D6E03"/>
    <w:rsid w:val="006E55E8"/>
    <w:rsid w:val="006E7670"/>
    <w:rsid w:val="006F279E"/>
    <w:rsid w:val="006F36D3"/>
    <w:rsid w:val="006F4638"/>
    <w:rsid w:val="00702DD7"/>
    <w:rsid w:val="00704153"/>
    <w:rsid w:val="00704CBE"/>
    <w:rsid w:val="00704D7F"/>
    <w:rsid w:val="007066B5"/>
    <w:rsid w:val="007066F0"/>
    <w:rsid w:val="00710D35"/>
    <w:rsid w:val="00715FFB"/>
    <w:rsid w:val="00716D3B"/>
    <w:rsid w:val="007204D6"/>
    <w:rsid w:val="00721EED"/>
    <w:rsid w:val="00722704"/>
    <w:rsid w:val="00722FF0"/>
    <w:rsid w:val="007238BF"/>
    <w:rsid w:val="00724290"/>
    <w:rsid w:val="007248CE"/>
    <w:rsid w:val="0072550F"/>
    <w:rsid w:val="00726643"/>
    <w:rsid w:val="007268BE"/>
    <w:rsid w:val="00732DA2"/>
    <w:rsid w:val="007338B6"/>
    <w:rsid w:val="00736608"/>
    <w:rsid w:val="00737363"/>
    <w:rsid w:val="00737CB3"/>
    <w:rsid w:val="00740060"/>
    <w:rsid w:val="00740CBA"/>
    <w:rsid w:val="00741119"/>
    <w:rsid w:val="00741AA1"/>
    <w:rsid w:val="00742372"/>
    <w:rsid w:val="00742A51"/>
    <w:rsid w:val="00743C6B"/>
    <w:rsid w:val="0074463C"/>
    <w:rsid w:val="007474CE"/>
    <w:rsid w:val="00750314"/>
    <w:rsid w:val="00750772"/>
    <w:rsid w:val="00750844"/>
    <w:rsid w:val="007511C5"/>
    <w:rsid w:val="00753DB7"/>
    <w:rsid w:val="00755CB1"/>
    <w:rsid w:val="00755CD4"/>
    <w:rsid w:val="0076028F"/>
    <w:rsid w:val="00760604"/>
    <w:rsid w:val="00763ACE"/>
    <w:rsid w:val="0076544D"/>
    <w:rsid w:val="00766DBF"/>
    <w:rsid w:val="0076731C"/>
    <w:rsid w:val="007673DE"/>
    <w:rsid w:val="00767D0E"/>
    <w:rsid w:val="00767E9E"/>
    <w:rsid w:val="00771C0C"/>
    <w:rsid w:val="00771D0E"/>
    <w:rsid w:val="00773E87"/>
    <w:rsid w:val="007743FF"/>
    <w:rsid w:val="007809E5"/>
    <w:rsid w:val="00780A15"/>
    <w:rsid w:val="0078216F"/>
    <w:rsid w:val="00785310"/>
    <w:rsid w:val="00790FC7"/>
    <w:rsid w:val="007929DD"/>
    <w:rsid w:val="0079308B"/>
    <w:rsid w:val="00795893"/>
    <w:rsid w:val="00795A6A"/>
    <w:rsid w:val="007A1A06"/>
    <w:rsid w:val="007A3534"/>
    <w:rsid w:val="007A4472"/>
    <w:rsid w:val="007A57BE"/>
    <w:rsid w:val="007A659F"/>
    <w:rsid w:val="007A708A"/>
    <w:rsid w:val="007B0530"/>
    <w:rsid w:val="007B11A4"/>
    <w:rsid w:val="007B1A77"/>
    <w:rsid w:val="007B3ABD"/>
    <w:rsid w:val="007B4187"/>
    <w:rsid w:val="007B7C2A"/>
    <w:rsid w:val="007C17DD"/>
    <w:rsid w:val="007C40D7"/>
    <w:rsid w:val="007C5BF3"/>
    <w:rsid w:val="007C7D83"/>
    <w:rsid w:val="007D19BB"/>
    <w:rsid w:val="007D3786"/>
    <w:rsid w:val="007D3B33"/>
    <w:rsid w:val="007D4996"/>
    <w:rsid w:val="007D5AB6"/>
    <w:rsid w:val="007D60CA"/>
    <w:rsid w:val="007D67DC"/>
    <w:rsid w:val="007E0DDF"/>
    <w:rsid w:val="007E2483"/>
    <w:rsid w:val="007E2DB9"/>
    <w:rsid w:val="007E59DF"/>
    <w:rsid w:val="007E6165"/>
    <w:rsid w:val="007E6BE8"/>
    <w:rsid w:val="007E7483"/>
    <w:rsid w:val="007F0F86"/>
    <w:rsid w:val="007F3452"/>
    <w:rsid w:val="007F3E05"/>
    <w:rsid w:val="007F55AF"/>
    <w:rsid w:val="007F610C"/>
    <w:rsid w:val="007F62EE"/>
    <w:rsid w:val="007F72A0"/>
    <w:rsid w:val="00805BBA"/>
    <w:rsid w:val="008101DA"/>
    <w:rsid w:val="0081071F"/>
    <w:rsid w:val="00811640"/>
    <w:rsid w:val="0081243C"/>
    <w:rsid w:val="00815169"/>
    <w:rsid w:val="00815224"/>
    <w:rsid w:val="00816187"/>
    <w:rsid w:val="00816B57"/>
    <w:rsid w:val="008170B0"/>
    <w:rsid w:val="0081742A"/>
    <w:rsid w:val="00817FFC"/>
    <w:rsid w:val="0082089D"/>
    <w:rsid w:val="0082147A"/>
    <w:rsid w:val="00821BC1"/>
    <w:rsid w:val="00824FDE"/>
    <w:rsid w:val="008253FA"/>
    <w:rsid w:val="00826E64"/>
    <w:rsid w:val="00827565"/>
    <w:rsid w:val="008276B4"/>
    <w:rsid w:val="00827F46"/>
    <w:rsid w:val="00831A98"/>
    <w:rsid w:val="00833506"/>
    <w:rsid w:val="0083372A"/>
    <w:rsid w:val="00834A50"/>
    <w:rsid w:val="00835957"/>
    <w:rsid w:val="00846226"/>
    <w:rsid w:val="00847C44"/>
    <w:rsid w:val="00853093"/>
    <w:rsid w:val="008548D7"/>
    <w:rsid w:val="0085596E"/>
    <w:rsid w:val="0085621C"/>
    <w:rsid w:val="00856EA5"/>
    <w:rsid w:val="00860F0D"/>
    <w:rsid w:val="00863DCB"/>
    <w:rsid w:val="00864D27"/>
    <w:rsid w:val="0086578E"/>
    <w:rsid w:val="00865A22"/>
    <w:rsid w:val="008660B9"/>
    <w:rsid w:val="008667D3"/>
    <w:rsid w:val="00874889"/>
    <w:rsid w:val="00876D70"/>
    <w:rsid w:val="00883182"/>
    <w:rsid w:val="00884A4F"/>
    <w:rsid w:val="00886530"/>
    <w:rsid w:val="0088667C"/>
    <w:rsid w:val="00886EAA"/>
    <w:rsid w:val="00890371"/>
    <w:rsid w:val="00891260"/>
    <w:rsid w:val="008929A7"/>
    <w:rsid w:val="0089384B"/>
    <w:rsid w:val="00893F4E"/>
    <w:rsid w:val="00897261"/>
    <w:rsid w:val="008A154B"/>
    <w:rsid w:val="008A3545"/>
    <w:rsid w:val="008A35AA"/>
    <w:rsid w:val="008A4226"/>
    <w:rsid w:val="008A562A"/>
    <w:rsid w:val="008B0E2E"/>
    <w:rsid w:val="008B1C1C"/>
    <w:rsid w:val="008B2D1E"/>
    <w:rsid w:val="008B2FEF"/>
    <w:rsid w:val="008B534B"/>
    <w:rsid w:val="008B5F05"/>
    <w:rsid w:val="008B5FB7"/>
    <w:rsid w:val="008C60AB"/>
    <w:rsid w:val="008C72FF"/>
    <w:rsid w:val="008C7AAA"/>
    <w:rsid w:val="008D0F2A"/>
    <w:rsid w:val="008D1644"/>
    <w:rsid w:val="008D2EA1"/>
    <w:rsid w:val="008D4429"/>
    <w:rsid w:val="008D545C"/>
    <w:rsid w:val="008D682A"/>
    <w:rsid w:val="008D769B"/>
    <w:rsid w:val="008E1468"/>
    <w:rsid w:val="008F1C69"/>
    <w:rsid w:val="008F1EE2"/>
    <w:rsid w:val="008F6E8B"/>
    <w:rsid w:val="00902224"/>
    <w:rsid w:val="00904611"/>
    <w:rsid w:val="009046B4"/>
    <w:rsid w:val="00904D87"/>
    <w:rsid w:val="00904EB3"/>
    <w:rsid w:val="0090511D"/>
    <w:rsid w:val="00905381"/>
    <w:rsid w:val="00906588"/>
    <w:rsid w:val="00907D54"/>
    <w:rsid w:val="00913D49"/>
    <w:rsid w:val="00913FDF"/>
    <w:rsid w:val="0091583E"/>
    <w:rsid w:val="00915CB1"/>
    <w:rsid w:val="00916A1B"/>
    <w:rsid w:val="00916AD4"/>
    <w:rsid w:val="009202B7"/>
    <w:rsid w:val="00922DF3"/>
    <w:rsid w:val="009258F8"/>
    <w:rsid w:val="009277AE"/>
    <w:rsid w:val="0092781B"/>
    <w:rsid w:val="00933BFA"/>
    <w:rsid w:val="00934C68"/>
    <w:rsid w:val="00935379"/>
    <w:rsid w:val="00940E35"/>
    <w:rsid w:val="00942F32"/>
    <w:rsid w:val="00943D86"/>
    <w:rsid w:val="00943E94"/>
    <w:rsid w:val="00944250"/>
    <w:rsid w:val="0094545A"/>
    <w:rsid w:val="00945E08"/>
    <w:rsid w:val="0095094F"/>
    <w:rsid w:val="00953446"/>
    <w:rsid w:val="0095481A"/>
    <w:rsid w:val="00956E76"/>
    <w:rsid w:val="00957CA0"/>
    <w:rsid w:val="00960ABC"/>
    <w:rsid w:val="00961F52"/>
    <w:rsid w:val="00963026"/>
    <w:rsid w:val="00965E53"/>
    <w:rsid w:val="00966052"/>
    <w:rsid w:val="00966F69"/>
    <w:rsid w:val="009673D0"/>
    <w:rsid w:val="00967C82"/>
    <w:rsid w:val="00971061"/>
    <w:rsid w:val="00971DE3"/>
    <w:rsid w:val="00974653"/>
    <w:rsid w:val="00975808"/>
    <w:rsid w:val="00980EE0"/>
    <w:rsid w:val="00980F20"/>
    <w:rsid w:val="00982E09"/>
    <w:rsid w:val="00982F8A"/>
    <w:rsid w:val="00983276"/>
    <w:rsid w:val="00983375"/>
    <w:rsid w:val="00985864"/>
    <w:rsid w:val="00985AF8"/>
    <w:rsid w:val="00986F18"/>
    <w:rsid w:val="0098753F"/>
    <w:rsid w:val="00990719"/>
    <w:rsid w:val="0099082E"/>
    <w:rsid w:val="00992BC7"/>
    <w:rsid w:val="00993A01"/>
    <w:rsid w:val="00996344"/>
    <w:rsid w:val="0099657E"/>
    <w:rsid w:val="009974C2"/>
    <w:rsid w:val="00997664"/>
    <w:rsid w:val="00997906"/>
    <w:rsid w:val="009A1160"/>
    <w:rsid w:val="009A31DF"/>
    <w:rsid w:val="009A3D58"/>
    <w:rsid w:val="009A3EF3"/>
    <w:rsid w:val="009A479E"/>
    <w:rsid w:val="009A53FA"/>
    <w:rsid w:val="009A5C6A"/>
    <w:rsid w:val="009A6AEF"/>
    <w:rsid w:val="009A718C"/>
    <w:rsid w:val="009A7297"/>
    <w:rsid w:val="009B2161"/>
    <w:rsid w:val="009B2DAE"/>
    <w:rsid w:val="009B33F0"/>
    <w:rsid w:val="009B3B2B"/>
    <w:rsid w:val="009B3F5B"/>
    <w:rsid w:val="009B5534"/>
    <w:rsid w:val="009B693B"/>
    <w:rsid w:val="009B6B9B"/>
    <w:rsid w:val="009C0798"/>
    <w:rsid w:val="009C0ED0"/>
    <w:rsid w:val="009C494D"/>
    <w:rsid w:val="009D11EF"/>
    <w:rsid w:val="009D2B47"/>
    <w:rsid w:val="009D5C97"/>
    <w:rsid w:val="009D6BCF"/>
    <w:rsid w:val="009E0008"/>
    <w:rsid w:val="009E139D"/>
    <w:rsid w:val="009E3AFC"/>
    <w:rsid w:val="009E71B1"/>
    <w:rsid w:val="009F05AC"/>
    <w:rsid w:val="009F0AD2"/>
    <w:rsid w:val="009F11B8"/>
    <w:rsid w:val="009F1B19"/>
    <w:rsid w:val="009F26E5"/>
    <w:rsid w:val="009F49FA"/>
    <w:rsid w:val="009F527B"/>
    <w:rsid w:val="009F6FE0"/>
    <w:rsid w:val="00A0265F"/>
    <w:rsid w:val="00A029B0"/>
    <w:rsid w:val="00A02CF1"/>
    <w:rsid w:val="00A03171"/>
    <w:rsid w:val="00A03899"/>
    <w:rsid w:val="00A0497F"/>
    <w:rsid w:val="00A06114"/>
    <w:rsid w:val="00A10026"/>
    <w:rsid w:val="00A104AB"/>
    <w:rsid w:val="00A104B3"/>
    <w:rsid w:val="00A10872"/>
    <w:rsid w:val="00A10B82"/>
    <w:rsid w:val="00A12790"/>
    <w:rsid w:val="00A13228"/>
    <w:rsid w:val="00A21047"/>
    <w:rsid w:val="00A22B27"/>
    <w:rsid w:val="00A233EB"/>
    <w:rsid w:val="00A2538E"/>
    <w:rsid w:val="00A2548F"/>
    <w:rsid w:val="00A25F53"/>
    <w:rsid w:val="00A265DF"/>
    <w:rsid w:val="00A268F2"/>
    <w:rsid w:val="00A27A58"/>
    <w:rsid w:val="00A36D05"/>
    <w:rsid w:val="00A41139"/>
    <w:rsid w:val="00A430C6"/>
    <w:rsid w:val="00A441D8"/>
    <w:rsid w:val="00A46540"/>
    <w:rsid w:val="00A519F0"/>
    <w:rsid w:val="00A617C7"/>
    <w:rsid w:val="00A64091"/>
    <w:rsid w:val="00A653ED"/>
    <w:rsid w:val="00A66633"/>
    <w:rsid w:val="00A66927"/>
    <w:rsid w:val="00A70800"/>
    <w:rsid w:val="00A70CD3"/>
    <w:rsid w:val="00A71ABA"/>
    <w:rsid w:val="00A737CD"/>
    <w:rsid w:val="00A73B39"/>
    <w:rsid w:val="00A742CC"/>
    <w:rsid w:val="00A7461F"/>
    <w:rsid w:val="00A755AD"/>
    <w:rsid w:val="00A80270"/>
    <w:rsid w:val="00A8081E"/>
    <w:rsid w:val="00A8582A"/>
    <w:rsid w:val="00A85BF2"/>
    <w:rsid w:val="00A86555"/>
    <w:rsid w:val="00A90C15"/>
    <w:rsid w:val="00A93783"/>
    <w:rsid w:val="00A94EE3"/>
    <w:rsid w:val="00A9733E"/>
    <w:rsid w:val="00AA00C1"/>
    <w:rsid w:val="00AA06B3"/>
    <w:rsid w:val="00AA0914"/>
    <w:rsid w:val="00AA1D5F"/>
    <w:rsid w:val="00AA23F2"/>
    <w:rsid w:val="00AA3C81"/>
    <w:rsid w:val="00AA3EDE"/>
    <w:rsid w:val="00AB7A62"/>
    <w:rsid w:val="00AC23C9"/>
    <w:rsid w:val="00AC48B9"/>
    <w:rsid w:val="00AC6ACB"/>
    <w:rsid w:val="00AC7FFA"/>
    <w:rsid w:val="00AD2515"/>
    <w:rsid w:val="00AD352B"/>
    <w:rsid w:val="00AD4A06"/>
    <w:rsid w:val="00AD4B02"/>
    <w:rsid w:val="00AD6CDD"/>
    <w:rsid w:val="00AE0D8D"/>
    <w:rsid w:val="00AE20DE"/>
    <w:rsid w:val="00AE216B"/>
    <w:rsid w:val="00AE3117"/>
    <w:rsid w:val="00AE3ADF"/>
    <w:rsid w:val="00AE3BBE"/>
    <w:rsid w:val="00AE58E1"/>
    <w:rsid w:val="00AF01EC"/>
    <w:rsid w:val="00AF2EDB"/>
    <w:rsid w:val="00AF4E3B"/>
    <w:rsid w:val="00AF666B"/>
    <w:rsid w:val="00AF69F6"/>
    <w:rsid w:val="00AF7806"/>
    <w:rsid w:val="00B00CB2"/>
    <w:rsid w:val="00B01097"/>
    <w:rsid w:val="00B013D2"/>
    <w:rsid w:val="00B02030"/>
    <w:rsid w:val="00B03551"/>
    <w:rsid w:val="00B048E6"/>
    <w:rsid w:val="00B0564F"/>
    <w:rsid w:val="00B05F2B"/>
    <w:rsid w:val="00B06A50"/>
    <w:rsid w:val="00B06B61"/>
    <w:rsid w:val="00B118FF"/>
    <w:rsid w:val="00B11A7F"/>
    <w:rsid w:val="00B11BD0"/>
    <w:rsid w:val="00B121B1"/>
    <w:rsid w:val="00B17408"/>
    <w:rsid w:val="00B203C2"/>
    <w:rsid w:val="00B208BE"/>
    <w:rsid w:val="00B22682"/>
    <w:rsid w:val="00B230AC"/>
    <w:rsid w:val="00B257F8"/>
    <w:rsid w:val="00B26126"/>
    <w:rsid w:val="00B27008"/>
    <w:rsid w:val="00B30A2F"/>
    <w:rsid w:val="00B31112"/>
    <w:rsid w:val="00B3218B"/>
    <w:rsid w:val="00B378E1"/>
    <w:rsid w:val="00B44BD9"/>
    <w:rsid w:val="00B50748"/>
    <w:rsid w:val="00B52F88"/>
    <w:rsid w:val="00B57A86"/>
    <w:rsid w:val="00B57FB0"/>
    <w:rsid w:val="00B60CAE"/>
    <w:rsid w:val="00B61A13"/>
    <w:rsid w:val="00B649E3"/>
    <w:rsid w:val="00B6572D"/>
    <w:rsid w:val="00B6781E"/>
    <w:rsid w:val="00B713F9"/>
    <w:rsid w:val="00B71D7A"/>
    <w:rsid w:val="00B725B9"/>
    <w:rsid w:val="00B731F8"/>
    <w:rsid w:val="00B7394E"/>
    <w:rsid w:val="00B74BBF"/>
    <w:rsid w:val="00B757FD"/>
    <w:rsid w:val="00B76313"/>
    <w:rsid w:val="00B76A24"/>
    <w:rsid w:val="00B8065C"/>
    <w:rsid w:val="00B8145F"/>
    <w:rsid w:val="00B841A9"/>
    <w:rsid w:val="00B8731C"/>
    <w:rsid w:val="00B901B4"/>
    <w:rsid w:val="00B90670"/>
    <w:rsid w:val="00B9363A"/>
    <w:rsid w:val="00B95FD8"/>
    <w:rsid w:val="00BA0FF3"/>
    <w:rsid w:val="00BA4934"/>
    <w:rsid w:val="00BA50DD"/>
    <w:rsid w:val="00BA64C2"/>
    <w:rsid w:val="00BA6732"/>
    <w:rsid w:val="00BB52FB"/>
    <w:rsid w:val="00BB628A"/>
    <w:rsid w:val="00BB691A"/>
    <w:rsid w:val="00BC45D2"/>
    <w:rsid w:val="00BC738A"/>
    <w:rsid w:val="00BD1E6E"/>
    <w:rsid w:val="00BD2A33"/>
    <w:rsid w:val="00BE059D"/>
    <w:rsid w:val="00BE31E8"/>
    <w:rsid w:val="00BE37BA"/>
    <w:rsid w:val="00BE52BC"/>
    <w:rsid w:val="00BE5BAA"/>
    <w:rsid w:val="00BF0DA4"/>
    <w:rsid w:val="00BF217B"/>
    <w:rsid w:val="00BF303E"/>
    <w:rsid w:val="00BF6EA6"/>
    <w:rsid w:val="00BF7B8F"/>
    <w:rsid w:val="00C018C5"/>
    <w:rsid w:val="00C01DB3"/>
    <w:rsid w:val="00C02B65"/>
    <w:rsid w:val="00C040F0"/>
    <w:rsid w:val="00C111D6"/>
    <w:rsid w:val="00C119B3"/>
    <w:rsid w:val="00C11D88"/>
    <w:rsid w:val="00C1212E"/>
    <w:rsid w:val="00C13C8B"/>
    <w:rsid w:val="00C1630A"/>
    <w:rsid w:val="00C169CD"/>
    <w:rsid w:val="00C214F3"/>
    <w:rsid w:val="00C2456F"/>
    <w:rsid w:val="00C3180D"/>
    <w:rsid w:val="00C325B9"/>
    <w:rsid w:val="00C32B76"/>
    <w:rsid w:val="00C33B54"/>
    <w:rsid w:val="00C372E8"/>
    <w:rsid w:val="00C41ED5"/>
    <w:rsid w:val="00C42B50"/>
    <w:rsid w:val="00C43018"/>
    <w:rsid w:val="00C4420B"/>
    <w:rsid w:val="00C45E81"/>
    <w:rsid w:val="00C5197E"/>
    <w:rsid w:val="00C53AB2"/>
    <w:rsid w:val="00C569CB"/>
    <w:rsid w:val="00C56BC1"/>
    <w:rsid w:val="00C60B85"/>
    <w:rsid w:val="00C61360"/>
    <w:rsid w:val="00C61A87"/>
    <w:rsid w:val="00C62978"/>
    <w:rsid w:val="00C63530"/>
    <w:rsid w:val="00C635BE"/>
    <w:rsid w:val="00C63854"/>
    <w:rsid w:val="00C63B66"/>
    <w:rsid w:val="00C71655"/>
    <w:rsid w:val="00C716C4"/>
    <w:rsid w:val="00C71CCE"/>
    <w:rsid w:val="00C7727C"/>
    <w:rsid w:val="00C7780F"/>
    <w:rsid w:val="00C833E4"/>
    <w:rsid w:val="00C840C4"/>
    <w:rsid w:val="00C8697E"/>
    <w:rsid w:val="00C8745B"/>
    <w:rsid w:val="00C87F34"/>
    <w:rsid w:val="00C97BDA"/>
    <w:rsid w:val="00CA3D1C"/>
    <w:rsid w:val="00CA3FA0"/>
    <w:rsid w:val="00CB4051"/>
    <w:rsid w:val="00CB483E"/>
    <w:rsid w:val="00CB4F45"/>
    <w:rsid w:val="00CB5CF7"/>
    <w:rsid w:val="00CB7FDF"/>
    <w:rsid w:val="00CC016C"/>
    <w:rsid w:val="00CC043D"/>
    <w:rsid w:val="00CC1524"/>
    <w:rsid w:val="00CC38BC"/>
    <w:rsid w:val="00CC3FD6"/>
    <w:rsid w:val="00CC4646"/>
    <w:rsid w:val="00CC4BBF"/>
    <w:rsid w:val="00CC6F62"/>
    <w:rsid w:val="00CD3EEA"/>
    <w:rsid w:val="00CD4244"/>
    <w:rsid w:val="00CD5B92"/>
    <w:rsid w:val="00CD6203"/>
    <w:rsid w:val="00CD6407"/>
    <w:rsid w:val="00CE2F70"/>
    <w:rsid w:val="00CE2F8A"/>
    <w:rsid w:val="00CE5FCB"/>
    <w:rsid w:val="00CE709D"/>
    <w:rsid w:val="00CF2220"/>
    <w:rsid w:val="00CF41DE"/>
    <w:rsid w:val="00CF48EF"/>
    <w:rsid w:val="00D03EBD"/>
    <w:rsid w:val="00D04446"/>
    <w:rsid w:val="00D0711D"/>
    <w:rsid w:val="00D07685"/>
    <w:rsid w:val="00D076A0"/>
    <w:rsid w:val="00D10AEE"/>
    <w:rsid w:val="00D116D7"/>
    <w:rsid w:val="00D11FD4"/>
    <w:rsid w:val="00D144B9"/>
    <w:rsid w:val="00D153A1"/>
    <w:rsid w:val="00D15D01"/>
    <w:rsid w:val="00D201F4"/>
    <w:rsid w:val="00D20D5E"/>
    <w:rsid w:val="00D21C3E"/>
    <w:rsid w:val="00D30B5E"/>
    <w:rsid w:val="00D31D4F"/>
    <w:rsid w:val="00D326A6"/>
    <w:rsid w:val="00D32E0A"/>
    <w:rsid w:val="00D3314C"/>
    <w:rsid w:val="00D3382D"/>
    <w:rsid w:val="00D3499F"/>
    <w:rsid w:val="00D35821"/>
    <w:rsid w:val="00D3588A"/>
    <w:rsid w:val="00D35944"/>
    <w:rsid w:val="00D36EED"/>
    <w:rsid w:val="00D40F56"/>
    <w:rsid w:val="00D42938"/>
    <w:rsid w:val="00D4298C"/>
    <w:rsid w:val="00D4666E"/>
    <w:rsid w:val="00D47C3C"/>
    <w:rsid w:val="00D50A6A"/>
    <w:rsid w:val="00D51F1D"/>
    <w:rsid w:val="00D530EC"/>
    <w:rsid w:val="00D54704"/>
    <w:rsid w:val="00D56867"/>
    <w:rsid w:val="00D56BEF"/>
    <w:rsid w:val="00D579D9"/>
    <w:rsid w:val="00D60C57"/>
    <w:rsid w:val="00D62D7A"/>
    <w:rsid w:val="00D6440E"/>
    <w:rsid w:val="00D646EF"/>
    <w:rsid w:val="00D65943"/>
    <w:rsid w:val="00D65C12"/>
    <w:rsid w:val="00D66165"/>
    <w:rsid w:val="00D678EB"/>
    <w:rsid w:val="00D67B99"/>
    <w:rsid w:val="00D724F6"/>
    <w:rsid w:val="00D72F9D"/>
    <w:rsid w:val="00D73195"/>
    <w:rsid w:val="00D73219"/>
    <w:rsid w:val="00D73D18"/>
    <w:rsid w:val="00D756F0"/>
    <w:rsid w:val="00D75C25"/>
    <w:rsid w:val="00D85B20"/>
    <w:rsid w:val="00D90250"/>
    <w:rsid w:val="00D9048A"/>
    <w:rsid w:val="00D92EB5"/>
    <w:rsid w:val="00D930F8"/>
    <w:rsid w:val="00D93830"/>
    <w:rsid w:val="00D9445F"/>
    <w:rsid w:val="00D944CB"/>
    <w:rsid w:val="00D963EA"/>
    <w:rsid w:val="00DA3702"/>
    <w:rsid w:val="00DA3803"/>
    <w:rsid w:val="00DA53A0"/>
    <w:rsid w:val="00DA672B"/>
    <w:rsid w:val="00DA6765"/>
    <w:rsid w:val="00DA7241"/>
    <w:rsid w:val="00DB0B27"/>
    <w:rsid w:val="00DB207E"/>
    <w:rsid w:val="00DB2B1C"/>
    <w:rsid w:val="00DB36A1"/>
    <w:rsid w:val="00DB4239"/>
    <w:rsid w:val="00DC18B9"/>
    <w:rsid w:val="00DC34EA"/>
    <w:rsid w:val="00DC5FF1"/>
    <w:rsid w:val="00DD0A4B"/>
    <w:rsid w:val="00DD27F1"/>
    <w:rsid w:val="00DD4528"/>
    <w:rsid w:val="00DD53A7"/>
    <w:rsid w:val="00DD56A4"/>
    <w:rsid w:val="00DD7E43"/>
    <w:rsid w:val="00DE3476"/>
    <w:rsid w:val="00DE3FEA"/>
    <w:rsid w:val="00DE633F"/>
    <w:rsid w:val="00DE7C5E"/>
    <w:rsid w:val="00DF06C2"/>
    <w:rsid w:val="00DF2DA9"/>
    <w:rsid w:val="00DF31EF"/>
    <w:rsid w:val="00DF38F8"/>
    <w:rsid w:val="00DF45B1"/>
    <w:rsid w:val="00DF4EED"/>
    <w:rsid w:val="00DF59ED"/>
    <w:rsid w:val="00E02857"/>
    <w:rsid w:val="00E029D4"/>
    <w:rsid w:val="00E02B9A"/>
    <w:rsid w:val="00E03AA1"/>
    <w:rsid w:val="00E06A86"/>
    <w:rsid w:val="00E06FCE"/>
    <w:rsid w:val="00E11C09"/>
    <w:rsid w:val="00E14466"/>
    <w:rsid w:val="00E16349"/>
    <w:rsid w:val="00E174CD"/>
    <w:rsid w:val="00E2130C"/>
    <w:rsid w:val="00E222D8"/>
    <w:rsid w:val="00E2242D"/>
    <w:rsid w:val="00E22517"/>
    <w:rsid w:val="00E240DA"/>
    <w:rsid w:val="00E24BAE"/>
    <w:rsid w:val="00E30437"/>
    <w:rsid w:val="00E3056A"/>
    <w:rsid w:val="00E30609"/>
    <w:rsid w:val="00E32CE0"/>
    <w:rsid w:val="00E33075"/>
    <w:rsid w:val="00E334FD"/>
    <w:rsid w:val="00E33B1F"/>
    <w:rsid w:val="00E34EBC"/>
    <w:rsid w:val="00E355E6"/>
    <w:rsid w:val="00E362E4"/>
    <w:rsid w:val="00E41248"/>
    <w:rsid w:val="00E4128A"/>
    <w:rsid w:val="00E42641"/>
    <w:rsid w:val="00E5173A"/>
    <w:rsid w:val="00E61139"/>
    <w:rsid w:val="00E62E43"/>
    <w:rsid w:val="00E63ED8"/>
    <w:rsid w:val="00E63FD3"/>
    <w:rsid w:val="00E669D9"/>
    <w:rsid w:val="00E70940"/>
    <w:rsid w:val="00E717B9"/>
    <w:rsid w:val="00E71AA1"/>
    <w:rsid w:val="00E729B5"/>
    <w:rsid w:val="00E74816"/>
    <w:rsid w:val="00E76519"/>
    <w:rsid w:val="00E77605"/>
    <w:rsid w:val="00E80F55"/>
    <w:rsid w:val="00E84BC1"/>
    <w:rsid w:val="00E8504C"/>
    <w:rsid w:val="00E85501"/>
    <w:rsid w:val="00E94C6B"/>
    <w:rsid w:val="00E94FCE"/>
    <w:rsid w:val="00EA3A3D"/>
    <w:rsid w:val="00EA4756"/>
    <w:rsid w:val="00EA55BA"/>
    <w:rsid w:val="00EA58A4"/>
    <w:rsid w:val="00EA7941"/>
    <w:rsid w:val="00EA7FCA"/>
    <w:rsid w:val="00EB74EF"/>
    <w:rsid w:val="00EB7500"/>
    <w:rsid w:val="00EC127F"/>
    <w:rsid w:val="00EC44C5"/>
    <w:rsid w:val="00ED0068"/>
    <w:rsid w:val="00ED00EB"/>
    <w:rsid w:val="00ED0330"/>
    <w:rsid w:val="00ED161A"/>
    <w:rsid w:val="00ED36AD"/>
    <w:rsid w:val="00ED759A"/>
    <w:rsid w:val="00EE2128"/>
    <w:rsid w:val="00EE2CAD"/>
    <w:rsid w:val="00EE2DDB"/>
    <w:rsid w:val="00EE361C"/>
    <w:rsid w:val="00EE769B"/>
    <w:rsid w:val="00EF005C"/>
    <w:rsid w:val="00EF0BB1"/>
    <w:rsid w:val="00EF666F"/>
    <w:rsid w:val="00EF6C66"/>
    <w:rsid w:val="00F0312E"/>
    <w:rsid w:val="00F109AB"/>
    <w:rsid w:val="00F1118A"/>
    <w:rsid w:val="00F11B2E"/>
    <w:rsid w:val="00F1262D"/>
    <w:rsid w:val="00F13903"/>
    <w:rsid w:val="00F152EA"/>
    <w:rsid w:val="00F16B98"/>
    <w:rsid w:val="00F21671"/>
    <w:rsid w:val="00F245AF"/>
    <w:rsid w:val="00F26472"/>
    <w:rsid w:val="00F32B8F"/>
    <w:rsid w:val="00F37574"/>
    <w:rsid w:val="00F37E9D"/>
    <w:rsid w:val="00F456C8"/>
    <w:rsid w:val="00F4781A"/>
    <w:rsid w:val="00F47904"/>
    <w:rsid w:val="00F50631"/>
    <w:rsid w:val="00F5141A"/>
    <w:rsid w:val="00F52598"/>
    <w:rsid w:val="00F53671"/>
    <w:rsid w:val="00F536CC"/>
    <w:rsid w:val="00F559B1"/>
    <w:rsid w:val="00F562CC"/>
    <w:rsid w:val="00F5641D"/>
    <w:rsid w:val="00F5696E"/>
    <w:rsid w:val="00F56E3C"/>
    <w:rsid w:val="00F57BAE"/>
    <w:rsid w:val="00F60BD9"/>
    <w:rsid w:val="00F61F55"/>
    <w:rsid w:val="00F732DC"/>
    <w:rsid w:val="00F7651F"/>
    <w:rsid w:val="00F80437"/>
    <w:rsid w:val="00F8118C"/>
    <w:rsid w:val="00F813DA"/>
    <w:rsid w:val="00F8348C"/>
    <w:rsid w:val="00F90B48"/>
    <w:rsid w:val="00F916CB"/>
    <w:rsid w:val="00F919AC"/>
    <w:rsid w:val="00F92CCB"/>
    <w:rsid w:val="00F92EE3"/>
    <w:rsid w:val="00F967CD"/>
    <w:rsid w:val="00F974D6"/>
    <w:rsid w:val="00FA6603"/>
    <w:rsid w:val="00FB0B07"/>
    <w:rsid w:val="00FB12F6"/>
    <w:rsid w:val="00FB360B"/>
    <w:rsid w:val="00FB389B"/>
    <w:rsid w:val="00FB5917"/>
    <w:rsid w:val="00FB5D4F"/>
    <w:rsid w:val="00FB74F1"/>
    <w:rsid w:val="00FC1646"/>
    <w:rsid w:val="00FC1F32"/>
    <w:rsid w:val="00FC33A5"/>
    <w:rsid w:val="00FC3E5E"/>
    <w:rsid w:val="00FC6EC5"/>
    <w:rsid w:val="00FC72AC"/>
    <w:rsid w:val="00FC761C"/>
    <w:rsid w:val="00FD3125"/>
    <w:rsid w:val="00FD394D"/>
    <w:rsid w:val="00FD40A6"/>
    <w:rsid w:val="00FE011F"/>
    <w:rsid w:val="00FE09BA"/>
    <w:rsid w:val="00FE0E24"/>
    <w:rsid w:val="00FE3989"/>
    <w:rsid w:val="00FE3CB6"/>
    <w:rsid w:val="00FE6303"/>
    <w:rsid w:val="00FE6A3D"/>
    <w:rsid w:val="00FE6F26"/>
    <w:rsid w:val="00FE71D4"/>
    <w:rsid w:val="00FF171F"/>
    <w:rsid w:val="00FF1AC9"/>
    <w:rsid w:val="00FF386C"/>
    <w:rsid w:val="00FF5B67"/>
    <w:rsid w:val="00FF6AC1"/>
    <w:rsid w:val="03D24459"/>
    <w:rsid w:val="044D1467"/>
    <w:rsid w:val="068752DA"/>
    <w:rsid w:val="0B871ADD"/>
    <w:rsid w:val="12654DA3"/>
    <w:rsid w:val="15C13406"/>
    <w:rsid w:val="16DE0176"/>
    <w:rsid w:val="1BC01BEA"/>
    <w:rsid w:val="1BDA1E17"/>
    <w:rsid w:val="1E9A0226"/>
    <w:rsid w:val="302464A0"/>
    <w:rsid w:val="35E4609C"/>
    <w:rsid w:val="363D6249"/>
    <w:rsid w:val="3AB2719F"/>
    <w:rsid w:val="3E182468"/>
    <w:rsid w:val="448F7896"/>
    <w:rsid w:val="465B0C9E"/>
    <w:rsid w:val="48995805"/>
    <w:rsid w:val="4A8C63AD"/>
    <w:rsid w:val="5D026D44"/>
    <w:rsid w:val="5EAA18D9"/>
    <w:rsid w:val="5EB365A5"/>
    <w:rsid w:val="5FBB164E"/>
    <w:rsid w:val="64C37364"/>
    <w:rsid w:val="659F2EC5"/>
    <w:rsid w:val="6F2916E8"/>
    <w:rsid w:val="72F9028C"/>
    <w:rsid w:val="77494F2E"/>
    <w:rsid w:val="787A7527"/>
    <w:rsid w:val="79AC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B6B43"/>
  <w15:docId w15:val="{858E87BD-49C9-48E9-82D5-7E8E67BF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120" w:after="120" w:line="360" w:lineRule="auto"/>
      <w:outlineLvl w:val="0"/>
    </w:pPr>
    <w:rPr>
      <w:rFonts w:ascii="宋体" w:eastAsia="宋体" w:hAnsi="Times New Roman" w:cs="Times New Roman"/>
      <w:b/>
      <w:color w:val="000000"/>
      <w:kern w:val="0"/>
      <w:sz w:val="24"/>
      <w:szCs w:val="20"/>
      <w:lang w:val="zh-CN"/>
    </w:rPr>
  </w:style>
  <w:style w:type="paragraph" w:styleId="2">
    <w:name w:val="heading 2"/>
    <w:basedOn w:val="a"/>
    <w:next w:val="a"/>
    <w:link w:val="20"/>
    <w:semiHidden/>
    <w:unhideWhenUsed/>
    <w:qFormat/>
    <w:pPr>
      <w:keepNext/>
      <w:keepLines/>
      <w:numPr>
        <w:numId w:val="1"/>
      </w:numPr>
      <w:spacing w:before="260" w:after="260" w:line="412" w:lineRule="auto"/>
      <w:outlineLvl w:val="1"/>
    </w:pPr>
    <w:rPr>
      <w:rFonts w:ascii="Arial" w:eastAsia="黑体" w:hAnsi="Arial" w:cs="Times New Roman"/>
      <w:b/>
      <w:sz w:val="32"/>
      <w:szCs w:val="20"/>
      <w:lang w:val="zh-CN"/>
    </w:rPr>
  </w:style>
  <w:style w:type="paragraph" w:styleId="3">
    <w:name w:val="heading 3"/>
    <w:basedOn w:val="a"/>
    <w:next w:val="a"/>
    <w:link w:val="30"/>
    <w:semiHidden/>
    <w:unhideWhenUsed/>
    <w:qFormat/>
    <w:pPr>
      <w:keepNext/>
      <w:keepLines/>
      <w:spacing w:before="260" w:after="260" w:line="412" w:lineRule="auto"/>
      <w:outlineLvl w:val="2"/>
    </w:pPr>
    <w:rPr>
      <w:rFonts w:ascii="Times New Roman" w:eastAsia="宋体" w:hAnsi="Times New Roman" w:cs="Times New Roman"/>
      <w:b/>
      <w:kern w:val="0"/>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Chars="200" w:firstLine="420"/>
    </w:pPr>
    <w:rPr>
      <w:rFonts w:ascii="Times New Roman" w:eastAsia="宋体" w:hAnsi="Times New Roman" w:cs="Times New Roman"/>
      <w:szCs w:val="20"/>
    </w:rPr>
  </w:style>
  <w:style w:type="paragraph" w:styleId="a4">
    <w:name w:val="Document Map"/>
    <w:basedOn w:val="a"/>
    <w:link w:val="a5"/>
    <w:autoRedefine/>
    <w:semiHidden/>
    <w:unhideWhenUsed/>
    <w:qFormat/>
    <w:pPr>
      <w:shd w:val="clear" w:color="auto" w:fill="000080"/>
    </w:pPr>
    <w:rPr>
      <w:rFonts w:ascii="Times New Roman" w:eastAsia="宋体" w:hAnsi="Times New Roman" w:cs="Times New Roman"/>
      <w:szCs w:val="20"/>
    </w:rPr>
  </w:style>
  <w:style w:type="paragraph" w:styleId="a6">
    <w:name w:val="annotation text"/>
    <w:basedOn w:val="a"/>
    <w:link w:val="a7"/>
    <w:autoRedefine/>
    <w:unhideWhenUsed/>
    <w:qFormat/>
    <w:pPr>
      <w:jc w:val="left"/>
    </w:pPr>
    <w:rPr>
      <w:rFonts w:ascii="Times New Roman" w:eastAsia="宋体" w:hAnsi="Times New Roman" w:cs="Times New Roman"/>
      <w:szCs w:val="20"/>
    </w:rPr>
  </w:style>
  <w:style w:type="paragraph" w:styleId="a8">
    <w:name w:val="Body Text"/>
    <w:basedOn w:val="a"/>
    <w:link w:val="a9"/>
    <w:autoRedefine/>
    <w:semiHidden/>
    <w:unhideWhenUsed/>
    <w:qFormat/>
    <w:pPr>
      <w:autoSpaceDE w:val="0"/>
      <w:autoSpaceDN w:val="0"/>
      <w:adjustRightInd w:val="0"/>
      <w:spacing w:line="360" w:lineRule="auto"/>
      <w:jc w:val="left"/>
    </w:pPr>
    <w:rPr>
      <w:rFonts w:ascii="宋体" w:eastAsia="宋体" w:hAnsi="Calibri" w:cs="Times New Roman"/>
      <w:kern w:val="0"/>
    </w:rPr>
  </w:style>
  <w:style w:type="paragraph" w:styleId="TOC3">
    <w:name w:val="toc 3"/>
    <w:basedOn w:val="a"/>
    <w:next w:val="a"/>
    <w:semiHidden/>
    <w:unhideWhenUsed/>
    <w:qFormat/>
    <w:pPr>
      <w:ind w:leftChars="400" w:left="840"/>
    </w:pPr>
    <w:rPr>
      <w:rFonts w:ascii="Times New Roman" w:eastAsia="宋体" w:hAnsi="Times New Roman" w:cs="Times New Roman"/>
      <w:szCs w:val="20"/>
    </w:rPr>
  </w:style>
  <w:style w:type="paragraph" w:styleId="aa">
    <w:name w:val="Plain Text"/>
    <w:basedOn w:val="a"/>
    <w:link w:val="ab"/>
    <w:semiHidden/>
    <w:unhideWhenUsed/>
    <w:qFormat/>
    <w:pPr>
      <w:adjustRightInd w:val="0"/>
      <w:spacing w:line="312" w:lineRule="atLeast"/>
    </w:pPr>
    <w:rPr>
      <w:rFonts w:ascii="宋体" w:eastAsia="宋体" w:hAnsi="Courier New" w:cs="Times New Roman"/>
      <w:kern w:val="0"/>
      <w:szCs w:val="20"/>
    </w:rPr>
  </w:style>
  <w:style w:type="paragraph" w:styleId="21">
    <w:name w:val="Body Text Indent 2"/>
    <w:basedOn w:val="a"/>
    <w:link w:val="22"/>
    <w:semiHidden/>
    <w:unhideWhenUsed/>
    <w:qFormat/>
    <w:pPr>
      <w:spacing w:line="360" w:lineRule="auto"/>
      <w:ind w:firstLine="425"/>
    </w:pPr>
    <w:rPr>
      <w:rFonts w:ascii="仿宋_GB2312" w:eastAsia="仿宋_GB2312" w:hAnsi="Times New Roman" w:cs="Times New Roman"/>
      <w:sz w:val="28"/>
      <w:szCs w:val="20"/>
    </w:rPr>
  </w:style>
  <w:style w:type="paragraph" w:styleId="ac">
    <w:name w:val="Balloon Text"/>
    <w:basedOn w:val="a"/>
    <w:link w:val="ad"/>
    <w:semiHidden/>
    <w:unhideWhenUsed/>
    <w:qFormat/>
    <w:rPr>
      <w:rFonts w:ascii="Times New Roman" w:eastAsia="宋体" w:hAnsi="Times New Roman" w:cs="Times New Roman"/>
      <w:sz w:val="18"/>
      <w:szCs w:val="20"/>
    </w:rPr>
  </w:style>
  <w:style w:type="paragraph" w:styleId="ae">
    <w:name w:val="footer"/>
    <w:basedOn w:val="a"/>
    <w:link w:val="af"/>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pPr>
      <w:tabs>
        <w:tab w:val="right" w:leader="dot" w:pos="8296"/>
      </w:tabs>
      <w:spacing w:line="360" w:lineRule="auto"/>
    </w:pPr>
    <w:rPr>
      <w:rFonts w:ascii="Times New Roman" w:eastAsia="宋体" w:hAnsi="Times New Roman" w:cs="Times New Roman"/>
      <w:szCs w:val="20"/>
    </w:rPr>
  </w:style>
  <w:style w:type="paragraph" w:styleId="af2">
    <w:name w:val="footnote text"/>
    <w:basedOn w:val="a"/>
    <w:link w:val="af3"/>
    <w:semiHidden/>
    <w:unhideWhenUsed/>
    <w:qFormat/>
    <w:pPr>
      <w:snapToGrid w:val="0"/>
      <w:jc w:val="left"/>
    </w:pPr>
    <w:rPr>
      <w:rFonts w:ascii="Times New Roman" w:eastAsia="宋体" w:hAnsi="Times New Roman" w:cs="Times New Roman"/>
      <w:sz w:val="18"/>
      <w:szCs w:val="20"/>
    </w:rPr>
  </w:style>
  <w:style w:type="paragraph" w:styleId="31">
    <w:name w:val="Body Text Indent 3"/>
    <w:basedOn w:val="a"/>
    <w:link w:val="32"/>
    <w:semiHidden/>
    <w:unhideWhenUsed/>
    <w:qFormat/>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styleId="af4">
    <w:name w:val="Title"/>
    <w:basedOn w:val="a"/>
    <w:next w:val="a"/>
    <w:link w:val="af5"/>
    <w:qFormat/>
    <w:pPr>
      <w:spacing w:before="240" w:after="60"/>
      <w:jc w:val="center"/>
      <w:outlineLvl w:val="0"/>
    </w:pPr>
    <w:rPr>
      <w:rFonts w:ascii="Cambria" w:eastAsia="宋体" w:hAnsi="Cambria" w:cs="Times New Roman"/>
      <w:b/>
      <w:sz w:val="32"/>
    </w:rPr>
  </w:style>
  <w:style w:type="paragraph" w:styleId="af6">
    <w:name w:val="annotation subject"/>
    <w:basedOn w:val="a6"/>
    <w:next w:val="a6"/>
    <w:link w:val="af7"/>
    <w:semiHidden/>
    <w:unhideWhenUsed/>
    <w:qFormat/>
    <w:rPr>
      <w:b/>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qFormat/>
    <w:rPr>
      <w:color w:val="800080" w:themeColor="followedHyperlink"/>
      <w:u w:val="single"/>
    </w:rPr>
  </w:style>
  <w:style w:type="character" w:styleId="afa">
    <w:name w:val="Hyperlink"/>
    <w:uiPriority w:val="99"/>
    <w:unhideWhenUsed/>
    <w:qFormat/>
    <w:rPr>
      <w:color w:val="0000FF"/>
      <w:u w:val="single"/>
    </w:rPr>
  </w:style>
  <w:style w:type="character" w:styleId="afb">
    <w:name w:val="annotation reference"/>
    <w:semiHidden/>
    <w:unhideWhenUsed/>
    <w:qFormat/>
    <w:rPr>
      <w:sz w:val="21"/>
    </w:rPr>
  </w:style>
  <w:style w:type="character" w:styleId="afc">
    <w:name w:val="footnote reference"/>
    <w:semiHidden/>
    <w:unhideWhenUsed/>
    <w:qFormat/>
    <w:rPr>
      <w:vertAlign w:val="superscript"/>
    </w:rPr>
  </w:style>
  <w:style w:type="character" w:customStyle="1" w:styleId="10">
    <w:name w:val="标题 1 字符"/>
    <w:basedOn w:val="a0"/>
    <w:link w:val="1"/>
    <w:uiPriority w:val="9"/>
    <w:qFormat/>
    <w:rPr>
      <w:rFonts w:ascii="宋体" w:eastAsia="宋体" w:hAnsi="Times New Roman" w:cs="Times New Roman"/>
      <w:b/>
      <w:color w:val="000000"/>
      <w:kern w:val="0"/>
      <w:sz w:val="24"/>
      <w:szCs w:val="20"/>
      <w:lang w:val="zh-CN" w:eastAsia="zh-CN"/>
    </w:rPr>
  </w:style>
  <w:style w:type="character" w:customStyle="1" w:styleId="20">
    <w:name w:val="标题 2 字符"/>
    <w:basedOn w:val="a0"/>
    <w:link w:val="2"/>
    <w:semiHidden/>
    <w:qFormat/>
    <w:rPr>
      <w:rFonts w:ascii="Arial" w:eastAsia="黑体" w:hAnsi="Arial" w:cs="Times New Roman"/>
      <w:b/>
      <w:sz w:val="32"/>
      <w:szCs w:val="20"/>
      <w:lang w:val="zh-CN" w:eastAsia="zh-CN"/>
    </w:rPr>
  </w:style>
  <w:style w:type="character" w:customStyle="1" w:styleId="30">
    <w:name w:val="标题 3 字符"/>
    <w:basedOn w:val="a0"/>
    <w:link w:val="3"/>
    <w:semiHidden/>
    <w:qFormat/>
    <w:rPr>
      <w:rFonts w:ascii="Times New Roman" w:eastAsia="宋体" w:hAnsi="Times New Roman" w:cs="Times New Roman"/>
      <w:b/>
      <w:kern w:val="0"/>
      <w:sz w:val="32"/>
      <w:szCs w:val="20"/>
      <w:lang w:val="zh-CN" w:eastAsia="zh-CN"/>
    </w:rPr>
  </w:style>
  <w:style w:type="character" w:customStyle="1" w:styleId="af3">
    <w:name w:val="脚注文本 字符"/>
    <w:basedOn w:val="a0"/>
    <w:link w:val="af2"/>
    <w:semiHidden/>
    <w:qFormat/>
    <w:rPr>
      <w:rFonts w:ascii="Times New Roman" w:eastAsia="宋体" w:hAnsi="Times New Roman" w:cs="Times New Roman"/>
      <w:sz w:val="18"/>
      <w:szCs w:val="20"/>
    </w:rPr>
  </w:style>
  <w:style w:type="character" w:customStyle="1" w:styleId="Char">
    <w:name w:val="批注文字 Char"/>
    <w:basedOn w:val="a0"/>
    <w:semiHidden/>
    <w:qFormat/>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f">
    <w:name w:val="页脚 字符"/>
    <w:basedOn w:val="a0"/>
    <w:link w:val="ae"/>
    <w:uiPriority w:val="99"/>
    <w:qFormat/>
    <w:rPr>
      <w:rFonts w:ascii="Times New Roman" w:eastAsia="宋体" w:hAnsi="Times New Roman" w:cs="Times New Roman"/>
      <w:sz w:val="18"/>
      <w:szCs w:val="18"/>
    </w:rPr>
  </w:style>
  <w:style w:type="character" w:customStyle="1" w:styleId="af5">
    <w:name w:val="标题 字符"/>
    <w:basedOn w:val="a0"/>
    <w:link w:val="af4"/>
    <w:qFormat/>
    <w:rPr>
      <w:rFonts w:ascii="Cambria" w:eastAsia="宋体" w:hAnsi="Cambria" w:cs="Times New Roman"/>
      <w:b/>
      <w:sz w:val="32"/>
    </w:rPr>
  </w:style>
  <w:style w:type="character" w:customStyle="1" w:styleId="a9">
    <w:name w:val="正文文本 字符"/>
    <w:basedOn w:val="a0"/>
    <w:link w:val="a8"/>
    <w:semiHidden/>
    <w:qFormat/>
    <w:rPr>
      <w:rFonts w:ascii="宋体" w:eastAsia="宋体" w:hAnsi="Calibri" w:cs="Times New Roman"/>
      <w:kern w:val="0"/>
    </w:rPr>
  </w:style>
  <w:style w:type="character" w:customStyle="1" w:styleId="22">
    <w:name w:val="正文文本缩进 2 字符"/>
    <w:basedOn w:val="a0"/>
    <w:link w:val="21"/>
    <w:semiHidden/>
    <w:qFormat/>
    <w:rPr>
      <w:rFonts w:ascii="仿宋_GB2312" w:eastAsia="仿宋_GB2312" w:hAnsi="Times New Roman" w:cs="Times New Roman"/>
      <w:sz w:val="28"/>
      <w:szCs w:val="20"/>
    </w:rPr>
  </w:style>
  <w:style w:type="character" w:customStyle="1" w:styleId="32">
    <w:name w:val="正文文本缩进 3 字符"/>
    <w:basedOn w:val="a0"/>
    <w:link w:val="31"/>
    <w:semiHidden/>
    <w:qFormat/>
    <w:rPr>
      <w:rFonts w:ascii="Times New Roman" w:eastAsia="宋体" w:hAnsi="Times New Roman" w:cs="Times New Roman"/>
      <w:color w:val="0000FF"/>
      <w:szCs w:val="20"/>
    </w:rPr>
  </w:style>
  <w:style w:type="character" w:customStyle="1" w:styleId="a5">
    <w:name w:val="文档结构图 字符"/>
    <w:basedOn w:val="a0"/>
    <w:link w:val="a4"/>
    <w:semiHidden/>
    <w:qFormat/>
    <w:rPr>
      <w:rFonts w:ascii="Times New Roman" w:eastAsia="宋体" w:hAnsi="Times New Roman" w:cs="Times New Roman"/>
      <w:szCs w:val="20"/>
      <w:shd w:val="clear" w:color="auto" w:fill="000080"/>
    </w:rPr>
  </w:style>
  <w:style w:type="character" w:customStyle="1" w:styleId="ab">
    <w:name w:val="纯文本 字符"/>
    <w:basedOn w:val="a0"/>
    <w:link w:val="aa"/>
    <w:semiHidden/>
    <w:qFormat/>
    <w:rPr>
      <w:rFonts w:ascii="宋体" w:eastAsia="宋体" w:hAnsi="Courier New" w:cs="Times New Roman"/>
      <w:kern w:val="0"/>
      <w:szCs w:val="20"/>
    </w:rPr>
  </w:style>
  <w:style w:type="character" w:customStyle="1" w:styleId="af7">
    <w:name w:val="批注主题 字符"/>
    <w:basedOn w:val="Char"/>
    <w:link w:val="af6"/>
    <w:semiHidden/>
    <w:qFormat/>
    <w:rPr>
      <w:rFonts w:ascii="Times New Roman" w:eastAsia="宋体" w:hAnsi="Times New Roman" w:cs="Times New Roman"/>
      <w:b/>
      <w:szCs w:val="20"/>
    </w:rPr>
  </w:style>
  <w:style w:type="character" w:customStyle="1" w:styleId="ad">
    <w:name w:val="批注框文本 字符"/>
    <w:basedOn w:val="a0"/>
    <w:link w:val="ac"/>
    <w:semiHidden/>
    <w:qFormat/>
    <w:rPr>
      <w:rFonts w:ascii="Times New Roman" w:eastAsia="宋体" w:hAnsi="Times New Roman" w:cs="Times New Roman"/>
      <w:sz w:val="18"/>
      <w:szCs w:val="20"/>
    </w:rPr>
  </w:style>
  <w:style w:type="paragraph" w:customStyle="1" w:styleId="11">
    <w:name w:val="修订1"/>
    <w:semiHidden/>
    <w:qFormat/>
    <w:rPr>
      <w:kern w:val="2"/>
      <w:sz w:val="21"/>
    </w:rPr>
  </w:style>
  <w:style w:type="paragraph" w:customStyle="1" w:styleId="Listbullet">
    <w:name w:val="List_bullet"/>
    <w:basedOn w:val="a"/>
    <w:qFormat/>
    <w:pPr>
      <w:widowControl/>
      <w:numPr>
        <w:numId w:val="2"/>
      </w:numPr>
      <w:jc w:val="left"/>
    </w:pPr>
    <w:rPr>
      <w:rFonts w:ascii="Times New Roman" w:eastAsia="宋体" w:hAnsi="Times New Roman" w:cs="Times New Roman"/>
      <w:kern w:val="0"/>
      <w:sz w:val="24"/>
      <w:szCs w:val="20"/>
    </w:rPr>
  </w:style>
  <w:style w:type="paragraph" w:customStyle="1" w:styleId="CharCharChar">
    <w:name w:val="Char Char Char"/>
    <w:basedOn w:val="a"/>
    <w:qFormat/>
    <w:rPr>
      <w:rFonts w:ascii="Times New Roman" w:eastAsia="宋体" w:hAnsi="Times New Roman" w:cs="Times New Roman"/>
      <w:szCs w:val="20"/>
    </w:rPr>
  </w:style>
  <w:style w:type="paragraph" w:customStyle="1" w:styleId="afd">
    <w:name w:val="正文所"/>
    <w:basedOn w:val="a"/>
    <w:qFormat/>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qFormat/>
    <w:pPr>
      <w:tabs>
        <w:tab w:val="left" w:pos="360"/>
      </w:tabs>
    </w:pPr>
    <w:rPr>
      <w:rFonts w:ascii="Times New Roman" w:eastAsia="宋体" w:hAnsi="Times New Roman" w:cs="Times New Roman"/>
      <w:szCs w:val="20"/>
    </w:rPr>
  </w:style>
  <w:style w:type="paragraph" w:customStyle="1" w:styleId="Char0">
    <w:name w:val="Char"/>
    <w:basedOn w:val="a"/>
    <w:qFormat/>
    <w:rPr>
      <w:rFonts w:ascii="Times New Roman" w:eastAsia="宋体" w:hAnsi="Times New Roman" w:cs="Times New Roman"/>
      <w:szCs w:val="20"/>
    </w:rPr>
  </w:style>
  <w:style w:type="paragraph" w:customStyle="1" w:styleId="unnamed1">
    <w:name w:val="unnamed1"/>
    <w:basedOn w:val="a"/>
    <w:qFormat/>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qFormat/>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8"/>
    <w:qFormat/>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qFormat/>
    <w:pPr>
      <w:widowControl w:val="0"/>
      <w:jc w:val="both"/>
    </w:pPr>
    <w:rPr>
      <w:kern w:val="2"/>
      <w:sz w:val="21"/>
    </w:rPr>
  </w:style>
  <w:style w:type="paragraph" w:customStyle="1" w:styleId="CharChar">
    <w:name w:val="Char Char"/>
    <w:basedOn w:val="a"/>
    <w:qFormat/>
    <w:rPr>
      <w:rFonts w:ascii="Times New Roman" w:eastAsia="宋体" w:hAnsi="Times New Roman" w:cs="Times New Roman"/>
      <w:szCs w:val="20"/>
    </w:rPr>
  </w:style>
  <w:style w:type="paragraph" w:customStyle="1" w:styleId="CharChar1">
    <w:name w:val="Char Char1"/>
    <w:basedOn w:val="a"/>
    <w:qFormat/>
    <w:rPr>
      <w:rFonts w:ascii="Times New Roman" w:eastAsia="宋体" w:hAnsi="Times New Roman" w:cs="Times New Roman"/>
      <w:szCs w:val="20"/>
    </w:rPr>
  </w:style>
  <w:style w:type="paragraph" w:customStyle="1" w:styleId="afe">
    <w:name w:val="正文正文"/>
    <w:basedOn w:val="a"/>
    <w:qFormat/>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1">
    <w:name w:val="页眉 Char1"/>
    <w:qFormat/>
    <w:rPr>
      <w:rFonts w:ascii="Times New Roman" w:eastAsia="宋体" w:hAnsi="Times New Roman" w:cs="Times New Roman" w:hint="default"/>
      <w:sz w:val="18"/>
      <w:szCs w:val="1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0">
    <w:name w:val="正文文本 Char1"/>
    <w:qFormat/>
    <w:rPr>
      <w:rFonts w:ascii="Times New Roman" w:eastAsia="宋体" w:hAnsi="Times New Roman" w:cs="Times New Roman" w:hint="default"/>
      <w:szCs w:val="20"/>
    </w:rPr>
  </w:style>
  <w:style w:type="character" w:customStyle="1" w:styleId="Char11">
    <w:name w:val="标题 Char1"/>
    <w:qFormat/>
    <w:rPr>
      <w:rFonts w:ascii="Cambria" w:eastAsia="宋体" w:hAnsi="Cambria" w:cs="Times New Roman" w:hint="default"/>
      <w:b/>
      <w:bCs/>
      <w:sz w:val="32"/>
      <w:szCs w:val="32"/>
    </w:rPr>
  </w:style>
  <w:style w:type="character" w:customStyle="1" w:styleId="Char2">
    <w:name w:val="正文文本 Char2"/>
    <w:basedOn w:val="a0"/>
    <w:uiPriority w:val="99"/>
    <w:semiHidden/>
    <w:qFormat/>
    <w:rPr>
      <w:rFonts w:ascii="Times New Roman" w:eastAsia="宋体" w:hAnsi="Times New Roman" w:cs="Times New Roman" w:hint="default"/>
      <w:szCs w:val="20"/>
    </w:rPr>
  </w:style>
  <w:style w:type="character" w:customStyle="1" w:styleId="2Char1">
    <w:name w:val="正文文本缩进 2 Char1"/>
    <w:basedOn w:val="a0"/>
    <w:uiPriority w:val="99"/>
    <w:semiHidden/>
    <w:qFormat/>
    <w:rPr>
      <w:rFonts w:ascii="Times New Roman" w:eastAsia="宋体" w:hAnsi="Times New Roman" w:cs="Times New Roman" w:hint="default"/>
      <w:szCs w:val="20"/>
    </w:rPr>
  </w:style>
  <w:style w:type="character" w:customStyle="1" w:styleId="a7">
    <w:name w:val="批注文字 字符"/>
    <w:basedOn w:val="a0"/>
    <w:link w:val="a6"/>
    <w:qFormat/>
    <w:locked/>
    <w:rPr>
      <w:rFonts w:ascii="Times New Roman" w:eastAsia="宋体" w:hAnsi="Times New Roman" w:cs="Times New Roman"/>
      <w:szCs w:val="20"/>
    </w:rPr>
  </w:style>
  <w:style w:type="character" w:customStyle="1" w:styleId="Char12">
    <w:name w:val="批注主题 Char1"/>
    <w:basedOn w:val="a7"/>
    <w:uiPriority w:val="99"/>
    <w:semiHidden/>
    <w:qFormat/>
    <w:rPr>
      <w:rFonts w:ascii="Times New Roman" w:eastAsia="宋体" w:hAnsi="Times New Roman" w:cs="Times New Roman"/>
      <w:b/>
      <w:bCs/>
      <w:szCs w:val="20"/>
    </w:rPr>
  </w:style>
  <w:style w:type="character" w:customStyle="1" w:styleId="3Char1">
    <w:name w:val="正文文本缩进 3 Char1"/>
    <w:basedOn w:val="a0"/>
    <w:uiPriority w:val="99"/>
    <w:semiHidden/>
    <w:qFormat/>
    <w:rPr>
      <w:rFonts w:ascii="Times New Roman" w:eastAsia="宋体" w:hAnsi="Times New Roman" w:cs="Times New Roman" w:hint="default"/>
      <w:sz w:val="16"/>
      <w:szCs w:val="16"/>
    </w:rPr>
  </w:style>
  <w:style w:type="character" w:customStyle="1" w:styleId="Char13">
    <w:name w:val="纯文本 Char1"/>
    <w:basedOn w:val="a0"/>
    <w:uiPriority w:val="99"/>
    <w:semiHidden/>
    <w:qFormat/>
    <w:rPr>
      <w:rFonts w:ascii="宋体" w:eastAsia="宋体" w:hAnsi="Courier New" w:cs="Courier New" w:hint="eastAsia"/>
      <w:szCs w:val="21"/>
    </w:rPr>
  </w:style>
  <w:style w:type="character" w:customStyle="1" w:styleId="Char20">
    <w:name w:val="标题 Char2"/>
    <w:basedOn w:val="a0"/>
    <w:uiPriority w:val="10"/>
    <w:qFormat/>
    <w:rPr>
      <w:rFonts w:ascii="Cambria" w:eastAsia="宋体" w:hAnsi="Cambria" w:cs="Times New Roman" w:hint="default"/>
      <w:b/>
      <w:bCs/>
      <w:sz w:val="32"/>
      <w:szCs w:val="32"/>
    </w:rPr>
  </w:style>
  <w:style w:type="character" w:customStyle="1" w:styleId="Char14">
    <w:name w:val="文档结构图 Char1"/>
    <w:basedOn w:val="a0"/>
    <w:uiPriority w:val="99"/>
    <w:semiHidden/>
    <w:qFormat/>
    <w:rPr>
      <w:rFonts w:ascii="宋体" w:eastAsia="宋体" w:hAnsi="Times New Roman" w:cs="Times New Roman" w:hint="eastAsia"/>
      <w:sz w:val="18"/>
      <w:szCs w:val="18"/>
    </w:rPr>
  </w:style>
  <w:style w:type="character" w:customStyle="1" w:styleId="Char15">
    <w:name w:val="批注框文本 Char1"/>
    <w:basedOn w:val="a0"/>
    <w:uiPriority w:val="99"/>
    <w:semiHidden/>
    <w:qFormat/>
    <w:rPr>
      <w:rFonts w:ascii="Times New Roman" w:eastAsia="宋体" w:hAnsi="Times New Roman" w:cs="Times New Roman" w:hint="default"/>
      <w:sz w:val="18"/>
      <w:szCs w:val="18"/>
    </w:rPr>
  </w:style>
  <w:style w:type="character" w:customStyle="1" w:styleId="Char16">
    <w:name w:val="脚注文本 Char1"/>
    <w:basedOn w:val="a0"/>
    <w:uiPriority w:val="99"/>
    <w:semiHidden/>
    <w:qFormat/>
    <w:rPr>
      <w:rFonts w:ascii="Times New Roman" w:eastAsia="宋体" w:hAnsi="Times New Roman" w:cs="Times New Roman" w:hint="default"/>
      <w:sz w:val="18"/>
      <w:szCs w:val="18"/>
    </w:rPr>
  </w:style>
  <w:style w:type="character" w:customStyle="1" w:styleId="txtcontent11">
    <w:name w:val="txtcontent11"/>
    <w:qFormat/>
    <w:rPr>
      <w:rFonts w:ascii="ˎ̥" w:hAnsi="ˎ̥" w:hint="default"/>
      <w:color w:val="000000"/>
      <w:sz w:val="21"/>
      <w:szCs w:val="21"/>
    </w:rPr>
  </w:style>
  <w:style w:type="paragraph" w:styleId="aff">
    <w:name w:val="List Paragraph"/>
    <w:basedOn w:val="a"/>
    <w:uiPriority w:val="34"/>
    <w:qFormat/>
    <w:pPr>
      <w:ind w:firstLineChars="200" w:firstLine="420"/>
    </w:p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cs="Times New Roman"/>
      <w:sz w:val="32"/>
      <w:szCs w:val="20"/>
    </w:rPr>
  </w:style>
  <w:style w:type="paragraph" w:customStyle="1" w:styleId="zhangjiep">
    <w:name w:val="zhangjie_p"/>
    <w:basedOn w:val="a"/>
    <w:qFormat/>
    <w:pPr>
      <w:widowControl/>
      <w:autoSpaceDE w:val="0"/>
      <w:autoSpaceDN w:val="0"/>
      <w:adjustRightInd w:val="0"/>
      <w:spacing w:before="30" w:line="288" w:lineRule="auto"/>
      <w:ind w:left="15"/>
      <w:jc w:val="left"/>
      <w:outlineLvl w:val="1"/>
    </w:pPr>
    <w:rPr>
      <w:rFonts w:ascii="宋体" w:eastAsia="宋体" w:hAnsi="宋体" w:cs="宋体"/>
      <w:kern w:val="0"/>
      <w:sz w:val="24"/>
      <w:szCs w:val="24"/>
    </w:rPr>
  </w:style>
  <w:style w:type="paragraph" w:customStyle="1" w:styleId="biaogeright">
    <w:name w:val="biaoge_right"/>
    <w:basedOn w:val="a"/>
    <w:qFormat/>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biaogeleft">
    <w:name w:val="biaoge_left"/>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qFormat/>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dazhangjie">
    <w:name w:val="dazhangjie"/>
    <w:basedOn w:val="a"/>
    <w:qFormat/>
    <w:pPr>
      <w:widowControl/>
      <w:autoSpaceDE w:val="0"/>
      <w:autoSpaceDN w:val="0"/>
      <w:adjustRightInd w:val="0"/>
      <w:spacing w:before="30" w:line="288" w:lineRule="auto"/>
      <w:ind w:left="15"/>
      <w:jc w:val="center"/>
      <w:outlineLvl w:val="0"/>
    </w:pPr>
    <w:rPr>
      <w:rFonts w:ascii="宋体" w:eastAsia="宋体" w:hAnsi="宋体" w:cs="宋体"/>
      <w:kern w:val="0"/>
      <w:sz w:val="24"/>
      <w:szCs w:val="24"/>
    </w:rPr>
  </w:style>
  <w:style w:type="paragraph" w:customStyle="1" w:styleId="zhangjiep2">
    <w:name w:val="zhangjie_p2"/>
    <w:basedOn w:val="a"/>
    <w:qFormat/>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neirong">
    <w:name w:val="neirong"/>
    <w:basedOn w:val="a"/>
    <w:qFormat/>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3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Revision"/>
    <w:hidden/>
    <w:uiPriority w:val="99"/>
    <w:unhideWhenUsed/>
    <w:rsid w:val="00087E3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2A10A-EFC5-4252-B8D5-CCC8070EFFF6}">
  <ds:schemaRefs>
    <ds:schemaRef ds:uri="http://schemas.openxmlformats.org/officeDocument/2006/bibliography"/>
  </ds:schemaRefs>
</ds:datastoreItem>
</file>

<file path=customXml/itemProps2.xml><?xml version="1.0" encoding="utf-8"?>
<ds:datastoreItem xmlns:ds="http://schemas.openxmlformats.org/officeDocument/2006/customXml" ds:itemID="{ADF56277-C424-478B-AC71-96F9BF3B080C}">
  <ds:schemaRefs>
    <ds:schemaRef ds:uri="http://schemas.openxmlformats.org/officeDocument/2006/bibliography"/>
  </ds:schemaRefs>
</ds:datastoreItem>
</file>

<file path=customXml/itemProps3.xml><?xml version="1.0" encoding="utf-8"?>
<ds:datastoreItem xmlns:ds="http://schemas.openxmlformats.org/officeDocument/2006/customXml" ds:itemID="{583DF835-30BB-43E5-A638-091BAEBD82E1}">
  <ds:schemaRefs>
    <ds:schemaRef ds:uri="http://schemas.openxmlformats.org/officeDocument/2006/bibliography"/>
  </ds:schemaRefs>
</ds:datastoreItem>
</file>

<file path=customXml/itemProps4.xml><?xml version="1.0" encoding="utf-8"?>
<ds:datastoreItem xmlns:ds="http://schemas.openxmlformats.org/officeDocument/2006/customXml" ds:itemID="{B1A26515-7DCC-451D-9FEA-38945D1C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117</Pages>
  <Words>39112</Words>
  <Characters>40286</Characters>
  <Application>Microsoft Office Word</Application>
  <DocSecurity>0</DocSecurity>
  <Lines>1831</Lines>
  <Paragraphs>1890</Paragraphs>
  <ScaleCrop>false</ScaleCrop>
  <Company/>
  <LinksUpToDate>false</LinksUpToDate>
  <CharactersWithSpaces>77508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huyue</dc:creator>
  <cp:lastModifiedBy>郑杰严</cp:lastModifiedBy>
  <cp:revision>12</cp:revision>
  <cp:lastPrinted>2026-03-30T00:52:00Z</cp:lastPrinted>
  <dcterms:created xsi:type="dcterms:W3CDTF">2025-09-25T08:11:00Z</dcterms:created>
  <dcterms:modified xsi:type="dcterms:W3CDTF">2026-03-30T00:52:00Z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AB0DCB7309D04AFD9DC4B4DCE373E3B4_13</vt:lpwstr>
  </property>
  <property fmtid="{D5CDD505-2E9C-101B-9397-08002B2CF9AE}" pid="4" name="KSOTemplateDocerSaveRecord">
    <vt:lpwstr>eyJoZGlkIjoiZGYyZDI4ODI5ZTg5OGI0YTNiNzFlNmEyY2E0MDg4ZTQiLCJ1c2VySWQiOiIzNTU5Mzk0MTIifQ==</vt:lpwstr>
  </property>
</Properties>
</file>