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05501">
      <w:pPr>
        <w:jc w:val="center"/>
        <w:rPr>
          <w:rFonts w:hint="eastAsia"/>
          <w:b/>
          <w:sz w:val="36"/>
          <w:szCs w:val="36"/>
        </w:rPr>
      </w:pPr>
      <w:r>
        <w:rPr>
          <w:rFonts w:hint="eastAsia"/>
          <w:b/>
          <w:sz w:val="36"/>
          <w:szCs w:val="36"/>
        </w:rPr>
        <w:t>富荣基金管理有限公司</w:t>
      </w:r>
    </w:p>
    <w:p w14:paraId="7E2E3672">
      <w:pPr>
        <w:jc w:val="center"/>
        <w:rPr>
          <w:b/>
          <w:sz w:val="36"/>
          <w:szCs w:val="36"/>
        </w:rPr>
      </w:pPr>
      <w:r>
        <w:rPr>
          <w:rFonts w:hint="eastAsia"/>
          <w:b/>
          <w:sz w:val="36"/>
          <w:szCs w:val="36"/>
        </w:rPr>
        <w:t>关于提醒投资者持续完善身份信息资料的公告</w:t>
      </w:r>
    </w:p>
    <w:p w14:paraId="4DEBB424">
      <w:pPr>
        <w:jc w:val="center"/>
      </w:pPr>
    </w:p>
    <w:p w14:paraId="666AA550">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为维护投资者的合法权益，根据《中华人民共和国反洗钱法》《金融机构客户尽职调查和客户身份资料及交易记录保存管理办法》</w:t>
      </w:r>
      <w:r>
        <w:rPr>
          <w:rFonts w:hint="eastAsia" w:asciiTheme="minorEastAsia" w:hAnsiTheme="minorEastAsia"/>
          <w:sz w:val="24"/>
          <w:szCs w:val="24"/>
          <w:lang w:eastAsia="zh-CN"/>
        </w:rPr>
        <w:t>《</w:t>
      </w:r>
      <w:r>
        <w:rPr>
          <w:rFonts w:hint="eastAsia" w:asciiTheme="minorEastAsia" w:hAnsiTheme="minorEastAsia"/>
          <w:sz w:val="24"/>
          <w:szCs w:val="24"/>
        </w:rPr>
        <w:t>金融机构客户受益所有人识别管理办法</w:t>
      </w:r>
      <w:r>
        <w:rPr>
          <w:rFonts w:hint="eastAsia" w:asciiTheme="minorEastAsia" w:hAnsiTheme="minorEastAsia"/>
          <w:sz w:val="24"/>
          <w:szCs w:val="24"/>
          <w:lang w:eastAsia="zh-CN"/>
        </w:rPr>
        <w:t>》</w:t>
      </w:r>
      <w:r>
        <w:rPr>
          <w:rFonts w:hint="eastAsia" w:asciiTheme="minorEastAsia" w:hAnsiTheme="minorEastAsia"/>
          <w:sz w:val="24"/>
          <w:szCs w:val="24"/>
        </w:rPr>
        <w:t>等法律法规以及中国证监会的有关规定，富荣基金管理有限公司（以下简称“本公司”）持续开展客户身份</w:t>
      </w:r>
      <w:r>
        <w:rPr>
          <w:rFonts w:hint="eastAsia" w:asciiTheme="minorEastAsia" w:hAnsiTheme="minorEastAsia"/>
          <w:sz w:val="24"/>
          <w:szCs w:val="24"/>
          <w:lang w:val="en-US" w:eastAsia="zh-CN"/>
        </w:rPr>
        <w:t>基本</w:t>
      </w:r>
      <w:r>
        <w:rPr>
          <w:rFonts w:hint="eastAsia" w:asciiTheme="minorEastAsia" w:hAnsiTheme="minorEastAsia"/>
          <w:sz w:val="24"/>
          <w:szCs w:val="24"/>
        </w:rPr>
        <w:t>信息完善</w:t>
      </w:r>
      <w:bookmarkStart w:id="0" w:name="_GoBack"/>
      <w:bookmarkEnd w:id="0"/>
      <w:r>
        <w:rPr>
          <w:rFonts w:hint="eastAsia" w:asciiTheme="minorEastAsia" w:hAnsiTheme="minorEastAsia"/>
          <w:sz w:val="24"/>
          <w:szCs w:val="24"/>
        </w:rPr>
        <w:t>工作，就相关事项提醒</w:t>
      </w:r>
      <w:r>
        <w:rPr>
          <w:rFonts w:hint="eastAsia" w:asciiTheme="minorEastAsia" w:hAnsiTheme="minorEastAsia"/>
          <w:sz w:val="24"/>
          <w:szCs w:val="24"/>
          <w:lang w:val="en-US" w:eastAsia="zh-CN"/>
        </w:rPr>
        <w:t>如下</w:t>
      </w:r>
      <w:r>
        <w:rPr>
          <w:rFonts w:hint="eastAsia" w:asciiTheme="minorEastAsia" w:hAnsiTheme="minorEastAsia"/>
          <w:sz w:val="24"/>
          <w:szCs w:val="24"/>
        </w:rPr>
        <w:t>：</w:t>
      </w:r>
    </w:p>
    <w:p w14:paraId="2454DEE8">
      <w:pPr>
        <w:spacing w:line="360" w:lineRule="auto"/>
        <w:ind w:firstLine="420"/>
        <w:rPr>
          <w:rFonts w:asciiTheme="minorEastAsia" w:hAnsiTheme="minorEastAsia"/>
          <w:sz w:val="24"/>
          <w:szCs w:val="24"/>
        </w:rPr>
      </w:pPr>
    </w:p>
    <w:p w14:paraId="66F832E2">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b/>
          <w:sz w:val="24"/>
          <w:szCs w:val="24"/>
        </w:rPr>
      </w:pPr>
      <w:r>
        <w:rPr>
          <w:rFonts w:hint="eastAsia" w:asciiTheme="minorEastAsia" w:hAnsiTheme="minorEastAsia"/>
          <w:b/>
          <w:sz w:val="24"/>
          <w:szCs w:val="24"/>
        </w:rPr>
        <w:t>一、自然人客户</w:t>
      </w:r>
    </w:p>
    <w:p w14:paraId="77198AB1">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1、自然人客户需确认姓名、性别、国籍、职业、住所地或者工作单位地址、联系方式、身份证件或者身份证明文件的种类和证件号码、证件有效期及身份证件影印件正反面等信息资料留存是否完整。</w:t>
      </w:r>
    </w:p>
    <w:p w14:paraId="29EA9D31">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2、上述信息资料不完整、不真实或身份证明文件失效的客户，请及时联系开立基金账户的机构更新相关信息。</w:t>
      </w:r>
    </w:p>
    <w:p w14:paraId="5B163DCE">
      <w:pPr>
        <w:spacing w:line="360" w:lineRule="auto"/>
        <w:rPr>
          <w:rFonts w:asciiTheme="minorEastAsia" w:hAnsiTheme="minorEastAsia"/>
          <w:sz w:val="24"/>
          <w:szCs w:val="24"/>
        </w:rPr>
      </w:pPr>
    </w:p>
    <w:p w14:paraId="7F4DF41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Theme="minorEastAsia" w:hAnsiTheme="minorEastAsia"/>
          <w:b/>
          <w:sz w:val="24"/>
          <w:szCs w:val="24"/>
        </w:rPr>
      </w:pPr>
      <w:r>
        <w:rPr>
          <w:rFonts w:hint="eastAsia" w:asciiTheme="minorEastAsia" w:hAnsiTheme="minorEastAsia"/>
          <w:b/>
          <w:sz w:val="24"/>
          <w:szCs w:val="24"/>
        </w:rPr>
        <w:t>二、法人或其他组织等非自然人客户</w:t>
      </w:r>
    </w:p>
    <w:p w14:paraId="0720AE5A">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1、非自然人客户需确认名称、住所、经营范围；可证明该客户依法设立或者可依法开展经营、社会活动的执照、证件或者文件的名称、号码和有效期限；控股股东或者实际控制人、受益所有人、法定代表人、负责人和授权办理业务人员的姓名、身份证件或者身份证明文件的种类、号码、有效期限等信息留存是否完整。</w:t>
      </w:r>
    </w:p>
    <w:p w14:paraId="0EACF8DA">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2、上述信息不完整、不真实或证明文件失效的客户，请及时持有效资料到开立基金账户的机构更新相关信息。</w:t>
      </w:r>
    </w:p>
    <w:p w14:paraId="3BF3C569">
      <w:pPr>
        <w:spacing w:line="360" w:lineRule="auto"/>
        <w:rPr>
          <w:rFonts w:asciiTheme="minorEastAsia" w:hAnsiTheme="minorEastAsia"/>
          <w:sz w:val="24"/>
          <w:szCs w:val="24"/>
        </w:rPr>
      </w:pPr>
    </w:p>
    <w:p w14:paraId="11E931C7">
      <w:pPr>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投资者应当及时通过开立基金账户的机构提供或更新补足身份信息资料，对于身份信息资料不真实有效、不完整、不准确、未在合理期限内补充完善的，本公司将采取提醒、限制或中止办理业务等措施，请投资者及时提供或更新身份信息资料，以免影响业务办理。</w:t>
      </w:r>
    </w:p>
    <w:p w14:paraId="0B513051">
      <w:pPr>
        <w:spacing w:line="360" w:lineRule="auto"/>
        <w:ind w:firstLine="480" w:firstLineChars="200"/>
        <w:rPr>
          <w:rFonts w:hint="eastAsia" w:asciiTheme="minorEastAsia" w:hAnsiTheme="minorEastAsia"/>
          <w:sz w:val="24"/>
          <w:szCs w:val="24"/>
        </w:rPr>
      </w:pPr>
    </w:p>
    <w:p w14:paraId="3A275099">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本公司所获取的客户资料将按照相关法规要求严格采取保密措施，保护客户的信息安全。感谢您的支持与配合，由此给您带来的不便，敬请谅解。</w:t>
      </w:r>
    </w:p>
    <w:p w14:paraId="114BC4FE">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如有疑问，请拨打本公司客户服务电话400-685-5600进行沟通和咨询，或登录本公司网站</w:t>
      </w:r>
      <w:r>
        <w:rPr>
          <w:rFonts w:asciiTheme="minorEastAsia" w:hAnsiTheme="minorEastAsia"/>
          <w:sz w:val="24"/>
          <w:szCs w:val="24"/>
        </w:rPr>
        <w:t>www.furamc.com.cn</w:t>
      </w:r>
      <w:r>
        <w:rPr>
          <w:rFonts w:hint="eastAsia" w:asciiTheme="minorEastAsia" w:hAnsiTheme="minorEastAsia"/>
          <w:sz w:val="24"/>
          <w:szCs w:val="24"/>
        </w:rPr>
        <w:t>了解相关情况。</w:t>
      </w:r>
    </w:p>
    <w:p w14:paraId="22D0FBB9">
      <w:pPr>
        <w:spacing w:line="360" w:lineRule="auto"/>
        <w:ind w:firstLine="480" w:firstLineChars="200"/>
        <w:rPr>
          <w:rFonts w:asciiTheme="minorEastAsia" w:hAnsiTheme="minorEastAsia"/>
          <w:sz w:val="24"/>
          <w:szCs w:val="24"/>
        </w:rPr>
      </w:pPr>
      <w:r>
        <w:rPr>
          <w:rFonts w:hint="eastAsia" w:asciiTheme="minorEastAsia" w:hAnsiTheme="minorEastAsia"/>
          <w:sz w:val="24"/>
          <w:szCs w:val="24"/>
        </w:rPr>
        <w:t>特此公告。</w:t>
      </w:r>
    </w:p>
    <w:p w14:paraId="4655AB91">
      <w:pPr>
        <w:spacing w:line="360" w:lineRule="auto"/>
        <w:rPr>
          <w:rFonts w:asciiTheme="minorEastAsia" w:hAnsiTheme="minorEastAsia"/>
          <w:sz w:val="24"/>
          <w:szCs w:val="24"/>
        </w:rPr>
      </w:pPr>
    </w:p>
    <w:p w14:paraId="5FA3BED4">
      <w:pPr>
        <w:spacing w:line="360" w:lineRule="auto"/>
        <w:rPr>
          <w:rFonts w:asciiTheme="minorEastAsia" w:hAnsiTheme="minorEastAsia"/>
          <w:sz w:val="24"/>
          <w:szCs w:val="24"/>
        </w:rPr>
      </w:pPr>
      <w:r>
        <w:rPr>
          <w:rFonts w:hint="eastAsia" w:asciiTheme="minorEastAsia" w:hAnsiTheme="minorEastAsia"/>
          <w:sz w:val="24"/>
          <w:szCs w:val="24"/>
        </w:rPr>
        <w:t xml:space="preserve">                                              富荣基金管理有限公司</w:t>
      </w:r>
    </w:p>
    <w:p w14:paraId="27DCAD19">
      <w:pPr>
        <w:spacing w:line="360" w:lineRule="auto"/>
        <w:ind w:firstLine="5760" w:firstLineChars="2400"/>
        <w:rPr>
          <w:rFonts w:asciiTheme="minorEastAsia" w:hAnsiTheme="minorEastAsia"/>
          <w:sz w:val="24"/>
          <w:szCs w:val="24"/>
        </w:rPr>
      </w:pPr>
      <w:r>
        <w:rPr>
          <w:rFonts w:hint="eastAsia" w:asciiTheme="minorEastAsia" w:hAnsiTheme="minorEastAsia"/>
          <w:sz w:val="24"/>
          <w:szCs w:val="24"/>
        </w:rPr>
        <w:t>202</w:t>
      </w:r>
      <w:r>
        <w:rPr>
          <w:rFonts w:hint="eastAsia" w:asciiTheme="minorEastAsia" w:hAnsiTheme="minorEastAsia"/>
          <w:sz w:val="24"/>
          <w:szCs w:val="24"/>
          <w:lang w:val="en-US" w:eastAsia="zh-CN"/>
        </w:rPr>
        <w:t>6</w:t>
      </w:r>
      <w:r>
        <w:rPr>
          <w:rFonts w:hint="eastAsia" w:asciiTheme="minorEastAsia" w:hAnsiTheme="minorEastAsia"/>
          <w:sz w:val="24"/>
          <w:szCs w:val="24"/>
        </w:rPr>
        <w:t>年6月2</w:t>
      </w:r>
      <w:r>
        <w:rPr>
          <w:rFonts w:hint="eastAsia" w:asciiTheme="minorEastAsia" w:hAnsiTheme="minorEastAsia"/>
          <w:sz w:val="24"/>
          <w:szCs w:val="24"/>
          <w:lang w:val="en-US" w:eastAsia="zh-CN"/>
        </w:rPr>
        <w:t>5</w:t>
      </w:r>
      <w:r>
        <w:rPr>
          <w:rFonts w:hint="eastAsia" w:asciiTheme="minorEastAsia" w:hAnsiTheme="minorEastAsia"/>
          <w:sz w:val="24"/>
          <w:szCs w:val="24"/>
        </w:rPr>
        <w:t>日</w:t>
      </w:r>
    </w:p>
    <w:p w14:paraId="57E96901">
      <w:pPr>
        <w:spacing w:line="360" w:lineRule="auto"/>
        <w:rPr>
          <w:rFonts w:asciiTheme="minorEastAsia" w:hAnsiTheme="minorEastAsia"/>
          <w:sz w:val="24"/>
          <w:szCs w:val="24"/>
        </w:rPr>
      </w:pPr>
      <w:r>
        <w:rPr>
          <w:rFonts w:hint="eastAsia" w:asciiTheme="minorEastAsia" w:hAnsiTheme="minorEastAsia"/>
          <w:sz w:val="24"/>
          <w:szCs w:val="24"/>
        </w:rPr>
        <w:t xml:space="preserve">                                                                    </w:t>
      </w:r>
    </w:p>
    <w:p w14:paraId="306E2BCC">
      <w:pPr>
        <w:spacing w:line="360" w:lineRule="auto"/>
        <w:rPr>
          <w:rFonts w:asciiTheme="minorEastAsia" w:hAnsi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3315"/>
    <w:rsid w:val="000041C7"/>
    <w:rsid w:val="000366C9"/>
    <w:rsid w:val="00054157"/>
    <w:rsid w:val="00077E31"/>
    <w:rsid w:val="00090193"/>
    <w:rsid w:val="000953C0"/>
    <w:rsid w:val="000B7D17"/>
    <w:rsid w:val="001160D1"/>
    <w:rsid w:val="00160F16"/>
    <w:rsid w:val="00165749"/>
    <w:rsid w:val="001A4BBA"/>
    <w:rsid w:val="001D3F3E"/>
    <w:rsid w:val="001D492E"/>
    <w:rsid w:val="00200ECA"/>
    <w:rsid w:val="00225794"/>
    <w:rsid w:val="002337B5"/>
    <w:rsid w:val="00234CF9"/>
    <w:rsid w:val="00290004"/>
    <w:rsid w:val="002C009F"/>
    <w:rsid w:val="0030378B"/>
    <w:rsid w:val="00311099"/>
    <w:rsid w:val="00347366"/>
    <w:rsid w:val="003842A2"/>
    <w:rsid w:val="004056D0"/>
    <w:rsid w:val="00416035"/>
    <w:rsid w:val="004A091A"/>
    <w:rsid w:val="004C5F35"/>
    <w:rsid w:val="005531AA"/>
    <w:rsid w:val="00557A86"/>
    <w:rsid w:val="00606E6E"/>
    <w:rsid w:val="00623315"/>
    <w:rsid w:val="006F7184"/>
    <w:rsid w:val="0070117C"/>
    <w:rsid w:val="007751AA"/>
    <w:rsid w:val="00816926"/>
    <w:rsid w:val="008264EC"/>
    <w:rsid w:val="0087135B"/>
    <w:rsid w:val="00887360"/>
    <w:rsid w:val="008A2FEE"/>
    <w:rsid w:val="008D1DD1"/>
    <w:rsid w:val="009609F9"/>
    <w:rsid w:val="009655F6"/>
    <w:rsid w:val="009C12A8"/>
    <w:rsid w:val="009C6453"/>
    <w:rsid w:val="009F7FBD"/>
    <w:rsid w:val="00A35F01"/>
    <w:rsid w:val="00A8460C"/>
    <w:rsid w:val="00AB5BB6"/>
    <w:rsid w:val="00AD2CB8"/>
    <w:rsid w:val="00BC1277"/>
    <w:rsid w:val="00BE3A26"/>
    <w:rsid w:val="00C4167D"/>
    <w:rsid w:val="00C61765"/>
    <w:rsid w:val="00C91946"/>
    <w:rsid w:val="00D23E12"/>
    <w:rsid w:val="00D3105F"/>
    <w:rsid w:val="00DC0056"/>
    <w:rsid w:val="00E657AE"/>
    <w:rsid w:val="00EA73CE"/>
    <w:rsid w:val="00EB0EA0"/>
    <w:rsid w:val="00F73FC5"/>
    <w:rsid w:val="00FD4DB9"/>
    <w:rsid w:val="069074E0"/>
    <w:rsid w:val="091B5818"/>
    <w:rsid w:val="0BBA6DAD"/>
    <w:rsid w:val="0E814D8B"/>
    <w:rsid w:val="107176DE"/>
    <w:rsid w:val="15717015"/>
    <w:rsid w:val="17AA3930"/>
    <w:rsid w:val="1E88366B"/>
    <w:rsid w:val="1F882656"/>
    <w:rsid w:val="208F03B0"/>
    <w:rsid w:val="2210107D"/>
    <w:rsid w:val="254C6870"/>
    <w:rsid w:val="2B4F105E"/>
    <w:rsid w:val="2D3E1194"/>
    <w:rsid w:val="2FE9188B"/>
    <w:rsid w:val="340A1DD0"/>
    <w:rsid w:val="345B5F75"/>
    <w:rsid w:val="36852411"/>
    <w:rsid w:val="498B5309"/>
    <w:rsid w:val="49F42EAF"/>
    <w:rsid w:val="4CEB7E77"/>
    <w:rsid w:val="4E2142A9"/>
    <w:rsid w:val="5427381E"/>
    <w:rsid w:val="55DC7137"/>
    <w:rsid w:val="597638E0"/>
    <w:rsid w:val="5B7974BE"/>
    <w:rsid w:val="5EAA50BA"/>
    <w:rsid w:val="5EDA3111"/>
    <w:rsid w:val="64DF5CC4"/>
    <w:rsid w:val="6B9B5A72"/>
    <w:rsid w:val="6E245AEE"/>
    <w:rsid w:val="6ECC4355"/>
    <w:rsid w:val="751A5350"/>
    <w:rsid w:val="78372035"/>
    <w:rsid w:val="7CEA7F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semiHidden/>
    <w:unhideWhenUsed/>
    <w:uiPriority w:val="99"/>
    <w:pPr>
      <w:jc w:val="left"/>
    </w:pPr>
  </w:style>
  <w:style w:type="paragraph" w:styleId="3">
    <w:name w:val="Balloon Text"/>
    <w:basedOn w:val="1"/>
    <w:link w:val="15"/>
    <w:semiHidden/>
    <w:unhideWhenUsed/>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4"/>
    <w:semiHidden/>
    <w:unhideWhenUsed/>
    <w:qFormat/>
    <w:uiPriority w:val="99"/>
    <w:rPr>
      <w:b/>
      <w:bCs/>
    </w:rPr>
  </w:style>
  <w:style w:type="character" w:styleId="10">
    <w:name w:val="annotation reference"/>
    <w:basedOn w:val="9"/>
    <w:semiHidden/>
    <w:unhideWhenUsed/>
    <w:uiPriority w:val="99"/>
    <w:rPr>
      <w:sz w:val="21"/>
      <w:szCs w:val="21"/>
    </w:rPr>
  </w:style>
  <w:style w:type="character" w:customStyle="1" w:styleId="11">
    <w:name w:val="页眉 Char"/>
    <w:basedOn w:val="9"/>
    <w:link w:val="5"/>
    <w:uiPriority w:val="99"/>
    <w:rPr>
      <w:sz w:val="18"/>
      <w:szCs w:val="18"/>
    </w:rPr>
  </w:style>
  <w:style w:type="character" w:customStyle="1" w:styleId="12">
    <w:name w:val="页脚 Char"/>
    <w:basedOn w:val="9"/>
    <w:link w:val="4"/>
    <w:uiPriority w:val="99"/>
    <w:rPr>
      <w:sz w:val="18"/>
      <w:szCs w:val="18"/>
    </w:rPr>
  </w:style>
  <w:style w:type="character" w:customStyle="1" w:styleId="13">
    <w:name w:val="批注文字 Char"/>
    <w:basedOn w:val="9"/>
    <w:link w:val="2"/>
    <w:semiHidden/>
    <w:qFormat/>
    <w:uiPriority w:val="99"/>
  </w:style>
  <w:style w:type="character" w:customStyle="1" w:styleId="14">
    <w:name w:val="批注主题 Char"/>
    <w:basedOn w:val="13"/>
    <w:link w:val="7"/>
    <w:semiHidden/>
    <w:uiPriority w:val="99"/>
    <w:rPr>
      <w:b/>
      <w:bCs/>
    </w:rPr>
  </w:style>
  <w:style w:type="character" w:customStyle="1" w:styleId="15">
    <w:name w:val="批注框文本 Char"/>
    <w:basedOn w:val="9"/>
    <w:link w:val="3"/>
    <w:semiHidden/>
    <w:uiPriority w:val="99"/>
    <w:rPr>
      <w:sz w:val="18"/>
      <w:szCs w:val="18"/>
    </w:rPr>
  </w:style>
  <w:style w:type="paragraph" w:customStyle="1" w:styleId="16">
    <w:name w:val="Revision"/>
    <w:hidden/>
    <w:semiHidden/>
    <w:uiPriority w:val="99"/>
    <w:rPr>
      <w:rFonts w:asciiTheme="minorHAnsi" w:hAnsiTheme="minorHAnsi" w:eastAsiaTheme="minorEastAsia" w:cstheme="minorBidi"/>
      <w:kern w:val="2"/>
      <w:sz w:val="21"/>
      <w:szCs w:val="22"/>
      <w:lang w:val="en-US" w:eastAsia="zh-CN" w:bidi="ar-SA"/>
    </w:rPr>
  </w:style>
  <w:style w:type="paragraph" w:styleId="1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fc12ff01-2283-4821-90ab-ebd1212adea4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77198AB1</paraID>
      <start>0</start>
      <end>2</end>
      <status>unmodified</status>
      <modifiedWord/>
      <trackRevisions>false</trackRevisions>
    </reviewItem>
    <reviewItem>
      <errorID>d5fcef49-5e1b-4144-93fa-6eadbdef37f2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29EA9D31</paraID>
      <start>0</start>
      <end>2</end>
      <status>unmodified</status>
      <modifiedWord/>
      <trackRevisions>false</trackRevisions>
    </reviewItem>
    <reviewItem>
      <errorID>66de04e1-8036-4968-9473-190e6aa8004a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720AE5A</paraID>
      <start>0</start>
      <end>2</end>
      <status>unmodified</status>
      <modifiedWord/>
      <trackRevisions>false</trackRevisions>
    </reviewItem>
    <reviewItem>
      <errorID>e79dea96-ce99-4f3f-8bad-1b2494b3e01b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EACF8DA</paraID>
      <start>0</start>
      <end>2</end>
      <status>unmodified</status>
      <modifiedWord/>
      <trackRevisions>false</trackRevisions>
    </reviewItem>
    <reviewItem>
      <errorID>8a4b1d3c-1d51-4c0b-bee1-9c8ee059b171</errorID>
      <errorWord>更新补足</errorWord>
      <group>L1_Grammar</group>
      <groupName>语法问题</groupName>
      <ability>L2_Grammar</ability>
      <abilityName>语法错误</abilityName>
      <candidateList>
        <item>更新</item>
      </candidateList>
      <explain/>
      <paraID>11E931C7</paraID>
      <start>21</start>
      <end>25</end>
      <status>unmodified</status>
      <modifiedWord/>
      <trackRevisions>false</trackRevisions>
    </reviewItem>
  </reviewItems>
  <config/>
</contractReview>
</file>

<file path=customXml/itemProps1.xml><?xml version="1.0" encoding="utf-8"?>
<ds:datastoreItem xmlns:ds="http://schemas.openxmlformats.org/officeDocument/2006/customXml" ds:itemID="{ddacf38e-6229-4b8d-b184-c23d6dc67ae9}">
  <ds:schemaRefs/>
</ds:datastoreItem>
</file>

<file path=docProps/app.xml><?xml version="1.0" encoding="utf-8"?>
<Properties xmlns="http://schemas.openxmlformats.org/officeDocument/2006/extended-properties" xmlns:vt="http://schemas.openxmlformats.org/officeDocument/2006/docPropsVTypes">
  <Template>Normal</Template>
  <Pages>2</Pages>
  <Words>771</Words>
  <Characters>802</Characters>
  <Lines>6</Lines>
  <Paragraphs>1</Paragraphs>
  <TotalTime>1034</TotalTime>
  <ScaleCrop>false</ScaleCrop>
  <LinksUpToDate>false</LinksUpToDate>
  <CharactersWithSpaces>916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2023-03-13T00:52:00Z</dcterms:created>
  <dc:creator>王亚慧</dc:creator>
  <cp:lastModifiedBy>1</cp:lastModifiedBy>
  <dcterms:modified xsi:type="dcterms:W3CDTF">2026-06-24T01:09:17Z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eyJoZGlkIjoiOTA5OTY2MTc3YTE3OWU0YjU0NzRlMjlkZDVhNDc4ZDciLCJ1c2VySWQiOiIzMTA5NjQ2NDkifQ==</vt:lpwstr>
  </property>
  <property fmtid="{D5CDD505-2E9C-101B-9397-08002B2CF9AE}" pid="3" name="KSOProductBuildVer">
    <vt:lpwstr>2052-12.1.0.26895</vt:lpwstr>
  </property>
  <property fmtid="{D5CDD505-2E9C-101B-9397-08002B2CF9AE}" pid="4" name="ICV">
    <vt:lpwstr>C9D6B79B39FE4BB2AA02E0EFACE4E60C_12</vt:lpwstr>
  </property>
</Properties>
</file>