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11CD5" w14:textId="77777777" w:rsidR="00566744" w:rsidRDefault="00566744">
      <w:pPr>
        <w:spacing w:line="360" w:lineRule="auto"/>
        <w:ind w:rightChars="98" w:right="206"/>
        <w:jc w:val="center"/>
        <w:rPr>
          <w:rFonts w:ascii="宋体" w:hAnsi="宋体" w:hint="eastAsia"/>
          <w:b/>
          <w:color w:val="000000"/>
          <w:sz w:val="24"/>
        </w:rPr>
      </w:pPr>
    </w:p>
    <w:p w14:paraId="660C1D80" w14:textId="77777777" w:rsidR="00566744" w:rsidRDefault="00566744">
      <w:pPr>
        <w:spacing w:line="360" w:lineRule="auto"/>
        <w:jc w:val="center"/>
        <w:rPr>
          <w:rFonts w:ascii="宋体" w:hAnsi="宋体" w:hint="eastAsia"/>
          <w:b/>
          <w:color w:val="000000"/>
          <w:sz w:val="24"/>
        </w:rPr>
      </w:pPr>
    </w:p>
    <w:p w14:paraId="79D496BB" w14:textId="77777777" w:rsidR="00566744" w:rsidRDefault="00566744">
      <w:pPr>
        <w:spacing w:line="360" w:lineRule="auto"/>
        <w:jc w:val="center"/>
        <w:rPr>
          <w:rFonts w:ascii="宋体" w:hAnsi="宋体" w:hint="eastAsia"/>
          <w:b/>
          <w:color w:val="000000"/>
          <w:sz w:val="24"/>
        </w:rPr>
      </w:pPr>
    </w:p>
    <w:p w14:paraId="6BA77EF7" w14:textId="77777777" w:rsidR="00566744" w:rsidRDefault="00566744">
      <w:pPr>
        <w:spacing w:line="360" w:lineRule="auto"/>
        <w:jc w:val="center"/>
        <w:rPr>
          <w:rFonts w:ascii="宋体" w:hAnsi="宋体" w:hint="eastAsia"/>
          <w:b/>
          <w:color w:val="000000"/>
          <w:sz w:val="24"/>
        </w:rPr>
      </w:pPr>
    </w:p>
    <w:p w14:paraId="13BEAD77" w14:textId="77777777" w:rsidR="00566744" w:rsidRDefault="00566744">
      <w:pPr>
        <w:jc w:val="center"/>
        <w:rPr>
          <w:b/>
          <w:sz w:val="52"/>
          <w:szCs w:val="20"/>
        </w:rPr>
      </w:pPr>
    </w:p>
    <w:p w14:paraId="151158B8" w14:textId="77777777" w:rsidR="00566744" w:rsidRDefault="00000000">
      <w:pPr>
        <w:spacing w:beforeLines="50" w:before="120"/>
        <w:ind w:leftChars="-135" w:left="-283" w:rightChars="-91" w:right="-191"/>
        <w:jc w:val="center"/>
        <w:rPr>
          <w:rFonts w:ascii="宋体" w:hAnsi="宋体" w:cs="宋体" w:hint="eastAsia"/>
          <w:b/>
          <w:sz w:val="52"/>
          <w:szCs w:val="52"/>
        </w:rPr>
      </w:pPr>
      <w:bookmarkStart w:id="0" w:name="_Toc88969212"/>
      <w:r>
        <w:rPr>
          <w:rFonts w:ascii="宋体" w:hAnsi="宋体" w:cs="宋体" w:hint="eastAsia"/>
          <w:b/>
          <w:sz w:val="52"/>
          <w:szCs w:val="52"/>
        </w:rPr>
        <w:t>富荣货币市场基金</w:t>
      </w:r>
    </w:p>
    <w:p w14:paraId="55853DF2" w14:textId="77777777" w:rsidR="00566744" w:rsidRDefault="00000000">
      <w:pPr>
        <w:spacing w:beforeLines="50" w:before="120"/>
        <w:jc w:val="center"/>
        <w:rPr>
          <w:rFonts w:ascii="宋体" w:hAnsi="宋体" w:cs="宋体" w:hint="eastAsia"/>
          <w:b/>
          <w:sz w:val="52"/>
          <w:szCs w:val="52"/>
        </w:rPr>
      </w:pPr>
      <w:r>
        <w:rPr>
          <w:rFonts w:ascii="宋体" w:hAnsi="宋体" w:cs="宋体" w:hint="eastAsia"/>
          <w:b/>
          <w:sz w:val="52"/>
          <w:szCs w:val="52"/>
        </w:rPr>
        <w:t>更新的招募说明书</w:t>
      </w:r>
    </w:p>
    <w:p w14:paraId="73A6421B" w14:textId="7A184146" w:rsidR="00566744" w:rsidRDefault="00000000">
      <w:pPr>
        <w:spacing w:beforeLines="50" w:before="120"/>
        <w:jc w:val="center"/>
        <w:rPr>
          <w:rFonts w:ascii="宋体" w:hAnsi="宋体" w:cs="宋体" w:hint="eastAsia"/>
          <w:b/>
          <w:sz w:val="48"/>
          <w:szCs w:val="48"/>
        </w:rPr>
      </w:pPr>
      <w:r>
        <w:rPr>
          <w:rFonts w:ascii="宋体" w:hAnsi="宋体" w:cs="宋体" w:hint="eastAsia"/>
          <w:b/>
          <w:sz w:val="48"/>
          <w:szCs w:val="48"/>
        </w:rPr>
        <w:t>（2026年第2号）</w:t>
      </w:r>
    </w:p>
    <w:p w14:paraId="4C42F3CE" w14:textId="77777777" w:rsidR="00566744" w:rsidRDefault="00566744">
      <w:pPr>
        <w:spacing w:line="360" w:lineRule="auto"/>
        <w:jc w:val="center"/>
        <w:rPr>
          <w:rFonts w:ascii="宋体" w:hAnsi="宋体" w:hint="eastAsia"/>
          <w:b/>
          <w:color w:val="000000"/>
          <w:sz w:val="24"/>
        </w:rPr>
      </w:pPr>
    </w:p>
    <w:bookmarkEnd w:id="0"/>
    <w:p w14:paraId="3F8FF230" w14:textId="77777777" w:rsidR="00566744" w:rsidRDefault="00566744">
      <w:pPr>
        <w:spacing w:line="360" w:lineRule="auto"/>
        <w:jc w:val="center"/>
        <w:rPr>
          <w:rFonts w:ascii="宋体" w:hAnsi="宋体" w:hint="eastAsia"/>
          <w:b/>
          <w:color w:val="000000"/>
          <w:sz w:val="24"/>
        </w:rPr>
      </w:pPr>
    </w:p>
    <w:p w14:paraId="104AF8CD" w14:textId="77777777" w:rsidR="00566744" w:rsidRDefault="00566744">
      <w:pPr>
        <w:spacing w:line="360" w:lineRule="auto"/>
        <w:rPr>
          <w:rFonts w:ascii="宋体" w:hAnsi="宋体" w:hint="eastAsia"/>
          <w:color w:val="000000"/>
          <w:sz w:val="24"/>
        </w:rPr>
      </w:pPr>
    </w:p>
    <w:p w14:paraId="27379063" w14:textId="77777777" w:rsidR="00566744" w:rsidRDefault="00566744">
      <w:pPr>
        <w:spacing w:line="360" w:lineRule="auto"/>
        <w:rPr>
          <w:rFonts w:ascii="宋体" w:hAnsi="宋体" w:hint="eastAsia"/>
          <w:b/>
          <w:color w:val="000000"/>
          <w:sz w:val="24"/>
        </w:rPr>
      </w:pPr>
    </w:p>
    <w:p w14:paraId="19AAFD7C" w14:textId="77777777" w:rsidR="00566744" w:rsidRDefault="00566744">
      <w:pPr>
        <w:spacing w:line="360" w:lineRule="auto"/>
        <w:jc w:val="center"/>
        <w:rPr>
          <w:rFonts w:ascii="宋体" w:hAnsi="宋体" w:hint="eastAsia"/>
          <w:b/>
          <w:color w:val="000000"/>
          <w:sz w:val="24"/>
        </w:rPr>
      </w:pPr>
    </w:p>
    <w:p w14:paraId="4FCB3784" w14:textId="77777777" w:rsidR="00566744" w:rsidRDefault="00566744">
      <w:pPr>
        <w:spacing w:line="360" w:lineRule="auto"/>
        <w:jc w:val="center"/>
        <w:rPr>
          <w:rFonts w:ascii="宋体" w:hAnsi="宋体" w:hint="eastAsia"/>
          <w:b/>
          <w:color w:val="000000"/>
          <w:sz w:val="24"/>
        </w:rPr>
      </w:pPr>
    </w:p>
    <w:p w14:paraId="421DA901" w14:textId="77777777" w:rsidR="00566744" w:rsidRDefault="00566744">
      <w:pPr>
        <w:spacing w:line="360" w:lineRule="auto"/>
        <w:rPr>
          <w:rFonts w:ascii="宋体" w:hAnsi="宋体" w:hint="eastAsia"/>
          <w:b/>
          <w:color w:val="000000"/>
          <w:sz w:val="24"/>
        </w:rPr>
      </w:pPr>
    </w:p>
    <w:p w14:paraId="06E97457" w14:textId="77777777" w:rsidR="00566744" w:rsidRDefault="00566744">
      <w:pPr>
        <w:spacing w:line="360" w:lineRule="auto"/>
        <w:jc w:val="center"/>
        <w:rPr>
          <w:rFonts w:ascii="宋体" w:hAnsi="宋体" w:hint="eastAsia"/>
          <w:b/>
          <w:color w:val="000000"/>
          <w:sz w:val="24"/>
        </w:rPr>
      </w:pPr>
    </w:p>
    <w:p w14:paraId="4520F370" w14:textId="77777777" w:rsidR="00566744" w:rsidRDefault="00566744">
      <w:pPr>
        <w:spacing w:line="360" w:lineRule="auto"/>
        <w:jc w:val="center"/>
        <w:rPr>
          <w:rFonts w:ascii="宋体" w:hAnsi="宋体" w:hint="eastAsia"/>
          <w:b/>
          <w:color w:val="000000"/>
          <w:sz w:val="24"/>
        </w:rPr>
      </w:pPr>
    </w:p>
    <w:p w14:paraId="1C27F49E" w14:textId="77777777" w:rsidR="00566744" w:rsidRDefault="00566744">
      <w:pPr>
        <w:spacing w:line="360" w:lineRule="auto"/>
        <w:jc w:val="center"/>
        <w:rPr>
          <w:rFonts w:ascii="宋体" w:hAnsi="宋体" w:hint="eastAsia"/>
          <w:b/>
          <w:color w:val="000000"/>
          <w:sz w:val="24"/>
        </w:rPr>
      </w:pPr>
    </w:p>
    <w:p w14:paraId="43E01E93" w14:textId="77777777" w:rsidR="00566744" w:rsidRDefault="00566744">
      <w:pPr>
        <w:spacing w:line="360" w:lineRule="auto"/>
        <w:rPr>
          <w:rFonts w:ascii="宋体" w:hAnsi="宋体" w:hint="eastAsia"/>
          <w:b/>
          <w:color w:val="000000"/>
          <w:sz w:val="24"/>
        </w:rPr>
      </w:pPr>
    </w:p>
    <w:p w14:paraId="0801CAB1" w14:textId="77777777" w:rsidR="00566744" w:rsidRDefault="00566744">
      <w:pPr>
        <w:spacing w:line="360" w:lineRule="auto"/>
        <w:rPr>
          <w:rFonts w:ascii="宋体" w:hAnsi="宋体" w:hint="eastAsia"/>
          <w:b/>
          <w:color w:val="000000"/>
          <w:sz w:val="24"/>
        </w:rPr>
      </w:pPr>
    </w:p>
    <w:p w14:paraId="47C9A13F" w14:textId="77777777" w:rsidR="00566744" w:rsidRDefault="00000000">
      <w:pPr>
        <w:jc w:val="center"/>
        <w:rPr>
          <w:b/>
          <w:sz w:val="36"/>
          <w:szCs w:val="20"/>
        </w:rPr>
      </w:pPr>
      <w:r>
        <w:rPr>
          <w:rFonts w:hint="eastAsia"/>
          <w:b/>
          <w:sz w:val="36"/>
          <w:szCs w:val="20"/>
        </w:rPr>
        <w:t>基金管理人：富荣基金管理有限公司</w:t>
      </w:r>
    </w:p>
    <w:p w14:paraId="1D3BC987" w14:textId="77777777" w:rsidR="00566744" w:rsidRDefault="00000000">
      <w:pPr>
        <w:jc w:val="center"/>
        <w:rPr>
          <w:b/>
          <w:sz w:val="36"/>
          <w:szCs w:val="20"/>
        </w:rPr>
      </w:pPr>
      <w:r>
        <w:rPr>
          <w:rFonts w:hint="eastAsia"/>
          <w:b/>
          <w:sz w:val="36"/>
          <w:szCs w:val="20"/>
        </w:rPr>
        <w:t>基金托管人：中国光大银行股份有限公司</w:t>
      </w:r>
    </w:p>
    <w:p w14:paraId="19AEF924" w14:textId="77777777" w:rsidR="00566744" w:rsidRDefault="00566744">
      <w:pPr>
        <w:spacing w:line="360" w:lineRule="auto"/>
        <w:rPr>
          <w:rFonts w:ascii="宋体" w:hAnsi="宋体" w:hint="eastAsia"/>
          <w:b/>
          <w:color w:val="000000"/>
          <w:sz w:val="24"/>
        </w:rPr>
      </w:pPr>
    </w:p>
    <w:p w14:paraId="68989D49" w14:textId="77777777" w:rsidR="00566744" w:rsidRDefault="00000000">
      <w:pPr>
        <w:pStyle w:val="1"/>
        <w:spacing w:line="360" w:lineRule="auto"/>
        <w:jc w:val="center"/>
        <w:rPr>
          <w:rFonts w:hAnsi="宋体" w:hint="eastAsia"/>
        </w:rPr>
      </w:pPr>
      <w:bookmarkStart w:id="1" w:name="_Toc78378580"/>
      <w:r>
        <w:rPr>
          <w:rFonts w:ascii="宋体" w:hAnsi="宋体" w:hint="eastAsia"/>
          <w:color w:val="000000"/>
          <w:kern w:val="0"/>
          <w:sz w:val="24"/>
          <w:szCs w:val="24"/>
        </w:rPr>
        <w:lastRenderedPageBreak/>
        <w:t>【重要提示】</w:t>
      </w:r>
      <w:bookmarkEnd w:id="1"/>
    </w:p>
    <w:p w14:paraId="41D6F719" w14:textId="77777777" w:rsidR="00566744" w:rsidRDefault="00000000">
      <w:pPr>
        <w:spacing w:line="360" w:lineRule="auto"/>
        <w:ind w:firstLineChars="202" w:firstLine="485"/>
        <w:rPr>
          <w:rFonts w:ascii="宋体" w:hAnsi="宋体" w:hint="eastAsia"/>
          <w:b/>
          <w:bCs/>
          <w:sz w:val="24"/>
        </w:rPr>
      </w:pPr>
      <w:r>
        <w:rPr>
          <w:rFonts w:ascii="宋体" w:hAnsi="宋体"/>
          <w:sz w:val="24"/>
        </w:rPr>
        <w:t>本基金经中国证券监督管理委员会2016年9月</w:t>
      </w:r>
      <w:r>
        <w:rPr>
          <w:rFonts w:ascii="宋体" w:hAnsi="宋体" w:hint="eastAsia"/>
          <w:sz w:val="24"/>
        </w:rPr>
        <w:t>20</w:t>
      </w:r>
      <w:r>
        <w:rPr>
          <w:rFonts w:ascii="宋体" w:hAnsi="宋体"/>
          <w:sz w:val="24"/>
        </w:rPr>
        <w:t>日证监许可【2016】2153号文注册。</w:t>
      </w:r>
      <w:r>
        <w:rPr>
          <w:rFonts w:ascii="宋体" w:hAnsi="宋体" w:hint="eastAsia"/>
          <w:sz w:val="24"/>
        </w:rPr>
        <w:t>本基金于</w:t>
      </w:r>
      <w:r>
        <w:rPr>
          <w:rFonts w:ascii="宋体" w:hAnsi="宋体"/>
          <w:sz w:val="24"/>
        </w:rPr>
        <w:t>201</w:t>
      </w:r>
      <w:r>
        <w:rPr>
          <w:rFonts w:ascii="宋体" w:hAnsi="宋体" w:hint="eastAsia"/>
          <w:sz w:val="24"/>
        </w:rPr>
        <w:t>6年</w:t>
      </w:r>
      <w:r>
        <w:rPr>
          <w:rFonts w:ascii="宋体" w:hAnsi="宋体"/>
          <w:sz w:val="24"/>
        </w:rPr>
        <w:t>1</w:t>
      </w:r>
      <w:r>
        <w:rPr>
          <w:rFonts w:ascii="宋体" w:hAnsi="宋体" w:hint="eastAsia"/>
          <w:sz w:val="24"/>
        </w:rPr>
        <w:t>2月</w:t>
      </w:r>
      <w:r>
        <w:rPr>
          <w:rFonts w:ascii="宋体" w:hAnsi="宋体"/>
          <w:sz w:val="24"/>
        </w:rPr>
        <w:t>2</w:t>
      </w:r>
      <w:r>
        <w:rPr>
          <w:rFonts w:ascii="宋体" w:hAnsi="宋体" w:hint="eastAsia"/>
          <w:sz w:val="24"/>
        </w:rPr>
        <w:t>6日正式生效</w:t>
      </w:r>
      <w:r>
        <w:rPr>
          <w:rFonts w:ascii="宋体" w:hAnsi="宋体" w:hint="eastAsia"/>
          <w:b/>
          <w:bCs/>
          <w:sz w:val="24"/>
        </w:rPr>
        <w:t>。</w:t>
      </w:r>
    </w:p>
    <w:p w14:paraId="6ED26467" w14:textId="77777777" w:rsidR="00566744" w:rsidRDefault="00000000">
      <w:pPr>
        <w:spacing w:line="360" w:lineRule="auto"/>
        <w:ind w:firstLineChars="202" w:firstLine="485"/>
        <w:rPr>
          <w:rFonts w:ascii="宋体" w:hAnsi="宋体" w:hint="eastAsia"/>
          <w:sz w:val="24"/>
        </w:rPr>
      </w:pPr>
      <w:r>
        <w:rPr>
          <w:rFonts w:ascii="宋体" w:hAnsi="宋体"/>
          <w:sz w:val="24"/>
        </w:rPr>
        <w:t>基金管理人保证本招募说明书的内容真实、准确、完整。本招募说明书经中国证监会注册，但中国证监会对本基金募集的注册，并不表明其对本基金的价值和收益</w:t>
      </w:r>
      <w:proofErr w:type="gramStart"/>
      <w:r>
        <w:rPr>
          <w:rFonts w:ascii="宋体" w:hAnsi="宋体"/>
          <w:sz w:val="24"/>
        </w:rPr>
        <w:t>作出</w:t>
      </w:r>
      <w:proofErr w:type="gramEnd"/>
      <w:r>
        <w:rPr>
          <w:rFonts w:ascii="宋体" w:hAnsi="宋体"/>
          <w:sz w:val="24"/>
        </w:rPr>
        <w:t xml:space="preserve">实质性判断或保证，也不表明投资于本基金没有风险。 </w:t>
      </w:r>
    </w:p>
    <w:p w14:paraId="1862B9F5" w14:textId="77777777" w:rsidR="00566744" w:rsidRDefault="00000000">
      <w:pPr>
        <w:spacing w:line="360" w:lineRule="auto"/>
        <w:ind w:firstLineChars="202" w:firstLine="485"/>
        <w:rPr>
          <w:rFonts w:ascii="宋体" w:hAnsi="宋体" w:hint="eastAsia"/>
          <w:sz w:val="24"/>
        </w:rPr>
      </w:pPr>
      <w:r>
        <w:rPr>
          <w:rFonts w:ascii="宋体" w:hAnsi="宋体"/>
          <w:sz w:val="24"/>
        </w:rPr>
        <w:t>投资有风险，投资者认购（或申购）基金份额时应认真阅读本招募说明书，全面认识本基金产品的风险收益特征，应充分考虑投资者自身的风险承受能力，并对认购（或申购）基金的意愿、时机、数量等投资行为</w:t>
      </w:r>
      <w:proofErr w:type="gramStart"/>
      <w:r>
        <w:rPr>
          <w:rFonts w:ascii="宋体" w:hAnsi="宋体"/>
          <w:sz w:val="24"/>
        </w:rPr>
        <w:t>作出</w:t>
      </w:r>
      <w:proofErr w:type="gramEnd"/>
      <w:r>
        <w:rPr>
          <w:rFonts w:ascii="宋体" w:hAnsi="宋体"/>
          <w:sz w:val="24"/>
        </w:rPr>
        <w:t xml:space="preserve">独立决策。基金管理人提醒投资者基金投资的“买者自负”原则，在投资者作出投资决策后，基金运营状况与基金净值变化导致的投资风险，由投资者自行负担。 </w:t>
      </w:r>
    </w:p>
    <w:p w14:paraId="1E84AD45" w14:textId="77777777" w:rsidR="00566744" w:rsidRDefault="00000000">
      <w:pPr>
        <w:spacing w:line="360" w:lineRule="auto"/>
        <w:ind w:firstLineChars="202" w:firstLine="485"/>
        <w:rPr>
          <w:rFonts w:ascii="宋体" w:hAnsi="宋体" w:hint="eastAsia"/>
          <w:sz w:val="24"/>
        </w:rPr>
      </w:pPr>
      <w:r>
        <w:rPr>
          <w:rFonts w:ascii="宋体" w:hAnsi="宋体"/>
          <w:sz w:val="24"/>
        </w:rPr>
        <w:t xml:space="preserve">投资者购买货币市场基金并不等于将资金作为存款存放在银行或存款类金融机构，基金管理人不保证基金一定盈利，也不保证最低收益。投资人在投资本基金前，应全面了解本基金的产品特性，理性判断市场，并承担基金投资中出现的各类风险，包括：市场风险、利率风险、信用风险、再投资风险、流动性风险、操作风险、其他风险及本基金特有风险等。 </w:t>
      </w:r>
    </w:p>
    <w:p w14:paraId="62F7EB8F" w14:textId="77777777" w:rsidR="00566744" w:rsidRDefault="00000000">
      <w:pPr>
        <w:spacing w:line="360" w:lineRule="auto"/>
        <w:ind w:firstLineChars="202" w:firstLine="485"/>
        <w:rPr>
          <w:rFonts w:ascii="宋体" w:hAnsi="宋体" w:hint="eastAsia"/>
          <w:sz w:val="24"/>
        </w:rPr>
      </w:pPr>
      <w:r>
        <w:rPr>
          <w:rFonts w:ascii="宋体" w:hAnsi="宋体" w:hint="eastAsia"/>
          <w:sz w:val="24"/>
        </w:rPr>
        <w:t xml:space="preserve">基金的过往业绩并不预示其未来表现。 </w:t>
      </w:r>
    </w:p>
    <w:p w14:paraId="5C14AF54" w14:textId="77777777" w:rsidR="00566744" w:rsidRDefault="00000000">
      <w:pPr>
        <w:spacing w:line="360" w:lineRule="auto"/>
        <w:ind w:firstLineChars="202" w:firstLine="485"/>
        <w:rPr>
          <w:rFonts w:ascii="宋体" w:hAnsi="宋体" w:hint="eastAsia"/>
          <w:sz w:val="24"/>
        </w:rPr>
      </w:pPr>
      <w:r>
        <w:rPr>
          <w:rFonts w:ascii="宋体" w:hAnsi="宋体"/>
          <w:sz w:val="24"/>
        </w:rPr>
        <w:t>基金管理人管理的其它基金的业绩并不构成对本基金业绩表现的保证。</w:t>
      </w:r>
      <w:r>
        <w:rPr>
          <w:rFonts w:ascii="宋体" w:hAnsi="宋体" w:hint="eastAsia"/>
          <w:sz w:val="24"/>
        </w:rPr>
        <w:t>基金管理人依照恪尽职守、诚实信用、谨慎勤勉的原则管理和运用基金财产，但不保证基金一定盈利，也不保证最低收益。</w:t>
      </w:r>
    </w:p>
    <w:p w14:paraId="20971650" w14:textId="2C365FA6" w:rsidR="00566744" w:rsidRDefault="00000000">
      <w:pPr>
        <w:spacing w:line="360" w:lineRule="auto"/>
        <w:ind w:firstLineChars="202" w:firstLine="485"/>
        <w:rPr>
          <w:rFonts w:ascii="宋体" w:hAnsi="宋体" w:hint="eastAsia"/>
          <w:color w:val="000000"/>
          <w:kern w:val="0"/>
          <w:sz w:val="24"/>
        </w:rPr>
      </w:pPr>
      <w:r>
        <w:rPr>
          <w:rFonts w:ascii="宋体" w:hAnsi="宋体" w:hint="eastAsia"/>
          <w:color w:val="000000"/>
          <w:kern w:val="0"/>
          <w:sz w:val="24"/>
        </w:rPr>
        <w:t>本招募说明书所载内</w:t>
      </w:r>
      <w:r>
        <w:rPr>
          <w:rFonts w:ascii="宋体" w:hAnsi="宋体"/>
          <w:color w:val="000000"/>
          <w:kern w:val="0"/>
          <w:sz w:val="24"/>
        </w:rPr>
        <w:t>容</w:t>
      </w:r>
      <w:r>
        <w:rPr>
          <w:rFonts w:ascii="宋体" w:hAnsi="宋体" w:hint="eastAsia"/>
          <w:color w:val="000000"/>
          <w:kern w:val="0"/>
          <w:sz w:val="24"/>
        </w:rPr>
        <w:t>（含财务数据及净值表现）截止日为2026年</w:t>
      </w:r>
      <w:r>
        <w:rPr>
          <w:rFonts w:ascii="宋体" w:hAnsi="宋体"/>
          <w:color w:val="000000"/>
          <w:kern w:val="0"/>
          <w:sz w:val="24"/>
        </w:rPr>
        <w:t>6</w:t>
      </w:r>
      <w:r>
        <w:rPr>
          <w:rFonts w:ascii="宋体" w:hAnsi="宋体" w:hint="eastAsia"/>
          <w:color w:val="000000"/>
          <w:kern w:val="0"/>
          <w:sz w:val="24"/>
        </w:rPr>
        <w:t>月</w:t>
      </w:r>
      <w:r>
        <w:rPr>
          <w:rFonts w:ascii="宋体" w:hAnsi="宋体"/>
          <w:color w:val="000000"/>
          <w:kern w:val="0"/>
          <w:sz w:val="24"/>
        </w:rPr>
        <w:t>30</w:t>
      </w:r>
      <w:r>
        <w:rPr>
          <w:rFonts w:ascii="宋体" w:hAnsi="宋体" w:hint="eastAsia"/>
          <w:color w:val="000000"/>
          <w:kern w:val="0"/>
          <w:sz w:val="24"/>
        </w:rPr>
        <w:t>日，本报告中所列财务数据未经审计。</w:t>
      </w:r>
    </w:p>
    <w:p w14:paraId="5F3FCB02" w14:textId="77777777" w:rsidR="00566744" w:rsidRDefault="00000000">
      <w:pPr>
        <w:widowControl/>
        <w:jc w:val="left"/>
        <w:rPr>
          <w:rFonts w:ascii="宋体" w:hAnsi="宋体" w:hint="eastAsia"/>
          <w:color w:val="000000"/>
          <w:kern w:val="0"/>
          <w:sz w:val="24"/>
        </w:rPr>
      </w:pPr>
      <w:r>
        <w:rPr>
          <w:rFonts w:ascii="宋体" w:hAnsi="宋体"/>
          <w:color w:val="000000"/>
          <w:kern w:val="0"/>
          <w:sz w:val="24"/>
        </w:rPr>
        <w:br w:type="page"/>
      </w:r>
    </w:p>
    <w:p w14:paraId="2D5C04AA" w14:textId="77777777" w:rsidR="00566744" w:rsidRDefault="00000000">
      <w:pPr>
        <w:spacing w:beforeLines="150" w:before="360" w:afterLines="50" w:after="120" w:line="360" w:lineRule="exact"/>
        <w:jc w:val="center"/>
        <w:rPr>
          <w:rFonts w:ascii="宋体" w:hAnsi="宋体" w:hint="eastAsia"/>
          <w:b/>
          <w:color w:val="0D0D0D"/>
          <w:sz w:val="44"/>
          <w:szCs w:val="44"/>
        </w:rPr>
      </w:pPr>
      <w:r>
        <w:rPr>
          <w:rFonts w:ascii="宋体" w:hAnsi="宋体" w:hint="eastAsia"/>
          <w:b/>
          <w:color w:val="0D0D0D"/>
          <w:sz w:val="44"/>
          <w:szCs w:val="44"/>
        </w:rPr>
        <w:lastRenderedPageBreak/>
        <w:t>目  录</w:t>
      </w:r>
    </w:p>
    <w:p w14:paraId="3E2BA7AE" w14:textId="262A0335" w:rsidR="00566744" w:rsidRDefault="00000000">
      <w:pPr>
        <w:pStyle w:val="TOC1"/>
        <w:rPr>
          <w:rFonts w:asciiTheme="minorHAnsi" w:eastAsiaTheme="minorEastAsia" w:hAnsiTheme="minorHAnsi" w:cstheme="minorBidi"/>
          <w:b w:val="0"/>
          <w:bCs w:val="0"/>
          <w:caps w:val="0"/>
          <w:noProof/>
          <w:sz w:val="21"/>
          <w:szCs w:val="22"/>
        </w:rPr>
      </w:pPr>
      <w:r>
        <w:rPr>
          <w:b w:val="0"/>
          <w:color w:val="0D0D0D"/>
          <w:sz w:val="22"/>
          <w:szCs w:val="22"/>
        </w:rPr>
        <w:fldChar w:fldCharType="begin"/>
      </w:r>
      <w:r>
        <w:rPr>
          <w:b w:val="0"/>
          <w:color w:val="0D0D0D"/>
          <w:sz w:val="22"/>
          <w:szCs w:val="22"/>
        </w:rPr>
        <w:instrText xml:space="preserve"> TOC \o "1-1" \h \z \u </w:instrText>
      </w:r>
      <w:r>
        <w:rPr>
          <w:b w:val="0"/>
          <w:color w:val="0D0D0D"/>
          <w:sz w:val="22"/>
          <w:szCs w:val="22"/>
        </w:rPr>
        <w:fldChar w:fldCharType="separate"/>
      </w:r>
      <w:bookmarkStart w:id="2" w:name="_Hlt272684354"/>
      <w:bookmarkEnd w:id="2"/>
      <w:r>
        <w:rPr>
          <w:rStyle w:val="af8"/>
          <w:noProof/>
        </w:rPr>
        <w:fldChar w:fldCharType="begin"/>
      </w:r>
      <w:r>
        <w:rPr>
          <w:rStyle w:val="af8"/>
          <w:noProof/>
        </w:rPr>
        <w:instrText xml:space="preserve"> </w:instrText>
      </w:r>
      <w:r>
        <w:rPr>
          <w:noProof/>
        </w:rPr>
        <w:instrText>HYPERLINK \l "_Toc78378581"</w:instrText>
      </w:r>
      <w:r>
        <w:rPr>
          <w:rStyle w:val="af8"/>
          <w:noProof/>
        </w:rPr>
        <w:instrText xml:space="preserve"> </w:instrText>
      </w:r>
      <w:r>
        <w:rPr>
          <w:rStyle w:val="af8"/>
          <w:noProof/>
        </w:rPr>
      </w:r>
      <w:r>
        <w:rPr>
          <w:rStyle w:val="af8"/>
          <w:noProof/>
        </w:rPr>
        <w:fldChar w:fldCharType="separate"/>
      </w:r>
      <w:r>
        <w:rPr>
          <w:rStyle w:val="af8"/>
          <w:rFonts w:ascii="宋体" w:hAnsi="宋体"/>
          <w:noProof/>
          <w:kern w:val="0"/>
        </w:rPr>
        <w:t>第一部分  绪言</w:t>
      </w:r>
      <w:r>
        <w:rPr>
          <w:noProof/>
        </w:rPr>
        <w:tab/>
      </w:r>
      <w:r>
        <w:rPr>
          <w:noProof/>
        </w:rPr>
        <w:fldChar w:fldCharType="begin"/>
      </w:r>
      <w:r>
        <w:rPr>
          <w:noProof/>
        </w:rPr>
        <w:instrText xml:space="preserve"> PAGEREF _Toc78378581 \h </w:instrText>
      </w:r>
      <w:r>
        <w:rPr>
          <w:noProof/>
        </w:rPr>
      </w:r>
      <w:r>
        <w:rPr>
          <w:noProof/>
        </w:rPr>
        <w:fldChar w:fldCharType="separate"/>
      </w:r>
      <w:r w:rsidR="00701D9C">
        <w:rPr>
          <w:noProof/>
        </w:rPr>
        <w:t>4</w:t>
      </w:r>
      <w:r>
        <w:rPr>
          <w:noProof/>
        </w:rPr>
        <w:fldChar w:fldCharType="end"/>
      </w:r>
      <w:r>
        <w:rPr>
          <w:rStyle w:val="af8"/>
          <w:noProof/>
        </w:rPr>
        <w:fldChar w:fldCharType="end"/>
      </w:r>
    </w:p>
    <w:p w14:paraId="2BCC8159" w14:textId="251EB7DC" w:rsidR="00566744" w:rsidRDefault="00566744">
      <w:pPr>
        <w:pStyle w:val="TOC1"/>
        <w:rPr>
          <w:rFonts w:asciiTheme="minorHAnsi" w:eastAsiaTheme="minorEastAsia" w:hAnsiTheme="minorHAnsi" w:cstheme="minorBidi"/>
          <w:b w:val="0"/>
          <w:bCs w:val="0"/>
          <w:caps w:val="0"/>
          <w:noProof/>
          <w:sz w:val="21"/>
          <w:szCs w:val="22"/>
        </w:rPr>
      </w:pPr>
      <w:hyperlink w:anchor="_Toc78378582" w:history="1">
        <w:r>
          <w:rPr>
            <w:rStyle w:val="af8"/>
            <w:rFonts w:ascii="宋体" w:hAnsi="宋体"/>
            <w:noProof/>
            <w:kern w:val="0"/>
          </w:rPr>
          <w:t>第二部分  释义</w:t>
        </w:r>
        <w:r>
          <w:rPr>
            <w:noProof/>
          </w:rPr>
          <w:tab/>
        </w:r>
        <w:r>
          <w:rPr>
            <w:noProof/>
          </w:rPr>
          <w:fldChar w:fldCharType="begin"/>
        </w:r>
        <w:r>
          <w:rPr>
            <w:noProof/>
          </w:rPr>
          <w:instrText xml:space="preserve"> PAGEREF _Toc78378582 \h </w:instrText>
        </w:r>
        <w:r>
          <w:rPr>
            <w:noProof/>
          </w:rPr>
        </w:r>
        <w:r>
          <w:rPr>
            <w:noProof/>
          </w:rPr>
          <w:fldChar w:fldCharType="separate"/>
        </w:r>
        <w:r w:rsidR="00701D9C">
          <w:rPr>
            <w:noProof/>
          </w:rPr>
          <w:t>5</w:t>
        </w:r>
        <w:r>
          <w:rPr>
            <w:noProof/>
          </w:rPr>
          <w:fldChar w:fldCharType="end"/>
        </w:r>
      </w:hyperlink>
    </w:p>
    <w:p w14:paraId="5F8B0394" w14:textId="2F257BD5" w:rsidR="00566744" w:rsidRDefault="00566744">
      <w:pPr>
        <w:pStyle w:val="TOC1"/>
        <w:rPr>
          <w:rFonts w:asciiTheme="minorHAnsi" w:eastAsiaTheme="minorEastAsia" w:hAnsiTheme="minorHAnsi" w:cstheme="minorBidi"/>
          <w:b w:val="0"/>
          <w:bCs w:val="0"/>
          <w:caps w:val="0"/>
          <w:noProof/>
          <w:sz w:val="21"/>
          <w:szCs w:val="22"/>
        </w:rPr>
      </w:pPr>
      <w:hyperlink w:anchor="_Toc78378583" w:history="1">
        <w:r>
          <w:rPr>
            <w:rStyle w:val="af8"/>
            <w:rFonts w:ascii="宋体" w:hAnsi="宋体"/>
            <w:noProof/>
            <w:kern w:val="0"/>
          </w:rPr>
          <w:t>第三部分  基金管理人</w:t>
        </w:r>
        <w:r>
          <w:rPr>
            <w:noProof/>
          </w:rPr>
          <w:tab/>
        </w:r>
        <w:r>
          <w:rPr>
            <w:noProof/>
          </w:rPr>
          <w:fldChar w:fldCharType="begin"/>
        </w:r>
        <w:r>
          <w:rPr>
            <w:noProof/>
          </w:rPr>
          <w:instrText xml:space="preserve"> PAGEREF _Toc78378583 \h </w:instrText>
        </w:r>
        <w:r>
          <w:rPr>
            <w:noProof/>
          </w:rPr>
        </w:r>
        <w:r>
          <w:rPr>
            <w:noProof/>
          </w:rPr>
          <w:fldChar w:fldCharType="separate"/>
        </w:r>
        <w:r w:rsidR="00701D9C">
          <w:rPr>
            <w:noProof/>
          </w:rPr>
          <w:t>8</w:t>
        </w:r>
        <w:r>
          <w:rPr>
            <w:noProof/>
          </w:rPr>
          <w:fldChar w:fldCharType="end"/>
        </w:r>
      </w:hyperlink>
    </w:p>
    <w:p w14:paraId="73153335" w14:textId="3609348C" w:rsidR="00566744" w:rsidRDefault="00566744">
      <w:pPr>
        <w:pStyle w:val="TOC1"/>
        <w:rPr>
          <w:rFonts w:asciiTheme="minorHAnsi" w:eastAsiaTheme="minorEastAsia" w:hAnsiTheme="minorHAnsi" w:cstheme="minorBidi"/>
          <w:b w:val="0"/>
          <w:bCs w:val="0"/>
          <w:caps w:val="0"/>
          <w:noProof/>
          <w:sz w:val="21"/>
          <w:szCs w:val="22"/>
        </w:rPr>
      </w:pPr>
      <w:hyperlink w:anchor="_Toc78378584" w:history="1">
        <w:r>
          <w:rPr>
            <w:rStyle w:val="af8"/>
            <w:rFonts w:ascii="宋体" w:hAnsi="宋体"/>
            <w:noProof/>
            <w:kern w:val="0"/>
          </w:rPr>
          <w:t>第四部分  基金托管人</w:t>
        </w:r>
        <w:r>
          <w:rPr>
            <w:noProof/>
          </w:rPr>
          <w:tab/>
        </w:r>
        <w:r>
          <w:rPr>
            <w:noProof/>
          </w:rPr>
          <w:fldChar w:fldCharType="begin"/>
        </w:r>
        <w:r>
          <w:rPr>
            <w:noProof/>
          </w:rPr>
          <w:instrText xml:space="preserve"> PAGEREF _Toc78378584 \h </w:instrText>
        </w:r>
        <w:r>
          <w:rPr>
            <w:noProof/>
          </w:rPr>
        </w:r>
        <w:r>
          <w:rPr>
            <w:noProof/>
          </w:rPr>
          <w:fldChar w:fldCharType="separate"/>
        </w:r>
        <w:r w:rsidR="00701D9C">
          <w:rPr>
            <w:noProof/>
          </w:rPr>
          <w:t>21</w:t>
        </w:r>
        <w:r>
          <w:rPr>
            <w:noProof/>
          </w:rPr>
          <w:fldChar w:fldCharType="end"/>
        </w:r>
      </w:hyperlink>
    </w:p>
    <w:p w14:paraId="0F5A6E6B" w14:textId="14FCD38B" w:rsidR="00566744" w:rsidRDefault="00566744">
      <w:pPr>
        <w:pStyle w:val="TOC1"/>
        <w:rPr>
          <w:rFonts w:asciiTheme="minorHAnsi" w:eastAsiaTheme="minorEastAsia" w:hAnsiTheme="minorHAnsi" w:cstheme="minorBidi"/>
          <w:b w:val="0"/>
          <w:bCs w:val="0"/>
          <w:caps w:val="0"/>
          <w:noProof/>
          <w:sz w:val="21"/>
          <w:szCs w:val="22"/>
        </w:rPr>
      </w:pPr>
      <w:hyperlink w:anchor="_Toc78378585" w:history="1">
        <w:r>
          <w:rPr>
            <w:rStyle w:val="af8"/>
            <w:rFonts w:ascii="宋体" w:hAnsi="宋体"/>
            <w:noProof/>
            <w:kern w:val="0"/>
          </w:rPr>
          <w:t>第五部分  相关服务机构</w:t>
        </w:r>
        <w:r>
          <w:rPr>
            <w:noProof/>
          </w:rPr>
          <w:tab/>
        </w:r>
        <w:r>
          <w:rPr>
            <w:noProof/>
          </w:rPr>
          <w:fldChar w:fldCharType="begin"/>
        </w:r>
        <w:r>
          <w:rPr>
            <w:noProof/>
          </w:rPr>
          <w:instrText xml:space="preserve"> PAGEREF _Toc78378585 \h </w:instrText>
        </w:r>
        <w:r>
          <w:rPr>
            <w:noProof/>
          </w:rPr>
        </w:r>
        <w:r>
          <w:rPr>
            <w:noProof/>
          </w:rPr>
          <w:fldChar w:fldCharType="separate"/>
        </w:r>
        <w:r w:rsidR="00701D9C">
          <w:rPr>
            <w:noProof/>
          </w:rPr>
          <w:t>24</w:t>
        </w:r>
        <w:r>
          <w:rPr>
            <w:noProof/>
          </w:rPr>
          <w:fldChar w:fldCharType="end"/>
        </w:r>
      </w:hyperlink>
    </w:p>
    <w:p w14:paraId="1B4AC395" w14:textId="26061079" w:rsidR="00566744" w:rsidRDefault="00566744">
      <w:pPr>
        <w:pStyle w:val="TOC1"/>
        <w:rPr>
          <w:rFonts w:asciiTheme="minorHAnsi" w:eastAsiaTheme="minorEastAsia" w:hAnsiTheme="minorHAnsi" w:cstheme="minorBidi"/>
          <w:b w:val="0"/>
          <w:bCs w:val="0"/>
          <w:caps w:val="0"/>
          <w:noProof/>
          <w:sz w:val="21"/>
          <w:szCs w:val="22"/>
        </w:rPr>
      </w:pPr>
      <w:hyperlink w:anchor="_Toc78378586" w:history="1">
        <w:r>
          <w:rPr>
            <w:rStyle w:val="af8"/>
            <w:rFonts w:ascii="宋体" w:hAnsi="宋体"/>
            <w:noProof/>
            <w:kern w:val="0"/>
          </w:rPr>
          <w:t>第六部分  基金的募集</w:t>
        </w:r>
        <w:r>
          <w:rPr>
            <w:noProof/>
          </w:rPr>
          <w:tab/>
        </w:r>
        <w:r>
          <w:rPr>
            <w:noProof/>
          </w:rPr>
          <w:fldChar w:fldCharType="begin"/>
        </w:r>
        <w:r>
          <w:rPr>
            <w:noProof/>
          </w:rPr>
          <w:instrText xml:space="preserve"> PAGEREF _Toc78378586 \h </w:instrText>
        </w:r>
        <w:r>
          <w:rPr>
            <w:noProof/>
          </w:rPr>
        </w:r>
        <w:r>
          <w:rPr>
            <w:noProof/>
          </w:rPr>
          <w:fldChar w:fldCharType="separate"/>
        </w:r>
        <w:r w:rsidR="00701D9C">
          <w:rPr>
            <w:noProof/>
          </w:rPr>
          <w:t>26</w:t>
        </w:r>
        <w:r>
          <w:rPr>
            <w:noProof/>
          </w:rPr>
          <w:fldChar w:fldCharType="end"/>
        </w:r>
      </w:hyperlink>
    </w:p>
    <w:p w14:paraId="1E3DF443" w14:textId="6EF54323" w:rsidR="00566744" w:rsidRDefault="00566744">
      <w:pPr>
        <w:pStyle w:val="TOC1"/>
        <w:rPr>
          <w:rFonts w:asciiTheme="minorHAnsi" w:eastAsiaTheme="minorEastAsia" w:hAnsiTheme="minorHAnsi" w:cstheme="minorBidi"/>
          <w:b w:val="0"/>
          <w:bCs w:val="0"/>
          <w:caps w:val="0"/>
          <w:noProof/>
          <w:sz w:val="21"/>
          <w:szCs w:val="22"/>
        </w:rPr>
      </w:pPr>
      <w:hyperlink w:anchor="_Toc78378587" w:history="1">
        <w:r>
          <w:rPr>
            <w:rStyle w:val="af8"/>
            <w:rFonts w:ascii="宋体" w:hAnsi="宋体"/>
            <w:noProof/>
            <w:kern w:val="0"/>
          </w:rPr>
          <w:t>第七部分  基金份额的分类</w:t>
        </w:r>
        <w:r>
          <w:rPr>
            <w:noProof/>
          </w:rPr>
          <w:tab/>
        </w:r>
        <w:r>
          <w:rPr>
            <w:noProof/>
          </w:rPr>
          <w:fldChar w:fldCharType="begin"/>
        </w:r>
        <w:r>
          <w:rPr>
            <w:noProof/>
          </w:rPr>
          <w:instrText xml:space="preserve"> PAGEREF _Toc78378587 \h </w:instrText>
        </w:r>
        <w:r>
          <w:rPr>
            <w:noProof/>
          </w:rPr>
        </w:r>
        <w:r>
          <w:rPr>
            <w:noProof/>
          </w:rPr>
          <w:fldChar w:fldCharType="separate"/>
        </w:r>
        <w:r w:rsidR="00701D9C">
          <w:rPr>
            <w:noProof/>
          </w:rPr>
          <w:t>27</w:t>
        </w:r>
        <w:r>
          <w:rPr>
            <w:noProof/>
          </w:rPr>
          <w:fldChar w:fldCharType="end"/>
        </w:r>
      </w:hyperlink>
    </w:p>
    <w:p w14:paraId="49D06C9B" w14:textId="2D01313B" w:rsidR="00566744" w:rsidRDefault="00566744">
      <w:pPr>
        <w:pStyle w:val="TOC1"/>
        <w:rPr>
          <w:rFonts w:asciiTheme="minorHAnsi" w:eastAsiaTheme="minorEastAsia" w:hAnsiTheme="minorHAnsi" w:cstheme="minorBidi"/>
          <w:b w:val="0"/>
          <w:bCs w:val="0"/>
          <w:caps w:val="0"/>
          <w:noProof/>
          <w:sz w:val="21"/>
          <w:szCs w:val="22"/>
        </w:rPr>
      </w:pPr>
      <w:hyperlink w:anchor="_Toc78378588" w:history="1">
        <w:r>
          <w:rPr>
            <w:rStyle w:val="af8"/>
            <w:rFonts w:ascii="宋体" w:hAnsi="宋体"/>
            <w:noProof/>
            <w:kern w:val="0"/>
          </w:rPr>
          <w:t>第八部分  基金合同的生效</w:t>
        </w:r>
        <w:r>
          <w:rPr>
            <w:noProof/>
          </w:rPr>
          <w:tab/>
        </w:r>
        <w:r>
          <w:rPr>
            <w:noProof/>
          </w:rPr>
          <w:fldChar w:fldCharType="begin"/>
        </w:r>
        <w:r>
          <w:rPr>
            <w:noProof/>
          </w:rPr>
          <w:instrText xml:space="preserve"> PAGEREF _Toc78378588 \h </w:instrText>
        </w:r>
        <w:r>
          <w:rPr>
            <w:noProof/>
          </w:rPr>
        </w:r>
        <w:r>
          <w:rPr>
            <w:noProof/>
          </w:rPr>
          <w:fldChar w:fldCharType="separate"/>
        </w:r>
        <w:r w:rsidR="00701D9C">
          <w:rPr>
            <w:noProof/>
          </w:rPr>
          <w:t>28</w:t>
        </w:r>
        <w:r>
          <w:rPr>
            <w:noProof/>
          </w:rPr>
          <w:fldChar w:fldCharType="end"/>
        </w:r>
      </w:hyperlink>
    </w:p>
    <w:p w14:paraId="5BE34DF9" w14:textId="2E0085E7" w:rsidR="00566744" w:rsidRDefault="00566744">
      <w:pPr>
        <w:pStyle w:val="TOC1"/>
        <w:rPr>
          <w:rFonts w:asciiTheme="minorHAnsi" w:eastAsiaTheme="minorEastAsia" w:hAnsiTheme="minorHAnsi" w:cstheme="minorBidi"/>
          <w:b w:val="0"/>
          <w:bCs w:val="0"/>
          <w:caps w:val="0"/>
          <w:noProof/>
          <w:sz w:val="21"/>
          <w:szCs w:val="22"/>
        </w:rPr>
      </w:pPr>
      <w:hyperlink w:anchor="_Toc78378589" w:history="1">
        <w:r>
          <w:rPr>
            <w:rStyle w:val="af8"/>
            <w:rFonts w:ascii="宋体" w:hAnsi="宋体"/>
            <w:noProof/>
            <w:kern w:val="0"/>
          </w:rPr>
          <w:t>第九部分  基金份额的申购与赎回</w:t>
        </w:r>
        <w:r>
          <w:rPr>
            <w:noProof/>
          </w:rPr>
          <w:tab/>
        </w:r>
        <w:r>
          <w:rPr>
            <w:noProof/>
          </w:rPr>
          <w:fldChar w:fldCharType="begin"/>
        </w:r>
        <w:r>
          <w:rPr>
            <w:noProof/>
          </w:rPr>
          <w:instrText xml:space="preserve"> PAGEREF _Toc78378589 \h </w:instrText>
        </w:r>
        <w:r>
          <w:rPr>
            <w:noProof/>
          </w:rPr>
        </w:r>
        <w:r>
          <w:rPr>
            <w:noProof/>
          </w:rPr>
          <w:fldChar w:fldCharType="separate"/>
        </w:r>
        <w:r w:rsidR="00701D9C">
          <w:rPr>
            <w:noProof/>
          </w:rPr>
          <w:t>29</w:t>
        </w:r>
        <w:r>
          <w:rPr>
            <w:noProof/>
          </w:rPr>
          <w:fldChar w:fldCharType="end"/>
        </w:r>
      </w:hyperlink>
    </w:p>
    <w:p w14:paraId="3A33373A" w14:textId="201E3009" w:rsidR="00566744" w:rsidRDefault="00566744">
      <w:pPr>
        <w:pStyle w:val="TOC1"/>
        <w:rPr>
          <w:rFonts w:asciiTheme="minorHAnsi" w:eastAsiaTheme="minorEastAsia" w:hAnsiTheme="minorHAnsi" w:cstheme="minorBidi"/>
          <w:b w:val="0"/>
          <w:bCs w:val="0"/>
          <w:caps w:val="0"/>
          <w:noProof/>
          <w:sz w:val="21"/>
          <w:szCs w:val="22"/>
        </w:rPr>
      </w:pPr>
      <w:hyperlink w:anchor="_Toc78378590" w:history="1">
        <w:r>
          <w:rPr>
            <w:rStyle w:val="af8"/>
            <w:rFonts w:ascii="宋体" w:hAnsi="宋体"/>
            <w:noProof/>
            <w:kern w:val="0"/>
          </w:rPr>
          <w:t>第十部分  基金的投资</w:t>
        </w:r>
        <w:r>
          <w:rPr>
            <w:noProof/>
          </w:rPr>
          <w:tab/>
        </w:r>
        <w:r>
          <w:rPr>
            <w:noProof/>
          </w:rPr>
          <w:fldChar w:fldCharType="begin"/>
        </w:r>
        <w:r>
          <w:rPr>
            <w:noProof/>
          </w:rPr>
          <w:instrText xml:space="preserve"> PAGEREF _Toc78378590 \h </w:instrText>
        </w:r>
        <w:r>
          <w:rPr>
            <w:noProof/>
          </w:rPr>
        </w:r>
        <w:r>
          <w:rPr>
            <w:noProof/>
          </w:rPr>
          <w:fldChar w:fldCharType="separate"/>
        </w:r>
        <w:r w:rsidR="00701D9C">
          <w:rPr>
            <w:noProof/>
          </w:rPr>
          <w:t>39</w:t>
        </w:r>
        <w:r>
          <w:rPr>
            <w:noProof/>
          </w:rPr>
          <w:fldChar w:fldCharType="end"/>
        </w:r>
      </w:hyperlink>
    </w:p>
    <w:p w14:paraId="59DA89E1" w14:textId="3D9E1B50" w:rsidR="00566744" w:rsidRDefault="00566744">
      <w:pPr>
        <w:pStyle w:val="TOC1"/>
        <w:rPr>
          <w:rFonts w:asciiTheme="minorHAnsi" w:eastAsiaTheme="minorEastAsia" w:hAnsiTheme="minorHAnsi" w:cstheme="minorBidi"/>
          <w:b w:val="0"/>
          <w:bCs w:val="0"/>
          <w:caps w:val="0"/>
          <w:noProof/>
          <w:sz w:val="21"/>
          <w:szCs w:val="22"/>
        </w:rPr>
      </w:pPr>
      <w:hyperlink w:anchor="_Toc78378591" w:history="1">
        <w:r>
          <w:rPr>
            <w:rStyle w:val="af8"/>
            <w:rFonts w:ascii="宋体" w:hAnsi="宋体"/>
            <w:noProof/>
            <w:kern w:val="0"/>
          </w:rPr>
          <w:t>第十一部分  基金的财产</w:t>
        </w:r>
        <w:r>
          <w:rPr>
            <w:noProof/>
          </w:rPr>
          <w:tab/>
        </w:r>
        <w:r>
          <w:rPr>
            <w:noProof/>
          </w:rPr>
          <w:fldChar w:fldCharType="begin"/>
        </w:r>
        <w:r>
          <w:rPr>
            <w:noProof/>
          </w:rPr>
          <w:instrText xml:space="preserve"> PAGEREF _Toc78378591 \h </w:instrText>
        </w:r>
        <w:r>
          <w:rPr>
            <w:noProof/>
          </w:rPr>
        </w:r>
        <w:r>
          <w:rPr>
            <w:noProof/>
          </w:rPr>
          <w:fldChar w:fldCharType="separate"/>
        </w:r>
        <w:r w:rsidR="00701D9C">
          <w:rPr>
            <w:noProof/>
          </w:rPr>
          <w:t>54</w:t>
        </w:r>
        <w:r>
          <w:rPr>
            <w:noProof/>
          </w:rPr>
          <w:fldChar w:fldCharType="end"/>
        </w:r>
      </w:hyperlink>
    </w:p>
    <w:p w14:paraId="2FE86677" w14:textId="50C205A5" w:rsidR="00566744" w:rsidRDefault="00566744">
      <w:pPr>
        <w:pStyle w:val="TOC1"/>
        <w:rPr>
          <w:rFonts w:asciiTheme="minorHAnsi" w:eastAsiaTheme="minorEastAsia" w:hAnsiTheme="minorHAnsi" w:cstheme="minorBidi"/>
          <w:b w:val="0"/>
          <w:bCs w:val="0"/>
          <w:caps w:val="0"/>
          <w:noProof/>
          <w:sz w:val="21"/>
          <w:szCs w:val="22"/>
        </w:rPr>
      </w:pPr>
      <w:hyperlink w:anchor="_Toc78378592" w:history="1">
        <w:r>
          <w:rPr>
            <w:rStyle w:val="af8"/>
            <w:rFonts w:ascii="宋体" w:hAnsi="宋体"/>
            <w:noProof/>
            <w:kern w:val="0"/>
          </w:rPr>
          <w:t>第十二部分  基金资产的估值</w:t>
        </w:r>
        <w:r>
          <w:rPr>
            <w:noProof/>
          </w:rPr>
          <w:tab/>
        </w:r>
        <w:r>
          <w:rPr>
            <w:noProof/>
          </w:rPr>
          <w:fldChar w:fldCharType="begin"/>
        </w:r>
        <w:r>
          <w:rPr>
            <w:noProof/>
          </w:rPr>
          <w:instrText xml:space="preserve"> PAGEREF _Toc78378592 \h </w:instrText>
        </w:r>
        <w:r>
          <w:rPr>
            <w:noProof/>
          </w:rPr>
        </w:r>
        <w:r>
          <w:rPr>
            <w:noProof/>
          </w:rPr>
          <w:fldChar w:fldCharType="separate"/>
        </w:r>
        <w:r w:rsidR="00701D9C">
          <w:rPr>
            <w:noProof/>
          </w:rPr>
          <w:t>55</w:t>
        </w:r>
        <w:r>
          <w:rPr>
            <w:noProof/>
          </w:rPr>
          <w:fldChar w:fldCharType="end"/>
        </w:r>
      </w:hyperlink>
    </w:p>
    <w:p w14:paraId="01AFA206" w14:textId="40D0DE91" w:rsidR="00566744" w:rsidRDefault="00566744">
      <w:pPr>
        <w:pStyle w:val="TOC1"/>
        <w:rPr>
          <w:rFonts w:asciiTheme="minorHAnsi" w:eastAsiaTheme="minorEastAsia" w:hAnsiTheme="minorHAnsi" w:cstheme="minorBidi"/>
          <w:b w:val="0"/>
          <w:bCs w:val="0"/>
          <w:caps w:val="0"/>
          <w:noProof/>
          <w:sz w:val="21"/>
          <w:szCs w:val="22"/>
        </w:rPr>
      </w:pPr>
      <w:hyperlink w:anchor="_Toc78378593" w:history="1">
        <w:r>
          <w:rPr>
            <w:rStyle w:val="af8"/>
            <w:rFonts w:ascii="宋体" w:hAnsi="宋体"/>
            <w:noProof/>
            <w:kern w:val="0"/>
          </w:rPr>
          <w:t>第十三部分  基金的收益与分配</w:t>
        </w:r>
        <w:r>
          <w:rPr>
            <w:noProof/>
          </w:rPr>
          <w:tab/>
        </w:r>
        <w:r>
          <w:rPr>
            <w:noProof/>
          </w:rPr>
          <w:fldChar w:fldCharType="begin"/>
        </w:r>
        <w:r>
          <w:rPr>
            <w:noProof/>
          </w:rPr>
          <w:instrText xml:space="preserve"> PAGEREF _Toc78378593 \h </w:instrText>
        </w:r>
        <w:r>
          <w:rPr>
            <w:noProof/>
          </w:rPr>
        </w:r>
        <w:r>
          <w:rPr>
            <w:noProof/>
          </w:rPr>
          <w:fldChar w:fldCharType="separate"/>
        </w:r>
        <w:r w:rsidR="00701D9C">
          <w:rPr>
            <w:noProof/>
          </w:rPr>
          <w:t>60</w:t>
        </w:r>
        <w:r>
          <w:rPr>
            <w:noProof/>
          </w:rPr>
          <w:fldChar w:fldCharType="end"/>
        </w:r>
      </w:hyperlink>
    </w:p>
    <w:p w14:paraId="49E77BE6" w14:textId="037934E2" w:rsidR="00566744" w:rsidRDefault="00566744">
      <w:pPr>
        <w:pStyle w:val="TOC1"/>
        <w:rPr>
          <w:rFonts w:asciiTheme="minorHAnsi" w:eastAsiaTheme="minorEastAsia" w:hAnsiTheme="minorHAnsi" w:cstheme="minorBidi"/>
          <w:b w:val="0"/>
          <w:bCs w:val="0"/>
          <w:caps w:val="0"/>
          <w:noProof/>
          <w:sz w:val="21"/>
          <w:szCs w:val="22"/>
        </w:rPr>
      </w:pPr>
      <w:hyperlink w:anchor="_Toc78378594" w:history="1">
        <w:r>
          <w:rPr>
            <w:rStyle w:val="af8"/>
            <w:rFonts w:ascii="宋体" w:hAnsi="宋体"/>
            <w:noProof/>
            <w:kern w:val="0"/>
          </w:rPr>
          <w:t>第十四部分  基金的费用与税收</w:t>
        </w:r>
        <w:r>
          <w:rPr>
            <w:noProof/>
          </w:rPr>
          <w:tab/>
        </w:r>
        <w:r>
          <w:rPr>
            <w:noProof/>
          </w:rPr>
          <w:fldChar w:fldCharType="begin"/>
        </w:r>
        <w:r>
          <w:rPr>
            <w:noProof/>
          </w:rPr>
          <w:instrText xml:space="preserve"> PAGEREF _Toc78378594 \h </w:instrText>
        </w:r>
        <w:r>
          <w:rPr>
            <w:noProof/>
          </w:rPr>
        </w:r>
        <w:r>
          <w:rPr>
            <w:noProof/>
          </w:rPr>
          <w:fldChar w:fldCharType="separate"/>
        </w:r>
        <w:r w:rsidR="00701D9C">
          <w:rPr>
            <w:noProof/>
          </w:rPr>
          <w:t>62</w:t>
        </w:r>
        <w:r>
          <w:rPr>
            <w:noProof/>
          </w:rPr>
          <w:fldChar w:fldCharType="end"/>
        </w:r>
      </w:hyperlink>
    </w:p>
    <w:p w14:paraId="5088F77B" w14:textId="67A84984" w:rsidR="00566744" w:rsidRDefault="00566744">
      <w:pPr>
        <w:pStyle w:val="TOC1"/>
        <w:rPr>
          <w:rFonts w:asciiTheme="minorHAnsi" w:eastAsiaTheme="minorEastAsia" w:hAnsiTheme="minorHAnsi" w:cstheme="minorBidi"/>
          <w:b w:val="0"/>
          <w:bCs w:val="0"/>
          <w:caps w:val="0"/>
          <w:noProof/>
          <w:sz w:val="21"/>
          <w:szCs w:val="22"/>
        </w:rPr>
      </w:pPr>
      <w:hyperlink w:anchor="_Toc78378595" w:history="1">
        <w:r>
          <w:rPr>
            <w:rStyle w:val="af8"/>
            <w:rFonts w:ascii="宋体" w:hAnsi="宋体"/>
            <w:noProof/>
            <w:kern w:val="0"/>
          </w:rPr>
          <w:t>第十五部分  基金的会计与审计</w:t>
        </w:r>
        <w:r>
          <w:rPr>
            <w:noProof/>
          </w:rPr>
          <w:tab/>
        </w:r>
        <w:r>
          <w:rPr>
            <w:noProof/>
          </w:rPr>
          <w:fldChar w:fldCharType="begin"/>
        </w:r>
        <w:r>
          <w:rPr>
            <w:noProof/>
          </w:rPr>
          <w:instrText xml:space="preserve"> PAGEREF _Toc78378595 \h </w:instrText>
        </w:r>
        <w:r>
          <w:rPr>
            <w:noProof/>
          </w:rPr>
        </w:r>
        <w:r>
          <w:rPr>
            <w:noProof/>
          </w:rPr>
          <w:fldChar w:fldCharType="separate"/>
        </w:r>
        <w:r w:rsidR="00701D9C">
          <w:rPr>
            <w:noProof/>
          </w:rPr>
          <w:t>64</w:t>
        </w:r>
        <w:r>
          <w:rPr>
            <w:noProof/>
          </w:rPr>
          <w:fldChar w:fldCharType="end"/>
        </w:r>
      </w:hyperlink>
    </w:p>
    <w:p w14:paraId="318AFAC2" w14:textId="6DFDE02E" w:rsidR="00566744" w:rsidRDefault="00566744">
      <w:pPr>
        <w:pStyle w:val="TOC1"/>
        <w:rPr>
          <w:rFonts w:asciiTheme="minorHAnsi" w:eastAsiaTheme="minorEastAsia" w:hAnsiTheme="minorHAnsi" w:cstheme="minorBidi"/>
          <w:b w:val="0"/>
          <w:bCs w:val="0"/>
          <w:caps w:val="0"/>
          <w:noProof/>
          <w:sz w:val="21"/>
          <w:szCs w:val="22"/>
        </w:rPr>
      </w:pPr>
      <w:hyperlink w:anchor="_Toc78378596" w:history="1">
        <w:r>
          <w:rPr>
            <w:rStyle w:val="af8"/>
            <w:rFonts w:ascii="宋体" w:hAnsi="宋体"/>
            <w:noProof/>
            <w:kern w:val="0"/>
          </w:rPr>
          <w:t>第十六部分  基金的信息披露</w:t>
        </w:r>
        <w:r>
          <w:rPr>
            <w:noProof/>
          </w:rPr>
          <w:tab/>
        </w:r>
        <w:r>
          <w:rPr>
            <w:noProof/>
          </w:rPr>
          <w:fldChar w:fldCharType="begin"/>
        </w:r>
        <w:r>
          <w:rPr>
            <w:noProof/>
          </w:rPr>
          <w:instrText xml:space="preserve"> PAGEREF _Toc78378596 \h </w:instrText>
        </w:r>
        <w:r>
          <w:rPr>
            <w:noProof/>
          </w:rPr>
        </w:r>
        <w:r>
          <w:rPr>
            <w:noProof/>
          </w:rPr>
          <w:fldChar w:fldCharType="separate"/>
        </w:r>
        <w:r w:rsidR="00701D9C">
          <w:rPr>
            <w:noProof/>
          </w:rPr>
          <w:t>65</w:t>
        </w:r>
        <w:r>
          <w:rPr>
            <w:noProof/>
          </w:rPr>
          <w:fldChar w:fldCharType="end"/>
        </w:r>
      </w:hyperlink>
    </w:p>
    <w:p w14:paraId="3BC2AC7C" w14:textId="7247FEA6" w:rsidR="00566744" w:rsidRDefault="00566744">
      <w:pPr>
        <w:pStyle w:val="TOC1"/>
        <w:rPr>
          <w:rFonts w:asciiTheme="minorHAnsi" w:eastAsiaTheme="minorEastAsia" w:hAnsiTheme="minorHAnsi" w:cstheme="minorBidi"/>
          <w:b w:val="0"/>
          <w:bCs w:val="0"/>
          <w:caps w:val="0"/>
          <w:noProof/>
          <w:sz w:val="21"/>
          <w:szCs w:val="22"/>
        </w:rPr>
      </w:pPr>
      <w:hyperlink w:anchor="_Toc78378597" w:history="1">
        <w:r>
          <w:rPr>
            <w:rStyle w:val="af8"/>
            <w:rFonts w:ascii="宋体" w:hAnsi="宋体"/>
            <w:noProof/>
            <w:kern w:val="0"/>
          </w:rPr>
          <w:t>第十七部分  基金的风险揭示</w:t>
        </w:r>
        <w:r>
          <w:rPr>
            <w:noProof/>
          </w:rPr>
          <w:tab/>
        </w:r>
        <w:r>
          <w:rPr>
            <w:noProof/>
          </w:rPr>
          <w:fldChar w:fldCharType="begin"/>
        </w:r>
        <w:r>
          <w:rPr>
            <w:noProof/>
          </w:rPr>
          <w:instrText xml:space="preserve"> PAGEREF _Toc78378597 \h </w:instrText>
        </w:r>
        <w:r>
          <w:rPr>
            <w:noProof/>
          </w:rPr>
        </w:r>
        <w:r>
          <w:rPr>
            <w:noProof/>
          </w:rPr>
          <w:fldChar w:fldCharType="separate"/>
        </w:r>
        <w:r w:rsidR="00701D9C">
          <w:rPr>
            <w:noProof/>
          </w:rPr>
          <w:t>72</w:t>
        </w:r>
        <w:r>
          <w:rPr>
            <w:noProof/>
          </w:rPr>
          <w:fldChar w:fldCharType="end"/>
        </w:r>
      </w:hyperlink>
    </w:p>
    <w:p w14:paraId="365FD9E1" w14:textId="194D74C1" w:rsidR="00566744" w:rsidRDefault="00566744">
      <w:pPr>
        <w:pStyle w:val="TOC1"/>
        <w:rPr>
          <w:rFonts w:asciiTheme="minorHAnsi" w:eastAsiaTheme="minorEastAsia" w:hAnsiTheme="minorHAnsi" w:cstheme="minorBidi"/>
          <w:b w:val="0"/>
          <w:bCs w:val="0"/>
          <w:caps w:val="0"/>
          <w:noProof/>
          <w:sz w:val="21"/>
          <w:szCs w:val="22"/>
        </w:rPr>
      </w:pPr>
      <w:hyperlink w:anchor="_Toc78378598" w:history="1">
        <w:r>
          <w:rPr>
            <w:rStyle w:val="af8"/>
            <w:rFonts w:ascii="宋体" w:hAnsi="宋体"/>
            <w:noProof/>
            <w:kern w:val="0"/>
          </w:rPr>
          <w:t>第十八部分  基金合同的变更、终止与基金财产的清算</w:t>
        </w:r>
        <w:r>
          <w:rPr>
            <w:noProof/>
          </w:rPr>
          <w:tab/>
        </w:r>
        <w:r>
          <w:rPr>
            <w:noProof/>
          </w:rPr>
          <w:fldChar w:fldCharType="begin"/>
        </w:r>
        <w:r>
          <w:rPr>
            <w:noProof/>
          </w:rPr>
          <w:instrText xml:space="preserve"> PAGEREF _Toc78378598 \h </w:instrText>
        </w:r>
        <w:r>
          <w:rPr>
            <w:noProof/>
          </w:rPr>
        </w:r>
        <w:r>
          <w:rPr>
            <w:noProof/>
          </w:rPr>
          <w:fldChar w:fldCharType="separate"/>
        </w:r>
        <w:r w:rsidR="00701D9C">
          <w:rPr>
            <w:noProof/>
          </w:rPr>
          <w:t>75</w:t>
        </w:r>
        <w:r>
          <w:rPr>
            <w:noProof/>
          </w:rPr>
          <w:fldChar w:fldCharType="end"/>
        </w:r>
      </w:hyperlink>
    </w:p>
    <w:p w14:paraId="1636557F" w14:textId="2687BB02" w:rsidR="00566744" w:rsidRDefault="00566744">
      <w:pPr>
        <w:pStyle w:val="TOC1"/>
        <w:rPr>
          <w:rFonts w:asciiTheme="minorHAnsi" w:eastAsiaTheme="minorEastAsia" w:hAnsiTheme="minorHAnsi" w:cstheme="minorBidi"/>
          <w:b w:val="0"/>
          <w:bCs w:val="0"/>
          <w:caps w:val="0"/>
          <w:noProof/>
          <w:sz w:val="21"/>
          <w:szCs w:val="22"/>
        </w:rPr>
      </w:pPr>
      <w:hyperlink w:anchor="_Toc78378599" w:history="1">
        <w:r>
          <w:rPr>
            <w:rStyle w:val="af8"/>
            <w:rFonts w:ascii="宋体" w:hAnsi="宋体"/>
            <w:noProof/>
            <w:kern w:val="0"/>
          </w:rPr>
          <w:t>第十九部分  基金合同的内容摘要</w:t>
        </w:r>
        <w:r>
          <w:rPr>
            <w:noProof/>
          </w:rPr>
          <w:tab/>
        </w:r>
        <w:r>
          <w:rPr>
            <w:noProof/>
          </w:rPr>
          <w:fldChar w:fldCharType="begin"/>
        </w:r>
        <w:r>
          <w:rPr>
            <w:noProof/>
          </w:rPr>
          <w:instrText xml:space="preserve"> PAGEREF _Toc78378599 \h </w:instrText>
        </w:r>
        <w:r>
          <w:rPr>
            <w:noProof/>
          </w:rPr>
        </w:r>
        <w:r>
          <w:rPr>
            <w:noProof/>
          </w:rPr>
          <w:fldChar w:fldCharType="separate"/>
        </w:r>
        <w:r w:rsidR="00701D9C">
          <w:rPr>
            <w:noProof/>
          </w:rPr>
          <w:t>77</w:t>
        </w:r>
        <w:r>
          <w:rPr>
            <w:noProof/>
          </w:rPr>
          <w:fldChar w:fldCharType="end"/>
        </w:r>
      </w:hyperlink>
    </w:p>
    <w:p w14:paraId="3D7AAAED" w14:textId="3F80B1CB" w:rsidR="00566744" w:rsidRDefault="00566744">
      <w:pPr>
        <w:pStyle w:val="TOC1"/>
        <w:rPr>
          <w:rFonts w:asciiTheme="minorHAnsi" w:eastAsiaTheme="minorEastAsia" w:hAnsiTheme="minorHAnsi" w:cstheme="minorBidi"/>
          <w:b w:val="0"/>
          <w:bCs w:val="0"/>
          <w:caps w:val="0"/>
          <w:noProof/>
          <w:sz w:val="21"/>
          <w:szCs w:val="22"/>
        </w:rPr>
      </w:pPr>
      <w:hyperlink w:anchor="_Toc78378600" w:history="1">
        <w:r>
          <w:rPr>
            <w:rStyle w:val="af8"/>
            <w:rFonts w:ascii="宋体" w:hAnsi="宋体"/>
            <w:noProof/>
            <w:kern w:val="0"/>
          </w:rPr>
          <w:t>第二十部分  基金托管协议的内容摘要</w:t>
        </w:r>
        <w:r>
          <w:rPr>
            <w:noProof/>
          </w:rPr>
          <w:tab/>
        </w:r>
        <w:r>
          <w:rPr>
            <w:noProof/>
          </w:rPr>
          <w:fldChar w:fldCharType="begin"/>
        </w:r>
        <w:r>
          <w:rPr>
            <w:noProof/>
          </w:rPr>
          <w:instrText xml:space="preserve"> PAGEREF _Toc78378600 \h </w:instrText>
        </w:r>
        <w:r>
          <w:rPr>
            <w:noProof/>
          </w:rPr>
        </w:r>
        <w:r>
          <w:rPr>
            <w:noProof/>
          </w:rPr>
          <w:fldChar w:fldCharType="separate"/>
        </w:r>
        <w:r w:rsidR="00701D9C">
          <w:rPr>
            <w:noProof/>
          </w:rPr>
          <w:t>93</w:t>
        </w:r>
        <w:r>
          <w:rPr>
            <w:noProof/>
          </w:rPr>
          <w:fldChar w:fldCharType="end"/>
        </w:r>
      </w:hyperlink>
    </w:p>
    <w:p w14:paraId="25FC0C02" w14:textId="43F258AD" w:rsidR="00566744" w:rsidRDefault="00566744">
      <w:pPr>
        <w:pStyle w:val="TOC1"/>
        <w:rPr>
          <w:rFonts w:asciiTheme="minorHAnsi" w:eastAsiaTheme="minorEastAsia" w:hAnsiTheme="minorHAnsi" w:cstheme="minorBidi"/>
          <w:b w:val="0"/>
          <w:bCs w:val="0"/>
          <w:caps w:val="0"/>
          <w:noProof/>
          <w:sz w:val="21"/>
          <w:szCs w:val="22"/>
        </w:rPr>
      </w:pPr>
      <w:hyperlink w:anchor="_Toc78378601" w:history="1">
        <w:r>
          <w:rPr>
            <w:rStyle w:val="af8"/>
            <w:rFonts w:ascii="宋体" w:hAnsi="宋体"/>
            <w:noProof/>
            <w:kern w:val="0"/>
          </w:rPr>
          <w:t>第二十一部分  对基金份额持有人的服务</w:t>
        </w:r>
        <w:r>
          <w:rPr>
            <w:noProof/>
          </w:rPr>
          <w:tab/>
        </w:r>
        <w:r>
          <w:rPr>
            <w:noProof/>
          </w:rPr>
          <w:fldChar w:fldCharType="begin"/>
        </w:r>
        <w:r>
          <w:rPr>
            <w:noProof/>
          </w:rPr>
          <w:instrText xml:space="preserve"> PAGEREF _Toc78378601 \h </w:instrText>
        </w:r>
        <w:r>
          <w:rPr>
            <w:noProof/>
          </w:rPr>
        </w:r>
        <w:r>
          <w:rPr>
            <w:noProof/>
          </w:rPr>
          <w:fldChar w:fldCharType="separate"/>
        </w:r>
        <w:r w:rsidR="00701D9C">
          <w:rPr>
            <w:noProof/>
          </w:rPr>
          <w:t>111</w:t>
        </w:r>
        <w:r>
          <w:rPr>
            <w:noProof/>
          </w:rPr>
          <w:fldChar w:fldCharType="end"/>
        </w:r>
      </w:hyperlink>
    </w:p>
    <w:p w14:paraId="51656E42" w14:textId="1BCA13DC" w:rsidR="00566744" w:rsidRDefault="00566744">
      <w:pPr>
        <w:pStyle w:val="TOC1"/>
        <w:rPr>
          <w:rFonts w:asciiTheme="minorHAnsi" w:eastAsiaTheme="minorEastAsia" w:hAnsiTheme="minorHAnsi" w:cstheme="minorBidi"/>
          <w:b w:val="0"/>
          <w:bCs w:val="0"/>
          <w:caps w:val="0"/>
          <w:noProof/>
          <w:sz w:val="21"/>
          <w:szCs w:val="22"/>
        </w:rPr>
      </w:pPr>
      <w:hyperlink w:anchor="_Toc78378602" w:history="1">
        <w:r>
          <w:rPr>
            <w:rStyle w:val="af8"/>
            <w:rFonts w:ascii="宋体" w:hAnsi="宋体"/>
            <w:noProof/>
            <w:kern w:val="0"/>
          </w:rPr>
          <w:t>第二十二部分  其他应披露事项</w:t>
        </w:r>
        <w:r>
          <w:rPr>
            <w:noProof/>
          </w:rPr>
          <w:tab/>
        </w:r>
        <w:r>
          <w:rPr>
            <w:noProof/>
          </w:rPr>
          <w:fldChar w:fldCharType="begin"/>
        </w:r>
        <w:r>
          <w:rPr>
            <w:noProof/>
          </w:rPr>
          <w:instrText xml:space="preserve"> PAGEREF _Toc78378602 \h </w:instrText>
        </w:r>
        <w:r>
          <w:rPr>
            <w:noProof/>
          </w:rPr>
        </w:r>
        <w:r>
          <w:rPr>
            <w:noProof/>
          </w:rPr>
          <w:fldChar w:fldCharType="separate"/>
        </w:r>
        <w:r w:rsidR="00701D9C">
          <w:rPr>
            <w:noProof/>
          </w:rPr>
          <w:t>113</w:t>
        </w:r>
        <w:r>
          <w:rPr>
            <w:noProof/>
          </w:rPr>
          <w:fldChar w:fldCharType="end"/>
        </w:r>
      </w:hyperlink>
    </w:p>
    <w:p w14:paraId="3B43C965" w14:textId="7266CE3A" w:rsidR="00566744" w:rsidRDefault="00566744">
      <w:pPr>
        <w:pStyle w:val="TOC1"/>
        <w:rPr>
          <w:rFonts w:asciiTheme="minorHAnsi" w:eastAsiaTheme="minorEastAsia" w:hAnsiTheme="minorHAnsi" w:cstheme="minorBidi"/>
          <w:b w:val="0"/>
          <w:bCs w:val="0"/>
          <w:caps w:val="0"/>
          <w:noProof/>
          <w:sz w:val="21"/>
          <w:szCs w:val="22"/>
        </w:rPr>
      </w:pPr>
      <w:hyperlink w:anchor="_Toc78378603" w:history="1">
        <w:r>
          <w:rPr>
            <w:rStyle w:val="af8"/>
            <w:rFonts w:ascii="宋体" w:hAnsi="宋体"/>
            <w:noProof/>
            <w:kern w:val="0"/>
          </w:rPr>
          <w:t>第二十三部分  招募说明书存放及查阅方式</w:t>
        </w:r>
        <w:r>
          <w:rPr>
            <w:noProof/>
          </w:rPr>
          <w:tab/>
        </w:r>
        <w:r>
          <w:rPr>
            <w:noProof/>
          </w:rPr>
          <w:fldChar w:fldCharType="begin"/>
        </w:r>
        <w:r>
          <w:rPr>
            <w:noProof/>
          </w:rPr>
          <w:instrText xml:space="preserve"> PAGEREF _Toc78378603 \h </w:instrText>
        </w:r>
        <w:r>
          <w:rPr>
            <w:noProof/>
          </w:rPr>
        </w:r>
        <w:r>
          <w:rPr>
            <w:noProof/>
          </w:rPr>
          <w:fldChar w:fldCharType="separate"/>
        </w:r>
        <w:r w:rsidR="00701D9C">
          <w:rPr>
            <w:noProof/>
          </w:rPr>
          <w:t>116</w:t>
        </w:r>
        <w:r>
          <w:rPr>
            <w:noProof/>
          </w:rPr>
          <w:fldChar w:fldCharType="end"/>
        </w:r>
      </w:hyperlink>
    </w:p>
    <w:p w14:paraId="3292055A" w14:textId="5AA47240" w:rsidR="00566744" w:rsidRDefault="00566744">
      <w:pPr>
        <w:pStyle w:val="TOC1"/>
        <w:rPr>
          <w:rFonts w:asciiTheme="minorHAnsi" w:eastAsiaTheme="minorEastAsia" w:hAnsiTheme="minorHAnsi" w:cstheme="minorBidi"/>
          <w:b w:val="0"/>
          <w:bCs w:val="0"/>
          <w:caps w:val="0"/>
          <w:noProof/>
          <w:sz w:val="21"/>
          <w:szCs w:val="22"/>
        </w:rPr>
      </w:pPr>
      <w:hyperlink w:anchor="_Toc78378604" w:history="1">
        <w:r>
          <w:rPr>
            <w:rStyle w:val="af8"/>
            <w:rFonts w:ascii="宋体" w:hAnsi="宋体"/>
            <w:noProof/>
            <w:kern w:val="0"/>
          </w:rPr>
          <w:t>第二十四部分  备查文件</w:t>
        </w:r>
        <w:r>
          <w:rPr>
            <w:noProof/>
          </w:rPr>
          <w:tab/>
        </w:r>
        <w:r>
          <w:rPr>
            <w:noProof/>
          </w:rPr>
          <w:fldChar w:fldCharType="begin"/>
        </w:r>
        <w:r>
          <w:rPr>
            <w:noProof/>
          </w:rPr>
          <w:instrText xml:space="preserve"> PAGEREF _Toc78378604 \h </w:instrText>
        </w:r>
        <w:r>
          <w:rPr>
            <w:noProof/>
          </w:rPr>
        </w:r>
        <w:r>
          <w:rPr>
            <w:noProof/>
          </w:rPr>
          <w:fldChar w:fldCharType="separate"/>
        </w:r>
        <w:r w:rsidR="00701D9C">
          <w:rPr>
            <w:noProof/>
          </w:rPr>
          <w:t>117</w:t>
        </w:r>
        <w:r>
          <w:rPr>
            <w:noProof/>
          </w:rPr>
          <w:fldChar w:fldCharType="end"/>
        </w:r>
      </w:hyperlink>
    </w:p>
    <w:p w14:paraId="26E4297C" w14:textId="77777777" w:rsidR="00566744" w:rsidRDefault="00000000">
      <w:pPr>
        <w:pStyle w:val="1"/>
        <w:spacing w:line="360" w:lineRule="auto"/>
        <w:jc w:val="center"/>
        <w:rPr>
          <w:rFonts w:ascii="宋体" w:hAnsi="宋体" w:hint="eastAsia"/>
          <w:color w:val="000000"/>
          <w:kern w:val="0"/>
          <w:sz w:val="24"/>
          <w:szCs w:val="24"/>
        </w:rPr>
      </w:pPr>
      <w:r>
        <w:rPr>
          <w:b w:val="0"/>
          <w:bCs w:val="0"/>
          <w:color w:val="0D0D0D"/>
          <w:sz w:val="22"/>
          <w:szCs w:val="22"/>
        </w:rPr>
        <w:fldChar w:fldCharType="end"/>
      </w:r>
      <w:bookmarkStart w:id="3" w:name="_Toc24615"/>
      <w:r>
        <w:rPr>
          <w:rFonts w:ascii="宋体" w:hAnsi="宋体"/>
          <w:b w:val="0"/>
          <w:color w:val="000000"/>
          <w:sz w:val="24"/>
        </w:rPr>
        <w:br w:type="page"/>
      </w:r>
      <w:bookmarkStart w:id="4" w:name="_Toc256666910"/>
      <w:bookmarkStart w:id="5" w:name="_Toc482624789"/>
      <w:bookmarkStart w:id="6" w:name="_Toc256666782"/>
      <w:bookmarkStart w:id="7" w:name="_Toc78378581"/>
      <w:r>
        <w:rPr>
          <w:rFonts w:ascii="宋体" w:hAnsi="宋体" w:hint="eastAsia"/>
          <w:color w:val="000000"/>
          <w:kern w:val="0"/>
          <w:sz w:val="24"/>
          <w:szCs w:val="24"/>
        </w:rPr>
        <w:lastRenderedPageBreak/>
        <w:t>第一部分  绪言</w:t>
      </w:r>
      <w:bookmarkEnd w:id="3"/>
      <w:bookmarkEnd w:id="4"/>
      <w:bookmarkEnd w:id="5"/>
      <w:bookmarkEnd w:id="6"/>
      <w:bookmarkEnd w:id="7"/>
    </w:p>
    <w:p w14:paraId="1A184115"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w:t>
      </w:r>
      <w:r>
        <w:rPr>
          <w:rFonts w:hint="eastAsia"/>
          <w:bCs/>
          <w:sz w:val="24"/>
        </w:rPr>
        <w:t>富荣货币市场基金</w:t>
      </w:r>
      <w:r>
        <w:rPr>
          <w:rFonts w:ascii="宋体" w:hAnsi="宋体" w:hint="eastAsia"/>
          <w:color w:val="000000"/>
          <w:kern w:val="0"/>
          <w:sz w:val="24"/>
        </w:rPr>
        <w:t>招募说明书》（以下简称“本招募说明书”）依据《中华人民共和国证券投资基金法》（以下简称“《基金法》</w:t>
      </w:r>
      <w:r>
        <w:rPr>
          <w:rFonts w:ascii="宋体" w:hAnsi="宋体"/>
          <w:color w:val="000000"/>
          <w:kern w:val="0"/>
          <w:sz w:val="24"/>
        </w:rPr>
        <w:t>”</w:t>
      </w:r>
      <w:r>
        <w:rPr>
          <w:rFonts w:ascii="宋体" w:hAnsi="宋体" w:hint="eastAsia"/>
          <w:color w:val="000000"/>
          <w:kern w:val="0"/>
          <w:sz w:val="24"/>
        </w:rPr>
        <w:t>）、《公开募集证券投资基金运作管理办法》（以下简称“《运作办法》”）、《证券投资基金销售管理办法》（以下简称“《销售办法》”）、《</w:t>
      </w:r>
      <w:r>
        <w:rPr>
          <w:rFonts w:hint="eastAsia"/>
          <w:bCs/>
          <w:sz w:val="24"/>
        </w:rPr>
        <w:t>公开募集证券投资基金信息披露管理办法</w:t>
      </w:r>
      <w:r>
        <w:rPr>
          <w:rFonts w:ascii="宋体" w:hAnsi="宋体" w:hint="eastAsia"/>
          <w:color w:val="000000"/>
          <w:kern w:val="0"/>
          <w:sz w:val="24"/>
        </w:rPr>
        <w:t>》（以下简称“《信息披露办法》”）、</w:t>
      </w:r>
      <w:r>
        <w:rPr>
          <w:rFonts w:ascii="宋体" w:hAnsi="宋体"/>
          <w:color w:val="000000"/>
          <w:kern w:val="0"/>
          <w:sz w:val="24"/>
        </w:rPr>
        <w:t>《</w:t>
      </w:r>
      <w:r>
        <w:rPr>
          <w:rFonts w:ascii="宋体" w:hAnsi="宋体" w:hint="eastAsia"/>
          <w:color w:val="000000"/>
          <w:kern w:val="0"/>
          <w:sz w:val="24"/>
        </w:rPr>
        <w:t>货币市场</w:t>
      </w:r>
      <w:r>
        <w:rPr>
          <w:rFonts w:ascii="宋体" w:hAnsi="宋体"/>
          <w:color w:val="000000"/>
          <w:kern w:val="0"/>
          <w:sz w:val="24"/>
        </w:rPr>
        <w:t>基金监督管理办法》</w:t>
      </w:r>
      <w:r>
        <w:rPr>
          <w:rFonts w:ascii="宋体" w:hAnsi="宋体" w:hint="eastAsia"/>
          <w:color w:val="000000"/>
          <w:kern w:val="0"/>
          <w:sz w:val="24"/>
        </w:rPr>
        <w:t>、</w:t>
      </w:r>
      <w:r>
        <w:rPr>
          <w:rFonts w:ascii="宋体" w:hAnsi="宋体"/>
          <w:color w:val="000000"/>
          <w:kern w:val="0"/>
          <w:sz w:val="24"/>
        </w:rPr>
        <w:t>《</w:t>
      </w:r>
      <w:r>
        <w:rPr>
          <w:rFonts w:ascii="宋体" w:hAnsi="宋体" w:hint="eastAsia"/>
          <w:color w:val="000000"/>
          <w:kern w:val="0"/>
          <w:sz w:val="24"/>
        </w:rPr>
        <w:t>关于</w:t>
      </w:r>
      <w:r>
        <w:rPr>
          <w:rFonts w:ascii="宋体" w:hAnsi="宋体"/>
          <w:color w:val="000000"/>
          <w:kern w:val="0"/>
          <w:sz w:val="24"/>
        </w:rPr>
        <w:t>实施</w:t>
      </w:r>
      <w:r>
        <w:rPr>
          <w:rFonts w:ascii="宋体" w:hAnsi="宋体" w:hint="eastAsia"/>
          <w:color w:val="000000"/>
          <w:kern w:val="0"/>
          <w:sz w:val="24"/>
        </w:rPr>
        <w:t>&lt;货币</w:t>
      </w:r>
      <w:r>
        <w:rPr>
          <w:rFonts w:ascii="宋体" w:hAnsi="宋体"/>
          <w:color w:val="000000"/>
          <w:kern w:val="0"/>
          <w:sz w:val="24"/>
        </w:rPr>
        <w:t>市场基金监督管理办法</w:t>
      </w:r>
      <w:r>
        <w:rPr>
          <w:rFonts w:ascii="宋体" w:hAnsi="宋体" w:hint="eastAsia"/>
          <w:color w:val="000000"/>
          <w:kern w:val="0"/>
          <w:sz w:val="24"/>
        </w:rPr>
        <w:t>&gt;有关问题</w:t>
      </w:r>
      <w:r>
        <w:rPr>
          <w:rFonts w:ascii="宋体" w:hAnsi="宋体"/>
          <w:color w:val="000000"/>
          <w:kern w:val="0"/>
          <w:sz w:val="24"/>
        </w:rPr>
        <w:t>的规定》</w:t>
      </w:r>
      <w:r>
        <w:rPr>
          <w:rFonts w:ascii="宋体" w:hAnsi="宋体" w:hint="eastAsia"/>
          <w:color w:val="000000"/>
          <w:kern w:val="0"/>
          <w:sz w:val="24"/>
        </w:rPr>
        <w:t>、</w:t>
      </w:r>
      <w:r>
        <w:rPr>
          <w:rFonts w:hint="eastAsia"/>
          <w:kern w:val="0"/>
          <w:sz w:val="24"/>
        </w:rPr>
        <w:t>《公开募集开放式证券投资基金流动性风险管理规定》</w:t>
      </w:r>
      <w:r>
        <w:rPr>
          <w:kern w:val="0"/>
          <w:sz w:val="24"/>
        </w:rPr>
        <w:t>(</w:t>
      </w:r>
      <w:r>
        <w:rPr>
          <w:rFonts w:hint="eastAsia"/>
          <w:kern w:val="0"/>
          <w:sz w:val="24"/>
        </w:rPr>
        <w:t>以下简称“《流动性风险管理规定》</w:t>
      </w:r>
      <w:r>
        <w:rPr>
          <w:rFonts w:hint="eastAsia"/>
          <w:kern w:val="0"/>
        </w:rPr>
        <w:t>”</w:t>
      </w:r>
      <w:r>
        <w:rPr>
          <w:kern w:val="0"/>
        </w:rPr>
        <w:t>)</w:t>
      </w:r>
      <w:r>
        <w:rPr>
          <w:rFonts w:hint="eastAsia"/>
          <w:kern w:val="0"/>
        </w:rPr>
        <w:t>、</w:t>
      </w:r>
      <w:r>
        <w:rPr>
          <w:rFonts w:ascii="宋体" w:hAnsi="宋体"/>
          <w:color w:val="000000"/>
          <w:kern w:val="0"/>
          <w:sz w:val="24"/>
        </w:rPr>
        <w:t>《</w:t>
      </w:r>
      <w:r>
        <w:rPr>
          <w:rFonts w:ascii="宋体" w:hAnsi="宋体" w:hint="eastAsia"/>
          <w:color w:val="000000"/>
          <w:kern w:val="0"/>
          <w:sz w:val="24"/>
        </w:rPr>
        <w:t>证券</w:t>
      </w:r>
      <w:r>
        <w:rPr>
          <w:rFonts w:ascii="宋体" w:hAnsi="宋体"/>
          <w:color w:val="000000"/>
          <w:kern w:val="0"/>
          <w:sz w:val="24"/>
        </w:rPr>
        <w:t>投资基金信息披露编报规则第</w:t>
      </w:r>
      <w:r>
        <w:rPr>
          <w:rFonts w:ascii="宋体" w:hAnsi="宋体" w:hint="eastAsia"/>
          <w:color w:val="000000"/>
          <w:kern w:val="0"/>
          <w:sz w:val="24"/>
        </w:rPr>
        <w:t>5号&lt;货币市场</w:t>
      </w:r>
      <w:r>
        <w:rPr>
          <w:rFonts w:ascii="宋体" w:hAnsi="宋体"/>
          <w:color w:val="000000"/>
          <w:kern w:val="0"/>
          <w:sz w:val="24"/>
        </w:rPr>
        <w:t>基金信息披露特别规定</w:t>
      </w:r>
      <w:r>
        <w:rPr>
          <w:rFonts w:ascii="宋体" w:hAnsi="宋体" w:hint="eastAsia"/>
          <w:color w:val="000000"/>
          <w:kern w:val="0"/>
          <w:sz w:val="24"/>
        </w:rPr>
        <w:t>&gt;</w:t>
      </w:r>
      <w:r>
        <w:rPr>
          <w:rFonts w:ascii="宋体" w:hAnsi="宋体"/>
          <w:color w:val="000000"/>
          <w:kern w:val="0"/>
          <w:sz w:val="24"/>
        </w:rPr>
        <w:t>》</w:t>
      </w:r>
      <w:r>
        <w:rPr>
          <w:rFonts w:ascii="宋体" w:hAnsi="宋体" w:hint="eastAsia"/>
          <w:color w:val="000000"/>
          <w:kern w:val="0"/>
          <w:sz w:val="24"/>
        </w:rPr>
        <w:t>和其他有关法律法规及《</w:t>
      </w:r>
      <w:r>
        <w:rPr>
          <w:rFonts w:hint="eastAsia"/>
          <w:bCs/>
          <w:sz w:val="24"/>
        </w:rPr>
        <w:t>富荣货币市场基金</w:t>
      </w:r>
      <w:r>
        <w:rPr>
          <w:rFonts w:ascii="宋体" w:hAnsi="宋体" w:hint="eastAsia"/>
          <w:color w:val="000000"/>
          <w:kern w:val="0"/>
          <w:sz w:val="24"/>
        </w:rPr>
        <w:t>基金合同》（以下简称“《基金合同》”）编写。</w:t>
      </w:r>
    </w:p>
    <w:p w14:paraId="2F857D99"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本招募说明书阐述了</w:t>
      </w:r>
      <w:r>
        <w:rPr>
          <w:rFonts w:hint="eastAsia"/>
          <w:bCs/>
          <w:sz w:val="24"/>
        </w:rPr>
        <w:t>富荣货币市场基金</w:t>
      </w:r>
      <w:r>
        <w:rPr>
          <w:rFonts w:ascii="宋体" w:hAnsi="宋体" w:hint="eastAsia"/>
          <w:color w:val="000000"/>
          <w:kern w:val="0"/>
          <w:sz w:val="24"/>
        </w:rPr>
        <w:t>的投资目标、策略、风险、费率等与投资者投资决策有关的全部必要事项，投资者在作出投资决策前应仔细阅读本招募说明书。</w:t>
      </w:r>
    </w:p>
    <w:p w14:paraId="2F302E8D"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本基金管理人承诺本招募说明书不存在任何虚假记载、误导性陈述或重大遗漏，并对其真实性、准确性、完整性承担法律责任。</w:t>
      </w:r>
    </w:p>
    <w:p w14:paraId="66769423"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本基金根据本招募说明书所载明资料申请募集。本基金管理人没有委托或授权任何其他人提供未在本招募说明书中载明的信息，或对本招募说明书作出任何解释或者说明。</w:t>
      </w:r>
    </w:p>
    <w:p w14:paraId="6E1DF667"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本招募说明书依据《基金合同》编写，并经中国证券</w:t>
      </w:r>
      <w:r>
        <w:rPr>
          <w:rFonts w:ascii="宋体" w:hAnsi="宋体"/>
          <w:color w:val="000000"/>
          <w:kern w:val="0"/>
          <w:sz w:val="24"/>
        </w:rPr>
        <w:t>监督管理委员会（以下简称“</w:t>
      </w:r>
      <w:r>
        <w:rPr>
          <w:rFonts w:ascii="宋体" w:hAnsi="宋体" w:hint="eastAsia"/>
          <w:color w:val="000000"/>
          <w:kern w:val="0"/>
          <w:sz w:val="24"/>
        </w:rPr>
        <w:t>中国</w:t>
      </w:r>
      <w:r>
        <w:rPr>
          <w:rFonts w:ascii="宋体" w:hAnsi="宋体"/>
          <w:color w:val="000000"/>
          <w:kern w:val="0"/>
          <w:sz w:val="24"/>
        </w:rPr>
        <w:t>证监会”</w:t>
      </w:r>
      <w:r>
        <w:rPr>
          <w:rFonts w:ascii="宋体" w:hAnsi="宋体" w:hint="eastAsia"/>
          <w:color w:val="000000"/>
          <w:kern w:val="0"/>
          <w:sz w:val="24"/>
        </w:rPr>
        <w:t>）</w:t>
      </w:r>
      <w:r>
        <w:rPr>
          <w:rFonts w:ascii="宋体" w:hAnsi="宋体"/>
          <w:color w:val="000000"/>
          <w:kern w:val="0"/>
          <w:sz w:val="24"/>
        </w:rPr>
        <w:t>注册</w:t>
      </w:r>
      <w:r>
        <w:rPr>
          <w:rFonts w:ascii="宋体" w:hAnsi="宋体" w:hint="eastAsia"/>
          <w:color w:val="000000"/>
          <w:kern w:val="0"/>
          <w:sz w:val="24"/>
        </w:rPr>
        <w:t>。《基金合同》是约定《基金合同》当事人之间权利、义务的法律文件。投资者自依《基金合同》取得基金份额，即成为基金份额持有人和《基金合同》的当事人，其持有基金份额的行为本身即表明其对《基金合同》的承认和接受，并按照《基金法》、《基金合同》及其他有关规定享有权利、承担义务，投资者欲了解基金份额持有人的权利和义务，应详细查阅《基金合同》。</w:t>
      </w:r>
    </w:p>
    <w:p w14:paraId="0E82B8A5" w14:textId="77777777" w:rsidR="00566744" w:rsidRDefault="00566744">
      <w:pPr>
        <w:spacing w:line="360" w:lineRule="auto"/>
        <w:ind w:firstLineChars="200" w:firstLine="480"/>
        <w:rPr>
          <w:rFonts w:ascii="宋体" w:hAnsi="宋体" w:hint="eastAsia"/>
          <w:color w:val="000000"/>
          <w:kern w:val="0"/>
          <w:sz w:val="24"/>
        </w:rPr>
      </w:pPr>
    </w:p>
    <w:p w14:paraId="47F242B8" w14:textId="77777777" w:rsidR="00566744" w:rsidRDefault="00000000">
      <w:pPr>
        <w:pStyle w:val="1"/>
        <w:spacing w:line="360" w:lineRule="auto"/>
        <w:jc w:val="center"/>
        <w:rPr>
          <w:rFonts w:ascii="宋体" w:hAnsi="宋体" w:hint="eastAsia"/>
          <w:color w:val="000000"/>
          <w:kern w:val="0"/>
          <w:sz w:val="24"/>
          <w:szCs w:val="24"/>
        </w:rPr>
      </w:pPr>
      <w:r>
        <w:rPr>
          <w:rFonts w:ascii="宋体" w:hAnsi="宋体"/>
          <w:color w:val="000000"/>
          <w:kern w:val="0"/>
          <w:sz w:val="24"/>
        </w:rPr>
        <w:br w:type="page"/>
      </w:r>
      <w:bookmarkStart w:id="8" w:name="_Toc20158"/>
      <w:bookmarkStart w:id="9" w:name="_Toc256666783"/>
      <w:bookmarkStart w:id="10" w:name="_Toc78378582"/>
      <w:bookmarkStart w:id="11" w:name="_Toc482624790"/>
      <w:bookmarkStart w:id="12" w:name="_Toc256666911"/>
      <w:r>
        <w:rPr>
          <w:rFonts w:ascii="宋体" w:hAnsi="宋体" w:hint="eastAsia"/>
          <w:color w:val="000000"/>
          <w:kern w:val="0"/>
          <w:sz w:val="24"/>
          <w:szCs w:val="24"/>
        </w:rPr>
        <w:lastRenderedPageBreak/>
        <w:t>第二部分  释义</w:t>
      </w:r>
      <w:bookmarkEnd w:id="8"/>
      <w:bookmarkEnd w:id="9"/>
      <w:bookmarkEnd w:id="10"/>
      <w:bookmarkEnd w:id="11"/>
      <w:bookmarkEnd w:id="12"/>
    </w:p>
    <w:p w14:paraId="33F67033"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本招募说明书中除非文意另有所指，下列词语具有如下含义：</w:t>
      </w:r>
    </w:p>
    <w:p w14:paraId="103B28D3"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color w:val="000000"/>
          <w:kern w:val="0"/>
          <w:sz w:val="24"/>
        </w:rPr>
        <w:t>基金或本基金</w:t>
      </w:r>
      <w:r>
        <w:rPr>
          <w:rFonts w:ascii="宋体" w:hAnsi="宋体" w:hint="eastAsia"/>
          <w:color w:val="000000"/>
          <w:kern w:val="0"/>
          <w:sz w:val="24"/>
        </w:rPr>
        <w:t>：</w:t>
      </w:r>
      <w:r>
        <w:rPr>
          <w:rFonts w:ascii="宋体" w:hAnsi="宋体"/>
          <w:color w:val="000000"/>
          <w:kern w:val="0"/>
          <w:sz w:val="24"/>
        </w:rPr>
        <w:t>指</w:t>
      </w:r>
      <w:r>
        <w:rPr>
          <w:rFonts w:hint="eastAsia"/>
          <w:bCs/>
          <w:sz w:val="24"/>
        </w:rPr>
        <w:t>富荣货币市场基金</w:t>
      </w:r>
    </w:p>
    <w:p w14:paraId="4899E764"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color w:val="000000"/>
          <w:kern w:val="0"/>
          <w:sz w:val="24"/>
        </w:rPr>
        <w:t>基金管理人：指</w:t>
      </w:r>
      <w:r>
        <w:rPr>
          <w:rFonts w:ascii="宋体" w:hAnsi="宋体" w:hint="eastAsia"/>
          <w:color w:val="000000"/>
          <w:kern w:val="0"/>
          <w:sz w:val="24"/>
        </w:rPr>
        <w:t>富荣基金管理有限公司</w:t>
      </w:r>
    </w:p>
    <w:p w14:paraId="534EBEC5"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color w:val="000000"/>
          <w:kern w:val="0"/>
          <w:sz w:val="24"/>
        </w:rPr>
        <w:t>基金托管人：指</w:t>
      </w:r>
      <w:r>
        <w:rPr>
          <w:rFonts w:ascii="宋体" w:hAnsi="宋体" w:hint="eastAsia"/>
          <w:color w:val="000000"/>
          <w:kern w:val="0"/>
          <w:sz w:val="24"/>
        </w:rPr>
        <w:t>中国光大银行股份有限公司</w:t>
      </w:r>
    </w:p>
    <w:p w14:paraId="0EF9646F"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hint="eastAsia"/>
          <w:color w:val="000000"/>
          <w:kern w:val="0"/>
          <w:sz w:val="24"/>
        </w:rPr>
        <w:t>基金合同：指《富荣货币市场基金基金合同》及对基金合同的任何有效修订和补充</w:t>
      </w:r>
    </w:p>
    <w:p w14:paraId="108EBA23"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color w:val="000000"/>
          <w:kern w:val="0"/>
          <w:sz w:val="24"/>
        </w:rPr>
        <w:t>托管协议</w:t>
      </w:r>
      <w:r>
        <w:rPr>
          <w:rFonts w:ascii="宋体" w:hAnsi="宋体" w:hint="eastAsia"/>
          <w:color w:val="000000"/>
          <w:kern w:val="0"/>
          <w:sz w:val="24"/>
        </w:rPr>
        <w:t>：</w:t>
      </w:r>
      <w:r>
        <w:rPr>
          <w:rFonts w:ascii="宋体" w:hAnsi="宋体"/>
          <w:color w:val="000000"/>
          <w:kern w:val="0"/>
          <w:sz w:val="24"/>
        </w:rPr>
        <w:t>指基金管理人与基金托管人就本基金签订之《</w:t>
      </w:r>
      <w:r>
        <w:rPr>
          <w:rFonts w:hint="eastAsia"/>
          <w:bCs/>
          <w:sz w:val="24"/>
        </w:rPr>
        <w:t>富荣货币市场基金</w:t>
      </w:r>
      <w:r>
        <w:rPr>
          <w:rFonts w:ascii="宋体" w:hAnsi="宋体"/>
          <w:color w:val="000000"/>
          <w:kern w:val="0"/>
          <w:sz w:val="24"/>
        </w:rPr>
        <w:t>托管协议》及对该</w:t>
      </w:r>
      <w:r>
        <w:rPr>
          <w:rFonts w:ascii="宋体" w:hAnsi="宋体" w:hint="eastAsia"/>
          <w:color w:val="000000"/>
          <w:kern w:val="0"/>
          <w:sz w:val="24"/>
        </w:rPr>
        <w:t>托管</w:t>
      </w:r>
      <w:r>
        <w:rPr>
          <w:rFonts w:ascii="宋体" w:hAnsi="宋体"/>
          <w:color w:val="000000"/>
          <w:kern w:val="0"/>
          <w:sz w:val="24"/>
        </w:rPr>
        <w:t>协议的任何有效修订和补充</w:t>
      </w:r>
    </w:p>
    <w:p w14:paraId="4E8792F3"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color w:val="000000"/>
          <w:kern w:val="0"/>
          <w:sz w:val="24"/>
        </w:rPr>
        <w:t>招募说明书</w:t>
      </w:r>
      <w:r>
        <w:rPr>
          <w:rFonts w:ascii="宋体" w:hAnsi="宋体" w:hint="eastAsia"/>
          <w:color w:val="000000"/>
          <w:kern w:val="0"/>
          <w:sz w:val="24"/>
        </w:rPr>
        <w:t>或本招募说明书：</w:t>
      </w:r>
      <w:r>
        <w:rPr>
          <w:rFonts w:ascii="宋体" w:hAnsi="宋体"/>
          <w:color w:val="000000"/>
          <w:kern w:val="0"/>
          <w:sz w:val="24"/>
        </w:rPr>
        <w:t>指《</w:t>
      </w:r>
      <w:r>
        <w:rPr>
          <w:rFonts w:hint="eastAsia"/>
          <w:bCs/>
          <w:sz w:val="24"/>
        </w:rPr>
        <w:t>富荣货币市场基金</w:t>
      </w:r>
      <w:r>
        <w:rPr>
          <w:rFonts w:ascii="宋体" w:hAnsi="宋体"/>
          <w:color w:val="000000"/>
          <w:kern w:val="0"/>
          <w:sz w:val="24"/>
        </w:rPr>
        <w:t>招募说明书》</w:t>
      </w:r>
      <w:r>
        <w:rPr>
          <w:rFonts w:ascii="宋体" w:hAnsi="宋体" w:hint="eastAsia"/>
          <w:color w:val="000000"/>
          <w:kern w:val="0"/>
          <w:sz w:val="24"/>
        </w:rPr>
        <w:t>及其更新</w:t>
      </w:r>
    </w:p>
    <w:p w14:paraId="421D63FF" w14:textId="77777777" w:rsidR="00566744" w:rsidRDefault="00000000">
      <w:pPr>
        <w:numPr>
          <w:ilvl w:val="0"/>
          <w:numId w:val="3"/>
        </w:numPr>
        <w:spacing w:line="360" w:lineRule="auto"/>
        <w:ind w:left="0" w:firstLine="426"/>
        <w:rPr>
          <w:rFonts w:ascii="宋体" w:hAnsi="宋体" w:hint="eastAsia"/>
          <w:color w:val="000000"/>
          <w:kern w:val="0"/>
          <w:sz w:val="24"/>
        </w:rPr>
      </w:pPr>
      <w:r>
        <w:rPr>
          <w:rFonts w:hint="eastAsia"/>
          <w:bCs/>
          <w:sz w:val="24"/>
        </w:rPr>
        <w:t>基金产品资料概要：指《富荣货币市场基金产品资料概要》及其更新</w:t>
      </w:r>
    </w:p>
    <w:p w14:paraId="7C9200CE" w14:textId="77777777" w:rsidR="00566744" w:rsidRDefault="00000000">
      <w:pPr>
        <w:numPr>
          <w:ilvl w:val="0"/>
          <w:numId w:val="3"/>
        </w:numPr>
        <w:spacing w:line="360" w:lineRule="auto"/>
        <w:ind w:left="0" w:firstLine="426"/>
        <w:rPr>
          <w:rFonts w:ascii="宋体" w:hAnsi="宋体" w:hint="eastAsia"/>
          <w:color w:val="000000"/>
          <w:kern w:val="0"/>
          <w:sz w:val="24"/>
          <w:shd w:val="clear" w:color="FFFFFF" w:fill="D9D9D9"/>
        </w:rPr>
      </w:pPr>
      <w:r>
        <w:rPr>
          <w:rFonts w:ascii="宋体" w:hAnsi="宋体"/>
          <w:color w:val="000000"/>
          <w:kern w:val="0"/>
          <w:sz w:val="24"/>
        </w:rPr>
        <w:t>基金份额发售公告</w:t>
      </w:r>
      <w:r>
        <w:rPr>
          <w:rFonts w:ascii="宋体" w:hAnsi="宋体" w:hint="eastAsia"/>
          <w:color w:val="000000"/>
          <w:kern w:val="0"/>
          <w:sz w:val="24"/>
        </w:rPr>
        <w:t>：</w:t>
      </w:r>
      <w:r>
        <w:rPr>
          <w:rFonts w:ascii="宋体" w:hAnsi="宋体"/>
          <w:color w:val="000000"/>
          <w:kern w:val="0"/>
          <w:sz w:val="24"/>
        </w:rPr>
        <w:t>指《</w:t>
      </w:r>
      <w:r>
        <w:rPr>
          <w:rFonts w:hint="eastAsia"/>
          <w:bCs/>
          <w:sz w:val="24"/>
        </w:rPr>
        <w:t>富荣货币市场基金</w:t>
      </w:r>
      <w:r>
        <w:rPr>
          <w:rFonts w:ascii="宋体" w:hAnsi="宋体" w:hint="eastAsia"/>
          <w:color w:val="000000"/>
          <w:kern w:val="0"/>
          <w:sz w:val="24"/>
        </w:rPr>
        <w:t>基金</w:t>
      </w:r>
      <w:r>
        <w:rPr>
          <w:rFonts w:ascii="宋体" w:hAnsi="宋体"/>
          <w:color w:val="000000"/>
          <w:kern w:val="0"/>
          <w:sz w:val="24"/>
        </w:rPr>
        <w:t>份额发售公告》</w:t>
      </w:r>
    </w:p>
    <w:p w14:paraId="0835D082"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color w:val="000000"/>
          <w:kern w:val="0"/>
          <w:sz w:val="24"/>
        </w:rPr>
        <w:t>法律法规</w:t>
      </w:r>
      <w:r>
        <w:rPr>
          <w:rFonts w:ascii="宋体" w:hAnsi="宋体" w:hint="eastAsia"/>
          <w:color w:val="000000"/>
          <w:kern w:val="0"/>
          <w:sz w:val="24"/>
        </w:rPr>
        <w:t>：</w:t>
      </w:r>
      <w:r>
        <w:rPr>
          <w:rFonts w:ascii="宋体" w:hAnsi="宋体"/>
          <w:bCs/>
          <w:color w:val="000000"/>
          <w:kern w:val="0"/>
          <w:sz w:val="24"/>
        </w:rPr>
        <w:t>指中国现行有效并公布实施的法律、行政法规、规范性文件、司法解释、行政规章以及其他对基金合同当事人有约束力的决定、决议、通知等</w:t>
      </w:r>
    </w:p>
    <w:p w14:paraId="138CAD79"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hint="eastAsia"/>
          <w:color w:val="000000"/>
          <w:kern w:val="0"/>
          <w:sz w:val="24"/>
        </w:rPr>
        <w:t>《基金法》：指2003年10月28日第十届全国人民代表大会常务委员会第五次会议通过，经2012年12月28日第十一届全国人民代表大会常务委员会第三十次会议修订，自2013年6月1日起实施并经2015年4月24日第十二届全国人民代表大会常务委员会第十四次会议《全国人民代表大会常务委员会关于修改〈中华人民共和国港口法&gt;等七部法律的决定》修改的《中华人民共和国证券投资基金法》及颁布机关对其不时做出的修订</w:t>
      </w:r>
    </w:p>
    <w:p w14:paraId="16E7AECF"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hint="eastAsia"/>
          <w:color w:val="000000"/>
          <w:kern w:val="0"/>
          <w:sz w:val="24"/>
        </w:rPr>
        <w:t>《销售办法》：指中国证监会2013年3月15日颁布，同年6月1日起实施的《证券投资基金销售管理办法》及颁布机关对其不时做出的修订</w:t>
      </w:r>
    </w:p>
    <w:p w14:paraId="512A0959"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color w:val="000000"/>
          <w:kern w:val="0"/>
          <w:sz w:val="24"/>
        </w:rPr>
        <w:t>《信息披露办法》：</w:t>
      </w:r>
      <w:r>
        <w:rPr>
          <w:rFonts w:hint="eastAsia"/>
          <w:bCs/>
          <w:sz w:val="24"/>
        </w:rPr>
        <w:t>中国证监会</w:t>
      </w:r>
      <w:r>
        <w:rPr>
          <w:rFonts w:hint="eastAsia"/>
          <w:bCs/>
          <w:sz w:val="24"/>
        </w:rPr>
        <w:t>2019</w:t>
      </w:r>
      <w:r>
        <w:rPr>
          <w:rFonts w:hint="eastAsia"/>
          <w:bCs/>
          <w:sz w:val="24"/>
        </w:rPr>
        <w:t>年</w:t>
      </w:r>
      <w:r>
        <w:rPr>
          <w:rFonts w:hint="eastAsia"/>
          <w:bCs/>
          <w:sz w:val="24"/>
        </w:rPr>
        <w:t>7</w:t>
      </w:r>
      <w:r>
        <w:rPr>
          <w:rFonts w:hint="eastAsia"/>
          <w:bCs/>
          <w:sz w:val="24"/>
        </w:rPr>
        <w:t>月</w:t>
      </w:r>
      <w:r>
        <w:rPr>
          <w:rFonts w:hint="eastAsia"/>
          <w:bCs/>
          <w:sz w:val="24"/>
        </w:rPr>
        <w:t>26</w:t>
      </w:r>
      <w:r>
        <w:rPr>
          <w:rFonts w:hint="eastAsia"/>
          <w:bCs/>
          <w:sz w:val="24"/>
        </w:rPr>
        <w:t>日颁布、同年</w:t>
      </w:r>
      <w:r>
        <w:rPr>
          <w:rFonts w:hint="eastAsia"/>
          <w:bCs/>
          <w:sz w:val="24"/>
        </w:rPr>
        <w:t>9</w:t>
      </w:r>
      <w:r>
        <w:rPr>
          <w:rFonts w:hint="eastAsia"/>
          <w:bCs/>
          <w:sz w:val="24"/>
        </w:rPr>
        <w:t>月</w:t>
      </w:r>
      <w:r>
        <w:rPr>
          <w:rFonts w:hint="eastAsia"/>
          <w:bCs/>
          <w:sz w:val="24"/>
        </w:rPr>
        <w:t>1</w:t>
      </w:r>
      <w:r>
        <w:rPr>
          <w:rFonts w:hint="eastAsia"/>
          <w:bCs/>
          <w:sz w:val="24"/>
        </w:rPr>
        <w:t>日实施的《公开募集证券投资基金信息披露管理办法》</w:t>
      </w:r>
      <w:r>
        <w:rPr>
          <w:rFonts w:ascii="宋体" w:hAnsi="宋体" w:hint="eastAsia"/>
          <w:color w:val="000000"/>
          <w:kern w:val="0"/>
          <w:sz w:val="24"/>
        </w:rPr>
        <w:t>及颁布机关对其不时做出的修订</w:t>
      </w:r>
    </w:p>
    <w:p w14:paraId="54B5867B"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color w:val="000000"/>
          <w:kern w:val="0"/>
          <w:sz w:val="24"/>
        </w:rPr>
        <w:t>《运作办法》</w:t>
      </w:r>
      <w:r>
        <w:rPr>
          <w:rFonts w:ascii="宋体" w:hAnsi="宋体" w:hint="eastAsia"/>
          <w:color w:val="000000"/>
          <w:kern w:val="0"/>
          <w:sz w:val="24"/>
        </w:rPr>
        <w:t>：指中国证监会2014年7月7日颁布、同年8月8日实施的《公开募集证券投资基金运作管理办法》及颁布机关对其不时做出的修订</w:t>
      </w:r>
    </w:p>
    <w:p w14:paraId="52F4ECC8" w14:textId="77777777" w:rsidR="00566744" w:rsidRDefault="00000000">
      <w:pPr>
        <w:numPr>
          <w:ilvl w:val="0"/>
          <w:numId w:val="3"/>
        </w:numPr>
        <w:spacing w:line="360" w:lineRule="auto"/>
        <w:ind w:left="0" w:firstLine="426"/>
        <w:rPr>
          <w:rFonts w:ascii="宋体" w:hAnsi="宋体" w:hint="eastAsia"/>
          <w:color w:val="000000"/>
          <w:kern w:val="0"/>
          <w:sz w:val="24"/>
        </w:rPr>
      </w:pPr>
      <w:r>
        <w:rPr>
          <w:rFonts w:hint="eastAsia"/>
          <w:kern w:val="0"/>
          <w:sz w:val="24"/>
        </w:rPr>
        <w:t>《流动性风险规定》：指中国证监会</w:t>
      </w:r>
      <w:r>
        <w:rPr>
          <w:kern w:val="0"/>
          <w:sz w:val="24"/>
        </w:rPr>
        <w:t>2017</w:t>
      </w:r>
      <w:r>
        <w:rPr>
          <w:rFonts w:hint="eastAsia"/>
          <w:kern w:val="0"/>
          <w:sz w:val="24"/>
        </w:rPr>
        <w:t>年</w:t>
      </w:r>
      <w:r>
        <w:rPr>
          <w:kern w:val="0"/>
          <w:sz w:val="24"/>
        </w:rPr>
        <w:t>8</w:t>
      </w:r>
      <w:r>
        <w:rPr>
          <w:rFonts w:hint="eastAsia"/>
          <w:kern w:val="0"/>
          <w:sz w:val="24"/>
        </w:rPr>
        <w:t>月</w:t>
      </w:r>
      <w:r>
        <w:rPr>
          <w:kern w:val="0"/>
          <w:sz w:val="24"/>
        </w:rPr>
        <w:t>31</w:t>
      </w:r>
      <w:r>
        <w:rPr>
          <w:rFonts w:hint="eastAsia"/>
          <w:kern w:val="0"/>
          <w:sz w:val="24"/>
        </w:rPr>
        <w:t>日颁布、同年</w:t>
      </w:r>
      <w:r>
        <w:rPr>
          <w:kern w:val="0"/>
          <w:sz w:val="24"/>
        </w:rPr>
        <w:t>10</w:t>
      </w:r>
      <w:r>
        <w:rPr>
          <w:rFonts w:hint="eastAsia"/>
          <w:kern w:val="0"/>
          <w:sz w:val="24"/>
        </w:rPr>
        <w:t>月</w:t>
      </w:r>
      <w:r>
        <w:rPr>
          <w:kern w:val="0"/>
          <w:sz w:val="24"/>
        </w:rPr>
        <w:lastRenderedPageBreak/>
        <w:t>1</w:t>
      </w:r>
      <w:r>
        <w:rPr>
          <w:rFonts w:hint="eastAsia"/>
          <w:kern w:val="0"/>
          <w:sz w:val="24"/>
        </w:rPr>
        <w:t>日起实施的《公开募集开放式证券投资基金流动性风险管理规定》及颁布机关对其不时做出的修订</w:t>
      </w:r>
    </w:p>
    <w:p w14:paraId="192C952B"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color w:val="000000"/>
          <w:kern w:val="0"/>
          <w:sz w:val="24"/>
        </w:rPr>
        <w:t>中国证监会</w:t>
      </w:r>
      <w:r>
        <w:rPr>
          <w:rFonts w:ascii="宋体" w:hAnsi="宋体" w:hint="eastAsia"/>
          <w:color w:val="000000"/>
          <w:kern w:val="0"/>
          <w:sz w:val="24"/>
        </w:rPr>
        <w:t>：</w:t>
      </w:r>
      <w:r>
        <w:rPr>
          <w:rFonts w:ascii="宋体" w:hAnsi="宋体"/>
          <w:color w:val="000000"/>
          <w:kern w:val="0"/>
          <w:sz w:val="24"/>
        </w:rPr>
        <w:t>指中国证券监督管理委员会</w:t>
      </w:r>
    </w:p>
    <w:p w14:paraId="5E63444C"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color w:val="000000"/>
          <w:kern w:val="0"/>
          <w:sz w:val="24"/>
        </w:rPr>
        <w:t>银行业监督管理机构</w:t>
      </w:r>
      <w:r>
        <w:rPr>
          <w:rFonts w:ascii="宋体" w:hAnsi="宋体" w:hint="eastAsia"/>
          <w:color w:val="000000"/>
          <w:kern w:val="0"/>
          <w:sz w:val="24"/>
        </w:rPr>
        <w:t>：</w:t>
      </w:r>
      <w:r>
        <w:rPr>
          <w:rFonts w:ascii="宋体" w:hAnsi="宋体"/>
          <w:color w:val="000000"/>
          <w:kern w:val="0"/>
          <w:sz w:val="24"/>
        </w:rPr>
        <w:t>指中国人民银行和/或中国银行</w:t>
      </w:r>
      <w:r>
        <w:rPr>
          <w:rFonts w:ascii="宋体" w:hAnsi="宋体" w:hint="eastAsia"/>
          <w:color w:val="000000"/>
          <w:kern w:val="0"/>
          <w:sz w:val="24"/>
        </w:rPr>
        <w:t>保险</w:t>
      </w:r>
      <w:r>
        <w:rPr>
          <w:rFonts w:ascii="宋体" w:hAnsi="宋体"/>
          <w:color w:val="000000"/>
          <w:kern w:val="0"/>
          <w:sz w:val="24"/>
        </w:rPr>
        <w:t>监督管理委员会</w:t>
      </w:r>
    </w:p>
    <w:p w14:paraId="214001DC"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color w:val="000000"/>
          <w:kern w:val="0"/>
          <w:sz w:val="24"/>
        </w:rPr>
        <w:t>基金合同当事人：指受</w:t>
      </w:r>
      <w:r>
        <w:rPr>
          <w:rFonts w:ascii="宋体" w:hAnsi="宋体" w:hint="eastAsia"/>
          <w:color w:val="000000"/>
          <w:kern w:val="0"/>
          <w:sz w:val="24"/>
        </w:rPr>
        <w:t>《</w:t>
      </w:r>
      <w:r>
        <w:rPr>
          <w:rFonts w:ascii="宋体" w:hAnsi="宋体"/>
          <w:color w:val="000000"/>
          <w:kern w:val="0"/>
          <w:sz w:val="24"/>
        </w:rPr>
        <w:t>基金合同</w:t>
      </w:r>
      <w:r>
        <w:rPr>
          <w:rFonts w:ascii="宋体" w:hAnsi="宋体" w:hint="eastAsia"/>
          <w:color w:val="000000"/>
          <w:kern w:val="0"/>
          <w:sz w:val="24"/>
        </w:rPr>
        <w:t>》</w:t>
      </w:r>
      <w:r>
        <w:rPr>
          <w:rFonts w:ascii="宋体" w:hAnsi="宋体"/>
          <w:color w:val="000000"/>
          <w:kern w:val="0"/>
          <w:sz w:val="24"/>
        </w:rPr>
        <w:t>约束，根据</w:t>
      </w:r>
      <w:r>
        <w:rPr>
          <w:rFonts w:ascii="宋体" w:hAnsi="宋体" w:hint="eastAsia"/>
          <w:color w:val="000000"/>
          <w:kern w:val="0"/>
          <w:sz w:val="24"/>
        </w:rPr>
        <w:t>《</w:t>
      </w:r>
      <w:r>
        <w:rPr>
          <w:rFonts w:ascii="宋体" w:hAnsi="宋体"/>
          <w:color w:val="000000"/>
          <w:kern w:val="0"/>
          <w:sz w:val="24"/>
        </w:rPr>
        <w:t>基金合同</w:t>
      </w:r>
      <w:r>
        <w:rPr>
          <w:rFonts w:ascii="宋体" w:hAnsi="宋体" w:hint="eastAsia"/>
          <w:color w:val="000000"/>
          <w:kern w:val="0"/>
          <w:sz w:val="24"/>
        </w:rPr>
        <w:t>》</w:t>
      </w:r>
      <w:r>
        <w:rPr>
          <w:rFonts w:ascii="宋体" w:hAnsi="宋体"/>
          <w:color w:val="000000"/>
          <w:kern w:val="0"/>
          <w:sz w:val="24"/>
        </w:rPr>
        <w:t>享有权利并承担义务的</w:t>
      </w:r>
      <w:r>
        <w:rPr>
          <w:rFonts w:ascii="宋体" w:hAnsi="宋体" w:hint="eastAsia"/>
          <w:color w:val="000000"/>
          <w:kern w:val="0"/>
          <w:sz w:val="24"/>
        </w:rPr>
        <w:t>法律主体，包括</w:t>
      </w:r>
      <w:r>
        <w:rPr>
          <w:rFonts w:ascii="宋体" w:hAnsi="宋体"/>
          <w:color w:val="000000"/>
          <w:kern w:val="0"/>
          <w:sz w:val="24"/>
        </w:rPr>
        <w:t>基金管理人、基金托管人和基金份额持有人</w:t>
      </w:r>
    </w:p>
    <w:p w14:paraId="2F941E21"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hint="eastAsia"/>
          <w:color w:val="000000"/>
          <w:kern w:val="0"/>
          <w:sz w:val="24"/>
        </w:rPr>
        <w:t>个人投资者：指依据有关法律法规规定可投资于证券投资基金的自然人</w:t>
      </w:r>
    </w:p>
    <w:p w14:paraId="60549D38"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color w:val="000000"/>
          <w:kern w:val="0"/>
          <w:sz w:val="24"/>
        </w:rPr>
        <w:t>机构投资者：指依法可以投资证券投资基金</w:t>
      </w:r>
      <w:r>
        <w:rPr>
          <w:rFonts w:ascii="宋体" w:hAnsi="宋体" w:hint="eastAsia"/>
          <w:color w:val="000000"/>
          <w:kern w:val="0"/>
          <w:sz w:val="24"/>
        </w:rPr>
        <w:t>的</w:t>
      </w:r>
      <w:r>
        <w:rPr>
          <w:rFonts w:ascii="宋体" w:hAnsi="宋体"/>
          <w:color w:val="000000"/>
          <w:kern w:val="0"/>
          <w:sz w:val="24"/>
        </w:rPr>
        <w:t>、在中华人民共和国境内合法登记</w:t>
      </w:r>
      <w:r>
        <w:rPr>
          <w:rFonts w:ascii="宋体" w:hAnsi="宋体" w:hint="eastAsia"/>
          <w:color w:val="000000"/>
          <w:kern w:val="0"/>
          <w:sz w:val="24"/>
        </w:rPr>
        <w:t>并存续</w:t>
      </w:r>
      <w:r>
        <w:rPr>
          <w:rFonts w:ascii="宋体" w:hAnsi="宋体"/>
          <w:color w:val="000000"/>
          <w:kern w:val="0"/>
          <w:sz w:val="24"/>
        </w:rPr>
        <w:t>或经有关政府部门批准设立</w:t>
      </w:r>
      <w:r>
        <w:rPr>
          <w:rFonts w:ascii="宋体" w:hAnsi="宋体" w:hint="eastAsia"/>
          <w:color w:val="000000"/>
          <w:kern w:val="0"/>
          <w:sz w:val="24"/>
        </w:rPr>
        <w:t>并存续</w:t>
      </w:r>
      <w:r>
        <w:rPr>
          <w:rFonts w:ascii="宋体" w:hAnsi="宋体"/>
          <w:color w:val="000000"/>
          <w:kern w:val="0"/>
          <w:sz w:val="24"/>
        </w:rPr>
        <w:t>的企业法人、事业法人、社会团体或其他组织</w:t>
      </w:r>
    </w:p>
    <w:p w14:paraId="29206741"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color w:val="000000"/>
          <w:kern w:val="0"/>
          <w:sz w:val="24"/>
        </w:rPr>
        <w:t>合格境外机构投资者</w:t>
      </w:r>
      <w:r>
        <w:rPr>
          <w:rFonts w:ascii="宋体" w:hAnsi="宋体" w:hint="eastAsia"/>
          <w:color w:val="000000"/>
          <w:kern w:val="0"/>
          <w:sz w:val="24"/>
        </w:rPr>
        <w:t>：指符合</w:t>
      </w:r>
      <w:r>
        <w:rPr>
          <w:rFonts w:ascii="宋体" w:hAnsi="宋体" w:hint="eastAsia"/>
          <w:bCs/>
          <w:sz w:val="24"/>
        </w:rPr>
        <w:t>《合格境外机构投资者境内证券投资管理办法》及</w:t>
      </w:r>
      <w:r>
        <w:rPr>
          <w:rFonts w:ascii="宋体" w:hAnsi="宋体" w:hint="eastAsia"/>
          <w:color w:val="000000"/>
          <w:kern w:val="0"/>
          <w:sz w:val="24"/>
        </w:rPr>
        <w:t>相关法律法规规定可以投资于在中国境内依法募集的证券投资基金的中国境外的机构投资者</w:t>
      </w:r>
    </w:p>
    <w:p w14:paraId="5B25F065"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hint="eastAsia"/>
          <w:color w:val="000000"/>
          <w:kern w:val="0"/>
          <w:sz w:val="24"/>
        </w:rPr>
        <w:t>人民币合格境外机构投资者：指符合《人民币合格境外机构投资者境内证券投资试点办法》（包括其不时修订）及相关法律法规规定可以运用来自境外的人民币资金进行境内证券投资的境外机构投资者</w:t>
      </w:r>
    </w:p>
    <w:p w14:paraId="59842CFB"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color w:val="000000"/>
          <w:kern w:val="0"/>
          <w:sz w:val="24"/>
        </w:rPr>
        <w:t>投资</w:t>
      </w:r>
      <w:r>
        <w:rPr>
          <w:rFonts w:ascii="宋体" w:hAnsi="宋体" w:hint="eastAsia"/>
          <w:color w:val="000000"/>
          <w:kern w:val="0"/>
          <w:sz w:val="24"/>
        </w:rPr>
        <w:t>人、</w:t>
      </w:r>
      <w:r>
        <w:rPr>
          <w:rFonts w:ascii="宋体" w:hAnsi="宋体"/>
          <w:color w:val="000000"/>
          <w:kern w:val="0"/>
          <w:sz w:val="24"/>
        </w:rPr>
        <w:t>投资者：指个人投资者、机构投资者</w:t>
      </w:r>
      <w:r>
        <w:rPr>
          <w:rFonts w:ascii="宋体" w:hAnsi="宋体" w:hint="eastAsia"/>
          <w:color w:val="000000"/>
          <w:kern w:val="0"/>
          <w:sz w:val="24"/>
        </w:rPr>
        <w:t>、</w:t>
      </w:r>
      <w:r>
        <w:rPr>
          <w:rFonts w:ascii="宋体" w:hAnsi="宋体"/>
          <w:color w:val="000000"/>
          <w:kern w:val="0"/>
          <w:sz w:val="24"/>
        </w:rPr>
        <w:t>合格境外机构投资者</w:t>
      </w:r>
      <w:r>
        <w:rPr>
          <w:rFonts w:ascii="宋体" w:hAnsi="宋体" w:hint="eastAsia"/>
          <w:color w:val="000000"/>
          <w:kern w:val="0"/>
          <w:sz w:val="24"/>
        </w:rPr>
        <w:t>和人民币合格境外机构投资者以及法律法规或中国证监会允许购买证券投资基金的其他投资人</w:t>
      </w:r>
      <w:r>
        <w:rPr>
          <w:rFonts w:ascii="宋体" w:hAnsi="宋体"/>
          <w:color w:val="000000"/>
          <w:kern w:val="0"/>
          <w:sz w:val="24"/>
        </w:rPr>
        <w:t>的合称</w:t>
      </w:r>
    </w:p>
    <w:p w14:paraId="3EBE6E4D"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color w:val="000000"/>
          <w:kern w:val="0"/>
          <w:sz w:val="24"/>
        </w:rPr>
        <w:t>基金份额持有人：指依基金合同</w:t>
      </w:r>
      <w:r>
        <w:rPr>
          <w:rFonts w:ascii="宋体" w:hAnsi="宋体" w:hint="eastAsia"/>
          <w:color w:val="000000"/>
          <w:kern w:val="0"/>
          <w:sz w:val="24"/>
        </w:rPr>
        <w:t>和</w:t>
      </w:r>
      <w:r>
        <w:rPr>
          <w:rFonts w:ascii="宋体" w:hAnsi="宋体"/>
          <w:color w:val="000000"/>
          <w:kern w:val="0"/>
          <w:sz w:val="24"/>
        </w:rPr>
        <w:t>招募说明书</w:t>
      </w:r>
      <w:r>
        <w:rPr>
          <w:rFonts w:ascii="宋体" w:hAnsi="宋体" w:hint="eastAsia"/>
          <w:color w:val="000000"/>
          <w:kern w:val="0"/>
          <w:sz w:val="24"/>
        </w:rPr>
        <w:t>合法</w:t>
      </w:r>
      <w:r>
        <w:rPr>
          <w:rFonts w:ascii="宋体" w:hAnsi="宋体"/>
          <w:color w:val="000000"/>
          <w:kern w:val="0"/>
          <w:sz w:val="24"/>
        </w:rPr>
        <w:t>取得基金份额的投资</w:t>
      </w:r>
      <w:r>
        <w:rPr>
          <w:rFonts w:ascii="宋体" w:hAnsi="宋体" w:hint="eastAsia"/>
          <w:color w:val="000000"/>
          <w:kern w:val="0"/>
          <w:sz w:val="24"/>
        </w:rPr>
        <w:t>人</w:t>
      </w:r>
    </w:p>
    <w:p w14:paraId="2A9A6700"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color w:val="000000"/>
          <w:kern w:val="0"/>
          <w:sz w:val="24"/>
        </w:rPr>
        <w:t>基金销售业务：指</w:t>
      </w:r>
      <w:r>
        <w:rPr>
          <w:rFonts w:ascii="宋体" w:hAnsi="宋体" w:hint="eastAsia"/>
          <w:color w:val="000000"/>
          <w:kern w:val="0"/>
          <w:sz w:val="24"/>
        </w:rPr>
        <w:t>基金管理人或销售机构宣传推介基金，发售基金份额，办理基金份额的</w:t>
      </w:r>
      <w:r>
        <w:rPr>
          <w:rFonts w:ascii="宋体" w:hAnsi="宋体"/>
          <w:color w:val="000000"/>
          <w:kern w:val="0"/>
          <w:sz w:val="24"/>
        </w:rPr>
        <w:t>申购、赎回、转换、转托管及定期定额投资等业务</w:t>
      </w:r>
    </w:p>
    <w:p w14:paraId="006E3B7A"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color w:val="000000"/>
          <w:kern w:val="0"/>
          <w:sz w:val="24"/>
        </w:rPr>
        <w:t>销售机构</w:t>
      </w:r>
      <w:r>
        <w:rPr>
          <w:rFonts w:ascii="宋体" w:hAnsi="宋体" w:hint="eastAsia"/>
          <w:color w:val="000000"/>
          <w:kern w:val="0"/>
          <w:sz w:val="24"/>
        </w:rPr>
        <w:t>：</w:t>
      </w:r>
      <w:r>
        <w:rPr>
          <w:rFonts w:ascii="宋体" w:hAnsi="宋体"/>
          <w:bCs/>
          <w:color w:val="000000"/>
          <w:kern w:val="0"/>
          <w:sz w:val="24"/>
        </w:rPr>
        <w:t>指</w:t>
      </w:r>
      <w:r>
        <w:rPr>
          <w:rFonts w:ascii="宋体" w:hAnsi="宋体" w:hint="eastAsia"/>
          <w:bCs/>
          <w:color w:val="000000"/>
          <w:kern w:val="0"/>
          <w:sz w:val="24"/>
        </w:rPr>
        <w:t>富荣基金管理有限公司</w:t>
      </w:r>
      <w:r>
        <w:rPr>
          <w:rFonts w:ascii="宋体" w:hAnsi="宋体"/>
          <w:bCs/>
          <w:color w:val="000000"/>
          <w:kern w:val="0"/>
          <w:sz w:val="24"/>
        </w:rPr>
        <w:t>以及符合《销售办法》和中国证监会规定的其他条件，取得基金</w:t>
      </w:r>
      <w:r>
        <w:rPr>
          <w:rFonts w:ascii="宋体" w:hAnsi="宋体" w:hint="eastAsia"/>
          <w:bCs/>
          <w:color w:val="000000"/>
          <w:kern w:val="0"/>
          <w:sz w:val="24"/>
        </w:rPr>
        <w:t>销售</w:t>
      </w:r>
      <w:r>
        <w:rPr>
          <w:rFonts w:ascii="宋体" w:hAnsi="宋体"/>
          <w:bCs/>
          <w:color w:val="000000"/>
          <w:kern w:val="0"/>
          <w:sz w:val="24"/>
        </w:rPr>
        <w:t>业务资格并与基金管理人签订了基金销售服务协议，办理基金销售业务的机构</w:t>
      </w:r>
    </w:p>
    <w:p w14:paraId="1FEC6DF2"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color w:val="000000"/>
          <w:kern w:val="0"/>
          <w:sz w:val="24"/>
        </w:rPr>
        <w:t>登记业务：指基金登记、存管、过户、清算和结算业务，具体内容包括投资</w:t>
      </w:r>
      <w:r>
        <w:rPr>
          <w:rFonts w:ascii="宋体" w:hAnsi="宋体" w:hint="eastAsia"/>
          <w:color w:val="000000"/>
          <w:kern w:val="0"/>
          <w:sz w:val="24"/>
        </w:rPr>
        <w:t>人</w:t>
      </w:r>
      <w:r>
        <w:rPr>
          <w:rFonts w:ascii="宋体" w:hAnsi="宋体"/>
          <w:color w:val="000000"/>
          <w:kern w:val="0"/>
          <w:sz w:val="24"/>
        </w:rPr>
        <w:t>基金账户的建立和管理、基金份额登记、基金</w:t>
      </w:r>
      <w:r>
        <w:rPr>
          <w:rFonts w:ascii="宋体" w:hAnsi="宋体" w:hint="eastAsia"/>
          <w:color w:val="000000"/>
          <w:kern w:val="0"/>
          <w:sz w:val="24"/>
        </w:rPr>
        <w:t>销售业务的</w:t>
      </w:r>
      <w:r>
        <w:rPr>
          <w:rFonts w:ascii="宋体" w:hAnsi="宋体"/>
          <w:color w:val="000000"/>
          <w:kern w:val="0"/>
          <w:sz w:val="24"/>
        </w:rPr>
        <w:t>确认、清算和结算、</w:t>
      </w:r>
      <w:r>
        <w:rPr>
          <w:rFonts w:ascii="宋体" w:hAnsi="宋体"/>
          <w:color w:val="000000"/>
          <w:kern w:val="0"/>
          <w:sz w:val="24"/>
        </w:rPr>
        <w:lastRenderedPageBreak/>
        <w:t>代理发放红利、建立并保管基金份额持有人名册</w:t>
      </w:r>
      <w:r>
        <w:rPr>
          <w:rFonts w:hint="eastAsia"/>
          <w:bCs/>
          <w:sz w:val="24"/>
        </w:rPr>
        <w:t>和办理非交易过户</w:t>
      </w:r>
      <w:r>
        <w:rPr>
          <w:rFonts w:ascii="宋体" w:hAnsi="宋体"/>
          <w:color w:val="000000"/>
          <w:kern w:val="0"/>
          <w:sz w:val="24"/>
        </w:rPr>
        <w:t>等</w:t>
      </w:r>
    </w:p>
    <w:p w14:paraId="4C42A05A"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color w:val="000000"/>
          <w:kern w:val="0"/>
          <w:sz w:val="24"/>
        </w:rPr>
        <w:t>登记机构：指办理登记业务的机构。</w:t>
      </w:r>
      <w:r>
        <w:rPr>
          <w:rFonts w:ascii="宋体" w:hAnsi="宋体" w:hint="eastAsia"/>
          <w:color w:val="000000"/>
          <w:kern w:val="0"/>
          <w:sz w:val="24"/>
        </w:rPr>
        <w:t>基金的登记机构为富荣基金管理有限公司或接受富荣基金管理有限公司委托代为办理登记业务的机构</w:t>
      </w:r>
    </w:p>
    <w:p w14:paraId="330E6DF5"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color w:val="000000"/>
          <w:kern w:val="0"/>
          <w:sz w:val="24"/>
        </w:rPr>
        <w:t>基金账户</w:t>
      </w:r>
      <w:r>
        <w:rPr>
          <w:rFonts w:ascii="宋体" w:hAnsi="宋体" w:hint="eastAsia"/>
          <w:color w:val="000000"/>
          <w:kern w:val="0"/>
          <w:sz w:val="24"/>
        </w:rPr>
        <w:t>：</w:t>
      </w:r>
      <w:r>
        <w:rPr>
          <w:rFonts w:ascii="宋体" w:hAnsi="宋体"/>
          <w:color w:val="000000"/>
          <w:kern w:val="0"/>
          <w:sz w:val="24"/>
        </w:rPr>
        <w:t>指登记机构为投资</w:t>
      </w:r>
      <w:r>
        <w:rPr>
          <w:rFonts w:ascii="宋体" w:hAnsi="宋体" w:hint="eastAsia"/>
          <w:color w:val="000000"/>
          <w:kern w:val="0"/>
          <w:sz w:val="24"/>
        </w:rPr>
        <w:t>人</w:t>
      </w:r>
      <w:r>
        <w:rPr>
          <w:rFonts w:ascii="宋体" w:hAnsi="宋体"/>
          <w:color w:val="000000"/>
          <w:kern w:val="0"/>
          <w:sz w:val="24"/>
        </w:rPr>
        <w:t>开立的、记录其持有的、基金管理人所管理的基金份额余额及其变动情况的账户</w:t>
      </w:r>
    </w:p>
    <w:p w14:paraId="4B9D1649"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color w:val="000000"/>
          <w:kern w:val="0"/>
          <w:sz w:val="24"/>
        </w:rPr>
        <w:t>基金交易账户：指销售机构为投资</w:t>
      </w:r>
      <w:r>
        <w:rPr>
          <w:rFonts w:ascii="宋体" w:hAnsi="宋体" w:hint="eastAsia"/>
          <w:color w:val="000000"/>
          <w:kern w:val="0"/>
          <w:sz w:val="24"/>
        </w:rPr>
        <w:t>人</w:t>
      </w:r>
      <w:r>
        <w:rPr>
          <w:rFonts w:ascii="宋体" w:hAnsi="宋体"/>
          <w:color w:val="000000"/>
          <w:kern w:val="0"/>
          <w:sz w:val="24"/>
        </w:rPr>
        <w:t>开立的、</w:t>
      </w:r>
      <w:r>
        <w:rPr>
          <w:bCs/>
          <w:sz w:val="24"/>
        </w:rPr>
        <w:t>记录投资人通过该销售机构</w:t>
      </w:r>
      <w:r>
        <w:rPr>
          <w:rFonts w:hint="eastAsia"/>
          <w:bCs/>
          <w:sz w:val="24"/>
        </w:rPr>
        <w:t>办理认购、申购、赎回、转换、转托管及定期定额投资等业务而引起</w:t>
      </w:r>
      <w:r>
        <w:rPr>
          <w:bCs/>
          <w:sz w:val="24"/>
        </w:rPr>
        <w:t>的基金份额变动及结余情况的账户</w:t>
      </w:r>
    </w:p>
    <w:p w14:paraId="646CD6E5"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color w:val="000000"/>
          <w:kern w:val="0"/>
          <w:sz w:val="24"/>
        </w:rPr>
        <w:t>基金合同生效日</w:t>
      </w:r>
      <w:r>
        <w:rPr>
          <w:rFonts w:ascii="宋体" w:hAnsi="宋体" w:hint="eastAsia"/>
          <w:color w:val="000000"/>
          <w:kern w:val="0"/>
          <w:sz w:val="24"/>
        </w:rPr>
        <w:t>：</w:t>
      </w:r>
      <w:r>
        <w:rPr>
          <w:rFonts w:ascii="宋体" w:hAnsi="宋体"/>
          <w:color w:val="000000"/>
          <w:kern w:val="0"/>
          <w:sz w:val="24"/>
        </w:rPr>
        <w:t>指</w:t>
      </w:r>
      <w:r>
        <w:rPr>
          <w:rFonts w:ascii="宋体" w:hAnsi="宋体" w:hint="eastAsia"/>
          <w:color w:val="000000"/>
          <w:kern w:val="0"/>
          <w:sz w:val="24"/>
        </w:rPr>
        <w:t>基金募集达到法律法规规定及《基金合同》规定的条件，基金管理人向</w:t>
      </w:r>
      <w:r>
        <w:rPr>
          <w:rFonts w:ascii="宋体" w:hAnsi="宋体"/>
          <w:color w:val="000000"/>
          <w:kern w:val="0"/>
          <w:sz w:val="24"/>
        </w:rPr>
        <w:t>中国证监会</w:t>
      </w:r>
      <w:r>
        <w:rPr>
          <w:rFonts w:ascii="宋体" w:hAnsi="宋体" w:hint="eastAsia"/>
          <w:color w:val="000000"/>
          <w:kern w:val="0"/>
          <w:sz w:val="24"/>
        </w:rPr>
        <w:t>办理基金备案手续完毕，并获得中国证监会书面确认的日期</w:t>
      </w:r>
    </w:p>
    <w:p w14:paraId="3E7CEA01"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color w:val="000000"/>
          <w:kern w:val="0"/>
          <w:sz w:val="24"/>
        </w:rPr>
        <w:t>基金合同终止日：指</w:t>
      </w:r>
      <w:r>
        <w:rPr>
          <w:rFonts w:ascii="宋体" w:hAnsi="宋体" w:hint="eastAsia"/>
          <w:color w:val="000000"/>
          <w:kern w:val="0"/>
          <w:sz w:val="24"/>
        </w:rPr>
        <w:t>《</w:t>
      </w:r>
      <w:r>
        <w:rPr>
          <w:rFonts w:ascii="宋体" w:hAnsi="宋体"/>
          <w:color w:val="000000"/>
          <w:kern w:val="0"/>
          <w:sz w:val="24"/>
        </w:rPr>
        <w:t>基金合同</w:t>
      </w:r>
      <w:r>
        <w:rPr>
          <w:rFonts w:ascii="宋体" w:hAnsi="宋体" w:hint="eastAsia"/>
          <w:color w:val="000000"/>
          <w:kern w:val="0"/>
          <w:sz w:val="24"/>
        </w:rPr>
        <w:t>》</w:t>
      </w:r>
      <w:r>
        <w:rPr>
          <w:rFonts w:ascii="宋体" w:hAnsi="宋体"/>
          <w:color w:val="000000"/>
          <w:kern w:val="0"/>
          <w:sz w:val="24"/>
        </w:rPr>
        <w:t>规定的</w:t>
      </w:r>
      <w:r>
        <w:rPr>
          <w:rFonts w:ascii="宋体" w:hAnsi="宋体" w:hint="eastAsia"/>
          <w:color w:val="000000"/>
          <w:kern w:val="0"/>
          <w:sz w:val="24"/>
        </w:rPr>
        <w:t>《</w:t>
      </w:r>
      <w:r>
        <w:rPr>
          <w:rFonts w:ascii="宋体" w:hAnsi="宋体"/>
          <w:color w:val="000000"/>
          <w:kern w:val="0"/>
          <w:sz w:val="24"/>
        </w:rPr>
        <w:t>基金合同</w:t>
      </w:r>
      <w:r>
        <w:rPr>
          <w:rFonts w:ascii="宋体" w:hAnsi="宋体" w:hint="eastAsia"/>
          <w:color w:val="000000"/>
          <w:kern w:val="0"/>
          <w:sz w:val="24"/>
        </w:rPr>
        <w:t>》</w:t>
      </w:r>
      <w:r>
        <w:rPr>
          <w:rFonts w:ascii="宋体" w:hAnsi="宋体"/>
          <w:color w:val="000000"/>
          <w:kern w:val="0"/>
          <w:sz w:val="24"/>
        </w:rPr>
        <w:t>终止事由出现后</w:t>
      </w:r>
      <w:r>
        <w:rPr>
          <w:rFonts w:ascii="宋体" w:hAnsi="宋体" w:hint="eastAsia"/>
          <w:color w:val="000000"/>
          <w:kern w:val="0"/>
          <w:sz w:val="24"/>
        </w:rPr>
        <w:t>，基金财产清算完毕，清算结果报中国证监会备案并予以公告</w:t>
      </w:r>
      <w:r>
        <w:rPr>
          <w:rFonts w:ascii="宋体" w:hAnsi="宋体"/>
          <w:color w:val="000000"/>
          <w:kern w:val="0"/>
          <w:sz w:val="24"/>
        </w:rPr>
        <w:t>的日期</w:t>
      </w:r>
    </w:p>
    <w:p w14:paraId="592A07E5"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color w:val="000000"/>
          <w:kern w:val="0"/>
          <w:sz w:val="24"/>
        </w:rPr>
        <w:t>基金募集期</w:t>
      </w:r>
      <w:r>
        <w:rPr>
          <w:rFonts w:ascii="宋体" w:hAnsi="宋体" w:hint="eastAsia"/>
          <w:color w:val="000000"/>
          <w:kern w:val="0"/>
          <w:sz w:val="24"/>
        </w:rPr>
        <w:t>：</w:t>
      </w:r>
      <w:r>
        <w:rPr>
          <w:rFonts w:ascii="宋体" w:hAnsi="宋体"/>
          <w:color w:val="000000"/>
          <w:kern w:val="0"/>
          <w:sz w:val="24"/>
        </w:rPr>
        <w:t>指</w:t>
      </w:r>
      <w:r>
        <w:rPr>
          <w:rFonts w:ascii="宋体" w:hAnsi="宋体" w:hint="eastAsia"/>
          <w:color w:val="000000"/>
          <w:kern w:val="0"/>
          <w:sz w:val="24"/>
        </w:rPr>
        <w:t>自</w:t>
      </w:r>
      <w:r>
        <w:rPr>
          <w:rFonts w:ascii="宋体" w:hAnsi="宋体"/>
          <w:color w:val="000000"/>
          <w:kern w:val="0"/>
          <w:sz w:val="24"/>
        </w:rPr>
        <w:t>基金份额发售之日起至发售结束之日止的期间，最长不得超过</w:t>
      </w:r>
      <w:r>
        <w:rPr>
          <w:rFonts w:ascii="宋体" w:hAnsi="宋体" w:hint="eastAsia"/>
          <w:color w:val="000000"/>
          <w:kern w:val="0"/>
          <w:sz w:val="24"/>
        </w:rPr>
        <w:t>3</w:t>
      </w:r>
      <w:r>
        <w:rPr>
          <w:rFonts w:ascii="宋体" w:hAnsi="宋体"/>
          <w:color w:val="000000"/>
          <w:kern w:val="0"/>
          <w:sz w:val="24"/>
        </w:rPr>
        <w:t>个月</w:t>
      </w:r>
    </w:p>
    <w:p w14:paraId="3C7DCCBC"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color w:val="000000"/>
          <w:kern w:val="0"/>
          <w:sz w:val="24"/>
        </w:rPr>
        <w:t>存续期</w:t>
      </w:r>
      <w:r>
        <w:rPr>
          <w:rFonts w:ascii="宋体" w:hAnsi="宋体" w:hint="eastAsia"/>
          <w:color w:val="000000"/>
          <w:kern w:val="0"/>
          <w:sz w:val="24"/>
        </w:rPr>
        <w:t>：</w:t>
      </w:r>
      <w:r>
        <w:rPr>
          <w:rFonts w:ascii="宋体" w:hAnsi="宋体"/>
          <w:color w:val="000000"/>
          <w:kern w:val="0"/>
          <w:sz w:val="24"/>
        </w:rPr>
        <w:t>指</w:t>
      </w:r>
      <w:r>
        <w:rPr>
          <w:rFonts w:ascii="宋体" w:hAnsi="宋体" w:hint="eastAsia"/>
          <w:color w:val="000000"/>
          <w:kern w:val="0"/>
          <w:sz w:val="24"/>
        </w:rPr>
        <w:t>《</w:t>
      </w:r>
      <w:r>
        <w:rPr>
          <w:rFonts w:ascii="宋体" w:hAnsi="宋体"/>
          <w:color w:val="000000"/>
          <w:kern w:val="0"/>
          <w:sz w:val="24"/>
        </w:rPr>
        <w:t>基金合同</w:t>
      </w:r>
      <w:r>
        <w:rPr>
          <w:rFonts w:ascii="宋体" w:hAnsi="宋体" w:hint="eastAsia"/>
          <w:color w:val="000000"/>
          <w:kern w:val="0"/>
          <w:sz w:val="24"/>
        </w:rPr>
        <w:t>》</w:t>
      </w:r>
      <w:r>
        <w:rPr>
          <w:rFonts w:ascii="宋体" w:hAnsi="宋体"/>
          <w:color w:val="000000"/>
          <w:kern w:val="0"/>
          <w:sz w:val="24"/>
        </w:rPr>
        <w:t>生效至终止之间的不定期期限</w:t>
      </w:r>
    </w:p>
    <w:p w14:paraId="41241B65"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color w:val="000000"/>
          <w:kern w:val="0"/>
          <w:sz w:val="24"/>
        </w:rPr>
        <w:t>工作日</w:t>
      </w:r>
      <w:r>
        <w:rPr>
          <w:rFonts w:ascii="宋体" w:hAnsi="宋体" w:hint="eastAsia"/>
          <w:color w:val="000000"/>
          <w:kern w:val="0"/>
          <w:sz w:val="24"/>
        </w:rPr>
        <w:t>：</w:t>
      </w:r>
      <w:r>
        <w:rPr>
          <w:rFonts w:ascii="宋体" w:hAnsi="宋体"/>
          <w:color w:val="000000"/>
          <w:kern w:val="0"/>
          <w:sz w:val="24"/>
        </w:rPr>
        <w:t>指上海证券交易所、深圳证券交易所的正常交易日</w:t>
      </w:r>
    </w:p>
    <w:p w14:paraId="213BB607"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color w:val="000000"/>
          <w:kern w:val="0"/>
          <w:sz w:val="24"/>
        </w:rPr>
        <w:t>T日</w:t>
      </w:r>
      <w:r>
        <w:rPr>
          <w:rFonts w:ascii="宋体" w:hAnsi="宋体" w:hint="eastAsia"/>
          <w:color w:val="000000"/>
          <w:kern w:val="0"/>
          <w:sz w:val="24"/>
        </w:rPr>
        <w:t>：指</w:t>
      </w:r>
      <w:r>
        <w:rPr>
          <w:rFonts w:ascii="宋体" w:hAnsi="宋体"/>
          <w:bCs/>
          <w:sz w:val="24"/>
        </w:rPr>
        <w:t>销售机构在规定时间受理投资人</w:t>
      </w:r>
      <w:r>
        <w:rPr>
          <w:rFonts w:ascii="宋体" w:hAnsi="宋体" w:hint="eastAsia"/>
          <w:color w:val="000000"/>
          <w:kern w:val="0"/>
          <w:sz w:val="24"/>
        </w:rPr>
        <w:t>申购、赎回或其他业务申请的开放日</w:t>
      </w:r>
    </w:p>
    <w:p w14:paraId="0AC2F733" w14:textId="77777777" w:rsidR="00566744" w:rsidRDefault="00000000">
      <w:pPr>
        <w:numPr>
          <w:ilvl w:val="0"/>
          <w:numId w:val="3"/>
        </w:numPr>
        <w:spacing w:line="360" w:lineRule="auto"/>
        <w:ind w:left="0" w:firstLine="426"/>
        <w:rPr>
          <w:rFonts w:ascii="宋体" w:hAnsi="宋体" w:hint="eastAsia"/>
          <w:color w:val="000000"/>
          <w:kern w:val="0"/>
          <w:sz w:val="24"/>
        </w:rPr>
      </w:pPr>
      <w:proofErr w:type="spellStart"/>
      <w:r>
        <w:rPr>
          <w:rFonts w:ascii="宋体" w:hAnsi="宋体"/>
          <w:color w:val="000000"/>
          <w:kern w:val="0"/>
          <w:sz w:val="24"/>
        </w:rPr>
        <w:t>T+n</w:t>
      </w:r>
      <w:proofErr w:type="spellEnd"/>
      <w:r>
        <w:rPr>
          <w:rFonts w:ascii="宋体" w:hAnsi="宋体"/>
          <w:color w:val="000000"/>
          <w:kern w:val="0"/>
          <w:sz w:val="24"/>
        </w:rPr>
        <w:t>日</w:t>
      </w:r>
      <w:r>
        <w:rPr>
          <w:rFonts w:ascii="宋体" w:hAnsi="宋体" w:hint="eastAsia"/>
          <w:color w:val="000000"/>
          <w:kern w:val="0"/>
          <w:sz w:val="24"/>
        </w:rPr>
        <w:t>：</w:t>
      </w:r>
      <w:r>
        <w:rPr>
          <w:rFonts w:ascii="宋体" w:hAnsi="宋体"/>
          <w:color w:val="000000"/>
          <w:kern w:val="0"/>
          <w:sz w:val="24"/>
        </w:rPr>
        <w:t>指自T日起第n个工作日</w:t>
      </w:r>
      <w:r>
        <w:rPr>
          <w:rFonts w:ascii="宋体" w:hAnsi="宋体" w:hint="eastAsia"/>
          <w:color w:val="000000"/>
          <w:kern w:val="0"/>
          <w:sz w:val="24"/>
        </w:rPr>
        <w:t>（</w:t>
      </w:r>
      <w:r>
        <w:rPr>
          <w:rFonts w:ascii="宋体" w:hAnsi="宋体"/>
          <w:color w:val="000000"/>
          <w:kern w:val="0"/>
          <w:sz w:val="24"/>
        </w:rPr>
        <w:t>不包含T日</w:t>
      </w:r>
      <w:r>
        <w:rPr>
          <w:rFonts w:ascii="宋体" w:hAnsi="宋体" w:hint="eastAsia"/>
          <w:color w:val="000000"/>
          <w:kern w:val="0"/>
          <w:sz w:val="24"/>
        </w:rPr>
        <w:t>）</w:t>
      </w:r>
    </w:p>
    <w:p w14:paraId="74920C08"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color w:val="000000"/>
          <w:kern w:val="0"/>
          <w:sz w:val="24"/>
        </w:rPr>
        <w:t>开放日</w:t>
      </w:r>
      <w:r>
        <w:rPr>
          <w:rFonts w:ascii="宋体" w:hAnsi="宋体" w:hint="eastAsia"/>
          <w:color w:val="000000"/>
          <w:kern w:val="0"/>
          <w:sz w:val="24"/>
        </w:rPr>
        <w:t>：</w:t>
      </w:r>
      <w:r>
        <w:rPr>
          <w:rFonts w:ascii="宋体" w:hAnsi="宋体"/>
          <w:color w:val="000000"/>
          <w:kern w:val="0"/>
          <w:sz w:val="24"/>
        </w:rPr>
        <w:t>指</w:t>
      </w:r>
      <w:r>
        <w:rPr>
          <w:rFonts w:ascii="宋体" w:hAnsi="宋体" w:hint="eastAsia"/>
          <w:color w:val="000000"/>
          <w:kern w:val="0"/>
          <w:sz w:val="24"/>
        </w:rPr>
        <w:t>为投资人</w:t>
      </w:r>
      <w:r>
        <w:rPr>
          <w:rFonts w:ascii="宋体" w:hAnsi="宋体"/>
          <w:color w:val="000000"/>
          <w:kern w:val="0"/>
          <w:sz w:val="24"/>
        </w:rPr>
        <w:t>办理基金份额申购、赎回</w:t>
      </w:r>
      <w:r>
        <w:rPr>
          <w:rFonts w:ascii="宋体" w:hAnsi="宋体" w:hint="eastAsia"/>
          <w:color w:val="000000"/>
          <w:kern w:val="0"/>
          <w:sz w:val="24"/>
        </w:rPr>
        <w:t>或其他</w:t>
      </w:r>
      <w:r>
        <w:rPr>
          <w:rFonts w:ascii="宋体" w:hAnsi="宋体"/>
          <w:color w:val="000000"/>
          <w:kern w:val="0"/>
          <w:sz w:val="24"/>
        </w:rPr>
        <w:t>业务的</w:t>
      </w:r>
      <w:r>
        <w:rPr>
          <w:rFonts w:ascii="宋体" w:hAnsi="宋体" w:hint="eastAsia"/>
          <w:color w:val="000000"/>
          <w:kern w:val="0"/>
          <w:sz w:val="24"/>
        </w:rPr>
        <w:t>工作日</w:t>
      </w:r>
    </w:p>
    <w:p w14:paraId="21E48B11"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hint="eastAsia"/>
          <w:color w:val="000000"/>
          <w:kern w:val="0"/>
          <w:sz w:val="24"/>
        </w:rPr>
        <w:t>开放时间：指开放日基金接受申购、赎回或其他交易的时间段</w:t>
      </w:r>
    </w:p>
    <w:p w14:paraId="57B7BDE7"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bCs/>
          <w:sz w:val="24"/>
        </w:rPr>
        <w:t>《业务规则》：指《</w:t>
      </w:r>
      <w:r>
        <w:rPr>
          <w:rFonts w:ascii="宋体" w:hAnsi="宋体" w:hint="eastAsia"/>
          <w:bCs/>
          <w:sz w:val="24"/>
        </w:rPr>
        <w:t>富荣基金管理有限公司</w:t>
      </w:r>
      <w:r>
        <w:rPr>
          <w:rFonts w:ascii="宋体" w:hAnsi="宋体"/>
          <w:bCs/>
          <w:sz w:val="24"/>
        </w:rPr>
        <w:t>开放式基金业务规则》，是规范基金管理人所管理的开放式证券投资基金登记方面的业务规则，由基金管理人和投资人共同遵守</w:t>
      </w:r>
    </w:p>
    <w:p w14:paraId="3EFD1FA2"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color w:val="000000"/>
          <w:kern w:val="0"/>
          <w:sz w:val="24"/>
        </w:rPr>
        <w:t>认购</w:t>
      </w:r>
      <w:r>
        <w:rPr>
          <w:rFonts w:ascii="宋体" w:hAnsi="宋体" w:hint="eastAsia"/>
          <w:color w:val="000000"/>
          <w:kern w:val="0"/>
          <w:sz w:val="24"/>
        </w:rPr>
        <w:t>：</w:t>
      </w:r>
      <w:r>
        <w:rPr>
          <w:rFonts w:ascii="宋体" w:hAnsi="宋体"/>
          <w:color w:val="000000"/>
          <w:kern w:val="0"/>
          <w:sz w:val="24"/>
        </w:rPr>
        <w:t>指在基金募集期</w:t>
      </w:r>
      <w:r>
        <w:rPr>
          <w:rFonts w:ascii="宋体" w:hAnsi="宋体" w:hint="eastAsia"/>
          <w:color w:val="000000"/>
          <w:kern w:val="0"/>
          <w:sz w:val="24"/>
        </w:rPr>
        <w:t>内</w:t>
      </w:r>
      <w:r>
        <w:rPr>
          <w:rFonts w:ascii="宋体" w:hAnsi="宋体"/>
          <w:color w:val="000000"/>
          <w:kern w:val="0"/>
          <w:sz w:val="24"/>
        </w:rPr>
        <w:t>，</w:t>
      </w:r>
      <w:r>
        <w:rPr>
          <w:bCs/>
          <w:sz w:val="24"/>
        </w:rPr>
        <w:t>投资人</w:t>
      </w:r>
      <w:r>
        <w:rPr>
          <w:rFonts w:hint="eastAsia"/>
          <w:bCs/>
          <w:sz w:val="24"/>
        </w:rPr>
        <w:t>根据基金合同和招募说明书的规定</w:t>
      </w:r>
      <w:r>
        <w:rPr>
          <w:bCs/>
          <w:sz w:val="24"/>
        </w:rPr>
        <w:t>申请购买基金份额的行为</w:t>
      </w:r>
    </w:p>
    <w:p w14:paraId="0FB36617"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color w:val="000000"/>
          <w:kern w:val="0"/>
          <w:sz w:val="24"/>
        </w:rPr>
        <w:t>申购</w:t>
      </w:r>
      <w:r>
        <w:rPr>
          <w:rFonts w:ascii="宋体" w:hAnsi="宋体" w:hint="eastAsia"/>
          <w:color w:val="000000"/>
          <w:kern w:val="0"/>
          <w:sz w:val="24"/>
        </w:rPr>
        <w:t>：</w:t>
      </w:r>
      <w:r>
        <w:rPr>
          <w:rFonts w:ascii="宋体" w:hAnsi="宋体"/>
          <w:color w:val="000000"/>
          <w:kern w:val="0"/>
          <w:sz w:val="24"/>
        </w:rPr>
        <w:t>指</w:t>
      </w:r>
      <w:r>
        <w:rPr>
          <w:rFonts w:ascii="宋体" w:hAnsi="宋体" w:hint="eastAsia"/>
          <w:color w:val="000000"/>
          <w:kern w:val="0"/>
          <w:sz w:val="24"/>
        </w:rPr>
        <w:t>基金合同生效后</w:t>
      </w:r>
      <w:r>
        <w:rPr>
          <w:rFonts w:ascii="宋体" w:hAnsi="宋体"/>
          <w:color w:val="000000"/>
          <w:kern w:val="0"/>
          <w:sz w:val="24"/>
        </w:rPr>
        <w:t>，投资</w:t>
      </w:r>
      <w:r>
        <w:rPr>
          <w:rFonts w:ascii="宋体" w:hAnsi="宋体" w:hint="eastAsia"/>
          <w:color w:val="000000"/>
          <w:kern w:val="0"/>
          <w:sz w:val="24"/>
        </w:rPr>
        <w:t>人根据基金合同和招募说明书的规定</w:t>
      </w:r>
      <w:r>
        <w:rPr>
          <w:rFonts w:ascii="宋体" w:hAnsi="宋体"/>
          <w:color w:val="000000"/>
          <w:kern w:val="0"/>
          <w:sz w:val="24"/>
        </w:rPr>
        <w:t>申请</w:t>
      </w:r>
      <w:r>
        <w:rPr>
          <w:rFonts w:ascii="宋体" w:hAnsi="宋体"/>
          <w:color w:val="000000"/>
          <w:kern w:val="0"/>
          <w:sz w:val="24"/>
        </w:rPr>
        <w:lastRenderedPageBreak/>
        <w:t>购买基金份额的行为</w:t>
      </w:r>
    </w:p>
    <w:p w14:paraId="70604AD5"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color w:val="000000"/>
          <w:kern w:val="0"/>
          <w:sz w:val="24"/>
        </w:rPr>
        <w:t>赎回</w:t>
      </w:r>
      <w:r>
        <w:rPr>
          <w:rFonts w:ascii="宋体" w:hAnsi="宋体" w:hint="eastAsia"/>
          <w:color w:val="000000"/>
          <w:kern w:val="0"/>
          <w:sz w:val="24"/>
        </w:rPr>
        <w:t>：</w:t>
      </w:r>
      <w:r>
        <w:rPr>
          <w:rFonts w:ascii="宋体" w:hAnsi="宋体"/>
          <w:color w:val="000000"/>
          <w:kern w:val="0"/>
          <w:sz w:val="24"/>
        </w:rPr>
        <w:t>指</w:t>
      </w:r>
      <w:r>
        <w:rPr>
          <w:rFonts w:ascii="宋体" w:hAnsi="宋体" w:hint="eastAsia"/>
          <w:color w:val="000000"/>
          <w:kern w:val="0"/>
          <w:sz w:val="24"/>
        </w:rPr>
        <w:t>基金合同生效后，</w:t>
      </w:r>
      <w:r>
        <w:rPr>
          <w:rFonts w:ascii="宋体" w:hAnsi="宋体"/>
          <w:color w:val="000000"/>
          <w:kern w:val="0"/>
          <w:sz w:val="24"/>
        </w:rPr>
        <w:t>基金份额持有人按基金合同</w:t>
      </w:r>
      <w:r>
        <w:rPr>
          <w:rFonts w:ascii="宋体" w:hAnsi="宋体" w:hint="eastAsia"/>
          <w:color w:val="000000"/>
          <w:kern w:val="0"/>
          <w:sz w:val="24"/>
        </w:rPr>
        <w:t>和招募说明书</w:t>
      </w:r>
      <w:r>
        <w:rPr>
          <w:rFonts w:ascii="宋体" w:hAnsi="宋体"/>
          <w:color w:val="000000"/>
          <w:kern w:val="0"/>
          <w:sz w:val="24"/>
        </w:rPr>
        <w:t>规定的条件要求</w:t>
      </w:r>
      <w:r>
        <w:rPr>
          <w:rFonts w:ascii="宋体" w:hAnsi="宋体" w:hint="eastAsia"/>
          <w:color w:val="000000"/>
          <w:kern w:val="0"/>
          <w:sz w:val="24"/>
        </w:rPr>
        <w:t>将</w:t>
      </w:r>
      <w:r>
        <w:rPr>
          <w:rFonts w:ascii="宋体" w:hAnsi="宋体"/>
          <w:color w:val="000000"/>
          <w:kern w:val="0"/>
          <w:sz w:val="24"/>
        </w:rPr>
        <w:t>基金份额</w:t>
      </w:r>
      <w:r>
        <w:rPr>
          <w:rFonts w:ascii="宋体" w:hAnsi="宋体" w:hint="eastAsia"/>
          <w:color w:val="000000"/>
          <w:kern w:val="0"/>
          <w:sz w:val="24"/>
        </w:rPr>
        <w:t>兑换为现金</w:t>
      </w:r>
      <w:r>
        <w:rPr>
          <w:rFonts w:ascii="宋体" w:hAnsi="宋体"/>
          <w:color w:val="000000"/>
          <w:kern w:val="0"/>
          <w:sz w:val="24"/>
        </w:rPr>
        <w:t>的行为</w:t>
      </w:r>
    </w:p>
    <w:p w14:paraId="3923BC59" w14:textId="77777777" w:rsidR="00566744" w:rsidRDefault="00000000">
      <w:pPr>
        <w:numPr>
          <w:ilvl w:val="0"/>
          <w:numId w:val="3"/>
        </w:numPr>
        <w:spacing w:line="360" w:lineRule="auto"/>
        <w:ind w:left="0" w:firstLine="426"/>
        <w:rPr>
          <w:rFonts w:ascii="宋体" w:hAnsi="宋体" w:hint="eastAsia"/>
          <w:bCs/>
          <w:sz w:val="24"/>
        </w:rPr>
      </w:pPr>
      <w:r>
        <w:rPr>
          <w:rFonts w:ascii="宋体" w:hAnsi="宋体" w:hint="eastAsia"/>
          <w:color w:val="000000"/>
          <w:kern w:val="0"/>
          <w:sz w:val="24"/>
        </w:rPr>
        <w:t>基金转换：指基金份额持有人按照基金合同和基金管理人届时有效公告规定的条件，申请将其持有基金管理人管理的、某一基金的基金份额转换为基金管理人管理的其他基金基金份额的行为</w:t>
      </w:r>
    </w:p>
    <w:p w14:paraId="2AFD7C9F"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bCs/>
          <w:sz w:val="24"/>
        </w:rPr>
        <w:t>转托管：指基金份额持有人在本基金的不同销售机构之间实施的变更所持基金份额销售机构的操作</w:t>
      </w:r>
    </w:p>
    <w:p w14:paraId="59A2B4E1"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hint="eastAsia"/>
          <w:color w:val="000000"/>
          <w:kern w:val="0"/>
          <w:sz w:val="24"/>
        </w:rPr>
        <w:t>定期定额投资计划：指投资人通过有关销售机构提出申请，约定每期申购日、扣款金额及扣款方式，由销售机构于每期约定扣款日在投资人指定银行账户内自动完成扣款及基金申购申请的一种投资方式</w:t>
      </w:r>
    </w:p>
    <w:p w14:paraId="520202C4"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color w:val="000000"/>
          <w:kern w:val="0"/>
          <w:sz w:val="24"/>
        </w:rPr>
        <w:t>巨额赎回</w:t>
      </w:r>
      <w:r>
        <w:rPr>
          <w:rFonts w:ascii="宋体" w:hAnsi="宋体" w:hint="eastAsia"/>
          <w:color w:val="000000"/>
          <w:kern w:val="0"/>
          <w:sz w:val="24"/>
        </w:rPr>
        <w:t>：指</w:t>
      </w:r>
      <w:r>
        <w:rPr>
          <w:rFonts w:ascii="宋体" w:hAnsi="宋体"/>
          <w:color w:val="000000"/>
          <w:kern w:val="0"/>
          <w:sz w:val="24"/>
        </w:rPr>
        <w:t>本基金单个开放日</w:t>
      </w:r>
      <w:r>
        <w:rPr>
          <w:rFonts w:ascii="宋体" w:hAnsi="宋体" w:hint="eastAsia"/>
          <w:color w:val="000000"/>
          <w:kern w:val="0"/>
          <w:sz w:val="24"/>
        </w:rPr>
        <w:t>，</w:t>
      </w:r>
      <w:r>
        <w:rPr>
          <w:rFonts w:ascii="宋体" w:hAnsi="宋体"/>
          <w:color w:val="000000"/>
          <w:kern w:val="0"/>
          <w:sz w:val="24"/>
        </w:rPr>
        <w:t>基金净赎回申请</w:t>
      </w:r>
      <w:r>
        <w:rPr>
          <w:rFonts w:ascii="宋体" w:hAnsi="宋体" w:hint="eastAsia"/>
          <w:color w:val="000000"/>
          <w:kern w:val="0"/>
          <w:sz w:val="24"/>
        </w:rPr>
        <w:t>（</w:t>
      </w:r>
      <w:r>
        <w:rPr>
          <w:rFonts w:ascii="宋体" w:hAnsi="宋体"/>
          <w:color w:val="000000"/>
          <w:kern w:val="0"/>
          <w:sz w:val="24"/>
        </w:rPr>
        <w:t>赎回申请份额总数加上基金转换中转出申请份额总数后扣除申购申请份额总数及基金转换中转入申请份额总数后的余额</w:t>
      </w:r>
      <w:r>
        <w:rPr>
          <w:rFonts w:ascii="宋体" w:hAnsi="宋体" w:hint="eastAsia"/>
          <w:color w:val="000000"/>
          <w:kern w:val="0"/>
          <w:sz w:val="24"/>
        </w:rPr>
        <w:t>）</w:t>
      </w:r>
      <w:r>
        <w:rPr>
          <w:rFonts w:ascii="宋体" w:hAnsi="宋体"/>
          <w:color w:val="000000"/>
          <w:kern w:val="0"/>
          <w:sz w:val="24"/>
        </w:rPr>
        <w:t>超过上一</w:t>
      </w:r>
      <w:r>
        <w:rPr>
          <w:rFonts w:ascii="宋体" w:hAnsi="宋体" w:hint="eastAsia"/>
          <w:color w:val="000000"/>
          <w:kern w:val="0"/>
          <w:sz w:val="24"/>
        </w:rPr>
        <w:t>开放</w:t>
      </w:r>
      <w:r>
        <w:rPr>
          <w:rFonts w:ascii="宋体" w:hAnsi="宋体"/>
          <w:color w:val="000000"/>
          <w:kern w:val="0"/>
          <w:sz w:val="24"/>
        </w:rPr>
        <w:t>日基金总份额的10%</w:t>
      </w:r>
    </w:p>
    <w:p w14:paraId="3230E9AD"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color w:val="000000"/>
          <w:kern w:val="0"/>
          <w:sz w:val="24"/>
        </w:rPr>
        <w:t>元</w:t>
      </w:r>
      <w:r>
        <w:rPr>
          <w:rFonts w:ascii="宋体" w:hAnsi="宋体" w:hint="eastAsia"/>
          <w:color w:val="000000"/>
          <w:kern w:val="0"/>
          <w:sz w:val="24"/>
        </w:rPr>
        <w:t>：</w:t>
      </w:r>
      <w:r>
        <w:rPr>
          <w:rFonts w:ascii="宋体" w:hAnsi="宋体"/>
          <w:color w:val="000000"/>
          <w:kern w:val="0"/>
          <w:sz w:val="24"/>
        </w:rPr>
        <w:t>指人民币元</w:t>
      </w:r>
    </w:p>
    <w:p w14:paraId="19816ED6"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color w:val="000000"/>
          <w:kern w:val="0"/>
          <w:sz w:val="24"/>
        </w:rPr>
        <w:t>基金收益</w:t>
      </w:r>
      <w:r>
        <w:rPr>
          <w:rFonts w:ascii="宋体" w:hAnsi="宋体" w:hint="eastAsia"/>
          <w:color w:val="000000"/>
          <w:kern w:val="0"/>
          <w:sz w:val="24"/>
        </w:rPr>
        <w:t>：</w:t>
      </w:r>
      <w:r>
        <w:rPr>
          <w:rFonts w:hint="eastAsia"/>
          <w:bCs/>
          <w:sz w:val="24"/>
        </w:rPr>
        <w:t>指基金投资所得债券利息、买卖证券价差、银行存款利息、已实现的其他合法收入及因运用基金财产带来的成本和费用的节约</w:t>
      </w:r>
    </w:p>
    <w:p w14:paraId="1585CB2E"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hint="eastAsia"/>
          <w:color w:val="000000"/>
          <w:kern w:val="0"/>
          <w:sz w:val="24"/>
        </w:rPr>
        <w:t>摊余成本法</w:t>
      </w:r>
      <w:r>
        <w:rPr>
          <w:rFonts w:ascii="宋体" w:hAnsi="宋体"/>
          <w:color w:val="000000"/>
          <w:kern w:val="0"/>
          <w:sz w:val="24"/>
        </w:rPr>
        <w:t>：指计价对象以</w:t>
      </w:r>
      <w:r>
        <w:rPr>
          <w:rFonts w:ascii="宋体" w:hAnsi="宋体" w:hint="eastAsia"/>
          <w:color w:val="000000"/>
          <w:kern w:val="0"/>
          <w:sz w:val="24"/>
        </w:rPr>
        <w:t>买入</w:t>
      </w:r>
      <w:r>
        <w:rPr>
          <w:rFonts w:ascii="宋体" w:hAnsi="宋体"/>
          <w:color w:val="000000"/>
          <w:kern w:val="0"/>
          <w:sz w:val="24"/>
        </w:rPr>
        <w:t>成本列示，按照票面利率或协议利率并考虑其买入时的溢价与折价，在</w:t>
      </w:r>
      <w:r>
        <w:rPr>
          <w:rFonts w:ascii="宋体" w:hAnsi="宋体" w:hint="eastAsia"/>
          <w:color w:val="000000"/>
          <w:kern w:val="0"/>
          <w:sz w:val="24"/>
        </w:rPr>
        <w:t>剩余存续期内</w:t>
      </w:r>
      <w:r>
        <w:rPr>
          <w:rFonts w:ascii="宋体" w:hAnsi="宋体"/>
          <w:color w:val="000000"/>
          <w:kern w:val="0"/>
          <w:sz w:val="24"/>
        </w:rPr>
        <w:t>按实际利率法摊销，每日计提损益</w:t>
      </w:r>
    </w:p>
    <w:p w14:paraId="48D06978" w14:textId="77777777" w:rsidR="00566744" w:rsidRDefault="00000000">
      <w:pPr>
        <w:numPr>
          <w:ilvl w:val="0"/>
          <w:numId w:val="3"/>
        </w:numPr>
        <w:spacing w:line="360" w:lineRule="auto"/>
        <w:ind w:left="0" w:firstLine="426"/>
        <w:rPr>
          <w:rFonts w:ascii="宋体" w:hAnsi="宋体" w:hint="eastAsia"/>
          <w:color w:val="000000"/>
          <w:kern w:val="0"/>
          <w:sz w:val="24"/>
        </w:rPr>
      </w:pPr>
      <w:r>
        <w:rPr>
          <w:rFonts w:hint="eastAsia"/>
          <w:bCs/>
          <w:sz w:val="24"/>
        </w:rPr>
        <w:t>偏离度：指影子定价与摊余成本法确定的基金资产净值的偏离度，等于（</w:t>
      </w:r>
      <w:r>
        <w:rPr>
          <w:bCs/>
          <w:sz w:val="24"/>
        </w:rPr>
        <w:t>NAVs-</w:t>
      </w:r>
      <w:proofErr w:type="spellStart"/>
      <w:r>
        <w:rPr>
          <w:bCs/>
          <w:sz w:val="24"/>
        </w:rPr>
        <w:t>NAVa</w:t>
      </w:r>
      <w:proofErr w:type="spellEnd"/>
      <w:r>
        <w:rPr>
          <w:rFonts w:hint="eastAsia"/>
          <w:bCs/>
          <w:sz w:val="24"/>
        </w:rPr>
        <w:t>）</w:t>
      </w:r>
      <w:r>
        <w:rPr>
          <w:bCs/>
          <w:sz w:val="24"/>
        </w:rPr>
        <w:t>/</w:t>
      </w:r>
      <w:proofErr w:type="spellStart"/>
      <w:r>
        <w:rPr>
          <w:bCs/>
          <w:sz w:val="24"/>
        </w:rPr>
        <w:t>NAVa</w:t>
      </w:r>
      <w:proofErr w:type="spellEnd"/>
      <w:r>
        <w:rPr>
          <w:rFonts w:hint="eastAsia"/>
          <w:bCs/>
          <w:sz w:val="24"/>
        </w:rPr>
        <w:t>。其中，</w:t>
      </w:r>
      <w:r>
        <w:rPr>
          <w:bCs/>
          <w:sz w:val="24"/>
        </w:rPr>
        <w:t>NAVs</w:t>
      </w:r>
      <w:r>
        <w:rPr>
          <w:rFonts w:hint="eastAsia"/>
          <w:bCs/>
          <w:sz w:val="24"/>
        </w:rPr>
        <w:t>为影子定价确定的基金资产净值，</w:t>
      </w:r>
      <w:proofErr w:type="spellStart"/>
      <w:r>
        <w:rPr>
          <w:bCs/>
          <w:sz w:val="24"/>
        </w:rPr>
        <w:t>NAVa</w:t>
      </w:r>
      <w:proofErr w:type="spellEnd"/>
      <w:r>
        <w:rPr>
          <w:rFonts w:hint="eastAsia"/>
          <w:bCs/>
          <w:sz w:val="24"/>
        </w:rPr>
        <w:t>为摊余成本法确定的基金资产净值</w:t>
      </w:r>
    </w:p>
    <w:p w14:paraId="7E6AFE8D"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hint="eastAsia"/>
          <w:color w:val="000000"/>
          <w:kern w:val="0"/>
          <w:sz w:val="24"/>
        </w:rPr>
        <w:t>每万份</w:t>
      </w:r>
      <w:r>
        <w:rPr>
          <w:rFonts w:ascii="宋体" w:hAnsi="宋体"/>
          <w:color w:val="000000"/>
          <w:kern w:val="0"/>
          <w:sz w:val="24"/>
        </w:rPr>
        <w:t>基金已实现收益：指按照相关法规计算的每万份基金份额的日已实现收益</w:t>
      </w:r>
    </w:p>
    <w:p w14:paraId="69B45EE2"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color w:val="000000"/>
          <w:kern w:val="0"/>
          <w:sz w:val="24"/>
        </w:rPr>
        <w:t>7</w:t>
      </w:r>
      <w:r>
        <w:rPr>
          <w:rFonts w:ascii="宋体" w:hAnsi="宋体" w:hint="eastAsia"/>
          <w:color w:val="000000"/>
          <w:kern w:val="0"/>
          <w:sz w:val="24"/>
        </w:rPr>
        <w:t>日</w:t>
      </w:r>
      <w:r>
        <w:rPr>
          <w:rFonts w:ascii="宋体" w:hAnsi="宋体"/>
          <w:color w:val="000000"/>
          <w:kern w:val="0"/>
          <w:sz w:val="24"/>
        </w:rPr>
        <w:t>年化收益率：指以最近</w:t>
      </w:r>
      <w:r>
        <w:rPr>
          <w:rFonts w:ascii="宋体" w:hAnsi="宋体" w:hint="eastAsia"/>
          <w:color w:val="000000"/>
          <w:kern w:val="0"/>
          <w:sz w:val="24"/>
        </w:rPr>
        <w:t>7日</w:t>
      </w:r>
      <w:r>
        <w:rPr>
          <w:rFonts w:ascii="宋体" w:hAnsi="宋体"/>
          <w:color w:val="000000"/>
          <w:kern w:val="0"/>
          <w:sz w:val="24"/>
        </w:rPr>
        <w:t>（</w:t>
      </w:r>
      <w:r>
        <w:rPr>
          <w:rFonts w:ascii="宋体" w:hAnsi="宋体" w:hint="eastAsia"/>
          <w:color w:val="000000"/>
          <w:kern w:val="0"/>
          <w:sz w:val="24"/>
        </w:rPr>
        <w:t>含</w:t>
      </w:r>
      <w:r>
        <w:rPr>
          <w:rFonts w:ascii="宋体" w:hAnsi="宋体"/>
          <w:color w:val="000000"/>
          <w:kern w:val="0"/>
          <w:sz w:val="24"/>
        </w:rPr>
        <w:t>节假日）</w:t>
      </w:r>
      <w:r>
        <w:rPr>
          <w:rFonts w:ascii="宋体" w:hAnsi="宋体" w:hint="eastAsia"/>
          <w:color w:val="000000"/>
          <w:kern w:val="0"/>
          <w:sz w:val="24"/>
        </w:rPr>
        <w:t>收益</w:t>
      </w:r>
      <w:r>
        <w:rPr>
          <w:rFonts w:ascii="宋体" w:hAnsi="宋体"/>
          <w:color w:val="000000"/>
          <w:kern w:val="0"/>
          <w:sz w:val="24"/>
        </w:rPr>
        <w:t>所折算的年资产收益率</w:t>
      </w:r>
    </w:p>
    <w:p w14:paraId="47A8E116"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hint="eastAsia"/>
          <w:color w:val="000000"/>
          <w:kern w:val="0"/>
          <w:sz w:val="24"/>
        </w:rPr>
        <w:t>销售服务费：指本基金用于持续销售和服务基金份额持有人的费用，该笔费用从基金财产中扣除，属于基金的营运费用</w:t>
      </w:r>
    </w:p>
    <w:p w14:paraId="34CFF2CB"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hint="eastAsia"/>
          <w:color w:val="000000"/>
          <w:kern w:val="0"/>
          <w:sz w:val="24"/>
        </w:rPr>
        <w:t>基金份额分类：本基金分设两类基金份额：A 类基金份额和 B 类基金份</w:t>
      </w:r>
      <w:r>
        <w:rPr>
          <w:rFonts w:ascii="宋体" w:hAnsi="宋体" w:hint="eastAsia"/>
          <w:color w:val="000000"/>
          <w:kern w:val="0"/>
          <w:sz w:val="24"/>
        </w:rPr>
        <w:lastRenderedPageBreak/>
        <w:t>额。两类基金份额分设不同的基金代码，收取不同的销售服务费并分别公布每万份基金已实现收益和 7 日年化收益率</w:t>
      </w:r>
    </w:p>
    <w:p w14:paraId="28A21B82"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hint="eastAsia"/>
          <w:color w:val="000000"/>
          <w:kern w:val="0"/>
          <w:sz w:val="24"/>
        </w:rPr>
        <w:t>A 类基金份额：指按照 0.25%年费率计提销售服务费的基金份额类别</w:t>
      </w:r>
    </w:p>
    <w:p w14:paraId="6E0601D2"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hint="eastAsia"/>
          <w:color w:val="000000"/>
          <w:kern w:val="0"/>
          <w:sz w:val="24"/>
        </w:rPr>
        <w:t>B 类基金份额：指按照 0.01%年费率计提销售服务费的基金份额类别</w:t>
      </w:r>
    </w:p>
    <w:p w14:paraId="7780CCF2"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hint="eastAsia"/>
          <w:color w:val="000000"/>
          <w:kern w:val="0"/>
          <w:sz w:val="24"/>
        </w:rPr>
        <w:t>升级：指当投资人在单个基金账户保留的 A 类基金份额达到 B 类基金份额的最低份额要求时，基金的注册登记机构自动将投资人在该基金账户保留的 A 类基金份额全部升级为 B 类基金份额</w:t>
      </w:r>
    </w:p>
    <w:p w14:paraId="23436344"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hint="eastAsia"/>
          <w:color w:val="000000"/>
          <w:kern w:val="0"/>
          <w:sz w:val="24"/>
        </w:rPr>
        <w:t>降级：指当投资人在单个基金账户保留的 B 类基金份额不能满足该类基金份额的最低份额要求时，基金的注册登记机构自动将投资人在该基金账户保留的 B 类基金份额全部降级为 A 类基金份额</w:t>
      </w:r>
    </w:p>
    <w:p w14:paraId="6B43EB36"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color w:val="000000"/>
          <w:kern w:val="0"/>
          <w:sz w:val="24"/>
        </w:rPr>
        <w:t>基金资产总值：指基金拥有的各类有价证券、银行存款本息、基金应收</w:t>
      </w:r>
      <w:r>
        <w:rPr>
          <w:rFonts w:ascii="宋体" w:hAnsi="宋体" w:hint="eastAsia"/>
          <w:color w:val="000000"/>
          <w:kern w:val="0"/>
          <w:sz w:val="24"/>
        </w:rPr>
        <w:t>申购</w:t>
      </w:r>
      <w:r>
        <w:rPr>
          <w:rFonts w:ascii="宋体" w:hAnsi="宋体"/>
          <w:color w:val="000000"/>
          <w:kern w:val="0"/>
          <w:sz w:val="24"/>
        </w:rPr>
        <w:t>款及其他资产的价值总和</w:t>
      </w:r>
    </w:p>
    <w:p w14:paraId="27A369B5"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color w:val="000000"/>
          <w:kern w:val="0"/>
          <w:sz w:val="24"/>
        </w:rPr>
        <w:t>基金资产净值</w:t>
      </w:r>
      <w:r>
        <w:rPr>
          <w:rFonts w:ascii="宋体" w:hAnsi="宋体" w:hint="eastAsia"/>
          <w:color w:val="000000"/>
          <w:kern w:val="0"/>
          <w:sz w:val="24"/>
        </w:rPr>
        <w:t>：</w:t>
      </w:r>
      <w:r>
        <w:rPr>
          <w:rFonts w:ascii="宋体" w:hAnsi="宋体"/>
          <w:color w:val="000000"/>
          <w:kern w:val="0"/>
          <w:sz w:val="24"/>
        </w:rPr>
        <w:t>指基金资产总值减去基金负债后的价值</w:t>
      </w:r>
    </w:p>
    <w:p w14:paraId="431B1E98"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hint="eastAsia"/>
          <w:color w:val="000000"/>
          <w:kern w:val="0"/>
          <w:sz w:val="24"/>
        </w:rPr>
        <w:t>基金份额净值：指计算日某类基金份额基金资产净值除以计算日该类基金份额总数。本基金通过每日计算基金收益并分配的方式，使基金份额的基金份额净值保持在人民币1.00 元</w:t>
      </w:r>
    </w:p>
    <w:p w14:paraId="02717EE5"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color w:val="000000"/>
          <w:kern w:val="0"/>
          <w:sz w:val="24"/>
        </w:rPr>
        <w:t>基金资产估值：指计算评估基金</w:t>
      </w:r>
      <w:r>
        <w:rPr>
          <w:rFonts w:ascii="宋体" w:hAnsi="宋体" w:hint="eastAsia"/>
          <w:color w:val="000000"/>
          <w:kern w:val="0"/>
          <w:sz w:val="24"/>
        </w:rPr>
        <w:t>资产</w:t>
      </w:r>
      <w:r>
        <w:rPr>
          <w:rFonts w:ascii="宋体" w:hAnsi="宋体"/>
          <w:color w:val="000000"/>
          <w:kern w:val="0"/>
          <w:sz w:val="24"/>
        </w:rPr>
        <w:t>和负债的价值，以确定基金资产净值、各类基金份额的每万份基金已实现收益和7日年化收益率的过程</w:t>
      </w:r>
    </w:p>
    <w:p w14:paraId="571DCA37"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hint="eastAsia"/>
          <w:kern w:val="0"/>
          <w:sz w:val="24"/>
        </w:rPr>
        <w:t>流动性受限资产：指由于法律法规、监管、合同或操作障碍等原因无法以合理价格予以变现的资产，包括但不限于到期日在</w:t>
      </w:r>
      <w:r>
        <w:rPr>
          <w:rFonts w:ascii="宋体" w:hAnsi="宋体"/>
          <w:kern w:val="0"/>
          <w:sz w:val="24"/>
        </w:rPr>
        <w:t>10</w:t>
      </w:r>
      <w:r>
        <w:rPr>
          <w:rFonts w:ascii="宋体" w:hAnsi="宋体" w:hint="eastAsia"/>
          <w:kern w:val="0"/>
          <w:sz w:val="24"/>
        </w:rPr>
        <w:t>个交易日以上的逆回购与银行定期存款（含协议约定有条件提前支取的银行存款）、资产支持证券、因发行人债务违约无法进行转让或交易的债券等</w:t>
      </w:r>
    </w:p>
    <w:p w14:paraId="2CE39493" w14:textId="77777777" w:rsidR="00566744" w:rsidRDefault="00000000">
      <w:pPr>
        <w:numPr>
          <w:ilvl w:val="0"/>
          <w:numId w:val="3"/>
        </w:numPr>
        <w:spacing w:line="360" w:lineRule="auto"/>
        <w:ind w:left="0" w:firstLine="426"/>
        <w:rPr>
          <w:rFonts w:ascii="宋体" w:hAnsi="宋体" w:hint="eastAsia"/>
          <w:color w:val="000000"/>
          <w:kern w:val="0"/>
          <w:sz w:val="24"/>
        </w:rPr>
      </w:pPr>
      <w:r>
        <w:rPr>
          <w:rFonts w:ascii="宋体" w:hAnsi="宋体"/>
          <w:color w:val="000000"/>
          <w:kern w:val="0"/>
          <w:sz w:val="24"/>
        </w:rPr>
        <w:t>指定媒介</w:t>
      </w:r>
      <w:r>
        <w:rPr>
          <w:rFonts w:ascii="宋体" w:hAnsi="宋体" w:hint="eastAsia"/>
          <w:color w:val="000000"/>
          <w:kern w:val="0"/>
          <w:sz w:val="24"/>
        </w:rPr>
        <w:t>：</w:t>
      </w:r>
      <w:r>
        <w:rPr>
          <w:rFonts w:hint="eastAsia"/>
          <w:bCs/>
          <w:sz w:val="24"/>
        </w:rPr>
        <w:t>指中国证监会指定的用以进行信息披露的全国性报刊及指定互联网网站（包括基金管理人网站、基金托管人网站、中国证监会基金电子披露网站）等媒介</w:t>
      </w:r>
    </w:p>
    <w:p w14:paraId="31C787CC" w14:textId="77777777" w:rsidR="00566744" w:rsidRDefault="00000000">
      <w:pPr>
        <w:numPr>
          <w:ilvl w:val="0"/>
          <w:numId w:val="3"/>
        </w:numPr>
        <w:spacing w:line="360" w:lineRule="auto"/>
        <w:ind w:left="0" w:firstLine="426"/>
        <w:rPr>
          <w:bCs/>
          <w:sz w:val="24"/>
        </w:rPr>
        <w:sectPr w:rsidR="00566744">
          <w:footerReference w:type="default" r:id="rId12"/>
          <w:pgSz w:w="12240" w:h="15840"/>
          <w:pgMar w:top="1276" w:right="1800" w:bottom="1440" w:left="1800" w:header="720" w:footer="720" w:gutter="0"/>
          <w:pgNumType w:start="1"/>
          <w:cols w:space="720"/>
          <w:docGrid w:linePitch="286"/>
        </w:sectPr>
      </w:pPr>
      <w:r>
        <w:rPr>
          <w:rFonts w:ascii="宋体" w:hAnsi="宋体"/>
          <w:bCs/>
          <w:color w:val="000000"/>
          <w:kern w:val="0"/>
          <w:sz w:val="24"/>
        </w:rPr>
        <w:t>不可抗力</w:t>
      </w:r>
      <w:r>
        <w:rPr>
          <w:rFonts w:ascii="宋体" w:hAnsi="宋体" w:hint="eastAsia"/>
          <w:bCs/>
          <w:color w:val="000000"/>
          <w:kern w:val="0"/>
          <w:sz w:val="24"/>
        </w:rPr>
        <w:t>：</w:t>
      </w:r>
      <w:r>
        <w:rPr>
          <w:bCs/>
          <w:sz w:val="24"/>
        </w:rPr>
        <w:t>指</w:t>
      </w:r>
      <w:r>
        <w:rPr>
          <w:rFonts w:hint="eastAsia"/>
          <w:bCs/>
          <w:sz w:val="24"/>
        </w:rPr>
        <w:t>基金</w:t>
      </w:r>
      <w:r>
        <w:rPr>
          <w:bCs/>
          <w:sz w:val="24"/>
        </w:rPr>
        <w:t>合同当事人不能预见、不能避免且不能克服的客观事件</w:t>
      </w:r>
    </w:p>
    <w:p w14:paraId="4EB16005" w14:textId="77777777" w:rsidR="00566744" w:rsidRDefault="00566744">
      <w:pPr>
        <w:spacing w:line="360" w:lineRule="auto"/>
        <w:rPr>
          <w:rFonts w:ascii="宋体" w:hAnsi="宋体" w:hint="eastAsia"/>
          <w:color w:val="000000"/>
          <w:kern w:val="0"/>
          <w:sz w:val="24"/>
        </w:rPr>
      </w:pPr>
    </w:p>
    <w:p w14:paraId="05BD8187" w14:textId="77777777" w:rsidR="00566744" w:rsidRDefault="00000000">
      <w:pPr>
        <w:pStyle w:val="1"/>
        <w:keepNext w:val="0"/>
        <w:keepLines w:val="0"/>
        <w:spacing w:line="360" w:lineRule="auto"/>
        <w:jc w:val="center"/>
        <w:rPr>
          <w:rFonts w:ascii="宋体" w:hAnsi="宋体" w:hint="eastAsia"/>
          <w:color w:val="000000"/>
          <w:kern w:val="0"/>
          <w:sz w:val="24"/>
          <w:szCs w:val="24"/>
        </w:rPr>
      </w:pPr>
      <w:bookmarkStart w:id="13" w:name="_Toc482624791"/>
      <w:bookmarkStart w:id="14" w:name="_Toc256666912"/>
      <w:bookmarkStart w:id="15" w:name="_Toc9504"/>
      <w:bookmarkStart w:id="16" w:name="_Toc78378583"/>
      <w:bookmarkStart w:id="17" w:name="_Toc256666784"/>
      <w:r>
        <w:rPr>
          <w:rFonts w:ascii="宋体" w:hAnsi="宋体" w:hint="eastAsia"/>
          <w:color w:val="000000"/>
          <w:kern w:val="0"/>
          <w:sz w:val="24"/>
          <w:szCs w:val="24"/>
        </w:rPr>
        <w:t>第三部分  基金管理人</w:t>
      </w:r>
      <w:bookmarkEnd w:id="13"/>
      <w:bookmarkEnd w:id="14"/>
      <w:bookmarkEnd w:id="15"/>
      <w:bookmarkEnd w:id="16"/>
      <w:bookmarkEnd w:id="17"/>
    </w:p>
    <w:p w14:paraId="521EC620" w14:textId="77777777" w:rsidR="00566744" w:rsidRDefault="00000000">
      <w:pPr>
        <w:spacing w:line="360" w:lineRule="auto"/>
        <w:ind w:firstLineChars="200" w:firstLine="480"/>
        <w:rPr>
          <w:rFonts w:ascii="宋体" w:hAnsi="宋体" w:hint="eastAsia"/>
          <w:color w:val="000000"/>
          <w:kern w:val="0"/>
          <w:sz w:val="24"/>
        </w:rPr>
      </w:pPr>
      <w:bookmarkStart w:id="18" w:name="_Toc88969216"/>
      <w:r>
        <w:rPr>
          <w:rFonts w:ascii="宋体" w:hAnsi="宋体" w:hint="eastAsia"/>
          <w:color w:val="000000"/>
          <w:kern w:val="0"/>
          <w:sz w:val="24"/>
        </w:rPr>
        <w:t>（一）基金管理人概况</w:t>
      </w:r>
    </w:p>
    <w:p w14:paraId="01A3884E"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名称：富荣基金管理有限公司</w:t>
      </w:r>
    </w:p>
    <w:p w14:paraId="79B0C12B"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注册</w:t>
      </w:r>
      <w:r>
        <w:rPr>
          <w:rFonts w:ascii="宋体" w:hAnsi="宋体"/>
          <w:color w:val="000000"/>
          <w:kern w:val="0"/>
          <w:sz w:val="24"/>
        </w:rPr>
        <w:t>地址</w:t>
      </w:r>
      <w:r>
        <w:rPr>
          <w:rFonts w:ascii="宋体" w:hAnsi="宋体" w:hint="eastAsia"/>
          <w:color w:val="000000"/>
          <w:kern w:val="0"/>
          <w:sz w:val="24"/>
        </w:rPr>
        <w:t>：广东省广州市南沙区横</w:t>
      </w:r>
      <w:proofErr w:type="gramStart"/>
      <w:r>
        <w:rPr>
          <w:rFonts w:ascii="宋体" w:hAnsi="宋体" w:hint="eastAsia"/>
          <w:color w:val="000000"/>
          <w:kern w:val="0"/>
          <w:sz w:val="24"/>
        </w:rPr>
        <w:t>沥</w:t>
      </w:r>
      <w:proofErr w:type="gramEnd"/>
      <w:r>
        <w:rPr>
          <w:rFonts w:ascii="宋体" w:hAnsi="宋体" w:hint="eastAsia"/>
          <w:color w:val="000000"/>
          <w:kern w:val="0"/>
          <w:sz w:val="24"/>
        </w:rPr>
        <w:t xml:space="preserve">镇汇通二街2号3110房 </w:t>
      </w:r>
    </w:p>
    <w:p w14:paraId="0CEF8E9A"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办公地址：深圳市福田区八卦四路52号安吉尔大厦24层</w:t>
      </w:r>
    </w:p>
    <w:p w14:paraId="5D3E7240"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法定代表人：王亦伟 </w:t>
      </w:r>
    </w:p>
    <w:p w14:paraId="3FB1E5F4"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设立日期：2016年1月25日</w:t>
      </w:r>
    </w:p>
    <w:p w14:paraId="26CFA047"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批准设立机关：中国证监会 </w:t>
      </w:r>
    </w:p>
    <w:p w14:paraId="06448715"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批准设立文号：证监许可【2015】3118号 </w:t>
      </w:r>
    </w:p>
    <w:p w14:paraId="0DFEE874"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组织形式：有限责任公司</w:t>
      </w:r>
    </w:p>
    <w:p w14:paraId="072869FC"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注册资本：2亿元人民币</w:t>
      </w:r>
    </w:p>
    <w:p w14:paraId="347692BC"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存续期限：永续经营</w:t>
      </w:r>
    </w:p>
    <w:p w14:paraId="39BCE6CC"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联系人：郭鑫</w:t>
      </w:r>
    </w:p>
    <w:p w14:paraId="34843125" w14:textId="04967735"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联系电话：0755-</w:t>
      </w:r>
      <w:r>
        <w:rPr>
          <w:rFonts w:ascii="宋体" w:hAnsi="宋体"/>
          <w:color w:val="000000"/>
          <w:kern w:val="0"/>
          <w:sz w:val="24"/>
        </w:rPr>
        <w:t>8435</w:t>
      </w:r>
      <w:r>
        <w:rPr>
          <w:rFonts w:ascii="宋体" w:hAnsi="宋体" w:hint="eastAsia"/>
          <w:color w:val="000000"/>
          <w:kern w:val="0"/>
          <w:sz w:val="24"/>
        </w:rPr>
        <w:t>6796</w:t>
      </w:r>
    </w:p>
    <w:p w14:paraId="4E5E1E93"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传    真：0755-83230787</w:t>
      </w:r>
    </w:p>
    <w:p w14:paraId="0BC7C7D8"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股权结构： </w:t>
      </w:r>
    </w:p>
    <w:tbl>
      <w:tblPr>
        <w:tblW w:w="5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0"/>
        <w:gridCol w:w="1275"/>
      </w:tblGrid>
      <w:tr w:rsidR="00566744" w14:paraId="5F39116E" w14:textId="77777777">
        <w:trPr>
          <w:jc w:val="center"/>
        </w:trPr>
        <w:tc>
          <w:tcPr>
            <w:tcW w:w="4250" w:type="dxa"/>
            <w:vAlign w:val="center"/>
          </w:tcPr>
          <w:p w14:paraId="0A4A662A" w14:textId="77777777" w:rsidR="00566744" w:rsidRDefault="00000000">
            <w:pPr>
              <w:spacing w:line="360" w:lineRule="auto"/>
              <w:jc w:val="center"/>
              <w:rPr>
                <w:rFonts w:ascii="宋体" w:hAnsi="宋体" w:hint="eastAsia"/>
                <w:b/>
                <w:color w:val="000000"/>
                <w:kern w:val="0"/>
                <w:sz w:val="24"/>
              </w:rPr>
            </w:pPr>
            <w:r>
              <w:rPr>
                <w:rFonts w:ascii="宋体" w:hAnsi="宋体" w:hint="eastAsia"/>
                <w:b/>
                <w:color w:val="000000"/>
                <w:kern w:val="0"/>
                <w:sz w:val="24"/>
              </w:rPr>
              <w:t>股东名称</w:t>
            </w:r>
          </w:p>
        </w:tc>
        <w:tc>
          <w:tcPr>
            <w:tcW w:w="1275" w:type="dxa"/>
            <w:vAlign w:val="center"/>
          </w:tcPr>
          <w:p w14:paraId="633E11AD" w14:textId="77777777" w:rsidR="00566744" w:rsidRDefault="00000000">
            <w:pPr>
              <w:spacing w:line="360" w:lineRule="auto"/>
              <w:jc w:val="center"/>
              <w:rPr>
                <w:rFonts w:ascii="宋体" w:hAnsi="宋体" w:hint="eastAsia"/>
                <w:b/>
                <w:color w:val="000000"/>
                <w:kern w:val="0"/>
                <w:sz w:val="24"/>
              </w:rPr>
            </w:pPr>
            <w:r>
              <w:rPr>
                <w:rFonts w:ascii="宋体" w:hAnsi="宋体" w:hint="eastAsia"/>
                <w:b/>
                <w:color w:val="000000"/>
                <w:kern w:val="0"/>
                <w:sz w:val="24"/>
              </w:rPr>
              <w:t>出资比例</w:t>
            </w:r>
          </w:p>
        </w:tc>
      </w:tr>
      <w:tr w:rsidR="00566744" w14:paraId="6813DE89" w14:textId="77777777">
        <w:trPr>
          <w:jc w:val="center"/>
        </w:trPr>
        <w:tc>
          <w:tcPr>
            <w:tcW w:w="4250" w:type="dxa"/>
            <w:vAlign w:val="center"/>
          </w:tcPr>
          <w:p w14:paraId="2B5EA545" w14:textId="77777777" w:rsidR="00566744" w:rsidRDefault="00000000">
            <w:pPr>
              <w:spacing w:line="360" w:lineRule="auto"/>
              <w:jc w:val="center"/>
              <w:rPr>
                <w:rFonts w:ascii="宋体" w:hAnsi="宋体" w:hint="eastAsia"/>
                <w:color w:val="000000"/>
                <w:kern w:val="0"/>
                <w:sz w:val="24"/>
              </w:rPr>
            </w:pPr>
            <w:r>
              <w:rPr>
                <w:rFonts w:ascii="宋体" w:hAnsi="宋体" w:hint="eastAsia"/>
                <w:color w:val="000000"/>
                <w:kern w:val="0"/>
                <w:sz w:val="24"/>
              </w:rPr>
              <w:t>广州科技金融创新投资控股有限公司</w:t>
            </w:r>
          </w:p>
        </w:tc>
        <w:tc>
          <w:tcPr>
            <w:tcW w:w="1275" w:type="dxa"/>
            <w:vAlign w:val="center"/>
          </w:tcPr>
          <w:p w14:paraId="68F708A7" w14:textId="77777777" w:rsidR="00566744" w:rsidRDefault="00000000">
            <w:pPr>
              <w:spacing w:line="360" w:lineRule="auto"/>
              <w:jc w:val="center"/>
              <w:rPr>
                <w:rFonts w:ascii="宋体" w:hAnsi="宋体" w:hint="eastAsia"/>
                <w:color w:val="000000"/>
                <w:kern w:val="0"/>
                <w:sz w:val="24"/>
              </w:rPr>
            </w:pPr>
            <w:r>
              <w:rPr>
                <w:rFonts w:ascii="宋体" w:hAnsi="宋体" w:hint="eastAsia"/>
                <w:color w:val="000000"/>
                <w:kern w:val="0"/>
                <w:sz w:val="24"/>
              </w:rPr>
              <w:t>50%</w:t>
            </w:r>
          </w:p>
        </w:tc>
      </w:tr>
      <w:tr w:rsidR="00566744" w14:paraId="77FFD1C0" w14:textId="77777777">
        <w:trPr>
          <w:jc w:val="center"/>
        </w:trPr>
        <w:tc>
          <w:tcPr>
            <w:tcW w:w="4250" w:type="dxa"/>
            <w:vAlign w:val="center"/>
          </w:tcPr>
          <w:p w14:paraId="5D4D0EE0" w14:textId="77777777" w:rsidR="00566744" w:rsidRDefault="00000000">
            <w:pPr>
              <w:spacing w:line="360" w:lineRule="auto"/>
              <w:jc w:val="center"/>
              <w:rPr>
                <w:rFonts w:ascii="宋体" w:hAnsi="宋体" w:hint="eastAsia"/>
                <w:color w:val="000000"/>
                <w:kern w:val="0"/>
                <w:sz w:val="24"/>
              </w:rPr>
            </w:pPr>
            <w:r>
              <w:rPr>
                <w:rFonts w:ascii="宋体" w:hAnsi="宋体" w:hint="eastAsia"/>
                <w:color w:val="000000"/>
                <w:kern w:val="0"/>
                <w:sz w:val="24"/>
              </w:rPr>
              <w:t>深圳嘉年实业股份有限公司</w:t>
            </w:r>
          </w:p>
        </w:tc>
        <w:tc>
          <w:tcPr>
            <w:tcW w:w="1275" w:type="dxa"/>
            <w:vAlign w:val="center"/>
          </w:tcPr>
          <w:p w14:paraId="704090CC" w14:textId="77777777" w:rsidR="00566744" w:rsidRDefault="00000000">
            <w:pPr>
              <w:spacing w:line="360" w:lineRule="auto"/>
              <w:jc w:val="center"/>
              <w:rPr>
                <w:rFonts w:ascii="宋体" w:hAnsi="宋体" w:hint="eastAsia"/>
                <w:color w:val="000000"/>
                <w:kern w:val="0"/>
                <w:sz w:val="24"/>
              </w:rPr>
            </w:pPr>
            <w:r>
              <w:rPr>
                <w:rFonts w:ascii="宋体" w:hAnsi="宋体" w:hint="eastAsia"/>
                <w:color w:val="000000"/>
                <w:kern w:val="0"/>
                <w:sz w:val="24"/>
              </w:rPr>
              <w:t>45.1%</w:t>
            </w:r>
          </w:p>
        </w:tc>
      </w:tr>
      <w:tr w:rsidR="00566744" w14:paraId="62999E00" w14:textId="77777777">
        <w:trPr>
          <w:jc w:val="center"/>
        </w:trPr>
        <w:tc>
          <w:tcPr>
            <w:tcW w:w="4250" w:type="dxa"/>
            <w:vAlign w:val="center"/>
          </w:tcPr>
          <w:p w14:paraId="2C1EA577" w14:textId="567C8A57" w:rsidR="00566744" w:rsidRDefault="00000000">
            <w:pPr>
              <w:spacing w:line="360" w:lineRule="auto"/>
              <w:jc w:val="center"/>
              <w:rPr>
                <w:rFonts w:ascii="宋体" w:hAnsi="宋体" w:hint="eastAsia"/>
                <w:color w:val="000000"/>
                <w:kern w:val="0"/>
                <w:sz w:val="24"/>
              </w:rPr>
            </w:pPr>
            <w:r>
              <w:rPr>
                <w:rFonts w:ascii="宋体" w:hAnsi="宋体" w:hint="eastAsia"/>
                <w:color w:val="000000"/>
                <w:kern w:val="0"/>
                <w:sz w:val="24"/>
              </w:rPr>
              <w:t>湖南</w:t>
            </w:r>
            <w:r w:rsidR="00F2764D">
              <w:rPr>
                <w:rFonts w:ascii="宋体" w:hAnsi="宋体" w:hint="eastAsia"/>
                <w:color w:val="000000"/>
                <w:kern w:val="0"/>
                <w:sz w:val="24"/>
              </w:rPr>
              <w:t>省</w:t>
            </w:r>
            <w:r>
              <w:rPr>
                <w:rFonts w:ascii="宋体" w:hAnsi="宋体" w:hint="eastAsia"/>
                <w:color w:val="000000"/>
                <w:kern w:val="0"/>
                <w:sz w:val="24"/>
              </w:rPr>
              <w:t>典勤投资开发有限公司</w:t>
            </w:r>
          </w:p>
        </w:tc>
        <w:tc>
          <w:tcPr>
            <w:tcW w:w="1275" w:type="dxa"/>
            <w:vAlign w:val="center"/>
          </w:tcPr>
          <w:p w14:paraId="2EBEA3AB" w14:textId="77777777" w:rsidR="00566744" w:rsidRDefault="00000000">
            <w:pPr>
              <w:spacing w:line="360" w:lineRule="auto"/>
              <w:jc w:val="center"/>
              <w:rPr>
                <w:rFonts w:ascii="宋体" w:hAnsi="宋体" w:hint="eastAsia"/>
                <w:color w:val="000000"/>
                <w:kern w:val="0"/>
                <w:sz w:val="24"/>
              </w:rPr>
            </w:pPr>
            <w:r>
              <w:rPr>
                <w:rFonts w:ascii="宋体" w:hAnsi="宋体" w:hint="eastAsia"/>
                <w:color w:val="000000"/>
                <w:kern w:val="0"/>
                <w:sz w:val="24"/>
              </w:rPr>
              <w:t>4.9%</w:t>
            </w:r>
          </w:p>
        </w:tc>
      </w:tr>
    </w:tbl>
    <w:p w14:paraId="3A4F5FC2" w14:textId="77777777" w:rsidR="00566744" w:rsidRDefault="00566744">
      <w:pPr>
        <w:spacing w:line="360" w:lineRule="auto"/>
        <w:rPr>
          <w:rFonts w:ascii="宋体" w:hAnsi="宋体" w:hint="eastAsia"/>
          <w:color w:val="000000"/>
          <w:kern w:val="0"/>
          <w:sz w:val="24"/>
        </w:rPr>
      </w:pPr>
    </w:p>
    <w:p w14:paraId="121975B0"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（二）主要人员情况</w:t>
      </w:r>
    </w:p>
    <w:p w14:paraId="75C49D1A"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1、董事会成员</w:t>
      </w:r>
    </w:p>
    <w:p w14:paraId="12CBE92E" w14:textId="77777777" w:rsidR="00566744" w:rsidRDefault="00000000">
      <w:pPr>
        <w:spacing w:line="360" w:lineRule="auto"/>
        <w:ind w:firstLineChars="200" w:firstLine="480"/>
        <w:rPr>
          <w:rFonts w:asciiTheme="minorEastAsia" w:hAnsiTheme="minorEastAsia" w:cs="Arial" w:hint="eastAsia"/>
          <w:kern w:val="0"/>
          <w:sz w:val="24"/>
        </w:rPr>
      </w:pPr>
      <w:r>
        <w:rPr>
          <w:rFonts w:asciiTheme="minorEastAsia" w:hAnsiTheme="minorEastAsia" w:cs="Arial" w:hint="eastAsia"/>
          <w:kern w:val="0"/>
          <w:sz w:val="24"/>
        </w:rPr>
        <w:t>王亦伟先生，董事长，中山大学管理学院经济学学士。历任广州大学城投资经营管理有限公司财务部部长，平安信托有限责任公司财富管理事业部区域管理中心</w:t>
      </w:r>
      <w:r>
        <w:rPr>
          <w:rFonts w:asciiTheme="minorEastAsia" w:hAnsiTheme="minorEastAsia" w:cs="Arial" w:hint="eastAsia"/>
          <w:kern w:val="0"/>
          <w:sz w:val="24"/>
        </w:rPr>
        <w:lastRenderedPageBreak/>
        <w:t>总监，广州市城市建设投资集团有限公司计划发展部部长、投资发展部部长，广州市城</w:t>
      </w:r>
      <w:proofErr w:type="gramStart"/>
      <w:r>
        <w:rPr>
          <w:rFonts w:asciiTheme="minorEastAsia" w:hAnsiTheme="minorEastAsia" w:cs="Arial" w:hint="eastAsia"/>
          <w:kern w:val="0"/>
          <w:sz w:val="24"/>
        </w:rPr>
        <w:t>投</w:t>
      </w:r>
      <w:proofErr w:type="gramEnd"/>
      <w:r>
        <w:rPr>
          <w:rFonts w:asciiTheme="minorEastAsia" w:hAnsiTheme="minorEastAsia" w:cs="Arial" w:hint="eastAsia"/>
          <w:kern w:val="0"/>
          <w:sz w:val="24"/>
        </w:rPr>
        <w:t>投资有限公司总经理、党支部书记、董事、董事长，广州新中轴建设有限公司财务总监、董事长、法人代表，中国文化产业投资</w:t>
      </w:r>
      <w:proofErr w:type="gramStart"/>
      <w:r>
        <w:rPr>
          <w:rFonts w:asciiTheme="minorEastAsia" w:hAnsiTheme="minorEastAsia" w:cs="Arial" w:hint="eastAsia"/>
          <w:kern w:val="0"/>
          <w:sz w:val="24"/>
        </w:rPr>
        <w:t>母基金</w:t>
      </w:r>
      <w:proofErr w:type="gramEnd"/>
      <w:r>
        <w:rPr>
          <w:rFonts w:asciiTheme="minorEastAsia" w:hAnsiTheme="minorEastAsia" w:cs="Arial" w:hint="eastAsia"/>
          <w:kern w:val="0"/>
          <w:sz w:val="24"/>
        </w:rPr>
        <w:t>管理有限公司董事，广州城</w:t>
      </w:r>
      <w:proofErr w:type="gramStart"/>
      <w:r>
        <w:rPr>
          <w:rFonts w:asciiTheme="minorEastAsia" w:hAnsiTheme="minorEastAsia" w:cs="Arial" w:hint="eastAsia"/>
          <w:kern w:val="0"/>
          <w:sz w:val="24"/>
        </w:rPr>
        <w:t>恒</w:t>
      </w:r>
      <w:proofErr w:type="gramEnd"/>
      <w:r>
        <w:rPr>
          <w:rFonts w:asciiTheme="minorEastAsia" w:hAnsiTheme="minorEastAsia" w:cs="Arial" w:hint="eastAsia"/>
          <w:kern w:val="0"/>
          <w:sz w:val="24"/>
        </w:rPr>
        <w:t>城市更新投资有限公司董事长、法定代表人。现任广州产业投资基金管理有限公司党委书记、董事长、法定代表人，广州汽车集团股份有限公司董事，广州市城</w:t>
      </w:r>
      <w:proofErr w:type="gramStart"/>
      <w:r>
        <w:rPr>
          <w:rFonts w:asciiTheme="minorEastAsia" w:hAnsiTheme="minorEastAsia" w:cs="Arial" w:hint="eastAsia"/>
          <w:kern w:val="0"/>
          <w:sz w:val="24"/>
        </w:rPr>
        <w:t>投</w:t>
      </w:r>
      <w:proofErr w:type="gramEnd"/>
      <w:r>
        <w:rPr>
          <w:rFonts w:asciiTheme="minorEastAsia" w:hAnsiTheme="minorEastAsia" w:cs="Arial" w:hint="eastAsia"/>
          <w:kern w:val="0"/>
          <w:sz w:val="24"/>
        </w:rPr>
        <w:t>投资有限公司董事，富</w:t>
      </w:r>
      <w:proofErr w:type="gramStart"/>
      <w:r>
        <w:rPr>
          <w:rFonts w:asciiTheme="minorEastAsia" w:hAnsiTheme="minorEastAsia" w:cs="Arial" w:hint="eastAsia"/>
          <w:kern w:val="0"/>
          <w:sz w:val="24"/>
        </w:rPr>
        <w:t>荣基金</w:t>
      </w:r>
      <w:proofErr w:type="gramEnd"/>
      <w:r>
        <w:rPr>
          <w:rFonts w:asciiTheme="minorEastAsia" w:hAnsiTheme="minorEastAsia" w:cs="Arial" w:hint="eastAsia"/>
          <w:kern w:val="0"/>
          <w:sz w:val="24"/>
        </w:rPr>
        <w:t>管理有限公司董事长、法定代表人。</w:t>
      </w:r>
    </w:p>
    <w:p w14:paraId="33BD5191" w14:textId="77777777" w:rsidR="00566744" w:rsidRDefault="00000000">
      <w:pPr>
        <w:spacing w:line="360" w:lineRule="auto"/>
        <w:ind w:firstLineChars="200" w:firstLine="480"/>
        <w:rPr>
          <w:rFonts w:asciiTheme="minorEastAsia" w:hAnsiTheme="minorEastAsia" w:cs="Arial" w:hint="eastAsia"/>
          <w:kern w:val="0"/>
          <w:sz w:val="24"/>
        </w:rPr>
      </w:pPr>
      <w:r>
        <w:rPr>
          <w:rFonts w:asciiTheme="minorEastAsia" w:hAnsiTheme="minorEastAsia" w:cs="Arial" w:hint="eastAsia"/>
          <w:kern w:val="0"/>
          <w:sz w:val="24"/>
        </w:rPr>
        <w:t>杨小舟先生，董事，大连理工大学硕士研究生。历任交通银行沈阳分行国际部国际结算员、信贷科科长、中信银行沈阳皇姑支行副行长、广发银行南湖支行行长、广发银行沈阳直属支行行长助理、副行长、行长兼党委书记、广发银行沈阳分行行长兼党委书记、广发银行深圳分行行长兼党委书记、富荣基金管理有限公司董事长。现任富荣基金管理有限公司总经理、首席信息官。</w:t>
      </w:r>
    </w:p>
    <w:p w14:paraId="00EF08F0" w14:textId="77777777" w:rsidR="00566744" w:rsidRDefault="00000000">
      <w:pPr>
        <w:spacing w:line="360" w:lineRule="auto"/>
        <w:ind w:firstLineChars="200" w:firstLine="480"/>
        <w:rPr>
          <w:rFonts w:asciiTheme="minorEastAsia" w:hAnsiTheme="minorEastAsia" w:cs="Arial" w:hint="eastAsia"/>
          <w:kern w:val="0"/>
          <w:sz w:val="24"/>
        </w:rPr>
      </w:pPr>
      <w:r>
        <w:rPr>
          <w:rFonts w:asciiTheme="minorEastAsia" w:hAnsiTheme="minorEastAsia" w:cs="Arial" w:hint="eastAsia"/>
          <w:kern w:val="0"/>
          <w:sz w:val="24"/>
        </w:rPr>
        <w:t>赵宏伟先生，董事，对外经济贸易大学硕士。历任北京大成律师事务所证券律师、当代北方（北京）投资有限公司总裁、黑龙江北美工业大麻科技有限公司总裁，广州产业投资基金管理有限公司风险管理部总经理、法</w:t>
      </w:r>
      <w:proofErr w:type="gramStart"/>
      <w:r>
        <w:rPr>
          <w:rFonts w:asciiTheme="minorEastAsia" w:hAnsiTheme="minorEastAsia" w:cs="Arial" w:hint="eastAsia"/>
          <w:kern w:val="0"/>
          <w:sz w:val="24"/>
        </w:rPr>
        <w:t>务风控部</w:t>
      </w:r>
      <w:proofErr w:type="gramEnd"/>
      <w:r>
        <w:rPr>
          <w:rFonts w:asciiTheme="minorEastAsia" w:hAnsiTheme="minorEastAsia" w:cs="Arial" w:hint="eastAsia"/>
          <w:kern w:val="0"/>
          <w:sz w:val="24"/>
        </w:rPr>
        <w:t>总经理，广州产业投资基金管理有限公司投资管理部总经理，广州基金国际股权投资基金管理有限公司党支部副书记、总经理。</w:t>
      </w:r>
      <w:proofErr w:type="gramStart"/>
      <w:r>
        <w:rPr>
          <w:rFonts w:asciiTheme="minorEastAsia" w:hAnsiTheme="minorEastAsia" w:cs="Arial" w:hint="eastAsia"/>
          <w:kern w:val="0"/>
          <w:sz w:val="24"/>
        </w:rPr>
        <w:t>现任穗甬控股</w:t>
      </w:r>
      <w:proofErr w:type="gramEnd"/>
      <w:r>
        <w:rPr>
          <w:rFonts w:asciiTheme="minorEastAsia" w:hAnsiTheme="minorEastAsia" w:cs="Arial" w:hint="eastAsia"/>
          <w:kern w:val="0"/>
          <w:sz w:val="24"/>
        </w:rPr>
        <w:t>有限公司常务副总经理，黑龙江国瑞金融资产管理有限公司董事，富</w:t>
      </w:r>
      <w:proofErr w:type="gramStart"/>
      <w:r>
        <w:rPr>
          <w:rFonts w:asciiTheme="minorEastAsia" w:hAnsiTheme="minorEastAsia" w:cs="Arial" w:hint="eastAsia"/>
          <w:kern w:val="0"/>
          <w:sz w:val="24"/>
        </w:rPr>
        <w:t>荣基金</w:t>
      </w:r>
      <w:proofErr w:type="gramEnd"/>
      <w:r>
        <w:rPr>
          <w:rFonts w:asciiTheme="minorEastAsia" w:hAnsiTheme="minorEastAsia" w:cs="Arial" w:hint="eastAsia"/>
          <w:kern w:val="0"/>
          <w:sz w:val="24"/>
        </w:rPr>
        <w:t>管理有限公司董事。</w:t>
      </w:r>
    </w:p>
    <w:p w14:paraId="6D3689D2" w14:textId="7BB11295" w:rsidR="00566744" w:rsidRDefault="00000000">
      <w:pPr>
        <w:spacing w:line="360" w:lineRule="auto"/>
        <w:ind w:firstLineChars="200" w:firstLine="480"/>
        <w:rPr>
          <w:rFonts w:asciiTheme="minorEastAsia" w:hAnsiTheme="minorEastAsia" w:cs="Arial" w:hint="eastAsia"/>
          <w:kern w:val="0"/>
          <w:sz w:val="24"/>
        </w:rPr>
      </w:pPr>
      <w:r>
        <w:rPr>
          <w:rFonts w:asciiTheme="minorEastAsia" w:hAnsiTheme="minorEastAsia" w:cs="Arial" w:hint="eastAsia"/>
          <w:kern w:val="0"/>
          <w:sz w:val="24"/>
        </w:rPr>
        <w:t>郭涛先生，董事，上海交通大学高级管理人员工商管理专业硕士。现任</w:t>
      </w:r>
      <w:proofErr w:type="gramStart"/>
      <w:r>
        <w:rPr>
          <w:rFonts w:asciiTheme="minorEastAsia" w:hAnsiTheme="minorEastAsia" w:cs="Arial" w:hint="eastAsia"/>
          <w:kern w:val="0"/>
          <w:sz w:val="24"/>
        </w:rPr>
        <w:t>深圳市亿尔德</w:t>
      </w:r>
      <w:proofErr w:type="gramEnd"/>
      <w:r>
        <w:rPr>
          <w:rFonts w:asciiTheme="minorEastAsia" w:hAnsiTheme="minorEastAsia" w:cs="Arial" w:hint="eastAsia"/>
          <w:kern w:val="0"/>
          <w:sz w:val="24"/>
        </w:rPr>
        <w:t>投资有限公司总经理、执行董事、法定代表人；</w:t>
      </w:r>
      <w:proofErr w:type="gramStart"/>
      <w:r>
        <w:rPr>
          <w:rFonts w:asciiTheme="minorEastAsia" w:hAnsiTheme="minorEastAsia" w:cs="Arial" w:hint="eastAsia"/>
          <w:kern w:val="0"/>
          <w:sz w:val="24"/>
        </w:rPr>
        <w:t>深圳市盈投荣达</w:t>
      </w:r>
      <w:proofErr w:type="gramEnd"/>
      <w:r>
        <w:rPr>
          <w:rFonts w:asciiTheme="minorEastAsia" w:hAnsiTheme="minorEastAsia" w:cs="Arial" w:hint="eastAsia"/>
          <w:kern w:val="0"/>
          <w:sz w:val="24"/>
        </w:rPr>
        <w:t>科技有限公司董事长、总经理、法定代表人；深圳市嘉年印</w:t>
      </w:r>
      <w:proofErr w:type="gramStart"/>
      <w:r>
        <w:rPr>
          <w:rFonts w:asciiTheme="minorEastAsia" w:hAnsiTheme="minorEastAsia" w:cs="Arial" w:hint="eastAsia"/>
          <w:kern w:val="0"/>
          <w:sz w:val="24"/>
        </w:rPr>
        <w:t>务</w:t>
      </w:r>
      <w:proofErr w:type="gramEnd"/>
      <w:r>
        <w:rPr>
          <w:rFonts w:asciiTheme="minorEastAsia" w:hAnsiTheme="minorEastAsia" w:cs="Arial" w:hint="eastAsia"/>
          <w:kern w:val="0"/>
          <w:sz w:val="24"/>
        </w:rPr>
        <w:t>有限公司董事；深圳市盈实发展有限公司董事长、经理、法定代表人；深圳市</w:t>
      </w:r>
      <w:proofErr w:type="gramStart"/>
      <w:r>
        <w:rPr>
          <w:rFonts w:asciiTheme="minorEastAsia" w:hAnsiTheme="minorEastAsia" w:cs="Arial" w:hint="eastAsia"/>
          <w:kern w:val="0"/>
          <w:sz w:val="24"/>
        </w:rPr>
        <w:t>盈致未来文创管理</w:t>
      </w:r>
      <w:proofErr w:type="gramEnd"/>
      <w:r>
        <w:rPr>
          <w:rFonts w:asciiTheme="minorEastAsia" w:hAnsiTheme="minorEastAsia" w:cs="Arial" w:hint="eastAsia"/>
          <w:kern w:val="0"/>
          <w:sz w:val="24"/>
        </w:rPr>
        <w:t>有限公司董事长、经理、法定代表人；深圳市益德置业有限公司总经理、董事；</w:t>
      </w:r>
      <w:proofErr w:type="gramStart"/>
      <w:r>
        <w:rPr>
          <w:rFonts w:asciiTheme="minorEastAsia" w:hAnsiTheme="minorEastAsia" w:cs="Arial" w:hint="eastAsia"/>
          <w:kern w:val="0"/>
          <w:sz w:val="24"/>
        </w:rPr>
        <w:t>盈投科技</w:t>
      </w:r>
      <w:proofErr w:type="gramEnd"/>
      <w:r>
        <w:rPr>
          <w:rFonts w:asciiTheme="minorEastAsia" w:hAnsiTheme="minorEastAsia" w:cs="Arial" w:hint="eastAsia"/>
          <w:kern w:val="0"/>
          <w:sz w:val="24"/>
        </w:rPr>
        <w:t>控股集团有限公司总经理、董事；深圳市铭嘉达信息咨询有限公司董事；乐百氏（广东）饮用水有限公司董事；深圳安吉尔饮水产业集团有限公司董事；</w:t>
      </w:r>
      <w:proofErr w:type="gramStart"/>
      <w:r>
        <w:rPr>
          <w:rFonts w:asciiTheme="minorEastAsia" w:hAnsiTheme="minorEastAsia" w:cs="Arial" w:hint="eastAsia"/>
          <w:kern w:val="0"/>
          <w:sz w:val="24"/>
        </w:rPr>
        <w:t>昊</w:t>
      </w:r>
      <w:proofErr w:type="gramEnd"/>
      <w:r>
        <w:rPr>
          <w:rFonts w:asciiTheme="minorEastAsia" w:hAnsiTheme="minorEastAsia" w:cs="Arial" w:hint="eastAsia"/>
          <w:kern w:val="0"/>
          <w:sz w:val="24"/>
        </w:rPr>
        <w:t>华化工科技集团股份有限公司董事；深圳嘉年实业股份有限公司董事；深圳市</w:t>
      </w:r>
      <w:proofErr w:type="gramStart"/>
      <w:r>
        <w:rPr>
          <w:rFonts w:asciiTheme="minorEastAsia" w:hAnsiTheme="minorEastAsia" w:cs="Arial" w:hint="eastAsia"/>
          <w:kern w:val="0"/>
          <w:sz w:val="24"/>
        </w:rPr>
        <w:t>盈投发展</w:t>
      </w:r>
      <w:proofErr w:type="gramEnd"/>
      <w:r>
        <w:rPr>
          <w:rFonts w:asciiTheme="minorEastAsia" w:hAnsiTheme="minorEastAsia" w:cs="Arial" w:hint="eastAsia"/>
          <w:kern w:val="0"/>
          <w:sz w:val="24"/>
        </w:rPr>
        <w:t>有限公司董事；绍兴安吉尔环境科技有限公司董事；深圳市银珠塑料制品有限公司董事；深圳市润丰不动产运营服务有限公司董事；深圳乐百</w:t>
      </w:r>
      <w:proofErr w:type="gramStart"/>
      <w:r>
        <w:rPr>
          <w:rFonts w:asciiTheme="minorEastAsia" w:hAnsiTheme="minorEastAsia" w:cs="Arial" w:hint="eastAsia"/>
          <w:kern w:val="0"/>
          <w:sz w:val="24"/>
        </w:rPr>
        <w:t>氏健康</w:t>
      </w:r>
      <w:proofErr w:type="gramEnd"/>
      <w:r>
        <w:rPr>
          <w:rFonts w:asciiTheme="minorEastAsia" w:hAnsiTheme="minorEastAsia" w:cs="Arial" w:hint="eastAsia"/>
          <w:kern w:val="0"/>
          <w:sz w:val="24"/>
        </w:rPr>
        <w:t>饮品集团有限责任公司董事；深圳市安吉尔饮水事业发展有限公司董事；深圳市益景德实业有限公司董事；乐百氏</w:t>
      </w:r>
      <w:r>
        <w:rPr>
          <w:rFonts w:asciiTheme="minorEastAsia" w:hAnsiTheme="minorEastAsia" w:cs="Arial" w:hint="eastAsia"/>
          <w:kern w:val="0"/>
          <w:sz w:val="24"/>
        </w:rPr>
        <w:lastRenderedPageBreak/>
        <w:t>（成都）饮用水有限公司董事；乐百氏（广东）饮品有限公司董事；乐百氏（沈阳）饮品有限公司董事；深圳市乐百氏实业发展有限公司董事；乐百氏（广州）健康科技有限公司董事；深圳市</w:t>
      </w:r>
      <w:proofErr w:type="gramStart"/>
      <w:r>
        <w:rPr>
          <w:rFonts w:asciiTheme="minorEastAsia" w:hAnsiTheme="minorEastAsia" w:cs="Arial" w:hint="eastAsia"/>
          <w:kern w:val="0"/>
          <w:sz w:val="24"/>
        </w:rPr>
        <w:t>久猪电子</w:t>
      </w:r>
      <w:proofErr w:type="gramEnd"/>
      <w:r>
        <w:rPr>
          <w:rFonts w:asciiTheme="minorEastAsia" w:hAnsiTheme="minorEastAsia" w:cs="Arial" w:hint="eastAsia"/>
          <w:kern w:val="0"/>
          <w:sz w:val="24"/>
        </w:rPr>
        <w:t>有限公司监事；乐百氏（广东）桶装水发展有限公司董事；富</w:t>
      </w:r>
      <w:proofErr w:type="gramStart"/>
      <w:r>
        <w:rPr>
          <w:rFonts w:asciiTheme="minorEastAsia" w:hAnsiTheme="minorEastAsia" w:cs="Arial" w:hint="eastAsia"/>
          <w:kern w:val="0"/>
          <w:sz w:val="24"/>
        </w:rPr>
        <w:t>荣基金</w:t>
      </w:r>
      <w:proofErr w:type="gramEnd"/>
      <w:r>
        <w:rPr>
          <w:rFonts w:asciiTheme="minorEastAsia" w:hAnsiTheme="minorEastAsia" w:cs="Arial" w:hint="eastAsia"/>
          <w:kern w:val="0"/>
          <w:sz w:val="24"/>
        </w:rPr>
        <w:t>管理有限公司董事。</w:t>
      </w:r>
    </w:p>
    <w:p w14:paraId="605224B1" w14:textId="77777777" w:rsidR="00566744" w:rsidRDefault="00000000">
      <w:pPr>
        <w:spacing w:line="360" w:lineRule="auto"/>
        <w:ind w:firstLineChars="200" w:firstLine="480"/>
        <w:rPr>
          <w:rFonts w:asciiTheme="minorEastAsia" w:hAnsiTheme="minorEastAsia" w:cs="Arial" w:hint="eastAsia"/>
          <w:kern w:val="0"/>
          <w:sz w:val="24"/>
        </w:rPr>
      </w:pPr>
      <w:r>
        <w:rPr>
          <w:rFonts w:asciiTheme="minorEastAsia" w:hAnsiTheme="minorEastAsia" w:cs="Arial" w:hint="eastAsia"/>
          <w:kern w:val="0"/>
          <w:sz w:val="24"/>
        </w:rPr>
        <w:t>余</w:t>
      </w:r>
      <w:proofErr w:type="gramStart"/>
      <w:r>
        <w:rPr>
          <w:rFonts w:asciiTheme="minorEastAsia" w:hAnsiTheme="minorEastAsia" w:cs="Arial" w:hint="eastAsia"/>
          <w:kern w:val="0"/>
          <w:sz w:val="24"/>
        </w:rPr>
        <w:t>关健</w:t>
      </w:r>
      <w:proofErr w:type="gramEnd"/>
      <w:r>
        <w:rPr>
          <w:rFonts w:asciiTheme="minorEastAsia" w:hAnsiTheme="minorEastAsia" w:cs="Arial" w:hint="eastAsia"/>
          <w:kern w:val="0"/>
          <w:sz w:val="24"/>
        </w:rPr>
        <w:t>先生，独立董事，西南财经大学工业经济硕士研究生。历任中国银行深圳分行信贷处处长、中国银行深圳分行风险管理处处长、深圳赛格、深圳特发集团董事、</w:t>
      </w:r>
      <w:proofErr w:type="gramStart"/>
      <w:r>
        <w:rPr>
          <w:rFonts w:asciiTheme="minorEastAsia" w:hAnsiTheme="minorEastAsia" w:cs="Arial" w:hint="eastAsia"/>
          <w:kern w:val="0"/>
          <w:sz w:val="24"/>
        </w:rPr>
        <w:t>邦</w:t>
      </w:r>
      <w:proofErr w:type="gramEnd"/>
      <w:r>
        <w:rPr>
          <w:rFonts w:asciiTheme="minorEastAsia" w:hAnsiTheme="minorEastAsia" w:cs="Arial" w:hint="eastAsia"/>
          <w:kern w:val="0"/>
          <w:sz w:val="24"/>
        </w:rPr>
        <w:t>信资产管理公司董事总经理、对外贸易集团股份有限公司董事长、中国东方资产管理股份有限公司广东省分公司总经理、大业信托有限责任公司董事、沈阳公用发展股份有限公司董事、申科滑动轴承股份有限公司董事、东银实业（深圳）有限公司董事、金田实业（集团）股份有限公司独立董事。现任富荣基金管理有限公司独立董事。</w:t>
      </w:r>
    </w:p>
    <w:p w14:paraId="4A5672CA" w14:textId="77777777" w:rsidR="00566744" w:rsidRDefault="00000000">
      <w:pPr>
        <w:spacing w:line="360" w:lineRule="auto"/>
        <w:ind w:firstLineChars="200" w:firstLine="480"/>
        <w:rPr>
          <w:rFonts w:asciiTheme="minorEastAsia" w:hAnsiTheme="minorEastAsia" w:cs="Arial" w:hint="eastAsia"/>
          <w:kern w:val="0"/>
          <w:sz w:val="24"/>
        </w:rPr>
      </w:pPr>
      <w:r>
        <w:rPr>
          <w:rFonts w:asciiTheme="minorEastAsia" w:hAnsiTheme="minorEastAsia" w:cs="Arial" w:hint="eastAsia"/>
          <w:kern w:val="0"/>
          <w:sz w:val="24"/>
        </w:rPr>
        <w:t>刘宝瑞先生，独立董事，历任中国人民银行宝坻支行会计、中国农业银行天津分行人力资源部副处长、中国农业银行天津分行国际业务部副总经理、总经理，中国农业银行天津分行资金计划处处长、深圳发展银行总行行长助理、副行长、党委委员，中国金融国际投资有限公司执行董事，深圳第一金融服务有限公司董事长、总经理、湖南银行独立董事、深圳青石资本管理有限公司法定代表人、执行董事、总经理。现任天津银行监事、深圳和</w:t>
      </w:r>
      <w:proofErr w:type="gramStart"/>
      <w:r>
        <w:rPr>
          <w:rFonts w:asciiTheme="minorEastAsia" w:hAnsiTheme="minorEastAsia" w:cs="Arial" w:hint="eastAsia"/>
          <w:kern w:val="0"/>
          <w:sz w:val="24"/>
        </w:rPr>
        <w:t>石资本</w:t>
      </w:r>
      <w:proofErr w:type="gramEnd"/>
      <w:r>
        <w:rPr>
          <w:rFonts w:asciiTheme="minorEastAsia" w:hAnsiTheme="minorEastAsia" w:cs="Arial" w:hint="eastAsia"/>
          <w:kern w:val="0"/>
          <w:sz w:val="24"/>
        </w:rPr>
        <w:t>管理有限责任公司法定代表人、董事、总经理，深圳泰和瑞</w:t>
      </w:r>
      <w:proofErr w:type="gramStart"/>
      <w:r>
        <w:rPr>
          <w:rFonts w:asciiTheme="minorEastAsia" w:hAnsiTheme="minorEastAsia" w:cs="Arial" w:hint="eastAsia"/>
          <w:kern w:val="0"/>
          <w:sz w:val="24"/>
        </w:rPr>
        <w:t>银金融</w:t>
      </w:r>
      <w:proofErr w:type="gramEnd"/>
      <w:r>
        <w:rPr>
          <w:rFonts w:asciiTheme="minorEastAsia" w:hAnsiTheme="minorEastAsia" w:cs="Arial" w:hint="eastAsia"/>
          <w:kern w:val="0"/>
          <w:sz w:val="24"/>
        </w:rPr>
        <w:t>配套服务合伙企业（有限合伙）执行事务合伙人、北京</w:t>
      </w:r>
      <w:proofErr w:type="gramStart"/>
      <w:r>
        <w:rPr>
          <w:rFonts w:asciiTheme="minorEastAsia" w:hAnsiTheme="minorEastAsia" w:cs="Arial" w:hint="eastAsia"/>
          <w:kern w:val="0"/>
          <w:sz w:val="24"/>
        </w:rPr>
        <w:t>雍</w:t>
      </w:r>
      <w:proofErr w:type="gramEnd"/>
      <w:r>
        <w:rPr>
          <w:rFonts w:asciiTheme="minorEastAsia" w:hAnsiTheme="minorEastAsia" w:cs="Arial" w:hint="eastAsia"/>
          <w:kern w:val="0"/>
          <w:sz w:val="24"/>
        </w:rPr>
        <w:t>和瑞泰管理顾问有限公司法定代表人、执行董事、总经理、财务负责人，深圳</w:t>
      </w:r>
      <w:proofErr w:type="gramStart"/>
      <w:r>
        <w:rPr>
          <w:rFonts w:asciiTheme="minorEastAsia" w:hAnsiTheme="minorEastAsia" w:cs="Arial" w:hint="eastAsia"/>
          <w:kern w:val="0"/>
          <w:sz w:val="24"/>
        </w:rPr>
        <w:t>雍</w:t>
      </w:r>
      <w:proofErr w:type="gramEnd"/>
      <w:r>
        <w:rPr>
          <w:rFonts w:asciiTheme="minorEastAsia" w:hAnsiTheme="minorEastAsia" w:cs="Arial" w:hint="eastAsia"/>
          <w:kern w:val="0"/>
          <w:sz w:val="24"/>
        </w:rPr>
        <w:t>和</w:t>
      </w:r>
      <w:proofErr w:type="gramStart"/>
      <w:r>
        <w:rPr>
          <w:rFonts w:asciiTheme="minorEastAsia" w:hAnsiTheme="minorEastAsia" w:cs="Arial" w:hint="eastAsia"/>
          <w:kern w:val="0"/>
          <w:sz w:val="24"/>
        </w:rPr>
        <w:t>瑞银</w:t>
      </w:r>
      <w:proofErr w:type="gramEnd"/>
      <w:r>
        <w:rPr>
          <w:rFonts w:asciiTheme="minorEastAsia" w:hAnsiTheme="minorEastAsia" w:cs="Arial" w:hint="eastAsia"/>
          <w:kern w:val="0"/>
          <w:sz w:val="24"/>
        </w:rPr>
        <w:t>投资管理有限公司法定代表人、董事、总经理，富</w:t>
      </w:r>
      <w:proofErr w:type="gramStart"/>
      <w:r>
        <w:rPr>
          <w:rFonts w:asciiTheme="minorEastAsia" w:hAnsiTheme="minorEastAsia" w:cs="Arial" w:hint="eastAsia"/>
          <w:kern w:val="0"/>
          <w:sz w:val="24"/>
        </w:rPr>
        <w:t>荣基金</w:t>
      </w:r>
      <w:proofErr w:type="gramEnd"/>
      <w:r>
        <w:rPr>
          <w:rFonts w:asciiTheme="minorEastAsia" w:hAnsiTheme="minorEastAsia" w:cs="Arial" w:hint="eastAsia"/>
          <w:kern w:val="0"/>
          <w:sz w:val="24"/>
        </w:rPr>
        <w:t>管理有限公司独立董事。</w:t>
      </w:r>
    </w:p>
    <w:p w14:paraId="717E9D13" w14:textId="77777777" w:rsidR="00566744" w:rsidRDefault="00000000">
      <w:pPr>
        <w:spacing w:line="360" w:lineRule="auto"/>
        <w:ind w:firstLineChars="200" w:firstLine="480"/>
        <w:rPr>
          <w:rFonts w:ascii="宋体" w:hAnsi="宋体" w:hint="eastAsia"/>
          <w:color w:val="000000"/>
          <w:kern w:val="0"/>
          <w:sz w:val="24"/>
        </w:rPr>
      </w:pPr>
      <w:r>
        <w:rPr>
          <w:rFonts w:asciiTheme="minorEastAsia" w:hAnsiTheme="minorEastAsia" w:cs="Arial" w:hint="eastAsia"/>
          <w:kern w:val="0"/>
          <w:sz w:val="24"/>
        </w:rPr>
        <w:t>张刚先生，独立董事，内蒙古大学民</w:t>
      </w:r>
      <w:proofErr w:type="gramStart"/>
      <w:r>
        <w:rPr>
          <w:rFonts w:asciiTheme="minorEastAsia" w:hAnsiTheme="minorEastAsia" w:cs="Arial" w:hint="eastAsia"/>
          <w:kern w:val="0"/>
          <w:sz w:val="24"/>
        </w:rPr>
        <w:t>商法学</w:t>
      </w:r>
      <w:proofErr w:type="gramEnd"/>
      <w:r>
        <w:rPr>
          <w:rFonts w:asciiTheme="minorEastAsia" w:hAnsiTheme="minorEastAsia" w:cs="Arial" w:hint="eastAsia"/>
          <w:kern w:val="0"/>
          <w:sz w:val="24"/>
        </w:rPr>
        <w:t>硕士研究生。历任内蒙古大学教师、北京王玉梅律师事务所律师、北京建元律师事务所合伙人、宁夏中银绒业股份有限公司独立董事。现任北京大成律师事务所高级合伙人、富荣基金管理有限公司独立董事。</w:t>
      </w:r>
    </w:p>
    <w:p w14:paraId="215CDF1C"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2、监事会成员</w:t>
      </w:r>
    </w:p>
    <w:p w14:paraId="4017579A"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基金管理人不设监事会，设一名职工监事。</w:t>
      </w:r>
    </w:p>
    <w:p w14:paraId="183D9FEA" w14:textId="513F6B0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魏丽红女士，职工监事，大专。现任富荣基金管理有限公司职工监事。</w:t>
      </w:r>
    </w:p>
    <w:p w14:paraId="0F2C8431"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lastRenderedPageBreak/>
        <w:t>3、高级管理人员</w:t>
      </w:r>
    </w:p>
    <w:p w14:paraId="39D7F769"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杨小舟先生，总经理、兼任首席信息官，大连理工大学硕士研究生。历任交通银行沈阳分行国际部国际结算员、信贷科科长、中信银行沈阳皇姑支行副行长、广发银行南湖支行行长、广发银行沈阳直属支行行长助理、副行长、行长兼党委书记、广发银行沈阳分行行长兼党委书记、广发银行深圳分行行长兼党委书记、富荣基金管理有限公司董事长。现任富荣基金管理有限公司总经理、首席信息官。</w:t>
      </w:r>
    </w:p>
    <w:p w14:paraId="2D3B460C"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史克新先生，副总经理，EMBA硕士。历任珠海会计师事务所注册会计师，君安证券有限公司审计师，北大方正投资有限公司副总经理，兴安证券东莞营业部总经理，深圳丽晶生物技术有限公司董事长，金元证券股份有限公司副监事长、审计部总经理，金元顺</w:t>
      </w:r>
      <w:proofErr w:type="gramStart"/>
      <w:r>
        <w:rPr>
          <w:rFonts w:ascii="宋体" w:hAnsi="宋体" w:hint="eastAsia"/>
          <w:color w:val="000000"/>
          <w:kern w:val="0"/>
          <w:sz w:val="24"/>
        </w:rPr>
        <w:t>安基金</w:t>
      </w:r>
      <w:proofErr w:type="gramEnd"/>
      <w:r>
        <w:rPr>
          <w:rFonts w:ascii="宋体" w:hAnsi="宋体" w:hint="eastAsia"/>
          <w:color w:val="000000"/>
          <w:kern w:val="0"/>
          <w:sz w:val="24"/>
        </w:rPr>
        <w:t>管理有限公司董事，金元证券股份有限公司经纪管理总部总经理，金元证券股份有限公司深圳分公司总经理，金元证券股份有限公司互联网创新专项办公室总经理等。现任富荣基金管理有限公司副总经理，兼任深圳分公司总经理。</w:t>
      </w:r>
    </w:p>
    <w:p w14:paraId="55FAF819" w14:textId="77777777" w:rsidR="00566744" w:rsidRDefault="00000000">
      <w:pPr>
        <w:spacing w:line="360" w:lineRule="auto"/>
        <w:ind w:firstLineChars="200" w:firstLine="480"/>
        <w:rPr>
          <w:rFonts w:ascii="宋体" w:hAnsi="宋体" w:hint="eastAsia"/>
          <w:color w:val="000000"/>
          <w:kern w:val="0"/>
          <w:sz w:val="24"/>
        </w:rPr>
      </w:pPr>
      <w:r>
        <w:rPr>
          <w:rFonts w:ascii="宋体" w:hAnsi="宋体"/>
          <w:color w:val="000000"/>
          <w:kern w:val="0"/>
          <w:sz w:val="24"/>
        </w:rPr>
        <w:t>邱张斌先生，督察长，</w:t>
      </w:r>
      <w:r>
        <w:rPr>
          <w:rFonts w:ascii="宋体" w:hAnsi="宋体" w:hint="eastAsia"/>
          <w:color w:val="000000"/>
          <w:kern w:val="0"/>
          <w:sz w:val="24"/>
        </w:rPr>
        <w:t>西安交通大学工商管理硕士。历任深圳中天会计师事务所审计员，安永会计师事务所审计经理，银华基金管理有限公司监察稽核主管，大成基金管理有限公司监察稽核部执行总监，大成创新资本管理有限公司副总经理兼监察稽核与风险管理部总监，前海联合基金管理有限公司督察长，中天国富证券有限公司总裁助理兼法律合</w:t>
      </w:r>
      <w:proofErr w:type="gramStart"/>
      <w:r>
        <w:rPr>
          <w:rFonts w:ascii="宋体" w:hAnsi="宋体" w:hint="eastAsia"/>
          <w:color w:val="000000"/>
          <w:kern w:val="0"/>
          <w:sz w:val="24"/>
        </w:rPr>
        <w:t>规</w:t>
      </w:r>
      <w:proofErr w:type="gramEnd"/>
      <w:r>
        <w:rPr>
          <w:rFonts w:ascii="宋体" w:hAnsi="宋体" w:hint="eastAsia"/>
          <w:color w:val="000000"/>
          <w:kern w:val="0"/>
          <w:sz w:val="24"/>
        </w:rPr>
        <w:t>部总经理。现任富荣基金管理有限公司督察长。</w:t>
      </w:r>
    </w:p>
    <w:p w14:paraId="180CCAB3"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郑宇光先生，总经理助理，上海交通大学MBA硕士。历任平安资产管理有限责任公司交易部/投资管理部经理，太平资产管理有限责任公司固定收益部投资经理，上投摩根基金管理有限公司专户管理部投资经理，中</w:t>
      </w:r>
      <w:proofErr w:type="gramStart"/>
      <w:r>
        <w:rPr>
          <w:rFonts w:ascii="宋体" w:hAnsi="宋体" w:hint="eastAsia"/>
          <w:color w:val="000000"/>
          <w:kern w:val="0"/>
          <w:sz w:val="24"/>
        </w:rPr>
        <w:t>信保诚基金</w:t>
      </w:r>
      <w:proofErr w:type="gramEnd"/>
      <w:r>
        <w:rPr>
          <w:rFonts w:ascii="宋体" w:hAnsi="宋体" w:hint="eastAsia"/>
          <w:color w:val="000000"/>
          <w:kern w:val="0"/>
          <w:sz w:val="24"/>
        </w:rPr>
        <w:t>管理有限公司固定收益部投资经理、总监助理，长江证券资产管理有限责任公司投资经理，上海勤远投资管理中心（有限合伙）量化研究总监基金经理，</w:t>
      </w:r>
      <w:proofErr w:type="gramStart"/>
      <w:r>
        <w:rPr>
          <w:rFonts w:ascii="宋体" w:hAnsi="宋体" w:hint="eastAsia"/>
          <w:color w:val="000000"/>
          <w:kern w:val="0"/>
          <w:sz w:val="24"/>
        </w:rPr>
        <w:t>泰信基金</w:t>
      </w:r>
      <w:proofErr w:type="gramEnd"/>
      <w:r>
        <w:rPr>
          <w:rFonts w:ascii="宋体" w:hAnsi="宋体" w:hint="eastAsia"/>
          <w:color w:val="000000"/>
          <w:kern w:val="0"/>
          <w:sz w:val="24"/>
        </w:rPr>
        <w:t>管理有限公司专户投资部副总监，</w:t>
      </w:r>
      <w:proofErr w:type="gramStart"/>
      <w:r>
        <w:rPr>
          <w:rFonts w:ascii="宋体" w:hAnsi="宋体" w:hint="eastAsia"/>
          <w:color w:val="000000"/>
          <w:kern w:val="0"/>
          <w:sz w:val="24"/>
        </w:rPr>
        <w:t>固收投资部基金</w:t>
      </w:r>
      <w:proofErr w:type="gramEnd"/>
      <w:r>
        <w:rPr>
          <w:rFonts w:ascii="宋体" w:hAnsi="宋体" w:hint="eastAsia"/>
          <w:color w:val="000000"/>
          <w:kern w:val="0"/>
          <w:sz w:val="24"/>
        </w:rPr>
        <w:t>经理、总监。现任富荣基金管理有限公司总经理助理、基金经理。</w:t>
      </w:r>
    </w:p>
    <w:p w14:paraId="3DC8F2EB"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赵睿杨女士，总经理助理，对外经济贸易大学会计学硕士研究生。历任合生创展集团有限公司集团财务与投资中心上市核算管理师、投资分析副经理，</w:t>
      </w:r>
      <w:proofErr w:type="gramStart"/>
      <w:r>
        <w:rPr>
          <w:rFonts w:ascii="宋体" w:hAnsi="宋体" w:hint="eastAsia"/>
          <w:color w:val="000000"/>
          <w:kern w:val="0"/>
          <w:sz w:val="24"/>
        </w:rPr>
        <w:t>慧富恒</w:t>
      </w:r>
      <w:proofErr w:type="gramEnd"/>
      <w:r>
        <w:rPr>
          <w:rFonts w:ascii="宋体" w:hAnsi="宋体" w:hint="eastAsia"/>
          <w:color w:val="000000"/>
          <w:kern w:val="0"/>
          <w:sz w:val="24"/>
        </w:rPr>
        <w:t>泰（北京）基金管理有限公司投融资一部总经理，北信瑞丰基金管理有限公司市场部</w:t>
      </w:r>
      <w:r>
        <w:rPr>
          <w:rFonts w:ascii="宋体" w:hAnsi="宋体" w:hint="eastAsia"/>
          <w:color w:val="000000"/>
          <w:kern w:val="0"/>
          <w:sz w:val="24"/>
        </w:rPr>
        <w:lastRenderedPageBreak/>
        <w:t>高级经理、市场部总监助理、渠道部副总监、渠道部总监、专</w:t>
      </w:r>
      <w:proofErr w:type="gramStart"/>
      <w:r>
        <w:rPr>
          <w:rFonts w:ascii="宋体" w:hAnsi="宋体" w:hint="eastAsia"/>
          <w:color w:val="000000"/>
          <w:kern w:val="0"/>
          <w:sz w:val="24"/>
        </w:rPr>
        <w:t>户机构</w:t>
      </w:r>
      <w:proofErr w:type="gramEnd"/>
      <w:r>
        <w:rPr>
          <w:rFonts w:ascii="宋体" w:hAnsi="宋体" w:hint="eastAsia"/>
          <w:color w:val="000000"/>
          <w:kern w:val="0"/>
          <w:sz w:val="24"/>
        </w:rPr>
        <w:t>部总监、市场总监、公司总经理助理。现任富荣基金管理有限公司总经理助理，兼任北京分公司总经理。</w:t>
      </w:r>
    </w:p>
    <w:p w14:paraId="611BFC8F"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4、本</w:t>
      </w:r>
      <w:proofErr w:type="gramStart"/>
      <w:r>
        <w:rPr>
          <w:rFonts w:ascii="宋体" w:hAnsi="宋体" w:hint="eastAsia"/>
          <w:color w:val="000000"/>
          <w:kern w:val="0"/>
          <w:sz w:val="24"/>
        </w:rPr>
        <w:t>基金基金</w:t>
      </w:r>
      <w:proofErr w:type="gramEnd"/>
      <w:r>
        <w:rPr>
          <w:rFonts w:ascii="宋体" w:hAnsi="宋体" w:hint="eastAsia"/>
          <w:color w:val="000000"/>
          <w:kern w:val="0"/>
          <w:sz w:val="24"/>
        </w:rPr>
        <w:t>经理</w:t>
      </w:r>
    </w:p>
    <w:p w14:paraId="09B4D5F7" w14:textId="77777777" w:rsidR="00566744" w:rsidRDefault="00000000">
      <w:pPr>
        <w:adjustRightInd w:val="0"/>
        <w:snapToGrid w:val="0"/>
        <w:spacing w:line="360" w:lineRule="auto"/>
        <w:ind w:firstLineChars="200" w:firstLine="480"/>
        <w:rPr>
          <w:color w:val="000000"/>
          <w:sz w:val="24"/>
          <w:shd w:val="clear" w:color="auto" w:fill="FFFFFF"/>
        </w:rPr>
      </w:pPr>
      <w:r>
        <w:rPr>
          <w:rFonts w:hint="eastAsia"/>
          <w:color w:val="000000"/>
          <w:sz w:val="24"/>
          <w:shd w:val="clear" w:color="auto" w:fill="FFFFFF"/>
        </w:rPr>
        <w:t>龚克寒先生，里海大学分析金融硕士。曾任天风证券股份有限公司研究员及债券投资经理，泰康养老保险股份有限公司投资管理部信用评估岗</w:t>
      </w:r>
      <w:r>
        <w:rPr>
          <w:rFonts w:hint="eastAsia"/>
          <w:color w:val="000000"/>
          <w:sz w:val="24"/>
          <w:shd w:val="clear" w:color="auto" w:fill="FFFFFF"/>
        </w:rPr>
        <w:t>(</w:t>
      </w:r>
      <w:r>
        <w:rPr>
          <w:rFonts w:hint="eastAsia"/>
          <w:color w:val="000000"/>
          <w:sz w:val="24"/>
          <w:shd w:val="clear" w:color="auto" w:fill="FFFFFF"/>
        </w:rPr>
        <w:t>高级经理</w:t>
      </w:r>
      <w:r>
        <w:rPr>
          <w:rFonts w:hint="eastAsia"/>
          <w:color w:val="000000"/>
          <w:sz w:val="24"/>
          <w:shd w:val="clear" w:color="auto" w:fill="FFFFFF"/>
        </w:rPr>
        <w:t>)</w:t>
      </w:r>
      <w:r>
        <w:rPr>
          <w:rFonts w:hint="eastAsia"/>
          <w:color w:val="000000"/>
          <w:sz w:val="24"/>
          <w:shd w:val="clear" w:color="auto" w:fill="FFFFFF"/>
        </w:rPr>
        <w:t>，中国人</w:t>
      </w:r>
      <w:proofErr w:type="gramStart"/>
      <w:r>
        <w:rPr>
          <w:rFonts w:hint="eastAsia"/>
          <w:color w:val="000000"/>
          <w:sz w:val="24"/>
          <w:shd w:val="clear" w:color="auto" w:fill="FFFFFF"/>
        </w:rPr>
        <w:t>保资产</w:t>
      </w:r>
      <w:proofErr w:type="gramEnd"/>
      <w:r>
        <w:rPr>
          <w:rFonts w:hint="eastAsia"/>
          <w:color w:val="000000"/>
          <w:sz w:val="24"/>
          <w:shd w:val="clear" w:color="auto" w:fill="FFFFFF"/>
        </w:rPr>
        <w:t>管理有限公司公</w:t>
      </w:r>
      <w:proofErr w:type="gramStart"/>
      <w:r>
        <w:rPr>
          <w:rFonts w:hint="eastAsia"/>
          <w:color w:val="000000"/>
          <w:sz w:val="24"/>
          <w:shd w:val="clear" w:color="auto" w:fill="FFFFFF"/>
        </w:rPr>
        <w:t>募基金</w:t>
      </w:r>
      <w:proofErr w:type="gramEnd"/>
      <w:r>
        <w:rPr>
          <w:rFonts w:hint="eastAsia"/>
          <w:color w:val="000000"/>
          <w:sz w:val="24"/>
          <w:shd w:val="clear" w:color="auto" w:fill="FFFFFF"/>
        </w:rPr>
        <w:t>事业部高级主管，富</w:t>
      </w:r>
      <w:proofErr w:type="gramStart"/>
      <w:r>
        <w:rPr>
          <w:rFonts w:hint="eastAsia"/>
          <w:color w:val="000000"/>
          <w:sz w:val="24"/>
          <w:shd w:val="clear" w:color="auto" w:fill="FFFFFF"/>
        </w:rPr>
        <w:t>荣基金</w:t>
      </w:r>
      <w:proofErr w:type="gramEnd"/>
      <w:r>
        <w:rPr>
          <w:rFonts w:hint="eastAsia"/>
          <w:color w:val="000000"/>
          <w:sz w:val="24"/>
          <w:shd w:val="clear" w:color="auto" w:fill="FFFFFF"/>
        </w:rPr>
        <w:t>管理有限公司固定收益</w:t>
      </w:r>
      <w:proofErr w:type="gramStart"/>
      <w:r>
        <w:rPr>
          <w:rFonts w:hint="eastAsia"/>
          <w:color w:val="000000"/>
          <w:sz w:val="24"/>
          <w:shd w:val="clear" w:color="auto" w:fill="FFFFFF"/>
        </w:rPr>
        <w:t>部基金</w:t>
      </w:r>
      <w:proofErr w:type="gramEnd"/>
      <w:r>
        <w:rPr>
          <w:rFonts w:hint="eastAsia"/>
          <w:color w:val="000000"/>
          <w:sz w:val="24"/>
          <w:shd w:val="clear" w:color="auto" w:fill="FFFFFF"/>
        </w:rPr>
        <w:t>经理助理。现任富</w:t>
      </w:r>
      <w:proofErr w:type="gramStart"/>
      <w:r>
        <w:rPr>
          <w:rFonts w:hint="eastAsia"/>
          <w:color w:val="000000"/>
          <w:sz w:val="24"/>
          <w:shd w:val="clear" w:color="auto" w:fill="FFFFFF"/>
        </w:rPr>
        <w:t>荣基金</w:t>
      </w:r>
      <w:proofErr w:type="gramEnd"/>
      <w:r>
        <w:rPr>
          <w:rFonts w:hint="eastAsia"/>
          <w:color w:val="000000"/>
          <w:sz w:val="24"/>
          <w:shd w:val="clear" w:color="auto" w:fill="FFFFFF"/>
        </w:rPr>
        <w:t>管理有限公司富荣中短债债券型证券投资</w:t>
      </w:r>
      <w:proofErr w:type="gramStart"/>
      <w:r>
        <w:rPr>
          <w:rFonts w:hint="eastAsia"/>
          <w:color w:val="000000"/>
          <w:sz w:val="24"/>
          <w:shd w:val="clear" w:color="auto" w:fill="FFFFFF"/>
        </w:rPr>
        <w:t>基金基金</w:t>
      </w:r>
      <w:proofErr w:type="gramEnd"/>
      <w:r>
        <w:rPr>
          <w:rFonts w:hint="eastAsia"/>
          <w:color w:val="000000"/>
          <w:sz w:val="24"/>
          <w:shd w:val="clear" w:color="auto" w:fill="FFFFFF"/>
        </w:rPr>
        <w:t>经理（自</w:t>
      </w:r>
      <w:r>
        <w:rPr>
          <w:rFonts w:hint="eastAsia"/>
          <w:color w:val="000000"/>
          <w:sz w:val="24"/>
          <w:shd w:val="clear" w:color="auto" w:fill="FFFFFF"/>
        </w:rPr>
        <w:t>2023</w:t>
      </w:r>
      <w:r>
        <w:rPr>
          <w:rFonts w:hint="eastAsia"/>
          <w:color w:val="000000"/>
          <w:sz w:val="24"/>
          <w:shd w:val="clear" w:color="auto" w:fill="FFFFFF"/>
        </w:rPr>
        <w:t>年</w:t>
      </w:r>
      <w:r>
        <w:rPr>
          <w:rFonts w:hint="eastAsia"/>
          <w:color w:val="000000"/>
          <w:sz w:val="24"/>
          <w:shd w:val="clear" w:color="auto" w:fill="FFFFFF"/>
        </w:rPr>
        <w:t>4</w:t>
      </w:r>
      <w:r>
        <w:rPr>
          <w:rFonts w:hint="eastAsia"/>
          <w:color w:val="000000"/>
          <w:sz w:val="24"/>
          <w:shd w:val="clear" w:color="auto" w:fill="FFFFFF"/>
        </w:rPr>
        <w:t>月</w:t>
      </w:r>
      <w:r>
        <w:rPr>
          <w:rFonts w:hint="eastAsia"/>
          <w:color w:val="000000"/>
          <w:sz w:val="24"/>
          <w:shd w:val="clear" w:color="auto" w:fill="FFFFFF"/>
        </w:rPr>
        <w:t>19</w:t>
      </w:r>
      <w:r>
        <w:rPr>
          <w:rFonts w:hint="eastAsia"/>
          <w:color w:val="000000"/>
          <w:sz w:val="24"/>
          <w:shd w:val="clear" w:color="auto" w:fill="FFFFFF"/>
        </w:rPr>
        <w:t>日起任职）、富荣富</w:t>
      </w:r>
      <w:proofErr w:type="gramStart"/>
      <w:r>
        <w:rPr>
          <w:rFonts w:hint="eastAsia"/>
          <w:color w:val="000000"/>
          <w:sz w:val="24"/>
          <w:shd w:val="clear" w:color="auto" w:fill="FFFFFF"/>
        </w:rPr>
        <w:t>恒</w:t>
      </w:r>
      <w:proofErr w:type="gramEnd"/>
      <w:r>
        <w:rPr>
          <w:rFonts w:hint="eastAsia"/>
          <w:color w:val="000000"/>
          <w:sz w:val="24"/>
          <w:shd w:val="clear" w:color="auto" w:fill="FFFFFF"/>
        </w:rPr>
        <w:t>两年定期开放债券型证券投资基金（自</w:t>
      </w:r>
      <w:r>
        <w:rPr>
          <w:rFonts w:hint="eastAsia"/>
          <w:color w:val="000000"/>
          <w:sz w:val="24"/>
          <w:shd w:val="clear" w:color="auto" w:fill="FFFFFF"/>
        </w:rPr>
        <w:t>2024</w:t>
      </w:r>
      <w:r>
        <w:rPr>
          <w:rFonts w:hint="eastAsia"/>
          <w:color w:val="000000"/>
          <w:sz w:val="24"/>
          <w:shd w:val="clear" w:color="auto" w:fill="FFFFFF"/>
        </w:rPr>
        <w:t>年</w:t>
      </w:r>
      <w:r>
        <w:rPr>
          <w:rFonts w:hint="eastAsia"/>
          <w:color w:val="000000"/>
          <w:sz w:val="24"/>
          <w:shd w:val="clear" w:color="auto" w:fill="FFFFFF"/>
        </w:rPr>
        <w:t>4</w:t>
      </w:r>
      <w:r>
        <w:rPr>
          <w:rFonts w:hint="eastAsia"/>
          <w:color w:val="000000"/>
          <w:sz w:val="24"/>
          <w:shd w:val="clear" w:color="auto" w:fill="FFFFFF"/>
        </w:rPr>
        <w:t>月</w:t>
      </w:r>
      <w:r>
        <w:rPr>
          <w:rFonts w:hint="eastAsia"/>
          <w:color w:val="000000"/>
          <w:sz w:val="24"/>
          <w:shd w:val="clear" w:color="auto" w:fill="FFFFFF"/>
        </w:rPr>
        <w:t>18</w:t>
      </w:r>
      <w:r>
        <w:rPr>
          <w:rFonts w:hint="eastAsia"/>
          <w:color w:val="000000"/>
          <w:sz w:val="24"/>
          <w:shd w:val="clear" w:color="auto" w:fill="FFFFFF"/>
        </w:rPr>
        <w:t>日起任职）、富荣货币市场基金（自</w:t>
      </w:r>
      <w:r>
        <w:rPr>
          <w:rFonts w:hint="eastAsia"/>
          <w:color w:val="000000"/>
          <w:sz w:val="24"/>
          <w:shd w:val="clear" w:color="auto" w:fill="FFFFFF"/>
        </w:rPr>
        <w:t>2024</w:t>
      </w:r>
      <w:r>
        <w:rPr>
          <w:rFonts w:hint="eastAsia"/>
          <w:color w:val="000000"/>
          <w:sz w:val="24"/>
          <w:shd w:val="clear" w:color="auto" w:fill="FFFFFF"/>
        </w:rPr>
        <w:t>年</w:t>
      </w:r>
      <w:r>
        <w:rPr>
          <w:rFonts w:hint="eastAsia"/>
          <w:color w:val="000000"/>
          <w:sz w:val="24"/>
          <w:shd w:val="clear" w:color="auto" w:fill="FFFFFF"/>
        </w:rPr>
        <w:t>7</w:t>
      </w:r>
      <w:r>
        <w:rPr>
          <w:rFonts w:hint="eastAsia"/>
          <w:color w:val="000000"/>
          <w:sz w:val="24"/>
          <w:shd w:val="clear" w:color="auto" w:fill="FFFFFF"/>
        </w:rPr>
        <w:t>月</w:t>
      </w:r>
      <w:r>
        <w:rPr>
          <w:rFonts w:hint="eastAsia"/>
          <w:color w:val="000000"/>
          <w:sz w:val="24"/>
          <w:shd w:val="clear" w:color="auto" w:fill="FFFFFF"/>
        </w:rPr>
        <w:t>17</w:t>
      </w:r>
      <w:r>
        <w:rPr>
          <w:rFonts w:hint="eastAsia"/>
          <w:color w:val="000000"/>
          <w:sz w:val="24"/>
          <w:shd w:val="clear" w:color="auto" w:fill="FFFFFF"/>
        </w:rPr>
        <w:t>日起任职）、富荣富</w:t>
      </w:r>
      <w:proofErr w:type="gramStart"/>
      <w:r>
        <w:rPr>
          <w:rFonts w:hint="eastAsia"/>
          <w:color w:val="000000"/>
          <w:sz w:val="24"/>
          <w:shd w:val="clear" w:color="auto" w:fill="FFFFFF"/>
        </w:rPr>
        <w:t>祥纯债</w:t>
      </w:r>
      <w:proofErr w:type="gramEnd"/>
      <w:r>
        <w:rPr>
          <w:rFonts w:hint="eastAsia"/>
          <w:color w:val="000000"/>
          <w:sz w:val="24"/>
          <w:shd w:val="clear" w:color="auto" w:fill="FFFFFF"/>
        </w:rPr>
        <w:t>债券型证券投资基金（自</w:t>
      </w:r>
      <w:r>
        <w:rPr>
          <w:rFonts w:hint="eastAsia"/>
          <w:color w:val="000000"/>
          <w:sz w:val="24"/>
          <w:shd w:val="clear" w:color="auto" w:fill="FFFFFF"/>
        </w:rPr>
        <w:t>2025</w:t>
      </w:r>
      <w:r>
        <w:rPr>
          <w:rFonts w:hint="eastAsia"/>
          <w:color w:val="000000"/>
          <w:sz w:val="24"/>
          <w:shd w:val="clear" w:color="auto" w:fill="FFFFFF"/>
        </w:rPr>
        <w:t>年</w:t>
      </w:r>
      <w:r>
        <w:rPr>
          <w:rFonts w:hint="eastAsia"/>
          <w:color w:val="000000"/>
          <w:sz w:val="24"/>
          <w:shd w:val="clear" w:color="auto" w:fill="FFFFFF"/>
        </w:rPr>
        <w:t>6</w:t>
      </w:r>
      <w:r>
        <w:rPr>
          <w:rFonts w:hint="eastAsia"/>
          <w:color w:val="000000"/>
          <w:sz w:val="24"/>
          <w:shd w:val="clear" w:color="auto" w:fill="FFFFFF"/>
        </w:rPr>
        <w:t>月</w:t>
      </w:r>
      <w:r>
        <w:rPr>
          <w:rFonts w:hint="eastAsia"/>
          <w:color w:val="000000"/>
          <w:sz w:val="24"/>
          <w:shd w:val="clear" w:color="auto" w:fill="FFFFFF"/>
        </w:rPr>
        <w:t>9</w:t>
      </w:r>
      <w:r>
        <w:rPr>
          <w:rFonts w:hint="eastAsia"/>
          <w:color w:val="000000"/>
          <w:sz w:val="24"/>
          <w:shd w:val="clear" w:color="auto" w:fill="FFFFFF"/>
        </w:rPr>
        <w:t>日起任职）。</w:t>
      </w:r>
    </w:p>
    <w:p w14:paraId="79811A4D" w14:textId="77777777" w:rsidR="00566744" w:rsidRDefault="00000000">
      <w:pPr>
        <w:adjustRightInd w:val="0"/>
        <w:snapToGrid w:val="0"/>
        <w:spacing w:line="360" w:lineRule="auto"/>
        <w:ind w:firstLineChars="200" w:firstLine="480"/>
        <w:rPr>
          <w:color w:val="000000"/>
          <w:sz w:val="24"/>
          <w:shd w:val="clear" w:color="auto" w:fill="FFFFFF"/>
        </w:rPr>
      </w:pPr>
      <w:r>
        <w:rPr>
          <w:rFonts w:hint="eastAsia"/>
          <w:color w:val="000000"/>
          <w:sz w:val="24"/>
          <w:shd w:val="clear" w:color="auto" w:fill="FFFFFF"/>
        </w:rPr>
        <w:t>历任基金经理：贺翔（自</w:t>
      </w:r>
      <w:r>
        <w:rPr>
          <w:rFonts w:hint="eastAsia"/>
          <w:color w:val="000000"/>
          <w:sz w:val="24"/>
          <w:shd w:val="clear" w:color="auto" w:fill="FFFFFF"/>
        </w:rPr>
        <w:t>2016</w:t>
      </w:r>
      <w:r>
        <w:rPr>
          <w:rFonts w:hint="eastAsia"/>
          <w:color w:val="000000"/>
          <w:sz w:val="24"/>
          <w:shd w:val="clear" w:color="auto" w:fill="FFFFFF"/>
        </w:rPr>
        <w:t>年</w:t>
      </w:r>
      <w:r>
        <w:rPr>
          <w:rFonts w:hint="eastAsia"/>
          <w:color w:val="000000"/>
          <w:sz w:val="24"/>
          <w:shd w:val="clear" w:color="auto" w:fill="FFFFFF"/>
        </w:rPr>
        <w:t>12</w:t>
      </w:r>
      <w:r>
        <w:rPr>
          <w:rFonts w:hint="eastAsia"/>
          <w:color w:val="000000"/>
          <w:sz w:val="24"/>
          <w:shd w:val="clear" w:color="auto" w:fill="FFFFFF"/>
        </w:rPr>
        <w:t>月</w:t>
      </w:r>
      <w:r>
        <w:rPr>
          <w:rFonts w:hint="eastAsia"/>
          <w:color w:val="000000"/>
          <w:sz w:val="24"/>
          <w:shd w:val="clear" w:color="auto" w:fill="FFFFFF"/>
        </w:rPr>
        <w:t>26</w:t>
      </w:r>
      <w:r>
        <w:rPr>
          <w:rFonts w:hint="eastAsia"/>
          <w:color w:val="000000"/>
          <w:sz w:val="24"/>
          <w:shd w:val="clear" w:color="auto" w:fill="FFFFFF"/>
        </w:rPr>
        <w:t>日至</w:t>
      </w:r>
      <w:r>
        <w:rPr>
          <w:rFonts w:hint="eastAsia"/>
          <w:color w:val="000000"/>
          <w:sz w:val="24"/>
          <w:shd w:val="clear" w:color="auto" w:fill="FFFFFF"/>
        </w:rPr>
        <w:t>2017</w:t>
      </w:r>
      <w:r>
        <w:rPr>
          <w:rFonts w:hint="eastAsia"/>
          <w:color w:val="000000"/>
          <w:sz w:val="24"/>
          <w:shd w:val="clear" w:color="auto" w:fill="FFFFFF"/>
        </w:rPr>
        <w:t>年</w:t>
      </w:r>
      <w:r>
        <w:rPr>
          <w:rFonts w:hint="eastAsia"/>
          <w:color w:val="000000"/>
          <w:sz w:val="24"/>
          <w:shd w:val="clear" w:color="auto" w:fill="FFFFFF"/>
        </w:rPr>
        <w:t>7</w:t>
      </w:r>
      <w:r>
        <w:rPr>
          <w:rFonts w:hint="eastAsia"/>
          <w:color w:val="000000"/>
          <w:sz w:val="24"/>
          <w:shd w:val="clear" w:color="auto" w:fill="FFFFFF"/>
        </w:rPr>
        <w:t>月</w:t>
      </w:r>
      <w:r>
        <w:rPr>
          <w:rFonts w:hint="eastAsia"/>
          <w:color w:val="000000"/>
          <w:sz w:val="24"/>
          <w:shd w:val="clear" w:color="auto" w:fill="FFFFFF"/>
        </w:rPr>
        <w:t>7</w:t>
      </w:r>
      <w:r>
        <w:rPr>
          <w:rFonts w:hint="eastAsia"/>
          <w:color w:val="000000"/>
          <w:sz w:val="24"/>
          <w:shd w:val="clear" w:color="auto" w:fill="FFFFFF"/>
        </w:rPr>
        <w:t>日）、吕晓蓉（自</w:t>
      </w:r>
      <w:r>
        <w:rPr>
          <w:rFonts w:hint="eastAsia"/>
          <w:color w:val="000000"/>
          <w:sz w:val="24"/>
          <w:shd w:val="clear" w:color="auto" w:fill="FFFFFF"/>
        </w:rPr>
        <w:t>2017</w:t>
      </w:r>
      <w:r>
        <w:rPr>
          <w:rFonts w:hint="eastAsia"/>
          <w:color w:val="000000"/>
          <w:sz w:val="24"/>
          <w:shd w:val="clear" w:color="auto" w:fill="FFFFFF"/>
        </w:rPr>
        <w:t>年</w:t>
      </w:r>
      <w:r>
        <w:rPr>
          <w:rFonts w:hint="eastAsia"/>
          <w:color w:val="000000"/>
          <w:sz w:val="24"/>
          <w:shd w:val="clear" w:color="auto" w:fill="FFFFFF"/>
        </w:rPr>
        <w:t>7</w:t>
      </w:r>
      <w:r>
        <w:rPr>
          <w:rFonts w:hint="eastAsia"/>
          <w:color w:val="000000"/>
          <w:sz w:val="24"/>
          <w:shd w:val="clear" w:color="auto" w:fill="FFFFFF"/>
        </w:rPr>
        <w:t>月</w:t>
      </w:r>
      <w:r>
        <w:rPr>
          <w:rFonts w:hint="eastAsia"/>
          <w:color w:val="000000"/>
          <w:sz w:val="24"/>
          <w:shd w:val="clear" w:color="auto" w:fill="FFFFFF"/>
        </w:rPr>
        <w:t>7</w:t>
      </w:r>
      <w:r>
        <w:rPr>
          <w:rFonts w:hint="eastAsia"/>
          <w:color w:val="000000"/>
          <w:sz w:val="24"/>
          <w:shd w:val="clear" w:color="auto" w:fill="FFFFFF"/>
        </w:rPr>
        <w:t>日至</w:t>
      </w:r>
      <w:r>
        <w:rPr>
          <w:rFonts w:hint="eastAsia"/>
          <w:color w:val="000000"/>
          <w:sz w:val="24"/>
          <w:shd w:val="clear" w:color="auto" w:fill="FFFFFF"/>
        </w:rPr>
        <w:t>2022</w:t>
      </w:r>
      <w:r>
        <w:rPr>
          <w:rFonts w:hint="eastAsia"/>
          <w:color w:val="000000"/>
          <w:sz w:val="24"/>
          <w:shd w:val="clear" w:color="auto" w:fill="FFFFFF"/>
        </w:rPr>
        <w:t>年</w:t>
      </w:r>
      <w:r>
        <w:rPr>
          <w:rFonts w:hint="eastAsia"/>
          <w:color w:val="000000"/>
          <w:sz w:val="24"/>
          <w:shd w:val="clear" w:color="auto" w:fill="FFFFFF"/>
        </w:rPr>
        <w:t>3</w:t>
      </w:r>
      <w:r>
        <w:rPr>
          <w:rFonts w:hint="eastAsia"/>
          <w:color w:val="000000"/>
          <w:sz w:val="24"/>
          <w:shd w:val="clear" w:color="auto" w:fill="FFFFFF"/>
        </w:rPr>
        <w:t>月</w:t>
      </w:r>
      <w:r>
        <w:rPr>
          <w:rFonts w:hint="eastAsia"/>
          <w:color w:val="000000"/>
          <w:sz w:val="24"/>
          <w:shd w:val="clear" w:color="auto" w:fill="FFFFFF"/>
        </w:rPr>
        <w:t>21</w:t>
      </w:r>
      <w:r>
        <w:rPr>
          <w:rFonts w:hint="eastAsia"/>
          <w:color w:val="000000"/>
          <w:sz w:val="24"/>
          <w:shd w:val="clear" w:color="auto" w:fill="FFFFFF"/>
        </w:rPr>
        <w:t>日）、唐奥（自</w:t>
      </w:r>
      <w:r>
        <w:rPr>
          <w:rFonts w:hint="eastAsia"/>
          <w:color w:val="000000"/>
          <w:sz w:val="24"/>
          <w:shd w:val="clear" w:color="auto" w:fill="FFFFFF"/>
        </w:rPr>
        <w:t>2021</w:t>
      </w:r>
      <w:r>
        <w:rPr>
          <w:rFonts w:hint="eastAsia"/>
          <w:color w:val="000000"/>
          <w:sz w:val="24"/>
          <w:shd w:val="clear" w:color="auto" w:fill="FFFFFF"/>
        </w:rPr>
        <w:t>年</w:t>
      </w:r>
      <w:r>
        <w:rPr>
          <w:rFonts w:hint="eastAsia"/>
          <w:color w:val="000000"/>
          <w:sz w:val="24"/>
          <w:shd w:val="clear" w:color="auto" w:fill="FFFFFF"/>
        </w:rPr>
        <w:t>10</w:t>
      </w:r>
      <w:r>
        <w:rPr>
          <w:rFonts w:hint="eastAsia"/>
          <w:color w:val="000000"/>
          <w:sz w:val="24"/>
          <w:shd w:val="clear" w:color="auto" w:fill="FFFFFF"/>
        </w:rPr>
        <w:t>月</w:t>
      </w:r>
      <w:r>
        <w:rPr>
          <w:rFonts w:hint="eastAsia"/>
          <w:color w:val="000000"/>
          <w:sz w:val="24"/>
          <w:shd w:val="clear" w:color="auto" w:fill="FFFFFF"/>
        </w:rPr>
        <w:t>21</w:t>
      </w:r>
      <w:r>
        <w:rPr>
          <w:rFonts w:hint="eastAsia"/>
          <w:color w:val="000000"/>
          <w:sz w:val="24"/>
          <w:shd w:val="clear" w:color="auto" w:fill="FFFFFF"/>
        </w:rPr>
        <w:t>日至</w:t>
      </w:r>
      <w:r>
        <w:rPr>
          <w:rFonts w:hint="eastAsia"/>
          <w:color w:val="000000"/>
          <w:sz w:val="24"/>
          <w:shd w:val="clear" w:color="auto" w:fill="FFFFFF"/>
        </w:rPr>
        <w:t>2023</w:t>
      </w:r>
      <w:r>
        <w:rPr>
          <w:rFonts w:hint="eastAsia"/>
          <w:color w:val="000000"/>
          <w:sz w:val="24"/>
          <w:shd w:val="clear" w:color="auto" w:fill="FFFFFF"/>
        </w:rPr>
        <w:t>年</w:t>
      </w:r>
      <w:r>
        <w:rPr>
          <w:rFonts w:hint="eastAsia"/>
          <w:color w:val="000000"/>
          <w:sz w:val="24"/>
          <w:shd w:val="clear" w:color="auto" w:fill="FFFFFF"/>
        </w:rPr>
        <w:t>1</w:t>
      </w:r>
      <w:r>
        <w:rPr>
          <w:rFonts w:hint="eastAsia"/>
          <w:color w:val="000000"/>
          <w:sz w:val="24"/>
          <w:shd w:val="clear" w:color="auto" w:fill="FFFFFF"/>
        </w:rPr>
        <w:t>月</w:t>
      </w:r>
      <w:r>
        <w:rPr>
          <w:rFonts w:hint="eastAsia"/>
          <w:color w:val="000000"/>
          <w:sz w:val="24"/>
          <w:shd w:val="clear" w:color="auto" w:fill="FFFFFF"/>
        </w:rPr>
        <w:t>15</w:t>
      </w:r>
      <w:r>
        <w:rPr>
          <w:rFonts w:hint="eastAsia"/>
          <w:color w:val="000000"/>
          <w:sz w:val="24"/>
          <w:shd w:val="clear" w:color="auto" w:fill="FFFFFF"/>
        </w:rPr>
        <w:t>日）、王丹（自</w:t>
      </w:r>
      <w:r>
        <w:rPr>
          <w:rFonts w:hint="eastAsia"/>
          <w:color w:val="000000"/>
          <w:sz w:val="24"/>
          <w:shd w:val="clear" w:color="auto" w:fill="FFFFFF"/>
        </w:rPr>
        <w:t>2019</w:t>
      </w:r>
      <w:r>
        <w:rPr>
          <w:rFonts w:hint="eastAsia"/>
          <w:color w:val="000000"/>
          <w:sz w:val="24"/>
          <w:shd w:val="clear" w:color="auto" w:fill="FFFFFF"/>
        </w:rPr>
        <w:t>年</w:t>
      </w:r>
      <w:r>
        <w:rPr>
          <w:rFonts w:hint="eastAsia"/>
          <w:color w:val="000000"/>
          <w:sz w:val="24"/>
          <w:shd w:val="clear" w:color="auto" w:fill="FFFFFF"/>
        </w:rPr>
        <w:t>8</w:t>
      </w:r>
      <w:r>
        <w:rPr>
          <w:rFonts w:hint="eastAsia"/>
          <w:color w:val="000000"/>
          <w:sz w:val="24"/>
          <w:shd w:val="clear" w:color="auto" w:fill="FFFFFF"/>
        </w:rPr>
        <w:t>月</w:t>
      </w:r>
      <w:r>
        <w:rPr>
          <w:rFonts w:hint="eastAsia"/>
          <w:color w:val="000000"/>
          <w:sz w:val="24"/>
          <w:shd w:val="clear" w:color="auto" w:fill="FFFFFF"/>
        </w:rPr>
        <w:t>12</w:t>
      </w:r>
      <w:r>
        <w:rPr>
          <w:rFonts w:hint="eastAsia"/>
          <w:color w:val="000000"/>
          <w:sz w:val="24"/>
          <w:shd w:val="clear" w:color="auto" w:fill="FFFFFF"/>
        </w:rPr>
        <w:t>日至</w:t>
      </w:r>
      <w:r>
        <w:rPr>
          <w:rFonts w:hint="eastAsia"/>
          <w:color w:val="000000"/>
          <w:sz w:val="24"/>
          <w:shd w:val="clear" w:color="auto" w:fill="FFFFFF"/>
        </w:rPr>
        <w:t>2024</w:t>
      </w:r>
      <w:r>
        <w:rPr>
          <w:rFonts w:hint="eastAsia"/>
          <w:color w:val="000000"/>
          <w:sz w:val="24"/>
          <w:shd w:val="clear" w:color="auto" w:fill="FFFFFF"/>
        </w:rPr>
        <w:t>年</w:t>
      </w:r>
      <w:r>
        <w:rPr>
          <w:rFonts w:hint="eastAsia"/>
          <w:color w:val="000000"/>
          <w:sz w:val="24"/>
          <w:shd w:val="clear" w:color="auto" w:fill="FFFFFF"/>
        </w:rPr>
        <w:t>4</w:t>
      </w:r>
      <w:r>
        <w:rPr>
          <w:rFonts w:hint="eastAsia"/>
          <w:color w:val="000000"/>
          <w:sz w:val="24"/>
          <w:shd w:val="clear" w:color="auto" w:fill="FFFFFF"/>
        </w:rPr>
        <w:t>月</w:t>
      </w:r>
      <w:r>
        <w:rPr>
          <w:rFonts w:hint="eastAsia"/>
          <w:color w:val="000000"/>
          <w:sz w:val="24"/>
          <w:shd w:val="clear" w:color="auto" w:fill="FFFFFF"/>
        </w:rPr>
        <w:t>19</w:t>
      </w:r>
      <w:r>
        <w:rPr>
          <w:rFonts w:hint="eastAsia"/>
          <w:color w:val="000000"/>
          <w:sz w:val="24"/>
          <w:shd w:val="clear" w:color="auto" w:fill="FFFFFF"/>
        </w:rPr>
        <w:t>日）、宋芳（自</w:t>
      </w:r>
      <w:r>
        <w:rPr>
          <w:rFonts w:hint="eastAsia"/>
          <w:color w:val="000000"/>
          <w:sz w:val="24"/>
          <w:shd w:val="clear" w:color="auto" w:fill="FFFFFF"/>
        </w:rPr>
        <w:t>2023</w:t>
      </w:r>
      <w:r>
        <w:rPr>
          <w:rFonts w:hint="eastAsia"/>
          <w:color w:val="000000"/>
          <w:sz w:val="24"/>
          <w:shd w:val="clear" w:color="auto" w:fill="FFFFFF"/>
        </w:rPr>
        <w:t>年</w:t>
      </w:r>
      <w:r>
        <w:rPr>
          <w:rFonts w:hint="eastAsia"/>
          <w:color w:val="000000"/>
          <w:sz w:val="24"/>
          <w:shd w:val="clear" w:color="auto" w:fill="FFFFFF"/>
        </w:rPr>
        <w:t>1</w:t>
      </w:r>
      <w:r>
        <w:rPr>
          <w:rFonts w:hint="eastAsia"/>
          <w:color w:val="000000"/>
          <w:sz w:val="24"/>
          <w:shd w:val="clear" w:color="auto" w:fill="FFFFFF"/>
        </w:rPr>
        <w:t>月</w:t>
      </w:r>
      <w:r>
        <w:rPr>
          <w:rFonts w:hint="eastAsia"/>
          <w:color w:val="000000"/>
          <w:sz w:val="24"/>
          <w:shd w:val="clear" w:color="auto" w:fill="FFFFFF"/>
        </w:rPr>
        <w:t>18</w:t>
      </w:r>
      <w:r>
        <w:rPr>
          <w:rFonts w:hint="eastAsia"/>
          <w:color w:val="000000"/>
          <w:sz w:val="24"/>
          <w:shd w:val="clear" w:color="auto" w:fill="FFFFFF"/>
        </w:rPr>
        <w:t>日至</w:t>
      </w:r>
      <w:r>
        <w:rPr>
          <w:rFonts w:hint="eastAsia"/>
          <w:color w:val="000000"/>
          <w:sz w:val="24"/>
          <w:shd w:val="clear" w:color="auto" w:fill="FFFFFF"/>
        </w:rPr>
        <w:t>2024</w:t>
      </w:r>
      <w:r>
        <w:rPr>
          <w:rFonts w:hint="eastAsia"/>
          <w:color w:val="000000"/>
          <w:sz w:val="24"/>
          <w:shd w:val="clear" w:color="auto" w:fill="FFFFFF"/>
        </w:rPr>
        <w:t>年</w:t>
      </w:r>
      <w:r>
        <w:rPr>
          <w:rFonts w:hint="eastAsia"/>
          <w:color w:val="000000"/>
          <w:sz w:val="24"/>
          <w:shd w:val="clear" w:color="auto" w:fill="FFFFFF"/>
        </w:rPr>
        <w:t>12</w:t>
      </w:r>
      <w:r>
        <w:rPr>
          <w:rFonts w:hint="eastAsia"/>
          <w:color w:val="000000"/>
          <w:sz w:val="24"/>
          <w:shd w:val="clear" w:color="auto" w:fill="FFFFFF"/>
        </w:rPr>
        <w:t>月</w:t>
      </w:r>
      <w:r>
        <w:rPr>
          <w:rFonts w:hint="eastAsia"/>
          <w:color w:val="000000"/>
          <w:sz w:val="24"/>
          <w:shd w:val="clear" w:color="auto" w:fill="FFFFFF"/>
        </w:rPr>
        <w:t>3</w:t>
      </w:r>
      <w:r>
        <w:rPr>
          <w:rFonts w:hint="eastAsia"/>
          <w:color w:val="000000"/>
          <w:sz w:val="24"/>
          <w:shd w:val="clear" w:color="auto" w:fill="FFFFFF"/>
        </w:rPr>
        <w:t>日）、孟飞（自</w:t>
      </w:r>
      <w:r>
        <w:rPr>
          <w:rFonts w:hint="eastAsia"/>
          <w:color w:val="000000"/>
          <w:sz w:val="24"/>
          <w:shd w:val="clear" w:color="auto" w:fill="FFFFFF"/>
        </w:rPr>
        <w:t>2024</w:t>
      </w:r>
      <w:r>
        <w:rPr>
          <w:rFonts w:hint="eastAsia"/>
          <w:color w:val="000000"/>
          <w:sz w:val="24"/>
          <w:shd w:val="clear" w:color="auto" w:fill="FFFFFF"/>
        </w:rPr>
        <w:t>年</w:t>
      </w:r>
      <w:r>
        <w:rPr>
          <w:rFonts w:hint="eastAsia"/>
          <w:color w:val="000000"/>
          <w:sz w:val="24"/>
          <w:shd w:val="clear" w:color="auto" w:fill="FFFFFF"/>
        </w:rPr>
        <w:t>5</w:t>
      </w:r>
      <w:r>
        <w:rPr>
          <w:rFonts w:hint="eastAsia"/>
          <w:color w:val="000000"/>
          <w:sz w:val="24"/>
          <w:shd w:val="clear" w:color="auto" w:fill="FFFFFF"/>
        </w:rPr>
        <w:t>月</w:t>
      </w:r>
      <w:r>
        <w:rPr>
          <w:rFonts w:hint="eastAsia"/>
          <w:color w:val="000000"/>
          <w:sz w:val="24"/>
          <w:shd w:val="clear" w:color="auto" w:fill="FFFFFF"/>
        </w:rPr>
        <w:t>31</w:t>
      </w:r>
      <w:r>
        <w:rPr>
          <w:rFonts w:hint="eastAsia"/>
          <w:color w:val="000000"/>
          <w:sz w:val="24"/>
          <w:shd w:val="clear" w:color="auto" w:fill="FFFFFF"/>
        </w:rPr>
        <w:t>日至</w:t>
      </w:r>
      <w:r>
        <w:rPr>
          <w:rFonts w:hint="eastAsia"/>
          <w:color w:val="000000"/>
          <w:sz w:val="24"/>
          <w:shd w:val="clear" w:color="auto" w:fill="FFFFFF"/>
        </w:rPr>
        <w:t>2025</w:t>
      </w:r>
      <w:r>
        <w:rPr>
          <w:rFonts w:hint="eastAsia"/>
          <w:color w:val="000000"/>
          <w:sz w:val="24"/>
          <w:shd w:val="clear" w:color="auto" w:fill="FFFFFF"/>
        </w:rPr>
        <w:t>年</w:t>
      </w:r>
      <w:r>
        <w:rPr>
          <w:rFonts w:hint="eastAsia"/>
          <w:color w:val="000000"/>
          <w:sz w:val="24"/>
          <w:shd w:val="clear" w:color="auto" w:fill="FFFFFF"/>
        </w:rPr>
        <w:t>7</w:t>
      </w:r>
      <w:r>
        <w:rPr>
          <w:rFonts w:hint="eastAsia"/>
          <w:color w:val="000000"/>
          <w:sz w:val="24"/>
          <w:shd w:val="clear" w:color="auto" w:fill="FFFFFF"/>
        </w:rPr>
        <w:t>月</w:t>
      </w:r>
      <w:r>
        <w:rPr>
          <w:rFonts w:hint="eastAsia"/>
          <w:color w:val="000000"/>
          <w:sz w:val="24"/>
          <w:shd w:val="clear" w:color="auto" w:fill="FFFFFF"/>
        </w:rPr>
        <w:t>22</w:t>
      </w:r>
      <w:r>
        <w:rPr>
          <w:rFonts w:hint="eastAsia"/>
          <w:color w:val="000000"/>
          <w:sz w:val="24"/>
          <w:shd w:val="clear" w:color="auto" w:fill="FFFFFF"/>
        </w:rPr>
        <w:t>日）。</w:t>
      </w:r>
    </w:p>
    <w:p w14:paraId="68DAF74D"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5、投资决策委员会成员的姓名、职务</w:t>
      </w:r>
    </w:p>
    <w:p w14:paraId="1367C6B4"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杨小舟先生，投资决策委员会主任委员、公司总经理、兼任首席信息官。</w:t>
      </w:r>
    </w:p>
    <w:p w14:paraId="0F3EA6DC"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郑宇光先生，投资决策委员会委员、公司总经理助理、基金经理。</w:t>
      </w:r>
    </w:p>
    <w:p w14:paraId="7193F3A0"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郎骋成先生，投资决策委员会委员、研究部总经理、权益投资部总经理、专户投资经理、基金经理。</w:t>
      </w:r>
    </w:p>
    <w:p w14:paraId="53F639AF"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吴敏先生，投资决策委员会委员、固定收益部总经理、基金经理。</w:t>
      </w:r>
    </w:p>
    <w:p w14:paraId="280FD275"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孟亚强先生，投资决策委员会委员、权益投资部副总经理、基金经理。</w:t>
      </w:r>
    </w:p>
    <w:p w14:paraId="0602F46B" w14:textId="5E9BD1FB"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李延峥先生，投资决策委员会委员、投资决策委员会秘书、研究部总经理助理、基金经理。</w:t>
      </w:r>
    </w:p>
    <w:p w14:paraId="3A676F68"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6、上述人员之间不存在近亲属关系。</w:t>
      </w:r>
    </w:p>
    <w:p w14:paraId="2D29CE03" w14:textId="77777777" w:rsidR="00566744" w:rsidRDefault="00000000">
      <w:pPr>
        <w:spacing w:line="360" w:lineRule="auto"/>
        <w:ind w:firstLineChars="200" w:firstLine="480"/>
        <w:rPr>
          <w:rFonts w:ascii="宋体" w:hAnsi="宋体" w:hint="eastAsia"/>
          <w:color w:val="000000"/>
          <w:kern w:val="0"/>
          <w:sz w:val="24"/>
        </w:rPr>
      </w:pPr>
      <w:bookmarkStart w:id="19" w:name="_Toc88969222"/>
      <w:bookmarkEnd w:id="18"/>
      <w:r>
        <w:rPr>
          <w:rFonts w:ascii="宋体" w:hAnsi="宋体" w:hint="eastAsia"/>
          <w:color w:val="000000"/>
          <w:kern w:val="0"/>
          <w:sz w:val="24"/>
        </w:rPr>
        <w:t>（三）基金管理人的职责</w:t>
      </w:r>
    </w:p>
    <w:p w14:paraId="37D10BC7"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w:t>
      </w:r>
      <w:r>
        <w:rPr>
          <w:rFonts w:ascii="宋体" w:hAnsi="宋体"/>
          <w:color w:val="000000"/>
          <w:kern w:val="0"/>
          <w:sz w:val="24"/>
        </w:rPr>
        <w:t>依法募集</w:t>
      </w:r>
      <w:r>
        <w:rPr>
          <w:rFonts w:ascii="宋体" w:hAnsi="宋体" w:hint="eastAsia"/>
          <w:color w:val="000000"/>
          <w:kern w:val="0"/>
          <w:sz w:val="24"/>
        </w:rPr>
        <w:t>资</w:t>
      </w:r>
      <w:r>
        <w:rPr>
          <w:rFonts w:ascii="宋体" w:hAnsi="宋体"/>
          <w:color w:val="000000"/>
          <w:kern w:val="0"/>
          <w:sz w:val="24"/>
        </w:rPr>
        <w:t>金，办理基金份额的发售和登记事宜；</w:t>
      </w:r>
    </w:p>
    <w:p w14:paraId="69BD9E18"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2、</w:t>
      </w:r>
      <w:r>
        <w:rPr>
          <w:rFonts w:ascii="宋体" w:hAnsi="宋体"/>
          <w:color w:val="000000"/>
          <w:kern w:val="0"/>
          <w:sz w:val="24"/>
        </w:rPr>
        <w:t>办理基金备案手续；</w:t>
      </w:r>
    </w:p>
    <w:p w14:paraId="2A66DF87"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lastRenderedPageBreak/>
        <w:t>3、</w:t>
      </w:r>
      <w:r>
        <w:rPr>
          <w:rFonts w:ascii="宋体" w:hAnsi="宋体"/>
          <w:color w:val="000000"/>
          <w:kern w:val="0"/>
          <w:sz w:val="24"/>
        </w:rPr>
        <w:t>对所管理的不同基金</w:t>
      </w:r>
      <w:r>
        <w:rPr>
          <w:rFonts w:ascii="宋体" w:hAnsi="宋体" w:hint="eastAsia"/>
          <w:color w:val="000000"/>
          <w:kern w:val="0"/>
          <w:sz w:val="24"/>
        </w:rPr>
        <w:t>财</w:t>
      </w:r>
      <w:r>
        <w:rPr>
          <w:rFonts w:ascii="宋体" w:hAnsi="宋体"/>
          <w:color w:val="000000"/>
          <w:kern w:val="0"/>
          <w:sz w:val="24"/>
        </w:rPr>
        <w:t>产分别管理、分别记账，进行证券投资；</w:t>
      </w:r>
    </w:p>
    <w:p w14:paraId="479A0B98"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4、</w:t>
      </w:r>
      <w:r>
        <w:rPr>
          <w:rFonts w:ascii="宋体" w:hAnsi="宋体"/>
          <w:color w:val="000000"/>
          <w:kern w:val="0"/>
          <w:sz w:val="24"/>
        </w:rPr>
        <w:t>按照</w:t>
      </w:r>
      <w:r>
        <w:rPr>
          <w:rFonts w:ascii="宋体" w:hAnsi="宋体" w:hint="eastAsia"/>
          <w:color w:val="000000"/>
          <w:kern w:val="0"/>
          <w:sz w:val="24"/>
        </w:rPr>
        <w:t>《</w:t>
      </w:r>
      <w:r>
        <w:rPr>
          <w:rFonts w:ascii="宋体" w:hAnsi="宋体"/>
          <w:color w:val="000000"/>
          <w:kern w:val="0"/>
          <w:sz w:val="24"/>
        </w:rPr>
        <w:t>基金合同</w:t>
      </w:r>
      <w:r>
        <w:rPr>
          <w:rFonts w:ascii="宋体" w:hAnsi="宋体" w:hint="eastAsia"/>
          <w:color w:val="000000"/>
          <w:kern w:val="0"/>
          <w:sz w:val="24"/>
        </w:rPr>
        <w:t>》及有关法律法规的规定确定</w:t>
      </w:r>
      <w:r>
        <w:rPr>
          <w:rFonts w:ascii="宋体" w:hAnsi="宋体"/>
          <w:color w:val="000000"/>
          <w:kern w:val="0"/>
          <w:sz w:val="24"/>
        </w:rPr>
        <w:t>基金收益分配方案，及时向基金份额持有人分配收益；</w:t>
      </w:r>
    </w:p>
    <w:p w14:paraId="7BBB9FFB"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5、</w:t>
      </w:r>
      <w:r>
        <w:rPr>
          <w:rFonts w:ascii="宋体" w:hAnsi="宋体"/>
          <w:color w:val="000000"/>
          <w:kern w:val="0"/>
          <w:sz w:val="24"/>
        </w:rPr>
        <w:t>进行基金会计核算并编制基金财务会计报告；</w:t>
      </w:r>
    </w:p>
    <w:p w14:paraId="67F55140"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6、编制季报报告、中期报告和年度基金报告；</w:t>
      </w:r>
    </w:p>
    <w:p w14:paraId="493AE1D6"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7</w:t>
      </w:r>
      <w:r>
        <w:rPr>
          <w:rFonts w:ascii="宋体" w:hAnsi="宋体"/>
          <w:color w:val="000000"/>
          <w:kern w:val="0"/>
          <w:sz w:val="24"/>
        </w:rPr>
        <w:t>、</w:t>
      </w:r>
      <w:r>
        <w:rPr>
          <w:rFonts w:ascii="宋体" w:hAnsi="宋体" w:hint="eastAsia"/>
          <w:color w:val="000000"/>
          <w:kern w:val="0"/>
          <w:sz w:val="24"/>
        </w:rPr>
        <w:t>采取适当</w:t>
      </w:r>
      <w:r>
        <w:rPr>
          <w:rFonts w:ascii="宋体" w:hAnsi="宋体"/>
          <w:color w:val="000000"/>
          <w:kern w:val="0"/>
          <w:sz w:val="24"/>
        </w:rPr>
        <w:t>合理的措施</w:t>
      </w:r>
      <w:r>
        <w:rPr>
          <w:rFonts w:ascii="宋体" w:hAnsi="宋体" w:hint="eastAsia"/>
          <w:color w:val="000000"/>
          <w:kern w:val="0"/>
          <w:sz w:val="24"/>
        </w:rPr>
        <w:t>使</w:t>
      </w:r>
      <w:r>
        <w:rPr>
          <w:rFonts w:ascii="宋体" w:hAnsi="宋体"/>
          <w:color w:val="000000"/>
          <w:kern w:val="0"/>
          <w:sz w:val="24"/>
        </w:rPr>
        <w:t>计算基金份额认购、申购、赎回和注销价格的方法符合《</w:t>
      </w:r>
      <w:r>
        <w:rPr>
          <w:rFonts w:ascii="宋体" w:hAnsi="宋体" w:hint="eastAsia"/>
          <w:color w:val="000000"/>
          <w:kern w:val="0"/>
          <w:sz w:val="24"/>
        </w:rPr>
        <w:t>基金</w:t>
      </w:r>
      <w:r>
        <w:rPr>
          <w:rFonts w:ascii="宋体" w:hAnsi="宋体"/>
          <w:color w:val="000000"/>
          <w:kern w:val="0"/>
          <w:sz w:val="24"/>
        </w:rPr>
        <w:t>合同》</w:t>
      </w:r>
      <w:r>
        <w:rPr>
          <w:rFonts w:ascii="宋体" w:hAnsi="宋体" w:hint="eastAsia"/>
          <w:color w:val="000000"/>
          <w:kern w:val="0"/>
          <w:sz w:val="24"/>
        </w:rPr>
        <w:t>等</w:t>
      </w:r>
      <w:r>
        <w:rPr>
          <w:rFonts w:ascii="宋体" w:hAnsi="宋体"/>
          <w:color w:val="000000"/>
          <w:kern w:val="0"/>
          <w:sz w:val="24"/>
        </w:rPr>
        <w:t>法律文件的规定，按有关规定计算并公告</w:t>
      </w:r>
      <w:r>
        <w:rPr>
          <w:rFonts w:ascii="宋体" w:hAnsi="宋体" w:hint="eastAsia"/>
          <w:color w:val="000000"/>
          <w:kern w:val="0"/>
          <w:sz w:val="24"/>
        </w:rPr>
        <w:t>按有关规定计算并公告基金净值信息；</w:t>
      </w:r>
    </w:p>
    <w:p w14:paraId="72F6A38F"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8</w:t>
      </w:r>
      <w:r>
        <w:rPr>
          <w:rFonts w:ascii="宋体" w:hAnsi="宋体"/>
          <w:color w:val="000000"/>
          <w:kern w:val="0"/>
          <w:sz w:val="24"/>
        </w:rPr>
        <w:t>、办理与基金</w:t>
      </w:r>
      <w:r>
        <w:rPr>
          <w:rFonts w:ascii="宋体" w:hAnsi="宋体" w:hint="eastAsia"/>
          <w:color w:val="000000"/>
          <w:kern w:val="0"/>
          <w:sz w:val="24"/>
        </w:rPr>
        <w:t>财</w:t>
      </w:r>
      <w:r>
        <w:rPr>
          <w:rFonts w:ascii="宋体" w:hAnsi="宋体"/>
          <w:color w:val="000000"/>
          <w:kern w:val="0"/>
          <w:sz w:val="24"/>
        </w:rPr>
        <w:t>产管理业务活动有关的信息披露事项；</w:t>
      </w:r>
    </w:p>
    <w:p w14:paraId="7AED9676"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9</w:t>
      </w:r>
      <w:r>
        <w:rPr>
          <w:rFonts w:ascii="宋体" w:hAnsi="宋体"/>
          <w:color w:val="000000"/>
          <w:kern w:val="0"/>
          <w:sz w:val="24"/>
        </w:rPr>
        <w:t>、</w:t>
      </w:r>
      <w:r>
        <w:rPr>
          <w:rFonts w:ascii="宋体" w:hAnsi="宋体" w:hint="eastAsia"/>
          <w:color w:val="000000"/>
          <w:kern w:val="0"/>
          <w:sz w:val="24"/>
        </w:rPr>
        <w:t>按照规定</w:t>
      </w:r>
      <w:r>
        <w:rPr>
          <w:rFonts w:ascii="宋体" w:hAnsi="宋体"/>
          <w:color w:val="000000"/>
          <w:kern w:val="0"/>
          <w:sz w:val="24"/>
        </w:rPr>
        <w:t>召集基金份额持有人大会；</w:t>
      </w:r>
    </w:p>
    <w:p w14:paraId="07B23444"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10</w:t>
      </w:r>
      <w:r>
        <w:rPr>
          <w:rFonts w:ascii="宋体" w:hAnsi="宋体"/>
          <w:color w:val="000000"/>
          <w:kern w:val="0"/>
          <w:sz w:val="24"/>
        </w:rPr>
        <w:t>、保存基金</w:t>
      </w:r>
      <w:r>
        <w:rPr>
          <w:rFonts w:ascii="宋体" w:hAnsi="宋体" w:hint="eastAsia"/>
          <w:color w:val="000000"/>
          <w:kern w:val="0"/>
          <w:sz w:val="24"/>
        </w:rPr>
        <w:t>财</w:t>
      </w:r>
      <w:r>
        <w:rPr>
          <w:rFonts w:ascii="宋体" w:hAnsi="宋体"/>
          <w:color w:val="000000"/>
          <w:kern w:val="0"/>
          <w:sz w:val="24"/>
        </w:rPr>
        <w:t>产管理业务活动的记录、账册、报表和其他相关资料；</w:t>
      </w:r>
    </w:p>
    <w:p w14:paraId="5A8BD0DF"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11</w:t>
      </w:r>
      <w:r>
        <w:rPr>
          <w:rFonts w:ascii="宋体" w:hAnsi="宋体"/>
          <w:color w:val="000000"/>
          <w:kern w:val="0"/>
          <w:sz w:val="24"/>
        </w:rPr>
        <w:t>、以基金管理人名义，代表基金份额持有人利益行使诉讼权利或者实施其他法律行为；</w:t>
      </w:r>
    </w:p>
    <w:p w14:paraId="40D8CF62"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12</w:t>
      </w:r>
      <w:r>
        <w:rPr>
          <w:rFonts w:ascii="宋体" w:hAnsi="宋体"/>
          <w:color w:val="000000"/>
          <w:kern w:val="0"/>
          <w:sz w:val="24"/>
        </w:rPr>
        <w:t>、中国证监会规定的其他职责。</w:t>
      </w:r>
    </w:p>
    <w:p w14:paraId="5898AA4F"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（四）基金管理人承诺</w:t>
      </w:r>
    </w:p>
    <w:p w14:paraId="73CA6C04"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1、本基金管理人将根据基金合同的规定，按照招募说明书列明的投资目标、策略及限制等全权处理本基金的投资。 </w:t>
      </w:r>
    </w:p>
    <w:p w14:paraId="379ED50F"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2、本基金管理人不从事违反《中华人民共和国证券法》的行为，并建立健全内部控制制度，采取有效措施，防止违反《中华人民共和国证券法》行为的发生。 </w:t>
      </w:r>
    </w:p>
    <w:p w14:paraId="636060D0"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3、本基金管理人不从事违反《基金法》的行为，并建立健全内部控制制度，采取有效措施，保证基金财产不用于下列投资或者活动：</w:t>
      </w:r>
    </w:p>
    <w:p w14:paraId="036EE688" w14:textId="77777777" w:rsidR="00566744" w:rsidRDefault="00000000">
      <w:pPr>
        <w:spacing w:line="360" w:lineRule="auto"/>
        <w:ind w:firstLineChars="200" w:firstLine="480"/>
        <w:rPr>
          <w:rFonts w:ascii="宋体" w:hAnsi="宋体" w:hint="eastAsia"/>
          <w:color w:val="000000"/>
          <w:kern w:val="0"/>
          <w:sz w:val="24"/>
        </w:rPr>
      </w:pPr>
      <w:r>
        <w:rPr>
          <w:rFonts w:ascii="宋体" w:hAnsi="宋体"/>
          <w:color w:val="000000"/>
          <w:kern w:val="0"/>
          <w:sz w:val="24"/>
        </w:rPr>
        <w:t xml:space="preserve">（1）承销证券； </w:t>
      </w:r>
    </w:p>
    <w:p w14:paraId="508E9026" w14:textId="77777777" w:rsidR="00566744" w:rsidRDefault="00000000">
      <w:pPr>
        <w:spacing w:line="360" w:lineRule="auto"/>
        <w:ind w:firstLineChars="200" w:firstLine="480"/>
        <w:rPr>
          <w:rFonts w:ascii="宋体" w:hAnsi="宋体" w:hint="eastAsia"/>
          <w:color w:val="000000"/>
          <w:kern w:val="0"/>
          <w:sz w:val="24"/>
        </w:rPr>
      </w:pPr>
      <w:r>
        <w:rPr>
          <w:rFonts w:ascii="宋体" w:hAnsi="宋体"/>
          <w:color w:val="000000"/>
          <w:kern w:val="0"/>
          <w:sz w:val="24"/>
        </w:rPr>
        <w:t xml:space="preserve">（2）违反规定向他人贷款或者提供担保； </w:t>
      </w:r>
    </w:p>
    <w:p w14:paraId="083CEA1C" w14:textId="77777777" w:rsidR="00566744" w:rsidRDefault="00000000">
      <w:pPr>
        <w:spacing w:line="360" w:lineRule="auto"/>
        <w:ind w:firstLineChars="200" w:firstLine="480"/>
        <w:rPr>
          <w:rFonts w:ascii="宋体" w:hAnsi="宋体" w:hint="eastAsia"/>
          <w:color w:val="000000"/>
          <w:kern w:val="0"/>
          <w:sz w:val="24"/>
        </w:rPr>
      </w:pPr>
      <w:r>
        <w:rPr>
          <w:rFonts w:ascii="宋体" w:hAnsi="宋体"/>
          <w:color w:val="000000"/>
          <w:kern w:val="0"/>
          <w:sz w:val="24"/>
        </w:rPr>
        <w:t xml:space="preserve">（3）从事承担无限责任的投资； </w:t>
      </w:r>
    </w:p>
    <w:p w14:paraId="23EDE1A8" w14:textId="77777777" w:rsidR="00566744" w:rsidRDefault="00000000">
      <w:pPr>
        <w:spacing w:line="360" w:lineRule="auto"/>
        <w:ind w:firstLineChars="200" w:firstLine="480"/>
        <w:rPr>
          <w:rFonts w:ascii="宋体" w:hAnsi="宋体" w:hint="eastAsia"/>
          <w:color w:val="000000"/>
          <w:kern w:val="0"/>
          <w:sz w:val="24"/>
        </w:rPr>
      </w:pPr>
      <w:r>
        <w:rPr>
          <w:rFonts w:ascii="宋体" w:hAnsi="宋体"/>
          <w:color w:val="000000"/>
          <w:kern w:val="0"/>
          <w:sz w:val="24"/>
        </w:rPr>
        <w:t xml:space="preserve">（4）买卖其他基金份额，但是中国证监会另有规定的除外； </w:t>
      </w:r>
    </w:p>
    <w:p w14:paraId="77F6A752" w14:textId="77777777" w:rsidR="00566744" w:rsidRDefault="00000000">
      <w:pPr>
        <w:spacing w:line="360" w:lineRule="auto"/>
        <w:ind w:firstLineChars="200" w:firstLine="480"/>
        <w:rPr>
          <w:rFonts w:ascii="宋体" w:hAnsi="宋体" w:hint="eastAsia"/>
          <w:color w:val="000000"/>
          <w:kern w:val="0"/>
          <w:sz w:val="24"/>
        </w:rPr>
      </w:pPr>
      <w:r>
        <w:rPr>
          <w:rFonts w:ascii="宋体" w:hAnsi="宋体"/>
          <w:color w:val="000000"/>
          <w:kern w:val="0"/>
          <w:sz w:val="24"/>
        </w:rPr>
        <w:t>（5）向其基金管理人、基金托管人出资</w:t>
      </w:r>
      <w:r>
        <w:rPr>
          <w:rFonts w:ascii="宋体" w:hAnsi="宋体" w:hint="eastAsia"/>
          <w:color w:val="000000"/>
          <w:kern w:val="0"/>
          <w:sz w:val="24"/>
        </w:rPr>
        <w:t>；</w:t>
      </w:r>
    </w:p>
    <w:p w14:paraId="4C7DE4F5" w14:textId="77777777" w:rsidR="00566744" w:rsidRDefault="00000000">
      <w:pPr>
        <w:spacing w:line="360" w:lineRule="auto"/>
        <w:ind w:firstLineChars="200" w:firstLine="480"/>
        <w:rPr>
          <w:rFonts w:ascii="宋体" w:hAnsi="宋体" w:hint="eastAsia"/>
          <w:color w:val="000000"/>
          <w:kern w:val="0"/>
          <w:sz w:val="24"/>
        </w:rPr>
      </w:pPr>
      <w:r>
        <w:rPr>
          <w:rFonts w:ascii="宋体" w:hAnsi="宋体"/>
          <w:color w:val="000000"/>
          <w:kern w:val="0"/>
          <w:sz w:val="24"/>
        </w:rPr>
        <w:t xml:space="preserve">（6）从事内幕交易、操纵证券交易价格及其他不正当的证券交易活动； </w:t>
      </w:r>
    </w:p>
    <w:p w14:paraId="14C561B3" w14:textId="77777777" w:rsidR="00566744" w:rsidRDefault="00000000">
      <w:pPr>
        <w:spacing w:line="360" w:lineRule="auto"/>
        <w:ind w:firstLineChars="200" w:firstLine="480"/>
        <w:rPr>
          <w:rFonts w:ascii="宋体" w:hAnsi="宋体" w:hint="eastAsia"/>
          <w:color w:val="000000"/>
          <w:kern w:val="0"/>
          <w:sz w:val="24"/>
        </w:rPr>
      </w:pPr>
      <w:r>
        <w:rPr>
          <w:rFonts w:ascii="宋体" w:hAnsi="宋体"/>
          <w:color w:val="000000"/>
          <w:kern w:val="0"/>
          <w:sz w:val="24"/>
        </w:rPr>
        <w:t>（7）法律、行政法规和中国证监会规定禁止的其他活动</w:t>
      </w:r>
      <w:r>
        <w:rPr>
          <w:rFonts w:ascii="宋体" w:hAnsi="宋体" w:hint="eastAsia"/>
          <w:color w:val="000000"/>
          <w:kern w:val="0"/>
          <w:sz w:val="24"/>
        </w:rPr>
        <w:t>。</w:t>
      </w:r>
    </w:p>
    <w:p w14:paraId="7341C992" w14:textId="77777777" w:rsidR="00566744" w:rsidRDefault="00000000">
      <w:pPr>
        <w:spacing w:line="360" w:lineRule="auto"/>
        <w:ind w:firstLineChars="200" w:firstLine="480"/>
        <w:rPr>
          <w:rFonts w:ascii="宋体" w:hAnsi="宋体" w:hint="eastAsia"/>
          <w:color w:val="000000"/>
          <w:kern w:val="0"/>
          <w:sz w:val="24"/>
        </w:rPr>
      </w:pPr>
      <w:r>
        <w:rPr>
          <w:rFonts w:ascii="宋体" w:hAnsi="宋体"/>
          <w:color w:val="000000"/>
          <w:kern w:val="0"/>
          <w:sz w:val="24"/>
        </w:rPr>
        <w:lastRenderedPageBreak/>
        <w:t xml:space="preserve">基金管理人运用基金财产买卖基金管理人、基金托管人及其控股股东、实际控制人或者与其有重大利害关系的公司发行的证券或者承销期内承销的证券，或者从事其他重大关联交易的，应当符合本基金的投资目标和投资策略，遵循持有人利益优先原则，防范利益冲突，建立健全内部审批机制和评估机制，按照市场公平合理价格执行。相关交易必须事先得到基金托管人同意，并按法律法规予以披露。重大关联交易应提交基金管理人董事会审议，并经过三分之二以上的独立董事通过。基金管理人董事会应至少每半年对关联交易事项进行审查。 </w:t>
      </w:r>
    </w:p>
    <w:p w14:paraId="3DDED30F" w14:textId="77777777" w:rsidR="00566744" w:rsidRDefault="00000000">
      <w:pPr>
        <w:spacing w:line="360" w:lineRule="auto"/>
        <w:ind w:firstLineChars="200" w:firstLine="480"/>
        <w:rPr>
          <w:rFonts w:ascii="宋体" w:hAnsi="宋体" w:hint="eastAsia"/>
          <w:color w:val="000000"/>
          <w:kern w:val="0"/>
          <w:sz w:val="24"/>
        </w:rPr>
      </w:pPr>
      <w:r>
        <w:rPr>
          <w:rFonts w:ascii="宋体" w:hAnsi="宋体"/>
          <w:color w:val="000000"/>
          <w:kern w:val="0"/>
          <w:sz w:val="24"/>
        </w:rPr>
        <w:t xml:space="preserve">法律、行政法规或监管部门取消或变更上述限制，如适用于本基金，基金管理人在履行适当程序后，则本基金投资不再受相关限制，或以变更后的规定为准，不需要经基金份额持有人大会审议，但须提前公告。 </w:t>
      </w:r>
    </w:p>
    <w:p w14:paraId="2853CB61" w14:textId="77777777" w:rsidR="00566744" w:rsidRDefault="00000000">
      <w:pPr>
        <w:spacing w:line="360" w:lineRule="auto"/>
        <w:ind w:firstLineChars="200" w:firstLine="480"/>
        <w:rPr>
          <w:rFonts w:ascii="宋体" w:hAnsi="宋体" w:hint="eastAsia"/>
          <w:color w:val="000000"/>
          <w:kern w:val="0"/>
          <w:sz w:val="24"/>
        </w:rPr>
      </w:pPr>
      <w:r>
        <w:rPr>
          <w:rFonts w:ascii="宋体" w:hAnsi="宋体"/>
          <w:color w:val="000000"/>
          <w:kern w:val="0"/>
          <w:sz w:val="24"/>
        </w:rPr>
        <w:t xml:space="preserve">4、本基金管理人将加强人员管理，强化职业操守，督促和约束员工遵守国家有关法律、法规及行业规范，诚实信用、勤勉尽责，不从事以下行为： </w:t>
      </w:r>
    </w:p>
    <w:p w14:paraId="31AE156A" w14:textId="77777777" w:rsidR="00566744" w:rsidRDefault="00000000">
      <w:pPr>
        <w:spacing w:line="360" w:lineRule="auto"/>
        <w:ind w:firstLineChars="200" w:firstLine="480"/>
        <w:rPr>
          <w:rFonts w:ascii="宋体" w:hAnsi="宋体" w:hint="eastAsia"/>
          <w:color w:val="000000"/>
          <w:kern w:val="0"/>
          <w:sz w:val="24"/>
        </w:rPr>
      </w:pPr>
      <w:r>
        <w:rPr>
          <w:rFonts w:ascii="宋体" w:hAnsi="宋体"/>
          <w:color w:val="000000"/>
          <w:kern w:val="0"/>
          <w:sz w:val="24"/>
        </w:rPr>
        <w:t xml:space="preserve">（1）将其固有财产或者他人财产混同于基金财产从事证券投资； </w:t>
      </w:r>
    </w:p>
    <w:p w14:paraId="7E7860CA" w14:textId="77777777" w:rsidR="00566744" w:rsidRDefault="00000000">
      <w:pPr>
        <w:spacing w:line="360" w:lineRule="auto"/>
        <w:ind w:firstLineChars="200" w:firstLine="480"/>
        <w:rPr>
          <w:rFonts w:ascii="宋体" w:hAnsi="宋体" w:hint="eastAsia"/>
          <w:color w:val="000000"/>
          <w:kern w:val="0"/>
          <w:sz w:val="24"/>
        </w:rPr>
      </w:pPr>
      <w:r>
        <w:rPr>
          <w:rFonts w:ascii="宋体" w:hAnsi="宋体"/>
          <w:color w:val="000000"/>
          <w:kern w:val="0"/>
          <w:sz w:val="24"/>
        </w:rPr>
        <w:t xml:space="preserve">（2）不公平地对待其管理的不同基金财产； </w:t>
      </w:r>
    </w:p>
    <w:p w14:paraId="6B262B0D" w14:textId="77777777" w:rsidR="00566744" w:rsidRDefault="00000000">
      <w:pPr>
        <w:spacing w:line="360" w:lineRule="auto"/>
        <w:ind w:firstLineChars="200" w:firstLine="480"/>
        <w:rPr>
          <w:rFonts w:ascii="宋体" w:hAnsi="宋体" w:hint="eastAsia"/>
          <w:color w:val="000000"/>
          <w:kern w:val="0"/>
          <w:sz w:val="24"/>
        </w:rPr>
      </w:pPr>
      <w:r>
        <w:rPr>
          <w:rFonts w:ascii="宋体" w:hAnsi="宋体"/>
          <w:color w:val="000000"/>
          <w:kern w:val="0"/>
          <w:sz w:val="24"/>
        </w:rPr>
        <w:t xml:space="preserve">（3）利用基金财产或职务之便为基金份额持有人以外的第三人牟取利益； </w:t>
      </w:r>
    </w:p>
    <w:p w14:paraId="324E93B9" w14:textId="77777777" w:rsidR="00566744" w:rsidRDefault="00000000">
      <w:pPr>
        <w:spacing w:line="360" w:lineRule="auto"/>
        <w:ind w:firstLineChars="200" w:firstLine="480"/>
        <w:rPr>
          <w:rFonts w:ascii="宋体" w:hAnsi="宋体" w:hint="eastAsia"/>
          <w:color w:val="000000"/>
          <w:kern w:val="0"/>
          <w:sz w:val="24"/>
        </w:rPr>
      </w:pPr>
      <w:r>
        <w:rPr>
          <w:rFonts w:ascii="宋体" w:hAnsi="宋体"/>
          <w:color w:val="000000"/>
          <w:kern w:val="0"/>
          <w:sz w:val="24"/>
        </w:rPr>
        <w:t xml:space="preserve">（4）向基金份额持有人违规承诺收益或者承担损失； </w:t>
      </w:r>
    </w:p>
    <w:p w14:paraId="0B85FFBE" w14:textId="77777777" w:rsidR="00566744" w:rsidRDefault="00000000">
      <w:pPr>
        <w:spacing w:line="360" w:lineRule="auto"/>
        <w:ind w:firstLineChars="200" w:firstLine="480"/>
        <w:rPr>
          <w:rFonts w:ascii="宋体" w:hAnsi="宋体" w:hint="eastAsia"/>
          <w:color w:val="000000"/>
          <w:kern w:val="0"/>
          <w:sz w:val="24"/>
        </w:rPr>
      </w:pPr>
      <w:r>
        <w:rPr>
          <w:rFonts w:ascii="宋体" w:hAnsi="宋体"/>
          <w:color w:val="000000"/>
          <w:kern w:val="0"/>
          <w:sz w:val="24"/>
        </w:rPr>
        <w:t xml:space="preserve">（5）侵占、挪用基金财产； </w:t>
      </w:r>
    </w:p>
    <w:p w14:paraId="2EB0E634" w14:textId="77777777" w:rsidR="00566744" w:rsidRDefault="00000000">
      <w:pPr>
        <w:spacing w:line="360" w:lineRule="auto"/>
        <w:ind w:firstLineChars="200" w:firstLine="480"/>
        <w:rPr>
          <w:rFonts w:ascii="宋体" w:hAnsi="宋体" w:hint="eastAsia"/>
          <w:color w:val="000000"/>
          <w:kern w:val="0"/>
          <w:sz w:val="24"/>
        </w:rPr>
      </w:pPr>
      <w:r>
        <w:rPr>
          <w:rFonts w:ascii="宋体" w:hAnsi="宋体"/>
          <w:color w:val="000000"/>
          <w:kern w:val="0"/>
          <w:sz w:val="24"/>
        </w:rPr>
        <w:t xml:space="preserve">（6）泄露因职务便利获取的未公开信息、利用该信息从事或者明示、暗示他人从事相关的交易活动； </w:t>
      </w:r>
    </w:p>
    <w:p w14:paraId="537C2BFC" w14:textId="77777777" w:rsidR="00566744" w:rsidRDefault="00000000">
      <w:pPr>
        <w:spacing w:line="360" w:lineRule="auto"/>
        <w:ind w:firstLineChars="200" w:firstLine="480"/>
        <w:rPr>
          <w:rFonts w:ascii="宋体" w:hAnsi="宋体" w:hint="eastAsia"/>
          <w:color w:val="000000"/>
          <w:kern w:val="0"/>
          <w:sz w:val="24"/>
        </w:rPr>
      </w:pPr>
      <w:r>
        <w:rPr>
          <w:rFonts w:ascii="宋体" w:hAnsi="宋体"/>
          <w:color w:val="000000"/>
          <w:kern w:val="0"/>
          <w:sz w:val="24"/>
        </w:rPr>
        <w:t xml:space="preserve">（7）玩忽职守，不按照规定履行职责； </w:t>
      </w:r>
    </w:p>
    <w:p w14:paraId="5DB04D3E" w14:textId="77777777" w:rsidR="00566744" w:rsidRDefault="00000000">
      <w:pPr>
        <w:spacing w:line="360" w:lineRule="auto"/>
        <w:ind w:firstLineChars="200" w:firstLine="480"/>
        <w:rPr>
          <w:rFonts w:ascii="宋体" w:hAnsi="宋体" w:hint="eastAsia"/>
          <w:color w:val="000000"/>
          <w:kern w:val="0"/>
          <w:sz w:val="24"/>
        </w:rPr>
      </w:pPr>
      <w:r>
        <w:rPr>
          <w:rFonts w:ascii="宋体" w:hAnsi="宋体"/>
          <w:color w:val="000000"/>
          <w:kern w:val="0"/>
          <w:sz w:val="24"/>
        </w:rPr>
        <w:t xml:space="preserve">（8）其它法律法规以及国务院证券监督管理机构禁止的行为。 </w:t>
      </w:r>
    </w:p>
    <w:p w14:paraId="4F90368A" w14:textId="77777777" w:rsidR="00566744" w:rsidRDefault="00000000">
      <w:pPr>
        <w:spacing w:line="360" w:lineRule="auto"/>
        <w:ind w:firstLineChars="200" w:firstLine="480"/>
        <w:rPr>
          <w:rFonts w:ascii="宋体" w:hAnsi="宋体" w:hint="eastAsia"/>
          <w:color w:val="000000"/>
          <w:kern w:val="0"/>
          <w:sz w:val="24"/>
        </w:rPr>
      </w:pPr>
      <w:r>
        <w:rPr>
          <w:rFonts w:ascii="宋体" w:hAnsi="宋体"/>
          <w:color w:val="000000"/>
          <w:kern w:val="0"/>
          <w:sz w:val="24"/>
        </w:rPr>
        <w:t xml:space="preserve">5、基金经理承诺 </w:t>
      </w:r>
    </w:p>
    <w:p w14:paraId="6A891F00" w14:textId="77777777" w:rsidR="00566744" w:rsidRDefault="00000000">
      <w:pPr>
        <w:spacing w:line="360" w:lineRule="auto"/>
        <w:ind w:firstLineChars="200" w:firstLine="480"/>
        <w:rPr>
          <w:rFonts w:ascii="宋体" w:hAnsi="宋体" w:hint="eastAsia"/>
          <w:color w:val="000000"/>
          <w:kern w:val="0"/>
          <w:sz w:val="24"/>
        </w:rPr>
      </w:pPr>
      <w:r>
        <w:rPr>
          <w:rFonts w:ascii="宋体" w:hAnsi="宋体"/>
          <w:color w:val="000000"/>
          <w:kern w:val="0"/>
          <w:sz w:val="24"/>
        </w:rPr>
        <w:t>（1）依照有关法律、法规和基金合同的规定，本着谨慎的原则为基金份额持有人谋取利益</w:t>
      </w:r>
      <w:r>
        <w:rPr>
          <w:rFonts w:ascii="宋体" w:hAnsi="宋体" w:hint="eastAsia"/>
          <w:color w:val="000000"/>
          <w:kern w:val="0"/>
          <w:sz w:val="24"/>
        </w:rPr>
        <w:t>；</w:t>
      </w:r>
    </w:p>
    <w:p w14:paraId="29773F28" w14:textId="77777777" w:rsidR="00566744" w:rsidRDefault="00000000">
      <w:pPr>
        <w:spacing w:line="360" w:lineRule="auto"/>
        <w:ind w:firstLineChars="177" w:firstLine="425"/>
        <w:rPr>
          <w:rFonts w:ascii="宋体" w:hAnsi="宋体" w:hint="eastAsia"/>
          <w:color w:val="000000"/>
          <w:kern w:val="0"/>
          <w:sz w:val="24"/>
        </w:rPr>
      </w:pPr>
      <w:r>
        <w:rPr>
          <w:rFonts w:ascii="宋体" w:hAnsi="宋体"/>
          <w:color w:val="000000"/>
          <w:kern w:val="0"/>
          <w:sz w:val="24"/>
        </w:rPr>
        <w:t>（2）不利用职务之便为自己、被代理人、被代表人、受雇人或任何</w:t>
      </w:r>
      <w:proofErr w:type="gramStart"/>
      <w:r>
        <w:rPr>
          <w:rFonts w:ascii="宋体" w:hAnsi="宋体"/>
          <w:color w:val="000000"/>
          <w:kern w:val="0"/>
          <w:sz w:val="24"/>
        </w:rPr>
        <w:t>其他第三</w:t>
      </w:r>
      <w:proofErr w:type="gramEnd"/>
      <w:r>
        <w:rPr>
          <w:rFonts w:ascii="宋体" w:hAnsi="宋体"/>
          <w:color w:val="000000"/>
          <w:kern w:val="0"/>
          <w:sz w:val="24"/>
        </w:rPr>
        <w:t>人谋取不当利益</w:t>
      </w:r>
      <w:r>
        <w:rPr>
          <w:rFonts w:ascii="宋体" w:hAnsi="宋体" w:hint="eastAsia"/>
          <w:color w:val="000000"/>
          <w:kern w:val="0"/>
          <w:sz w:val="24"/>
        </w:rPr>
        <w:t>；</w:t>
      </w:r>
    </w:p>
    <w:p w14:paraId="5EBEBA8B" w14:textId="77777777" w:rsidR="00566744" w:rsidRDefault="00000000">
      <w:pPr>
        <w:spacing w:line="360" w:lineRule="auto"/>
        <w:ind w:firstLineChars="177" w:firstLine="425"/>
        <w:rPr>
          <w:rFonts w:ascii="宋体" w:hAnsi="宋体" w:hint="eastAsia"/>
          <w:color w:val="000000"/>
          <w:kern w:val="0"/>
          <w:sz w:val="24"/>
        </w:rPr>
      </w:pPr>
      <w:r>
        <w:rPr>
          <w:rFonts w:ascii="宋体" w:hAnsi="宋体"/>
          <w:color w:val="000000"/>
          <w:kern w:val="0"/>
          <w:sz w:val="24"/>
        </w:rPr>
        <w:t>（3）</w:t>
      </w:r>
      <w:proofErr w:type="gramStart"/>
      <w:r>
        <w:rPr>
          <w:rFonts w:ascii="宋体" w:hAnsi="宋体"/>
          <w:color w:val="000000"/>
          <w:kern w:val="0"/>
          <w:sz w:val="24"/>
        </w:rPr>
        <w:t>不</w:t>
      </w:r>
      <w:proofErr w:type="gramEnd"/>
      <w:r>
        <w:rPr>
          <w:rFonts w:ascii="宋体" w:hAnsi="宋体"/>
          <w:color w:val="000000"/>
          <w:kern w:val="0"/>
          <w:sz w:val="24"/>
        </w:rPr>
        <w:t>泄漏在任职期间知悉的有关证券、基金的商业秘密以及尚未依法公开的基金投资内容、基金投资计划等信息</w:t>
      </w:r>
      <w:r>
        <w:rPr>
          <w:rFonts w:ascii="宋体" w:hAnsi="宋体" w:hint="eastAsia"/>
          <w:color w:val="000000"/>
          <w:kern w:val="0"/>
          <w:sz w:val="24"/>
        </w:rPr>
        <w:t>；</w:t>
      </w:r>
    </w:p>
    <w:p w14:paraId="56075E9B" w14:textId="77777777" w:rsidR="00566744" w:rsidRDefault="00000000">
      <w:pPr>
        <w:spacing w:line="360" w:lineRule="auto"/>
        <w:ind w:firstLineChars="177" w:firstLine="425"/>
        <w:rPr>
          <w:rFonts w:ascii="宋体" w:hAnsi="宋体" w:hint="eastAsia"/>
          <w:color w:val="000000"/>
          <w:kern w:val="0"/>
          <w:sz w:val="24"/>
        </w:rPr>
      </w:pPr>
      <w:r>
        <w:rPr>
          <w:rFonts w:ascii="宋体" w:hAnsi="宋体"/>
          <w:color w:val="000000"/>
          <w:kern w:val="0"/>
          <w:sz w:val="24"/>
        </w:rPr>
        <w:lastRenderedPageBreak/>
        <w:t xml:space="preserve">（4）不以任何形式为除基金管理人以外的其他组织或个人进行证券交易。 </w:t>
      </w:r>
    </w:p>
    <w:p w14:paraId="73C540AA" w14:textId="77777777" w:rsidR="00566744" w:rsidRDefault="00000000">
      <w:pPr>
        <w:adjustRightInd w:val="0"/>
        <w:snapToGrid w:val="0"/>
        <w:spacing w:line="372" w:lineRule="auto"/>
        <w:ind w:firstLineChars="200" w:firstLine="480"/>
        <w:rPr>
          <w:rFonts w:ascii="宋体" w:hAnsi="宋体" w:hint="eastAsia"/>
          <w:color w:val="000000"/>
          <w:kern w:val="0"/>
          <w:sz w:val="24"/>
        </w:rPr>
      </w:pPr>
      <w:r>
        <w:rPr>
          <w:rFonts w:ascii="宋体" w:hAnsi="宋体" w:hint="eastAsia"/>
          <w:color w:val="000000"/>
          <w:kern w:val="0"/>
          <w:sz w:val="24"/>
        </w:rPr>
        <w:t>（五）基金经理承诺</w:t>
      </w:r>
    </w:p>
    <w:p w14:paraId="714EAA39" w14:textId="77777777" w:rsidR="00566744" w:rsidRDefault="00000000">
      <w:pPr>
        <w:adjustRightInd w:val="0"/>
        <w:snapToGrid w:val="0"/>
        <w:spacing w:line="372" w:lineRule="auto"/>
        <w:ind w:firstLineChars="200" w:firstLine="480"/>
        <w:rPr>
          <w:rFonts w:ascii="宋体" w:hAnsi="宋体" w:hint="eastAsia"/>
          <w:color w:val="000000"/>
          <w:kern w:val="0"/>
          <w:sz w:val="24"/>
        </w:rPr>
      </w:pPr>
      <w:r>
        <w:rPr>
          <w:rFonts w:ascii="宋体" w:hAnsi="宋体" w:hint="eastAsia"/>
          <w:color w:val="000000"/>
          <w:kern w:val="0"/>
          <w:sz w:val="24"/>
        </w:rPr>
        <w:t>1、维护基金份额持有人的利益。在基金份额持有人的利益与公司、股东及与股东有关联关系的机构和个人等的利益发生冲突时，坚持基金份额持有人利益优先的原则；</w:t>
      </w:r>
    </w:p>
    <w:p w14:paraId="71E53F45" w14:textId="77777777" w:rsidR="00566744" w:rsidRDefault="00000000">
      <w:pPr>
        <w:adjustRightInd w:val="0"/>
        <w:snapToGrid w:val="0"/>
        <w:spacing w:line="372" w:lineRule="auto"/>
        <w:ind w:firstLineChars="200" w:firstLine="480"/>
        <w:rPr>
          <w:rFonts w:ascii="宋体" w:hAnsi="宋体" w:hint="eastAsia"/>
          <w:color w:val="000000"/>
          <w:kern w:val="0"/>
          <w:sz w:val="24"/>
        </w:rPr>
      </w:pPr>
      <w:r>
        <w:rPr>
          <w:rFonts w:ascii="宋体" w:hAnsi="宋体" w:hint="eastAsia"/>
          <w:color w:val="000000"/>
          <w:kern w:val="0"/>
          <w:sz w:val="24"/>
        </w:rPr>
        <w:t>2、严格遵守法律、行政法规、中国证监会及《基金合同》的规定，执行行业自律规范和公司各项规章制度，不为了基金业绩排名等实施拉抬尾市、打压股价等损害证券市场秩序的行为，或者进行其他违反规定的操作；</w:t>
      </w:r>
    </w:p>
    <w:p w14:paraId="02B92FEF" w14:textId="77777777" w:rsidR="00566744" w:rsidRDefault="00000000">
      <w:pPr>
        <w:adjustRightInd w:val="0"/>
        <w:snapToGrid w:val="0"/>
        <w:spacing w:line="372" w:lineRule="auto"/>
        <w:ind w:firstLineChars="200" w:firstLine="480"/>
        <w:rPr>
          <w:rFonts w:ascii="宋体" w:hAnsi="宋体" w:hint="eastAsia"/>
          <w:color w:val="000000"/>
          <w:kern w:val="0"/>
          <w:sz w:val="24"/>
        </w:rPr>
      </w:pPr>
      <w:r>
        <w:rPr>
          <w:rFonts w:ascii="宋体" w:hAnsi="宋体" w:hint="eastAsia"/>
          <w:color w:val="000000"/>
          <w:kern w:val="0"/>
          <w:sz w:val="24"/>
        </w:rPr>
        <w:t>3、独立、客观地履行职责，在</w:t>
      </w:r>
      <w:proofErr w:type="gramStart"/>
      <w:r>
        <w:rPr>
          <w:rFonts w:ascii="宋体" w:hAnsi="宋体" w:hint="eastAsia"/>
          <w:color w:val="000000"/>
          <w:kern w:val="0"/>
          <w:sz w:val="24"/>
        </w:rPr>
        <w:t>作出</w:t>
      </w:r>
      <w:proofErr w:type="gramEnd"/>
      <w:r>
        <w:rPr>
          <w:rFonts w:ascii="宋体" w:hAnsi="宋体" w:hint="eastAsia"/>
          <w:color w:val="000000"/>
          <w:kern w:val="0"/>
          <w:sz w:val="24"/>
        </w:rPr>
        <w:t>投资建议或者进行投资活动时，不受他人干预，在授权范围内就投资、研究等事项</w:t>
      </w:r>
      <w:proofErr w:type="gramStart"/>
      <w:r>
        <w:rPr>
          <w:rFonts w:ascii="宋体" w:hAnsi="宋体" w:hint="eastAsia"/>
          <w:color w:val="000000"/>
          <w:kern w:val="0"/>
          <w:sz w:val="24"/>
        </w:rPr>
        <w:t>作出</w:t>
      </w:r>
      <w:proofErr w:type="gramEnd"/>
      <w:r>
        <w:rPr>
          <w:rFonts w:ascii="宋体" w:hAnsi="宋体" w:hint="eastAsia"/>
          <w:color w:val="000000"/>
          <w:kern w:val="0"/>
          <w:sz w:val="24"/>
        </w:rPr>
        <w:t>客观、公正的独立判断；</w:t>
      </w:r>
    </w:p>
    <w:p w14:paraId="15708CAA" w14:textId="77777777" w:rsidR="00566744" w:rsidRDefault="00000000">
      <w:pPr>
        <w:adjustRightInd w:val="0"/>
        <w:snapToGrid w:val="0"/>
        <w:spacing w:line="372" w:lineRule="auto"/>
        <w:ind w:firstLineChars="200" w:firstLine="480"/>
        <w:rPr>
          <w:rFonts w:ascii="宋体" w:hAnsi="宋体" w:hint="eastAsia"/>
          <w:color w:val="000000"/>
          <w:kern w:val="0"/>
          <w:sz w:val="24"/>
        </w:rPr>
      </w:pPr>
      <w:r>
        <w:rPr>
          <w:rFonts w:ascii="宋体" w:hAnsi="宋体" w:hint="eastAsia"/>
          <w:color w:val="000000"/>
          <w:kern w:val="0"/>
          <w:sz w:val="24"/>
        </w:rPr>
        <w:t>4、严格遵守公司信息管理的有关规定以及聘用合同中的保密条款，不得利用未公开信息为自己或者他人谋取利益，不得违反有关规定向公司股东、与公司有业务联系的机构、公司其他部门和员工传递与投资活动有关的未公开信息；</w:t>
      </w:r>
    </w:p>
    <w:p w14:paraId="19D10904" w14:textId="77777777" w:rsidR="00566744" w:rsidRDefault="00000000">
      <w:pPr>
        <w:adjustRightInd w:val="0"/>
        <w:snapToGrid w:val="0"/>
        <w:spacing w:line="372" w:lineRule="auto"/>
        <w:ind w:firstLineChars="200" w:firstLine="480"/>
        <w:rPr>
          <w:rFonts w:ascii="宋体" w:hAnsi="宋体" w:hint="eastAsia"/>
          <w:color w:val="000000"/>
          <w:kern w:val="0"/>
          <w:sz w:val="24"/>
        </w:rPr>
      </w:pPr>
      <w:r>
        <w:rPr>
          <w:rFonts w:ascii="宋体" w:hAnsi="宋体" w:hint="eastAsia"/>
          <w:color w:val="000000"/>
          <w:kern w:val="0"/>
          <w:sz w:val="24"/>
        </w:rPr>
        <w:t>5、不利用基金财产或利用管理基金财产之便向任何机构和个人进行利益输送，不从事或者配合他人从事损害基金份额持有人利益的活动。</w:t>
      </w:r>
    </w:p>
    <w:p w14:paraId="03538BDD" w14:textId="77777777" w:rsidR="00566744" w:rsidRDefault="00000000">
      <w:pPr>
        <w:adjustRightInd w:val="0"/>
        <w:snapToGrid w:val="0"/>
        <w:spacing w:line="372" w:lineRule="auto"/>
        <w:ind w:firstLineChars="200" w:firstLine="480"/>
        <w:rPr>
          <w:rFonts w:ascii="宋体" w:hAnsi="宋体" w:hint="eastAsia"/>
          <w:color w:val="000000"/>
          <w:kern w:val="0"/>
          <w:sz w:val="24"/>
        </w:rPr>
      </w:pPr>
      <w:r>
        <w:rPr>
          <w:rFonts w:ascii="宋体" w:hAnsi="宋体" w:hint="eastAsia"/>
          <w:color w:val="000000"/>
          <w:kern w:val="0"/>
          <w:sz w:val="24"/>
        </w:rPr>
        <w:t>（六）基金管理人的内部控制制度</w:t>
      </w:r>
    </w:p>
    <w:p w14:paraId="3729539C" w14:textId="77777777" w:rsidR="00566744" w:rsidRDefault="00000000">
      <w:pPr>
        <w:adjustRightInd w:val="0"/>
        <w:snapToGrid w:val="0"/>
        <w:spacing w:line="372" w:lineRule="auto"/>
        <w:ind w:firstLineChars="200" w:firstLine="480"/>
        <w:rPr>
          <w:rFonts w:ascii="宋体" w:hAnsi="宋体" w:hint="eastAsia"/>
          <w:color w:val="000000"/>
          <w:kern w:val="0"/>
          <w:sz w:val="24"/>
        </w:rPr>
      </w:pPr>
      <w:r>
        <w:rPr>
          <w:rFonts w:ascii="宋体" w:hAnsi="宋体" w:hint="eastAsia"/>
          <w:color w:val="000000"/>
          <w:kern w:val="0"/>
          <w:sz w:val="24"/>
        </w:rPr>
        <w:t>1、风险控制目标</w:t>
      </w:r>
    </w:p>
    <w:p w14:paraId="47795599" w14:textId="77777777" w:rsidR="00566744" w:rsidRDefault="00000000">
      <w:pPr>
        <w:adjustRightInd w:val="0"/>
        <w:snapToGrid w:val="0"/>
        <w:spacing w:line="372" w:lineRule="auto"/>
        <w:ind w:firstLineChars="200" w:firstLine="480"/>
        <w:rPr>
          <w:rFonts w:ascii="宋体" w:hAnsi="宋体" w:hint="eastAsia"/>
          <w:color w:val="000000"/>
          <w:kern w:val="0"/>
          <w:sz w:val="24"/>
        </w:rPr>
      </w:pPr>
      <w:r>
        <w:rPr>
          <w:rFonts w:ascii="宋体" w:hAnsi="宋体" w:hint="eastAsia"/>
          <w:color w:val="000000"/>
          <w:kern w:val="0"/>
          <w:sz w:val="24"/>
        </w:rPr>
        <w:t>（1）在有效控制风险的前提下，实现基金份额持有人利益最大化；</w:t>
      </w:r>
    </w:p>
    <w:p w14:paraId="14D5BBD5" w14:textId="77777777" w:rsidR="00566744" w:rsidRDefault="00000000">
      <w:pPr>
        <w:adjustRightInd w:val="0"/>
        <w:snapToGrid w:val="0"/>
        <w:spacing w:line="372" w:lineRule="auto"/>
        <w:ind w:firstLineChars="200" w:firstLine="480"/>
        <w:rPr>
          <w:rFonts w:ascii="宋体" w:hAnsi="宋体" w:hint="eastAsia"/>
          <w:color w:val="000000"/>
          <w:kern w:val="0"/>
          <w:sz w:val="24"/>
        </w:rPr>
      </w:pPr>
      <w:r>
        <w:rPr>
          <w:rFonts w:ascii="宋体" w:hAnsi="宋体" w:hint="eastAsia"/>
          <w:color w:val="000000"/>
          <w:kern w:val="0"/>
          <w:sz w:val="24"/>
        </w:rPr>
        <w:t>（2）确保国家有关法律法规、行业规章和公司各项规章制度的贯彻执行；</w:t>
      </w:r>
    </w:p>
    <w:p w14:paraId="66938769"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（3）建立符合现代企业制度要求的法人治理结构，形成科学合理的决策机制、执行机制和监督机制；</w:t>
      </w:r>
    </w:p>
    <w:p w14:paraId="44BEA75A"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（4）将各种风险控制在合理的范围内，保障公司发展战略和经营目标的全面实施，维护基金份额持有人、公司及公司股东的合法权益；</w:t>
      </w:r>
    </w:p>
    <w:p w14:paraId="61270A39"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（5）建立行之有效的风险控制系统，保障业务稳健运行，减轻或规避各种风险对公司发展战略和经营目标的干扰。</w:t>
      </w:r>
    </w:p>
    <w:p w14:paraId="31C02771"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2、建立风险控制制度应遵循的原则</w:t>
      </w:r>
    </w:p>
    <w:p w14:paraId="33B5E1C2" w14:textId="77777777" w:rsidR="00566744" w:rsidRDefault="00000000">
      <w:pPr>
        <w:spacing w:line="360" w:lineRule="auto"/>
        <w:ind w:firstLineChars="200" w:firstLine="480"/>
        <w:rPr>
          <w:rFonts w:ascii="宋体" w:hAnsi="宋体" w:hint="eastAsia"/>
          <w:color w:val="000000"/>
          <w:kern w:val="0"/>
          <w:sz w:val="24"/>
        </w:rPr>
      </w:pPr>
      <w:r>
        <w:rPr>
          <w:rFonts w:ascii="宋体" w:hAnsi="宋体"/>
          <w:color w:val="000000"/>
          <w:kern w:val="0"/>
          <w:sz w:val="24"/>
        </w:rPr>
        <w:t>（1）全面性原则：风险控制制度应覆盖公司的各项业务、各个部门和各级人员，</w:t>
      </w:r>
      <w:r>
        <w:rPr>
          <w:rFonts w:ascii="宋体" w:hAnsi="宋体"/>
          <w:color w:val="000000"/>
          <w:kern w:val="0"/>
          <w:sz w:val="24"/>
        </w:rPr>
        <w:lastRenderedPageBreak/>
        <w:t>并渗透到决策、执行、监督、反馈等各个经营环节；</w:t>
      </w:r>
    </w:p>
    <w:p w14:paraId="63A2A2CC" w14:textId="77777777" w:rsidR="00566744" w:rsidRDefault="00000000">
      <w:pPr>
        <w:spacing w:line="360" w:lineRule="auto"/>
        <w:ind w:firstLineChars="200" w:firstLine="480"/>
        <w:rPr>
          <w:rFonts w:ascii="宋体" w:hAnsi="宋体" w:hint="eastAsia"/>
          <w:color w:val="000000"/>
          <w:kern w:val="0"/>
          <w:sz w:val="24"/>
        </w:rPr>
      </w:pPr>
      <w:r>
        <w:rPr>
          <w:rFonts w:ascii="宋体" w:hAnsi="宋体"/>
          <w:color w:val="000000"/>
          <w:kern w:val="0"/>
          <w:sz w:val="24"/>
        </w:rPr>
        <w:t>（2）审慎性原则：内部风险控制的核心是有效防范各种风险，公司组织体系的构成、内部管理制度的建立都要以防范风险、审慎经营为出发点；</w:t>
      </w:r>
    </w:p>
    <w:p w14:paraId="714C4559" w14:textId="77777777" w:rsidR="00566744" w:rsidRDefault="00000000">
      <w:pPr>
        <w:spacing w:line="360" w:lineRule="auto"/>
        <w:ind w:firstLineChars="200" w:firstLine="480"/>
        <w:rPr>
          <w:rFonts w:ascii="宋体" w:hAnsi="宋体" w:hint="eastAsia"/>
          <w:color w:val="000000"/>
          <w:kern w:val="0"/>
          <w:sz w:val="24"/>
        </w:rPr>
      </w:pPr>
      <w:r>
        <w:rPr>
          <w:rFonts w:ascii="宋体" w:hAnsi="宋体"/>
          <w:color w:val="000000"/>
          <w:kern w:val="0"/>
          <w:sz w:val="24"/>
        </w:rPr>
        <w:t>（3）独立性原则：公司风险控制的检查、评价部门应当独立于风险控制的建立和执行部门；风险控制委员会、督察长和监察稽核部应保持高度的独立性和权威性，负责对公司各部门风险控制工作进行评价和检查；</w:t>
      </w:r>
    </w:p>
    <w:p w14:paraId="160D4DFD" w14:textId="77777777" w:rsidR="00566744" w:rsidRDefault="00000000">
      <w:pPr>
        <w:spacing w:line="360" w:lineRule="auto"/>
        <w:ind w:firstLineChars="200" w:firstLine="480"/>
        <w:rPr>
          <w:rFonts w:ascii="宋体" w:hAnsi="宋体" w:hint="eastAsia"/>
          <w:color w:val="000000"/>
          <w:kern w:val="0"/>
          <w:sz w:val="24"/>
        </w:rPr>
      </w:pPr>
      <w:r>
        <w:rPr>
          <w:rFonts w:ascii="宋体" w:hAnsi="宋体"/>
          <w:color w:val="000000"/>
          <w:kern w:val="0"/>
          <w:sz w:val="24"/>
        </w:rPr>
        <w:t>（4）有效性原则：风险控制制度应当符合国家法律法规和监管部门的规章，具有高度的权威性，成为所有员工严格遵守的行动指南；执行风险控制制度不能存在任何例外，公司任何员工不得拥有超越制度或违反规章的权力；</w:t>
      </w:r>
    </w:p>
    <w:p w14:paraId="177590B2" w14:textId="1AD3800C" w:rsidR="00566744" w:rsidRDefault="00000000">
      <w:pPr>
        <w:spacing w:line="360" w:lineRule="auto"/>
        <w:ind w:firstLineChars="200" w:firstLine="480"/>
        <w:rPr>
          <w:rFonts w:ascii="宋体" w:hAnsi="宋体" w:hint="eastAsia"/>
          <w:color w:val="000000"/>
          <w:kern w:val="0"/>
          <w:sz w:val="24"/>
        </w:rPr>
      </w:pPr>
      <w:r>
        <w:rPr>
          <w:rFonts w:ascii="宋体" w:hAnsi="宋体"/>
          <w:color w:val="000000"/>
          <w:kern w:val="0"/>
          <w:sz w:val="24"/>
        </w:rPr>
        <w:t>（5）适时性原则：内部风险控制应随着公司经营战略、经营方针、经营理念等内部环境的变化和国家法律、法规、政策制度等外部环境的改变及时进行相应的修改和完善</w:t>
      </w:r>
      <w:r>
        <w:rPr>
          <w:rFonts w:ascii="宋体" w:hAnsi="宋体" w:hint="eastAsia"/>
          <w:color w:val="000000"/>
          <w:kern w:val="0"/>
          <w:sz w:val="24"/>
        </w:rPr>
        <w:t>。</w:t>
      </w:r>
    </w:p>
    <w:p w14:paraId="143CAF78"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3、风险控制体系</w:t>
      </w:r>
    </w:p>
    <w:p w14:paraId="772447E9"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（1）风险控制制度体系</w:t>
      </w:r>
    </w:p>
    <w:p w14:paraId="45E7B420"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公司风险控制制度体系由三个不同层次的制度构成：第一个层次是公司章程、内部控制大纲；第二个层次是基本管理制度；第三个层次是部门管理制度及各项业务规则。</w:t>
      </w:r>
    </w:p>
    <w:p w14:paraId="64F5FA7A"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（2）风险控制组织体系</w:t>
      </w:r>
    </w:p>
    <w:p w14:paraId="4B9705C4"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风险控制组织体系包括两个层次：</w:t>
      </w:r>
    </w:p>
    <w:p w14:paraId="7BC51C2C"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第一层次：公司董事会层面对公司经营管理过程中的各类风险进行预防和控制的组织，主要是通过董事会下设的风险控制委员会和督察长来实现的。</w:t>
      </w:r>
    </w:p>
    <w:p w14:paraId="53D6BA5F"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①风险控制委员会的主要职责是：审议并批准公司内部风险控制制度；检查公司内部风险控制制度的执行情况，对公司出现的风险问题和存在的风险隐患进行研究并提出处理意见；提议聘请或更换外部审计机构；对重大关联交易进行审计；指导经理层所设立的风险管理委员会的工作；董事会赋予的其他职责。</w:t>
      </w:r>
    </w:p>
    <w:p w14:paraId="6FB8A80C"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②督察</w:t>
      </w:r>
      <w:proofErr w:type="gramStart"/>
      <w:r>
        <w:rPr>
          <w:rFonts w:ascii="宋体" w:hAnsi="宋体" w:hint="eastAsia"/>
          <w:color w:val="000000"/>
          <w:kern w:val="0"/>
          <w:sz w:val="24"/>
        </w:rPr>
        <w:t>长履行</w:t>
      </w:r>
      <w:proofErr w:type="gramEnd"/>
      <w:r>
        <w:rPr>
          <w:rFonts w:ascii="宋体" w:hAnsi="宋体" w:hint="eastAsia"/>
          <w:color w:val="000000"/>
          <w:kern w:val="0"/>
          <w:sz w:val="24"/>
        </w:rPr>
        <w:t>的职责包括对基金运作、内部管理、制度执行及遵规守法情况进行内部监察、稽核；就以上监察、稽核中发现的问题向公司经营管理层通报并提出整改和处理意见；定期向风险控制委员会提交工作报告；发现公司的违规行为，应</w:t>
      </w:r>
      <w:r>
        <w:rPr>
          <w:rFonts w:ascii="宋体" w:hAnsi="宋体" w:hint="eastAsia"/>
          <w:color w:val="000000"/>
          <w:kern w:val="0"/>
          <w:sz w:val="24"/>
        </w:rPr>
        <w:lastRenderedPageBreak/>
        <w:t>立即向董事长和中国证监会报告。</w:t>
      </w:r>
    </w:p>
    <w:p w14:paraId="1A13D6E3"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第二层次：公司经营管理层包括风险管理委员会、监察稽核部及各职能部门对经营风险的预防和控制。</w:t>
      </w:r>
    </w:p>
    <w:p w14:paraId="06278621" w14:textId="77777777" w:rsidR="00566744" w:rsidRDefault="00000000">
      <w:pPr>
        <w:numPr>
          <w:ilvl w:val="0"/>
          <w:numId w:val="4"/>
        </w:numPr>
        <w:spacing w:line="360" w:lineRule="auto"/>
        <w:ind w:left="0" w:firstLine="426"/>
        <w:rPr>
          <w:rFonts w:ascii="宋体" w:hAnsi="宋体" w:hint="eastAsia"/>
          <w:color w:val="000000"/>
          <w:kern w:val="0"/>
          <w:sz w:val="24"/>
        </w:rPr>
      </w:pPr>
      <w:r>
        <w:rPr>
          <w:rFonts w:ascii="宋体" w:hAnsi="宋体" w:hint="eastAsia"/>
          <w:color w:val="000000"/>
          <w:kern w:val="0"/>
          <w:sz w:val="24"/>
        </w:rPr>
        <w:t>风险管理委员会的主要职责是：审议公司各业务部门提出的风险管理和控制问题，决定公司相应的风险管理和控制政策；就公司经营和受托资产投资运作中存在的风险及风险隐患，向公司相关部门提出整改要求；决定公司重大风险事件的处理方案；总结、安排风险管理和控制工作，研究、评估新出现的风险因素；评估新产品、新业务的合</w:t>
      </w:r>
      <w:proofErr w:type="gramStart"/>
      <w:r>
        <w:rPr>
          <w:rFonts w:ascii="宋体" w:hAnsi="宋体" w:hint="eastAsia"/>
          <w:color w:val="000000"/>
          <w:kern w:val="0"/>
          <w:sz w:val="24"/>
        </w:rPr>
        <w:t>规</w:t>
      </w:r>
      <w:proofErr w:type="gramEnd"/>
      <w:r>
        <w:rPr>
          <w:rFonts w:ascii="宋体" w:hAnsi="宋体" w:hint="eastAsia"/>
          <w:color w:val="000000"/>
          <w:kern w:val="0"/>
          <w:sz w:val="24"/>
        </w:rPr>
        <w:t>风险、市场风险和操作风险等重大风险，确保公司各项业务符合法律法规、监管要求、公司制度及受托资产合同的规定；审批基金投资的关联方证券名单和关联交易；风险管理委员会认为其他需关注的事项。</w:t>
      </w:r>
    </w:p>
    <w:p w14:paraId="3551544A"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②监察稽核部的主要职责是在督察长的领导下，组织和协调公司内部控制制度的编写、修订工作，确保公司内部控制制度合</w:t>
      </w:r>
      <w:proofErr w:type="gramStart"/>
      <w:r>
        <w:rPr>
          <w:rFonts w:ascii="宋体" w:hAnsi="宋体" w:hint="eastAsia"/>
          <w:color w:val="000000"/>
          <w:kern w:val="0"/>
          <w:sz w:val="24"/>
        </w:rPr>
        <w:t>规</w:t>
      </w:r>
      <w:proofErr w:type="gramEnd"/>
      <w:r>
        <w:rPr>
          <w:rFonts w:ascii="宋体" w:hAnsi="宋体" w:hint="eastAsia"/>
          <w:color w:val="000000"/>
          <w:kern w:val="0"/>
          <w:sz w:val="24"/>
        </w:rPr>
        <w:t>、完善；检查公司内部控制制度和业务流程的执行情况，出具监察稽核报告；负责信息披露事务的管理；调查基金及其他类型产品的异常投资和交易以及对违规行为的调查；负责公司的法律事务、合</w:t>
      </w:r>
      <w:proofErr w:type="gramStart"/>
      <w:r>
        <w:rPr>
          <w:rFonts w:ascii="宋体" w:hAnsi="宋体" w:hint="eastAsia"/>
          <w:color w:val="000000"/>
          <w:kern w:val="0"/>
          <w:sz w:val="24"/>
        </w:rPr>
        <w:t>规</w:t>
      </w:r>
      <w:proofErr w:type="gramEnd"/>
      <w:r>
        <w:rPr>
          <w:rFonts w:ascii="宋体" w:hAnsi="宋体" w:hint="eastAsia"/>
          <w:color w:val="000000"/>
          <w:kern w:val="0"/>
          <w:sz w:val="24"/>
        </w:rPr>
        <w:t>咨询、合</w:t>
      </w:r>
      <w:proofErr w:type="gramStart"/>
      <w:r>
        <w:rPr>
          <w:rFonts w:ascii="宋体" w:hAnsi="宋体" w:hint="eastAsia"/>
          <w:color w:val="000000"/>
          <w:kern w:val="0"/>
          <w:sz w:val="24"/>
        </w:rPr>
        <w:t>规</w:t>
      </w:r>
      <w:proofErr w:type="gramEnd"/>
      <w:r>
        <w:rPr>
          <w:rFonts w:ascii="宋体" w:hAnsi="宋体" w:hint="eastAsia"/>
          <w:color w:val="000000"/>
          <w:kern w:val="0"/>
          <w:sz w:val="24"/>
        </w:rPr>
        <w:t>培训、离任审查等工作。</w:t>
      </w:r>
    </w:p>
    <w:p w14:paraId="0C1B6C7C"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③公司各职能部门的主要职责是对自身工作中潜在风险的自我检查和控制，各业务部门作为公司风险控制的具体实施单位，应在公司各项基本管理制度的基础上，根据具体情况制订本部门的业务管理规定、操作流程及内部控制规定并严格执行。</w:t>
      </w:r>
    </w:p>
    <w:p w14:paraId="131D7D1C"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4、关于授权、研究、投资、交易等方面的控制点</w:t>
      </w:r>
    </w:p>
    <w:p w14:paraId="6D554727"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（1）授权制度</w:t>
      </w:r>
    </w:p>
    <w:p w14:paraId="7B9794E8"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公司的授权制度贯穿于整个公司业务。股东会、董事会、监事和经营管理层必须充分履行各自的职权，健全公司逐级授权制度，确保公司各项规章制度的贯彻执行；各项经营业务和管理程序必须遵从管理层制定的操作规程，经办人员的每一项工作必须是在业务授权范围内进行；公司重大业务的授权必须采取书面形式，授权书应当明确授权内容和时效；公司授权要适当，对已获授权的部门和人员应建立有效的评价和反馈机制，对已不适用的授权应及时修改或取消授权。</w:t>
      </w:r>
    </w:p>
    <w:p w14:paraId="01387E4C"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（2）研究业务</w:t>
      </w:r>
    </w:p>
    <w:p w14:paraId="6F51E061"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研究工作应保持独立、客观，不受任何部门及个人的不正当影响；建立严密的</w:t>
      </w:r>
      <w:r>
        <w:rPr>
          <w:rFonts w:ascii="宋体" w:hAnsi="宋体" w:hint="eastAsia"/>
          <w:color w:val="000000"/>
          <w:kern w:val="0"/>
          <w:sz w:val="24"/>
        </w:rPr>
        <w:lastRenderedPageBreak/>
        <w:t>研究工作业务流程，形成科学、有效的研究方法；建立投资对象备选库制度，研究部门根据投资产品的特征，在充分研究的基础上建立和维护备选库；建立研究与投资的业务交流制度，保持畅通的交流渠道；建立研究报告质量评价体系，不断提高研究水平。</w:t>
      </w:r>
    </w:p>
    <w:p w14:paraId="3319E0FA"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（3）基金投资业务</w:t>
      </w:r>
    </w:p>
    <w:p w14:paraId="02D89FE1"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基金投资应确立科学的投资理念，根据决策的风险防范原则和效率性原则制定合理的决策程序；在进行投资时应有明确的投资授权制度，并应建立与所授权</w:t>
      </w:r>
      <w:proofErr w:type="gramStart"/>
      <w:r>
        <w:rPr>
          <w:rFonts w:ascii="宋体" w:hAnsi="宋体" w:hint="eastAsia"/>
          <w:color w:val="000000"/>
          <w:kern w:val="0"/>
          <w:sz w:val="24"/>
        </w:rPr>
        <w:t>限相应</w:t>
      </w:r>
      <w:proofErr w:type="gramEnd"/>
      <w:r>
        <w:rPr>
          <w:rFonts w:ascii="宋体" w:hAnsi="宋体" w:hint="eastAsia"/>
          <w:color w:val="000000"/>
          <w:kern w:val="0"/>
          <w:sz w:val="24"/>
        </w:rPr>
        <w:t>的约束制度和考核制度；建立严格的投资禁止和投资限制制度，保证基金投资的合法合</w:t>
      </w:r>
      <w:proofErr w:type="gramStart"/>
      <w:r>
        <w:rPr>
          <w:rFonts w:ascii="宋体" w:hAnsi="宋体" w:hint="eastAsia"/>
          <w:color w:val="000000"/>
          <w:kern w:val="0"/>
          <w:sz w:val="24"/>
        </w:rPr>
        <w:t>规</w:t>
      </w:r>
      <w:proofErr w:type="gramEnd"/>
      <w:r>
        <w:rPr>
          <w:rFonts w:ascii="宋体" w:hAnsi="宋体" w:hint="eastAsia"/>
          <w:color w:val="000000"/>
          <w:kern w:val="0"/>
          <w:sz w:val="24"/>
        </w:rPr>
        <w:t>性；建立投资风险评估与管理制度，将重点投资限制在一定的风险权限额度内；对于投资结果建立科学的投资管理业绩评价体系。</w:t>
      </w:r>
    </w:p>
    <w:p w14:paraId="4B7A3209"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（4）交易业务</w:t>
      </w:r>
    </w:p>
    <w:p w14:paraId="29DE5F10"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实行集中交易制度，投资指令通过交易部完成；建立交易监测系统、预警系统和交易反馈系统，完善相关的安全设施；交易部应对交易指令进行审核，建立公平的交易分配制度，确保各基金利益的公平；交易记录应完善，并及时进行反馈、核对和存档保管；建立科学的投资交易绩效评价体系。</w:t>
      </w:r>
    </w:p>
    <w:p w14:paraId="52F1A07C"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（5）基金会计核算</w:t>
      </w:r>
    </w:p>
    <w:p w14:paraId="1AA68D51"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根据法律法规及业务的要求建立会计制度，并根据风险控制点建立严密的会计系统，对于不同基金、不同客户独立建账，独立核算；通过复核制度、凭证制度、合理的估值方法和估值程序等会计措施真实、完整、及时地记载每一笔业务并正确进行会计核算和业务核算；建立会计档案保管制度，确保档案真实完整。</w:t>
      </w:r>
    </w:p>
    <w:p w14:paraId="02880EDB"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（6）信息披露</w:t>
      </w:r>
    </w:p>
    <w:p w14:paraId="38AEA467"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建立了完善的信息披露制度，保证公开披露的信息真实、准确、完整；设立了信息披露负责人，并建立了相应的程序进行信息的收集、组织、审核和发布，加强对信息的审查核对，使所公布的信息符合法律法规的规定；加强对信息披露的检查和评价，对存在的问题及时提出改进方法。</w:t>
      </w:r>
    </w:p>
    <w:p w14:paraId="1EE5C9C8"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（7）监察稽核</w:t>
      </w:r>
    </w:p>
    <w:p w14:paraId="707AB746"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公司设立督察长。督察长由董事会聘任或解聘，报中国证监会或</w:t>
      </w:r>
      <w:r>
        <w:rPr>
          <w:rFonts w:ascii="宋体" w:hAnsi="宋体"/>
          <w:color w:val="000000"/>
          <w:kern w:val="0"/>
          <w:sz w:val="24"/>
        </w:rPr>
        <w:t>其</w:t>
      </w:r>
      <w:r>
        <w:rPr>
          <w:rFonts w:ascii="宋体" w:hAnsi="宋体" w:hint="eastAsia"/>
          <w:color w:val="000000"/>
          <w:kern w:val="0"/>
          <w:sz w:val="24"/>
        </w:rPr>
        <w:t>指定</w:t>
      </w:r>
      <w:r>
        <w:rPr>
          <w:rFonts w:ascii="宋体" w:hAnsi="宋体"/>
          <w:color w:val="000000"/>
          <w:kern w:val="0"/>
          <w:sz w:val="24"/>
        </w:rPr>
        <w:t>的机构备案</w:t>
      </w:r>
      <w:r>
        <w:rPr>
          <w:rFonts w:ascii="宋体" w:hAnsi="宋体" w:hint="eastAsia"/>
          <w:color w:val="000000"/>
          <w:kern w:val="0"/>
          <w:sz w:val="24"/>
        </w:rPr>
        <w:t>，并向董事会负责。督察</w:t>
      </w:r>
      <w:proofErr w:type="gramStart"/>
      <w:r>
        <w:rPr>
          <w:rFonts w:ascii="宋体" w:hAnsi="宋体" w:hint="eastAsia"/>
          <w:color w:val="000000"/>
          <w:kern w:val="0"/>
          <w:sz w:val="24"/>
        </w:rPr>
        <w:t>长依据</w:t>
      </w:r>
      <w:proofErr w:type="gramEnd"/>
      <w:r>
        <w:rPr>
          <w:rFonts w:ascii="宋体" w:hAnsi="宋体" w:hint="eastAsia"/>
          <w:color w:val="000000"/>
          <w:kern w:val="0"/>
          <w:sz w:val="24"/>
        </w:rPr>
        <w:t>法律法规和公司章程的规定履行职责，可以列</w:t>
      </w:r>
      <w:r>
        <w:rPr>
          <w:rFonts w:ascii="宋体" w:hAnsi="宋体" w:hint="eastAsia"/>
          <w:color w:val="000000"/>
          <w:kern w:val="0"/>
          <w:sz w:val="24"/>
        </w:rPr>
        <w:lastRenderedPageBreak/>
        <w:t>席公司任何相关会议，调阅公司任何相关制度、文件；要求被督察部门对所提出的问题提供有关材料和做出口头或书面说明；行使中国证监会赋予的其他报告权和监督权。</w:t>
      </w:r>
    </w:p>
    <w:p w14:paraId="2ED5EC6C"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公司设立监察稽核部，开展监察稽核工作，并保证监察稽核部的独立性和权威性。公司明确了监察稽核部及内部各岗位的具体职责，配备了充足的人员，严格制订了监察稽核工作的专业任职条件、操作程序和组织纪律；监察稽核部强化内部检查制度，通过定期或不定期检查内部控制制度的执行情况，确保公司各项经营管理活动的有效运行；公司董事会和经营管理层充分重视和支持监察稽核工作，对违反法律、法规和公司内部控制制度的，追究相关部门和人员的责任。</w:t>
      </w:r>
    </w:p>
    <w:p w14:paraId="5FDBA59A"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5、风险管理和内部控制的措施</w:t>
      </w:r>
    </w:p>
    <w:p w14:paraId="086CF1E5"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w:t>
      </w:r>
      <w:r>
        <w:rPr>
          <w:rFonts w:ascii="宋体" w:hAnsi="宋体"/>
          <w:color w:val="000000"/>
          <w:kern w:val="0"/>
          <w:sz w:val="24"/>
        </w:rPr>
        <w:t>1</w:t>
      </w:r>
      <w:r>
        <w:rPr>
          <w:rFonts w:ascii="宋体" w:hAnsi="宋体" w:hint="eastAsia"/>
          <w:color w:val="000000"/>
          <w:kern w:val="0"/>
          <w:sz w:val="24"/>
        </w:rPr>
        <w:t>）建立内控结构，完善内控制度：公司建立、健全了内控结构，高管人员具有明确的内控分工，确保各项业务活动有恰当的组织和授权，确保监察活动的独立进行，并得到高管人员的支持。</w:t>
      </w:r>
    </w:p>
    <w:p w14:paraId="568895B6"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w:t>
      </w:r>
      <w:r>
        <w:rPr>
          <w:rFonts w:ascii="宋体" w:hAnsi="宋体"/>
          <w:color w:val="000000"/>
          <w:kern w:val="0"/>
          <w:sz w:val="24"/>
        </w:rPr>
        <w:t>2</w:t>
      </w:r>
      <w:r>
        <w:rPr>
          <w:rFonts w:ascii="宋体" w:hAnsi="宋体" w:hint="eastAsia"/>
          <w:color w:val="000000"/>
          <w:kern w:val="0"/>
          <w:sz w:val="24"/>
        </w:rPr>
        <w:t>）建立相互分离、相互制衡的内控机制：建立、健全了各项制度，做到基金经理、投资经理分开，研究、决策分开，基金交易集中，形成不同部门、不同岗位之间的制衡机制，从制度上减少和防范风险。</w:t>
      </w:r>
    </w:p>
    <w:p w14:paraId="50E457CF"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w:t>
      </w:r>
      <w:r>
        <w:rPr>
          <w:rFonts w:ascii="宋体" w:hAnsi="宋体"/>
          <w:color w:val="000000"/>
          <w:kern w:val="0"/>
          <w:sz w:val="24"/>
        </w:rPr>
        <w:t>3</w:t>
      </w:r>
      <w:r>
        <w:rPr>
          <w:rFonts w:ascii="宋体" w:hAnsi="宋体" w:hint="eastAsia"/>
          <w:color w:val="000000"/>
          <w:kern w:val="0"/>
          <w:sz w:val="24"/>
        </w:rPr>
        <w:t>）建立、健全岗位责任制：建立、健全了岗位责任制，使每个员工都明确自己的任务、职责，并及时将各自工作领域中的风险隐患上报，以防范和减少风险。</w:t>
      </w:r>
    </w:p>
    <w:p w14:paraId="6309813B"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w:t>
      </w:r>
      <w:r>
        <w:rPr>
          <w:rFonts w:ascii="宋体" w:hAnsi="宋体"/>
          <w:color w:val="000000"/>
          <w:kern w:val="0"/>
          <w:sz w:val="24"/>
        </w:rPr>
        <w:t>4</w:t>
      </w:r>
      <w:r>
        <w:rPr>
          <w:rFonts w:ascii="宋体" w:hAnsi="宋体" w:hint="eastAsia"/>
          <w:color w:val="000000"/>
          <w:kern w:val="0"/>
          <w:sz w:val="24"/>
        </w:rPr>
        <w:t>）建立风险分类、识别、评估、报告、提示程序：建立了风险管理委员会，使用适合的程序，确认和评估与公司运作有关的风险；建立了自下而上的风险报告程序，对风险隐患进行层层汇报，使各个层次的人员及时掌握风险状况，从而以最快速度做出决策。</w:t>
      </w:r>
    </w:p>
    <w:p w14:paraId="7EAF96E3"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w:t>
      </w:r>
      <w:r>
        <w:rPr>
          <w:rFonts w:ascii="宋体" w:hAnsi="宋体"/>
          <w:color w:val="000000"/>
          <w:kern w:val="0"/>
          <w:sz w:val="24"/>
        </w:rPr>
        <w:t>5</w:t>
      </w:r>
      <w:r>
        <w:rPr>
          <w:rFonts w:ascii="宋体" w:hAnsi="宋体" w:hint="eastAsia"/>
          <w:color w:val="000000"/>
          <w:kern w:val="0"/>
          <w:sz w:val="24"/>
        </w:rPr>
        <w:t>）建立有效的内部监控系统：建立了足够、有效的内部监控系统，如计算机预警系统、投资监控系统，能对可能出现的各种风险进行全面和实时的监控。</w:t>
      </w:r>
    </w:p>
    <w:p w14:paraId="313C763B"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w:t>
      </w:r>
      <w:r>
        <w:rPr>
          <w:rFonts w:ascii="宋体" w:hAnsi="宋体"/>
          <w:color w:val="000000"/>
          <w:kern w:val="0"/>
          <w:sz w:val="24"/>
        </w:rPr>
        <w:t>6</w:t>
      </w:r>
      <w:r>
        <w:rPr>
          <w:rFonts w:ascii="宋体" w:hAnsi="宋体" w:hint="eastAsia"/>
          <w:color w:val="000000"/>
          <w:kern w:val="0"/>
          <w:sz w:val="24"/>
        </w:rPr>
        <w:t>）使用数量化的风险管理手段：采取数量化、技术化的风险控制手段，建立数量化的风险管理模型，用以提示市场风险，以便公司及时采取有效的措施，对风险进行分散、控制和规避，尽可能地减少损失。</w:t>
      </w:r>
    </w:p>
    <w:p w14:paraId="77908155"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w:t>
      </w:r>
      <w:r>
        <w:rPr>
          <w:rFonts w:ascii="宋体" w:hAnsi="宋体"/>
          <w:color w:val="000000"/>
          <w:kern w:val="0"/>
          <w:sz w:val="24"/>
        </w:rPr>
        <w:t>7</w:t>
      </w:r>
      <w:r>
        <w:rPr>
          <w:rFonts w:ascii="宋体" w:hAnsi="宋体" w:hint="eastAsia"/>
          <w:color w:val="000000"/>
          <w:kern w:val="0"/>
          <w:sz w:val="24"/>
        </w:rPr>
        <w:t>）提供足够的培训：制定了完整的培训计划，为所有员工提供足够和适当的</w:t>
      </w:r>
      <w:r>
        <w:rPr>
          <w:rFonts w:ascii="宋体" w:hAnsi="宋体" w:hint="eastAsia"/>
          <w:color w:val="000000"/>
          <w:kern w:val="0"/>
          <w:sz w:val="24"/>
        </w:rPr>
        <w:lastRenderedPageBreak/>
        <w:t>培训，使员工明确其职责所在，控制风险。</w:t>
      </w:r>
    </w:p>
    <w:p w14:paraId="7DBE9A27"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6、基金管理人承诺上述关于内部控制的披露真实、准确，并承诺将根据市场环境的变化及公司的发展不断完善合</w:t>
      </w:r>
      <w:proofErr w:type="gramStart"/>
      <w:r>
        <w:rPr>
          <w:rFonts w:ascii="宋体" w:hAnsi="宋体" w:hint="eastAsia"/>
          <w:color w:val="000000"/>
          <w:kern w:val="0"/>
          <w:sz w:val="24"/>
        </w:rPr>
        <w:t>规</w:t>
      </w:r>
      <w:proofErr w:type="gramEnd"/>
      <w:r>
        <w:rPr>
          <w:rFonts w:ascii="宋体" w:hAnsi="宋体" w:hint="eastAsia"/>
          <w:color w:val="000000"/>
          <w:kern w:val="0"/>
          <w:sz w:val="24"/>
        </w:rPr>
        <w:t>控制。</w:t>
      </w:r>
      <w:bookmarkEnd w:id="19"/>
    </w:p>
    <w:p w14:paraId="142CC92D" w14:textId="77777777" w:rsidR="00566744" w:rsidRDefault="00566744">
      <w:pPr>
        <w:pStyle w:val="1"/>
        <w:spacing w:beforeLines="50" w:before="120" w:afterLines="50" w:after="120" w:line="360" w:lineRule="auto"/>
        <w:ind w:firstLineChars="100" w:firstLine="241"/>
        <w:jc w:val="center"/>
        <w:rPr>
          <w:rFonts w:ascii="宋体" w:hAnsi="宋体" w:hint="eastAsia"/>
          <w:color w:val="000000"/>
          <w:kern w:val="0"/>
          <w:sz w:val="24"/>
          <w:szCs w:val="24"/>
        </w:rPr>
        <w:sectPr w:rsidR="00566744">
          <w:footerReference w:type="first" r:id="rId13"/>
          <w:pgSz w:w="12240" w:h="15840"/>
          <w:pgMar w:top="1276" w:right="1800" w:bottom="1440" w:left="1800" w:header="720" w:footer="720" w:gutter="0"/>
          <w:pgNumType w:start="8"/>
          <w:cols w:space="720"/>
          <w:titlePg/>
          <w:docGrid w:linePitch="286"/>
        </w:sectPr>
      </w:pPr>
    </w:p>
    <w:p w14:paraId="152E7255" w14:textId="77777777" w:rsidR="00566744" w:rsidRDefault="00000000">
      <w:pPr>
        <w:pStyle w:val="1"/>
        <w:spacing w:line="360" w:lineRule="auto"/>
        <w:jc w:val="center"/>
        <w:rPr>
          <w:rFonts w:ascii="宋体" w:hAnsi="宋体" w:hint="eastAsia"/>
          <w:color w:val="000000"/>
          <w:kern w:val="0"/>
          <w:sz w:val="24"/>
          <w:szCs w:val="24"/>
        </w:rPr>
      </w:pPr>
      <w:bookmarkStart w:id="20" w:name="_Toc26099"/>
      <w:bookmarkStart w:id="21" w:name="_Toc482624792"/>
      <w:bookmarkStart w:id="22" w:name="_Toc78378584"/>
      <w:r>
        <w:rPr>
          <w:rFonts w:ascii="宋体" w:hAnsi="宋体" w:hint="eastAsia"/>
          <w:color w:val="000000"/>
          <w:kern w:val="0"/>
          <w:sz w:val="24"/>
          <w:szCs w:val="24"/>
        </w:rPr>
        <w:lastRenderedPageBreak/>
        <w:t>第四部分  基金托管人</w:t>
      </w:r>
      <w:bookmarkEnd w:id="20"/>
      <w:bookmarkEnd w:id="21"/>
      <w:bookmarkEnd w:id="22"/>
    </w:p>
    <w:p w14:paraId="31E4D616" w14:textId="77777777" w:rsidR="00566744" w:rsidRDefault="00000000">
      <w:pPr>
        <w:tabs>
          <w:tab w:val="left" w:pos="2160"/>
        </w:tabs>
        <w:adjustRightInd w:val="0"/>
        <w:snapToGrid w:val="0"/>
        <w:spacing w:line="360" w:lineRule="auto"/>
        <w:ind w:firstLineChars="200" w:firstLine="482"/>
        <w:rPr>
          <w:rFonts w:ascii="宋体" w:hAnsi="宋体" w:cs="宋体" w:hint="eastAsia"/>
          <w:b/>
          <w:bCs/>
          <w:color w:val="000000"/>
          <w:sz w:val="24"/>
        </w:rPr>
      </w:pPr>
      <w:bookmarkStart w:id="23" w:name="OLE_LINK10"/>
      <w:bookmarkStart w:id="24" w:name="OLE_LINK9"/>
      <w:bookmarkStart w:id="25" w:name="OLE_LINK12"/>
      <w:bookmarkStart w:id="26" w:name="OLE_LINK8"/>
      <w:bookmarkStart w:id="27" w:name="OLE_LINK11"/>
      <w:r>
        <w:rPr>
          <w:rFonts w:ascii="宋体" w:hAnsi="宋体" w:cs="宋体" w:hint="eastAsia"/>
          <w:b/>
          <w:bCs/>
          <w:color w:val="000000"/>
          <w:sz w:val="24"/>
        </w:rPr>
        <w:t>（一）基本情况</w:t>
      </w:r>
    </w:p>
    <w:p w14:paraId="29EB0C2B" w14:textId="77777777" w:rsidR="00736DD9" w:rsidRPr="00736DD9" w:rsidRDefault="00736DD9" w:rsidP="00736DD9">
      <w:pPr>
        <w:tabs>
          <w:tab w:val="left" w:pos="2160"/>
        </w:tabs>
        <w:adjustRightInd w:val="0"/>
        <w:snapToGrid w:val="0"/>
        <w:spacing w:line="360" w:lineRule="auto"/>
        <w:ind w:firstLineChars="200" w:firstLine="480"/>
        <w:rPr>
          <w:rFonts w:ascii="宋体" w:hAnsi="宋体" w:cs="宋体" w:hint="eastAsia"/>
          <w:sz w:val="24"/>
        </w:rPr>
      </w:pPr>
      <w:bookmarkStart w:id="28" w:name="OLE_LINK1"/>
      <w:r w:rsidRPr="00736DD9">
        <w:rPr>
          <w:rFonts w:ascii="宋体" w:hAnsi="宋体" w:cs="宋体" w:hint="eastAsia"/>
          <w:sz w:val="24"/>
        </w:rPr>
        <w:t>名称：中国光大银行股份有限公司</w:t>
      </w:r>
    </w:p>
    <w:p w14:paraId="393E9208" w14:textId="77777777" w:rsidR="00736DD9" w:rsidRPr="00736DD9" w:rsidRDefault="00736DD9" w:rsidP="00736DD9">
      <w:pPr>
        <w:tabs>
          <w:tab w:val="left" w:pos="2160"/>
        </w:tabs>
        <w:adjustRightInd w:val="0"/>
        <w:snapToGrid w:val="0"/>
        <w:spacing w:line="360" w:lineRule="auto"/>
        <w:ind w:firstLineChars="200" w:firstLine="480"/>
        <w:rPr>
          <w:rFonts w:ascii="宋体" w:hAnsi="宋体" w:cs="宋体" w:hint="eastAsia"/>
          <w:sz w:val="24"/>
        </w:rPr>
      </w:pPr>
      <w:r w:rsidRPr="00736DD9">
        <w:rPr>
          <w:rFonts w:ascii="宋体" w:hAnsi="宋体" w:cs="宋体" w:hint="eastAsia"/>
          <w:sz w:val="24"/>
        </w:rPr>
        <w:t>住所及办公地址：北京市西城区太平桥大街25 号、甲25 号中国光大中心</w:t>
      </w:r>
    </w:p>
    <w:p w14:paraId="30751087" w14:textId="77777777" w:rsidR="00736DD9" w:rsidRPr="00736DD9" w:rsidRDefault="00736DD9" w:rsidP="00736DD9">
      <w:pPr>
        <w:tabs>
          <w:tab w:val="left" w:pos="2160"/>
        </w:tabs>
        <w:adjustRightInd w:val="0"/>
        <w:snapToGrid w:val="0"/>
        <w:spacing w:line="360" w:lineRule="auto"/>
        <w:ind w:firstLineChars="200" w:firstLine="480"/>
        <w:rPr>
          <w:rFonts w:ascii="宋体" w:hAnsi="宋体" w:cs="宋体" w:hint="eastAsia"/>
          <w:sz w:val="24"/>
        </w:rPr>
      </w:pPr>
      <w:r w:rsidRPr="00736DD9">
        <w:rPr>
          <w:rFonts w:ascii="宋体" w:hAnsi="宋体" w:cs="宋体" w:hint="eastAsia"/>
          <w:sz w:val="24"/>
        </w:rPr>
        <w:t>成立日期：1992年6月18日</w:t>
      </w:r>
    </w:p>
    <w:p w14:paraId="1607D9CC" w14:textId="77777777" w:rsidR="00736DD9" w:rsidRPr="00736DD9" w:rsidRDefault="00736DD9" w:rsidP="00736DD9">
      <w:pPr>
        <w:tabs>
          <w:tab w:val="left" w:pos="2160"/>
        </w:tabs>
        <w:adjustRightInd w:val="0"/>
        <w:snapToGrid w:val="0"/>
        <w:spacing w:line="360" w:lineRule="auto"/>
        <w:ind w:firstLineChars="200" w:firstLine="480"/>
        <w:rPr>
          <w:rFonts w:ascii="宋体" w:hAnsi="宋体" w:cs="宋体" w:hint="eastAsia"/>
          <w:sz w:val="24"/>
        </w:rPr>
      </w:pPr>
      <w:r w:rsidRPr="00736DD9">
        <w:rPr>
          <w:rFonts w:ascii="宋体" w:hAnsi="宋体" w:cs="宋体" w:hint="eastAsia"/>
          <w:sz w:val="24"/>
        </w:rPr>
        <w:t>批准设立机关和批准设立文号：国务院、国函[1992]7号</w:t>
      </w:r>
    </w:p>
    <w:p w14:paraId="463B16EA" w14:textId="77777777" w:rsidR="00736DD9" w:rsidRPr="00736DD9" w:rsidRDefault="00736DD9" w:rsidP="00736DD9">
      <w:pPr>
        <w:tabs>
          <w:tab w:val="left" w:pos="2160"/>
        </w:tabs>
        <w:adjustRightInd w:val="0"/>
        <w:snapToGrid w:val="0"/>
        <w:spacing w:line="360" w:lineRule="auto"/>
        <w:ind w:firstLineChars="200" w:firstLine="480"/>
        <w:rPr>
          <w:rFonts w:ascii="宋体" w:hAnsi="宋体" w:cs="宋体" w:hint="eastAsia"/>
          <w:sz w:val="24"/>
        </w:rPr>
      </w:pPr>
      <w:r w:rsidRPr="00736DD9">
        <w:rPr>
          <w:rFonts w:ascii="宋体" w:hAnsi="宋体" w:cs="宋体" w:hint="eastAsia"/>
          <w:sz w:val="24"/>
        </w:rPr>
        <w:t>组织形式：股份有限公司</w:t>
      </w:r>
    </w:p>
    <w:p w14:paraId="63EAE480" w14:textId="77777777" w:rsidR="00736DD9" w:rsidRPr="00736DD9" w:rsidRDefault="00736DD9" w:rsidP="00736DD9">
      <w:pPr>
        <w:tabs>
          <w:tab w:val="left" w:pos="2160"/>
        </w:tabs>
        <w:adjustRightInd w:val="0"/>
        <w:snapToGrid w:val="0"/>
        <w:spacing w:line="360" w:lineRule="auto"/>
        <w:ind w:firstLineChars="200" w:firstLine="480"/>
        <w:rPr>
          <w:rFonts w:ascii="宋体" w:hAnsi="宋体" w:cs="宋体" w:hint="eastAsia"/>
          <w:sz w:val="24"/>
        </w:rPr>
      </w:pPr>
      <w:r w:rsidRPr="00736DD9">
        <w:rPr>
          <w:rFonts w:ascii="宋体" w:hAnsi="宋体" w:cs="宋体" w:hint="eastAsia"/>
          <w:sz w:val="24"/>
        </w:rPr>
        <w:t>注册资本：590.85551亿元人民币</w:t>
      </w:r>
    </w:p>
    <w:p w14:paraId="454CE601" w14:textId="77777777" w:rsidR="00736DD9" w:rsidRPr="00736DD9" w:rsidRDefault="00736DD9" w:rsidP="00736DD9">
      <w:pPr>
        <w:tabs>
          <w:tab w:val="left" w:pos="2160"/>
        </w:tabs>
        <w:adjustRightInd w:val="0"/>
        <w:snapToGrid w:val="0"/>
        <w:spacing w:line="360" w:lineRule="auto"/>
        <w:ind w:firstLineChars="200" w:firstLine="480"/>
        <w:rPr>
          <w:rFonts w:ascii="宋体" w:hAnsi="宋体" w:cs="宋体" w:hint="eastAsia"/>
          <w:sz w:val="24"/>
        </w:rPr>
      </w:pPr>
      <w:r w:rsidRPr="00736DD9">
        <w:rPr>
          <w:rFonts w:ascii="宋体" w:hAnsi="宋体" w:cs="宋体" w:hint="eastAsia"/>
          <w:sz w:val="24"/>
        </w:rPr>
        <w:t>法定代表人：吴利军</w:t>
      </w:r>
    </w:p>
    <w:p w14:paraId="32209698" w14:textId="77777777" w:rsidR="00736DD9" w:rsidRPr="00736DD9" w:rsidRDefault="00736DD9" w:rsidP="00736DD9">
      <w:pPr>
        <w:tabs>
          <w:tab w:val="left" w:pos="2160"/>
        </w:tabs>
        <w:adjustRightInd w:val="0"/>
        <w:snapToGrid w:val="0"/>
        <w:spacing w:line="360" w:lineRule="auto"/>
        <w:ind w:firstLineChars="200" w:firstLine="480"/>
        <w:rPr>
          <w:rFonts w:ascii="宋体" w:hAnsi="宋体" w:cs="宋体" w:hint="eastAsia"/>
          <w:sz w:val="24"/>
        </w:rPr>
      </w:pPr>
      <w:r w:rsidRPr="00736DD9">
        <w:rPr>
          <w:rFonts w:ascii="宋体" w:hAnsi="宋体" w:cs="宋体" w:hint="eastAsia"/>
          <w:sz w:val="24"/>
        </w:rPr>
        <w:t>基金托管资格批文及文号：证</w:t>
      </w:r>
      <w:proofErr w:type="gramStart"/>
      <w:r w:rsidRPr="00736DD9">
        <w:rPr>
          <w:rFonts w:ascii="宋体" w:hAnsi="宋体" w:cs="宋体" w:hint="eastAsia"/>
          <w:sz w:val="24"/>
        </w:rPr>
        <w:t>监基金字</w:t>
      </w:r>
      <w:proofErr w:type="gramEnd"/>
      <w:r w:rsidRPr="00736DD9">
        <w:rPr>
          <w:rFonts w:ascii="宋体" w:hAnsi="宋体" w:cs="宋体" w:hint="eastAsia"/>
          <w:sz w:val="24"/>
        </w:rPr>
        <w:t>[2002]75号</w:t>
      </w:r>
    </w:p>
    <w:p w14:paraId="273E2414" w14:textId="77777777" w:rsidR="00736DD9" w:rsidRPr="00736DD9" w:rsidRDefault="00736DD9" w:rsidP="00736DD9">
      <w:pPr>
        <w:tabs>
          <w:tab w:val="left" w:pos="2160"/>
        </w:tabs>
        <w:adjustRightInd w:val="0"/>
        <w:snapToGrid w:val="0"/>
        <w:spacing w:line="360" w:lineRule="auto"/>
        <w:ind w:firstLineChars="200" w:firstLine="480"/>
        <w:rPr>
          <w:rFonts w:ascii="宋体" w:hAnsi="宋体" w:cs="宋体" w:hint="eastAsia"/>
          <w:sz w:val="24"/>
        </w:rPr>
      </w:pPr>
      <w:r w:rsidRPr="00736DD9">
        <w:rPr>
          <w:rFonts w:ascii="宋体" w:hAnsi="宋体" w:cs="宋体" w:hint="eastAsia"/>
          <w:sz w:val="24"/>
        </w:rPr>
        <w:t>资产托管部总经理：贾光华</w:t>
      </w:r>
    </w:p>
    <w:p w14:paraId="15FAEB76" w14:textId="77777777" w:rsidR="00736DD9" w:rsidRPr="00736DD9" w:rsidRDefault="00736DD9" w:rsidP="00736DD9">
      <w:pPr>
        <w:tabs>
          <w:tab w:val="left" w:pos="2160"/>
        </w:tabs>
        <w:adjustRightInd w:val="0"/>
        <w:snapToGrid w:val="0"/>
        <w:spacing w:line="360" w:lineRule="auto"/>
        <w:ind w:firstLineChars="200" w:firstLine="480"/>
        <w:rPr>
          <w:rFonts w:ascii="宋体" w:hAnsi="宋体" w:cs="宋体" w:hint="eastAsia"/>
          <w:sz w:val="24"/>
        </w:rPr>
      </w:pPr>
      <w:r w:rsidRPr="00736DD9">
        <w:rPr>
          <w:rFonts w:ascii="宋体" w:hAnsi="宋体" w:cs="宋体" w:hint="eastAsia"/>
          <w:sz w:val="24"/>
        </w:rPr>
        <w:t>电话：（010） 63636363</w:t>
      </w:r>
    </w:p>
    <w:p w14:paraId="5627B953" w14:textId="77777777" w:rsidR="00736DD9" w:rsidRPr="00736DD9" w:rsidRDefault="00736DD9" w:rsidP="00736DD9">
      <w:pPr>
        <w:tabs>
          <w:tab w:val="left" w:pos="2160"/>
        </w:tabs>
        <w:adjustRightInd w:val="0"/>
        <w:snapToGrid w:val="0"/>
        <w:spacing w:line="360" w:lineRule="auto"/>
        <w:ind w:firstLineChars="200" w:firstLine="480"/>
        <w:rPr>
          <w:rFonts w:ascii="宋体" w:hAnsi="宋体" w:cs="宋体" w:hint="eastAsia"/>
          <w:sz w:val="24"/>
        </w:rPr>
      </w:pPr>
      <w:r w:rsidRPr="00736DD9">
        <w:rPr>
          <w:rFonts w:ascii="宋体" w:hAnsi="宋体" w:cs="宋体" w:hint="eastAsia"/>
          <w:sz w:val="24"/>
        </w:rPr>
        <w:t>传真：（010） 63639132</w:t>
      </w:r>
    </w:p>
    <w:p w14:paraId="4EE06248" w14:textId="2F199851" w:rsidR="00566744" w:rsidRDefault="00736DD9">
      <w:pPr>
        <w:spacing w:line="360" w:lineRule="auto"/>
        <w:ind w:firstLine="420"/>
        <w:rPr>
          <w:rFonts w:ascii="宋体" w:cs="宋体"/>
          <w:sz w:val="24"/>
        </w:rPr>
      </w:pPr>
      <w:r w:rsidRPr="00736DD9">
        <w:rPr>
          <w:rFonts w:ascii="宋体" w:hAnsi="宋体" w:cs="宋体" w:hint="eastAsia"/>
          <w:sz w:val="24"/>
        </w:rPr>
        <w:t>网址：www.cebbank.com</w:t>
      </w:r>
    </w:p>
    <w:bookmarkEnd w:id="28"/>
    <w:p w14:paraId="112749E9" w14:textId="77777777" w:rsidR="00566744" w:rsidRDefault="00000000">
      <w:pPr>
        <w:numPr>
          <w:ilvl w:val="0"/>
          <w:numId w:val="5"/>
        </w:numPr>
        <w:tabs>
          <w:tab w:val="left" w:pos="2160"/>
        </w:tabs>
        <w:adjustRightInd w:val="0"/>
        <w:snapToGrid w:val="0"/>
        <w:spacing w:line="360" w:lineRule="auto"/>
        <w:ind w:firstLineChars="200" w:firstLine="482"/>
        <w:rPr>
          <w:rFonts w:ascii="宋体" w:hAnsi="宋体" w:cs="宋体" w:hint="eastAsia"/>
          <w:b/>
          <w:bCs/>
          <w:color w:val="000000"/>
          <w:sz w:val="24"/>
        </w:rPr>
      </w:pPr>
      <w:r>
        <w:rPr>
          <w:rFonts w:ascii="宋体" w:hAnsi="宋体" w:cs="宋体" w:hint="eastAsia"/>
          <w:b/>
          <w:bCs/>
          <w:color w:val="000000"/>
          <w:sz w:val="24"/>
        </w:rPr>
        <w:t>主要人员情况</w:t>
      </w:r>
    </w:p>
    <w:p w14:paraId="56B2704B" w14:textId="24DB01DA" w:rsidR="00736DD9" w:rsidRDefault="00736DD9" w:rsidP="00736DD9">
      <w:pPr>
        <w:tabs>
          <w:tab w:val="left" w:pos="2160"/>
        </w:tabs>
        <w:adjustRightInd w:val="0"/>
        <w:snapToGrid w:val="0"/>
        <w:spacing w:line="360" w:lineRule="auto"/>
        <w:ind w:firstLine="481"/>
        <w:rPr>
          <w:rFonts w:ascii="宋体" w:hAnsi="宋体" w:cs="宋体" w:hint="eastAsia"/>
          <w:sz w:val="24"/>
        </w:rPr>
      </w:pPr>
      <w:bookmarkStart w:id="29" w:name="OLE_LINK2"/>
      <w:r>
        <w:rPr>
          <w:rFonts w:ascii="宋体" w:hAnsi="宋体" w:cs="宋体" w:hint="eastAsia"/>
          <w:sz w:val="24"/>
        </w:rPr>
        <w:t>董事长吴利军先生，自2020年3月起任</w:t>
      </w:r>
      <w:proofErr w:type="gramStart"/>
      <w:r>
        <w:rPr>
          <w:rFonts w:ascii="宋体" w:hAnsi="宋体" w:cs="宋体" w:hint="eastAsia"/>
          <w:sz w:val="24"/>
        </w:rPr>
        <w:t>本行副</w:t>
      </w:r>
      <w:proofErr w:type="gramEnd"/>
      <w:r>
        <w:rPr>
          <w:rFonts w:ascii="宋体" w:hAnsi="宋体" w:cs="宋体" w:hint="eastAsia"/>
          <w:sz w:val="24"/>
        </w:rPr>
        <w:t>董事长、2024年1月起任本行董事长。现任中国光大集团股份公司党委书记、董事长。曾任国内贸易部国家物资储备调节中心副主任(副局级)，中国证券监督管理委员会信息中心负责人，培训中心副主任(主持工作)，人事教育部主任、党委组织部部长，中国证券监督管理委员会党委委员、主席助理，深圳证券交易所理事会理事长、党委书记(副部长级)，中国光大集团股份公司党委副书记、副董事长、总经理。获经济学博士学位，高级经济师。</w:t>
      </w:r>
    </w:p>
    <w:p w14:paraId="168ADC84" w14:textId="77777777" w:rsidR="00736DD9" w:rsidRDefault="00736DD9" w:rsidP="00736DD9">
      <w:pPr>
        <w:tabs>
          <w:tab w:val="left" w:pos="2160"/>
        </w:tabs>
        <w:adjustRightInd w:val="0"/>
        <w:snapToGrid w:val="0"/>
        <w:spacing w:line="360" w:lineRule="auto"/>
        <w:ind w:firstLine="481"/>
        <w:rPr>
          <w:rFonts w:ascii="宋体" w:hAnsi="宋体" w:cs="宋体" w:hint="eastAsia"/>
          <w:sz w:val="24"/>
        </w:rPr>
      </w:pPr>
      <w:r>
        <w:rPr>
          <w:rFonts w:ascii="宋体" w:hAnsi="宋体" w:cs="宋体" w:hint="eastAsia"/>
          <w:sz w:val="24"/>
        </w:rPr>
        <w:t>行长</w:t>
      </w:r>
      <w:hyperlink r:id="rId14" w:tgtFrame="https://www.cebbank.com/site/tzzgx/gszl/dsh/_blank" w:tooltip="郝成先生" w:history="1">
        <w:r>
          <w:rPr>
            <w:rFonts w:ascii="宋体" w:hAnsi="宋体" w:cs="宋体" w:hint="eastAsia"/>
            <w:sz w:val="24"/>
          </w:rPr>
          <w:t>郝成</w:t>
        </w:r>
      </w:hyperlink>
      <w:r>
        <w:rPr>
          <w:rFonts w:ascii="宋体" w:hAnsi="宋体" w:cs="宋体" w:hint="eastAsia"/>
          <w:sz w:val="24"/>
        </w:rPr>
        <w:t>先生，自2024年6月起任本行党委书记，2024年8月起任本行执行董事、行长。现任中国光大集团股份公司党委委员、执行董事。历任国家开发银行天津分行党委委员、副行长，国家开发银行人事局副局长、党委组织部副部长，国家开发银行吉林分行党委书记、行长，交通银行党委委员、副行长。获管理学博士</w:t>
      </w:r>
      <w:r>
        <w:rPr>
          <w:rFonts w:ascii="宋体" w:hAnsi="宋体" w:cs="宋体" w:hint="eastAsia"/>
          <w:sz w:val="24"/>
        </w:rPr>
        <w:lastRenderedPageBreak/>
        <w:t>学位，高级工程师。</w:t>
      </w:r>
    </w:p>
    <w:p w14:paraId="6DF379D1" w14:textId="683A83AD" w:rsidR="00566744" w:rsidRDefault="00736DD9" w:rsidP="00736DD9">
      <w:pPr>
        <w:tabs>
          <w:tab w:val="left" w:pos="2160"/>
        </w:tabs>
        <w:adjustRightInd w:val="0"/>
        <w:snapToGrid w:val="0"/>
        <w:spacing w:line="360" w:lineRule="auto"/>
        <w:ind w:firstLineChars="200" w:firstLine="480"/>
        <w:rPr>
          <w:rFonts w:ascii="宋体" w:hAnsi="宋体" w:cs="宋体" w:hint="eastAsia"/>
          <w:sz w:val="24"/>
          <w:lang w:val="zh-CN"/>
        </w:rPr>
      </w:pPr>
      <w:r>
        <w:rPr>
          <w:rFonts w:ascii="宋体" w:hAnsi="宋体" w:cs="宋体" w:hint="eastAsia"/>
          <w:sz w:val="24"/>
        </w:rPr>
        <w:t>资产托管部总经理贾光华</w:t>
      </w:r>
      <w:r>
        <w:rPr>
          <w:rFonts w:ascii="宋体" w:hAnsi="宋体" w:cs="宋体" w:hint="eastAsia"/>
          <w:sz w:val="24"/>
          <w:lang w:val="zh-CN"/>
        </w:rPr>
        <w:t>先生，1994年7月在光大银行总行营业部参加工作，2005年10月调入同业机构部（后更名为金融同业部）后，先后任处长、总经理助理、副总经理、副总经理（主持工作），2018年5月</w:t>
      </w:r>
      <w:proofErr w:type="gramStart"/>
      <w:r>
        <w:rPr>
          <w:rFonts w:ascii="宋体" w:hAnsi="宋体" w:cs="宋体" w:hint="eastAsia"/>
          <w:sz w:val="24"/>
          <w:lang w:val="zh-CN"/>
        </w:rPr>
        <w:t>任金融</w:t>
      </w:r>
      <w:proofErr w:type="gramEnd"/>
      <w:r>
        <w:rPr>
          <w:rFonts w:ascii="宋体" w:hAnsi="宋体" w:cs="宋体" w:hint="eastAsia"/>
          <w:sz w:val="24"/>
          <w:lang w:val="zh-CN"/>
        </w:rPr>
        <w:t>同业部总经理，2025年1月</w:t>
      </w:r>
      <w:proofErr w:type="gramStart"/>
      <w:r>
        <w:rPr>
          <w:rFonts w:ascii="宋体" w:hAnsi="宋体" w:cs="宋体" w:hint="eastAsia"/>
          <w:sz w:val="24"/>
          <w:lang w:val="zh-CN"/>
        </w:rPr>
        <w:t>任资产</w:t>
      </w:r>
      <w:proofErr w:type="gramEnd"/>
      <w:r>
        <w:rPr>
          <w:rFonts w:ascii="宋体" w:hAnsi="宋体" w:cs="宋体" w:hint="eastAsia"/>
          <w:sz w:val="24"/>
          <w:lang w:val="zh-CN"/>
        </w:rPr>
        <w:t>托管部总经理。</w:t>
      </w:r>
    </w:p>
    <w:p w14:paraId="162870EF" w14:textId="77777777" w:rsidR="00736DD9" w:rsidRDefault="00736DD9">
      <w:pPr>
        <w:tabs>
          <w:tab w:val="left" w:pos="2160"/>
        </w:tabs>
        <w:adjustRightInd w:val="0"/>
        <w:snapToGrid w:val="0"/>
        <w:spacing w:line="360" w:lineRule="auto"/>
        <w:ind w:firstLineChars="200" w:firstLine="480"/>
        <w:rPr>
          <w:rFonts w:ascii="宋体" w:hAnsi="宋体" w:cs="宋体" w:hint="eastAsia"/>
          <w:sz w:val="24"/>
          <w:lang w:val="zh-CN"/>
        </w:rPr>
      </w:pPr>
    </w:p>
    <w:bookmarkEnd w:id="29"/>
    <w:p w14:paraId="3095488E" w14:textId="77777777" w:rsidR="00566744" w:rsidRDefault="00000000">
      <w:pPr>
        <w:tabs>
          <w:tab w:val="left" w:pos="2160"/>
        </w:tabs>
        <w:adjustRightInd w:val="0"/>
        <w:snapToGrid w:val="0"/>
        <w:spacing w:line="360" w:lineRule="auto"/>
        <w:rPr>
          <w:rFonts w:ascii="宋体" w:hAnsi="宋体" w:cs="宋体" w:hint="eastAsia"/>
          <w:b/>
          <w:bCs/>
          <w:color w:val="000000"/>
          <w:sz w:val="24"/>
        </w:rPr>
      </w:pPr>
      <w:r>
        <w:rPr>
          <w:rFonts w:ascii="宋体" w:hint="eastAsia"/>
          <w:color w:val="000000"/>
          <w:sz w:val="24"/>
        </w:rPr>
        <w:t xml:space="preserve">    </w:t>
      </w:r>
      <w:r>
        <w:rPr>
          <w:rFonts w:ascii="宋体" w:hint="eastAsia"/>
          <w:b/>
          <w:color w:val="000000"/>
          <w:sz w:val="24"/>
        </w:rPr>
        <w:t>（</w:t>
      </w:r>
      <w:r>
        <w:rPr>
          <w:rFonts w:ascii="宋体" w:hAnsi="宋体" w:cs="宋体" w:hint="eastAsia"/>
          <w:b/>
          <w:bCs/>
          <w:color w:val="000000"/>
          <w:sz w:val="24"/>
        </w:rPr>
        <w:t>三）证券投资基金托管情况</w:t>
      </w:r>
    </w:p>
    <w:p w14:paraId="6A0D3A96" w14:textId="2D85985C" w:rsidR="00566744" w:rsidRDefault="00736DD9">
      <w:pPr>
        <w:spacing w:line="360" w:lineRule="auto"/>
        <w:ind w:firstLine="420"/>
        <w:rPr>
          <w:rFonts w:ascii="宋体" w:hAnsi="宋体" w:cs="宋体" w:hint="eastAsia"/>
          <w:sz w:val="24"/>
          <w:lang w:val="zh-CN"/>
        </w:rPr>
      </w:pPr>
      <w:bookmarkStart w:id="30" w:name="OLE_LINK3"/>
      <w:r>
        <w:rPr>
          <w:rFonts w:ascii="宋体" w:hAnsi="宋体" w:cs="宋体" w:hint="eastAsia"/>
          <w:sz w:val="24"/>
          <w:lang w:val="zh-CN"/>
        </w:rPr>
        <w:t>截至</w:t>
      </w:r>
      <w:r>
        <w:rPr>
          <w:rFonts w:ascii="宋体" w:hAnsi="宋体" w:cs="宋体" w:hint="eastAsia"/>
          <w:sz w:val="24"/>
        </w:rPr>
        <w:t>2026</w:t>
      </w:r>
      <w:r>
        <w:rPr>
          <w:rFonts w:ascii="宋体" w:hAnsi="宋体" w:cs="宋体" w:hint="eastAsia"/>
          <w:sz w:val="24"/>
          <w:lang w:val="zh-CN"/>
        </w:rPr>
        <w:t>年</w:t>
      </w:r>
      <w:r>
        <w:rPr>
          <w:rFonts w:ascii="宋体" w:hAnsi="宋体" w:cs="宋体" w:hint="eastAsia"/>
          <w:sz w:val="24"/>
        </w:rPr>
        <w:t>6</w:t>
      </w:r>
      <w:r>
        <w:rPr>
          <w:rFonts w:ascii="宋体" w:hAnsi="宋体" w:cs="宋体" w:hint="eastAsia"/>
          <w:sz w:val="24"/>
          <w:lang w:val="zh-CN"/>
        </w:rPr>
        <w:t>月</w:t>
      </w:r>
      <w:r>
        <w:rPr>
          <w:rFonts w:ascii="宋体" w:hAnsi="宋体" w:cs="宋体" w:hint="eastAsia"/>
          <w:sz w:val="24"/>
        </w:rPr>
        <w:t>30</w:t>
      </w:r>
      <w:r>
        <w:rPr>
          <w:rFonts w:ascii="宋体" w:hAnsi="宋体" w:cs="宋体" w:hint="eastAsia"/>
          <w:sz w:val="24"/>
          <w:lang w:val="zh-CN"/>
        </w:rPr>
        <w:t>日，中国光大银行股份有限公司托管公开募集证券投资基</w:t>
      </w:r>
      <w:r>
        <w:rPr>
          <w:rFonts w:ascii="宋体" w:hAnsi="宋体" w:cs="宋体" w:hint="eastAsia"/>
          <w:sz w:val="24"/>
        </w:rPr>
        <w:t>金共346只，</w:t>
      </w:r>
      <w:r>
        <w:rPr>
          <w:rFonts w:ascii="宋体" w:hAnsi="宋体" w:cs="宋体" w:hint="eastAsia"/>
          <w:sz w:val="24"/>
          <w:lang w:val="zh-CN"/>
        </w:rPr>
        <w:t>托管基金资产规模</w:t>
      </w:r>
      <w:r>
        <w:rPr>
          <w:rFonts w:ascii="宋体" w:hAnsi="宋体" w:cs="宋体" w:hint="eastAsia"/>
          <w:sz w:val="24"/>
          <w:lang w:val="zh-CN" w:bidi="ar"/>
        </w:rPr>
        <w:t>6,909.71</w:t>
      </w:r>
      <w:r>
        <w:rPr>
          <w:rFonts w:ascii="宋体" w:hAnsi="宋体" w:cs="宋体" w:hint="eastAsia"/>
          <w:sz w:val="24"/>
          <w:lang w:val="zh-CN"/>
        </w:rPr>
        <w:t>亿元。同时，开展了证券公司资产管理计划、</w:t>
      </w:r>
      <w:r>
        <w:rPr>
          <w:rFonts w:ascii="宋体" w:hAnsi="宋体" w:cs="宋体" w:hint="eastAsia"/>
          <w:sz w:val="24"/>
        </w:rPr>
        <w:t>基金公司客户资产管理计划</w:t>
      </w:r>
      <w:r>
        <w:rPr>
          <w:rFonts w:ascii="宋体" w:hAnsi="宋体" w:cs="宋体" w:hint="eastAsia"/>
          <w:sz w:val="24"/>
          <w:lang w:val="zh-CN"/>
        </w:rPr>
        <w:t>、职业年金、企业年金、</w:t>
      </w:r>
      <w:r>
        <w:rPr>
          <w:rFonts w:ascii="宋体" w:hAnsi="宋体" w:cs="宋体"/>
          <w:sz w:val="24"/>
          <w:lang w:val="zh-CN"/>
        </w:rPr>
        <w:t>QDII、</w:t>
      </w:r>
      <w:r>
        <w:rPr>
          <w:rFonts w:ascii="宋体" w:hAnsi="宋体" w:cs="宋体" w:hint="eastAsia"/>
          <w:sz w:val="24"/>
        </w:rPr>
        <w:t>QFII、</w:t>
      </w:r>
      <w:r>
        <w:rPr>
          <w:rFonts w:ascii="宋体" w:hAnsi="宋体" w:cs="宋体"/>
          <w:sz w:val="24"/>
          <w:lang w:val="zh-CN"/>
        </w:rPr>
        <w:t>银行理财、保险债权投资计划等资产的托管及信托公司资金信托计划、产业投资基金、股权基金等产品的保管业务。</w:t>
      </w:r>
    </w:p>
    <w:bookmarkEnd w:id="30"/>
    <w:p w14:paraId="188D85E1" w14:textId="77777777" w:rsidR="00566744" w:rsidRDefault="00000000">
      <w:pPr>
        <w:tabs>
          <w:tab w:val="left" w:pos="2160"/>
        </w:tabs>
        <w:adjustRightInd w:val="0"/>
        <w:snapToGrid w:val="0"/>
        <w:spacing w:line="360" w:lineRule="auto"/>
        <w:ind w:firstLineChars="200" w:firstLine="482"/>
        <w:rPr>
          <w:rFonts w:ascii="宋体" w:hAnsi="宋体" w:cs="宋体" w:hint="eastAsia"/>
          <w:b/>
          <w:bCs/>
          <w:color w:val="000000"/>
          <w:sz w:val="24"/>
        </w:rPr>
      </w:pPr>
      <w:r>
        <w:rPr>
          <w:rFonts w:ascii="宋体" w:hAnsi="宋体" w:cs="宋体" w:hint="eastAsia"/>
          <w:b/>
          <w:bCs/>
          <w:color w:val="000000"/>
          <w:sz w:val="24"/>
        </w:rPr>
        <w:t>（四）托管业务的内部控制制度</w:t>
      </w:r>
    </w:p>
    <w:p w14:paraId="11F3EA11" w14:textId="77777777" w:rsidR="00736DD9" w:rsidRDefault="00736DD9" w:rsidP="00736DD9">
      <w:pPr>
        <w:spacing w:line="360" w:lineRule="auto"/>
        <w:ind w:firstLine="420"/>
        <w:rPr>
          <w:rFonts w:ascii="宋体" w:hAnsi="宋体" w:cs="宋体" w:hint="eastAsia"/>
          <w:sz w:val="24"/>
          <w:lang w:val="zh-CN"/>
        </w:rPr>
      </w:pPr>
      <w:r>
        <w:rPr>
          <w:rFonts w:ascii="宋体" w:hAnsi="宋体" w:cs="宋体" w:hint="eastAsia"/>
          <w:sz w:val="24"/>
          <w:lang w:val="zh-CN"/>
        </w:rPr>
        <w:t>1、内部控制目标</w:t>
      </w:r>
    </w:p>
    <w:p w14:paraId="55673CDB" w14:textId="77777777" w:rsidR="00736DD9" w:rsidRDefault="00736DD9" w:rsidP="00736DD9">
      <w:pPr>
        <w:spacing w:line="360" w:lineRule="auto"/>
        <w:ind w:firstLine="420"/>
        <w:rPr>
          <w:rFonts w:ascii="宋体" w:hAnsi="宋体" w:cs="宋体" w:hint="eastAsia"/>
          <w:sz w:val="24"/>
          <w:lang w:val="zh-CN"/>
        </w:rPr>
      </w:pPr>
      <w:r>
        <w:rPr>
          <w:rFonts w:ascii="宋体" w:hAnsi="宋体" w:cs="宋体" w:hint="eastAsia"/>
          <w:sz w:val="24"/>
          <w:lang w:val="zh-CN"/>
        </w:rPr>
        <w:t>确保有关法律法规在基金托管业务中得到全面严格的贯彻执行；确保基金托管人有关基金托管的各项管理制度和业务操作规程在基金托管业务中得到全面严格的贯彻执行；确保基金财产安全；保证基金托管业务稳健运行；保护基金份额持有人、基金管理公司及基金托管人的合法权益。</w:t>
      </w:r>
    </w:p>
    <w:p w14:paraId="74967D9D" w14:textId="77777777" w:rsidR="00736DD9" w:rsidRDefault="00736DD9" w:rsidP="00736DD9">
      <w:pPr>
        <w:spacing w:line="360" w:lineRule="auto"/>
        <w:ind w:firstLine="420"/>
        <w:rPr>
          <w:rFonts w:ascii="宋体" w:hAnsi="宋体" w:cs="宋体" w:hint="eastAsia"/>
          <w:sz w:val="24"/>
          <w:lang w:val="zh-CN"/>
        </w:rPr>
      </w:pPr>
      <w:r>
        <w:rPr>
          <w:rFonts w:ascii="宋体" w:hAnsi="宋体" w:cs="宋体" w:hint="eastAsia"/>
          <w:sz w:val="24"/>
          <w:lang w:val="zh-CN"/>
        </w:rPr>
        <w:t>2、内部控制的原则</w:t>
      </w:r>
    </w:p>
    <w:p w14:paraId="4C5DEAFE" w14:textId="77777777" w:rsidR="00736DD9" w:rsidRDefault="00736DD9" w:rsidP="00736DD9">
      <w:pPr>
        <w:spacing w:line="360" w:lineRule="auto"/>
        <w:ind w:firstLine="420"/>
        <w:rPr>
          <w:rFonts w:ascii="宋体" w:hAnsi="宋体" w:cs="宋体" w:hint="eastAsia"/>
          <w:sz w:val="24"/>
          <w:lang w:val="zh-CN"/>
        </w:rPr>
      </w:pPr>
      <w:r>
        <w:rPr>
          <w:rFonts w:ascii="宋体" w:hAnsi="宋体" w:cs="宋体" w:hint="eastAsia"/>
          <w:sz w:val="24"/>
          <w:lang w:val="zh-CN"/>
        </w:rPr>
        <w:t>（1）全面性原则。内部控制必须渗透到基金托管业务的各个操作环节，覆盖所有的岗位，不留任何死角。</w:t>
      </w:r>
    </w:p>
    <w:p w14:paraId="4A0CEEF6" w14:textId="77777777" w:rsidR="00736DD9" w:rsidRDefault="00736DD9" w:rsidP="00736DD9">
      <w:pPr>
        <w:spacing w:line="360" w:lineRule="auto"/>
        <w:ind w:firstLine="420"/>
        <w:rPr>
          <w:rFonts w:ascii="宋体" w:hAnsi="宋体" w:cs="宋体" w:hint="eastAsia"/>
          <w:sz w:val="24"/>
          <w:lang w:val="zh-CN"/>
        </w:rPr>
      </w:pPr>
      <w:r>
        <w:rPr>
          <w:rFonts w:ascii="宋体" w:hAnsi="宋体" w:cs="宋体" w:hint="eastAsia"/>
          <w:sz w:val="24"/>
          <w:lang w:val="zh-CN"/>
        </w:rPr>
        <w:t>（2）预防性原则。树立“预防为主”的管理理念，从风险发生的源头加强内部控制，防患于未然，尽量避免业务操作中各种问题的产生。</w:t>
      </w:r>
    </w:p>
    <w:p w14:paraId="6D38214A" w14:textId="77777777" w:rsidR="00736DD9" w:rsidRDefault="00736DD9" w:rsidP="00736DD9">
      <w:pPr>
        <w:spacing w:line="360" w:lineRule="auto"/>
        <w:ind w:firstLine="420"/>
        <w:rPr>
          <w:rFonts w:ascii="宋体" w:hAnsi="宋体" w:cs="宋体" w:hint="eastAsia"/>
          <w:sz w:val="24"/>
          <w:lang w:val="zh-CN"/>
        </w:rPr>
      </w:pPr>
      <w:r>
        <w:rPr>
          <w:rFonts w:ascii="宋体" w:hAnsi="宋体" w:cs="宋体" w:hint="eastAsia"/>
          <w:sz w:val="24"/>
          <w:lang w:val="zh-CN"/>
        </w:rPr>
        <w:t>（3）及时性原则。建立健全各项规章制度，采取有效措施加强内部控制。发现问题，及时处理，堵塞漏洞。</w:t>
      </w:r>
    </w:p>
    <w:p w14:paraId="1D62107E" w14:textId="77777777" w:rsidR="00736DD9" w:rsidRDefault="00736DD9" w:rsidP="00736DD9">
      <w:pPr>
        <w:spacing w:line="360" w:lineRule="auto"/>
        <w:ind w:firstLine="420"/>
        <w:rPr>
          <w:rFonts w:ascii="宋体" w:hAnsi="宋体" w:cs="宋体" w:hint="eastAsia"/>
          <w:sz w:val="24"/>
          <w:lang w:val="zh-CN"/>
        </w:rPr>
      </w:pPr>
      <w:r>
        <w:rPr>
          <w:rFonts w:ascii="宋体" w:hAnsi="宋体" w:cs="宋体" w:hint="eastAsia"/>
          <w:sz w:val="24"/>
          <w:lang w:val="zh-CN"/>
        </w:rPr>
        <w:t>（4）独立性原则。基金托管业务内部控制机构独立于基金托管业务执行机构，业务操作人员和内控人员分开，以保证内控机构的工作不受干扰。</w:t>
      </w:r>
    </w:p>
    <w:p w14:paraId="561F67F2" w14:textId="77777777" w:rsidR="00736DD9" w:rsidRDefault="00736DD9" w:rsidP="00736DD9">
      <w:pPr>
        <w:spacing w:line="360" w:lineRule="auto"/>
        <w:ind w:firstLine="420"/>
        <w:rPr>
          <w:rFonts w:ascii="宋体" w:hAnsi="宋体" w:cs="宋体" w:hint="eastAsia"/>
          <w:sz w:val="24"/>
          <w:lang w:val="zh-CN"/>
        </w:rPr>
      </w:pPr>
      <w:r>
        <w:rPr>
          <w:rFonts w:ascii="宋体" w:hAnsi="宋体" w:cs="宋体" w:hint="eastAsia"/>
          <w:sz w:val="24"/>
          <w:lang w:val="zh-CN"/>
        </w:rPr>
        <w:t>3、内部控制组织结构</w:t>
      </w:r>
    </w:p>
    <w:p w14:paraId="0DE39545" w14:textId="77777777" w:rsidR="00736DD9" w:rsidRDefault="00736DD9" w:rsidP="00736DD9">
      <w:pPr>
        <w:spacing w:line="360" w:lineRule="auto"/>
        <w:ind w:firstLine="420"/>
        <w:rPr>
          <w:rFonts w:ascii="宋体" w:hAnsi="宋体" w:cs="宋体" w:hint="eastAsia"/>
          <w:sz w:val="24"/>
          <w:lang w:val="zh-CN"/>
        </w:rPr>
      </w:pPr>
      <w:r>
        <w:rPr>
          <w:rFonts w:ascii="宋体" w:hAnsi="宋体" w:cs="宋体" w:hint="eastAsia"/>
          <w:sz w:val="24"/>
        </w:rPr>
        <w:lastRenderedPageBreak/>
        <w:t>中国光大银行股份有限公司设有风险管理与内控合</w:t>
      </w:r>
      <w:proofErr w:type="gramStart"/>
      <w:r>
        <w:rPr>
          <w:rFonts w:ascii="宋体" w:hAnsi="宋体" w:cs="宋体" w:hint="eastAsia"/>
          <w:sz w:val="24"/>
        </w:rPr>
        <w:t>规</w:t>
      </w:r>
      <w:proofErr w:type="gramEnd"/>
      <w:r>
        <w:rPr>
          <w:rFonts w:ascii="宋体" w:hAnsi="宋体" w:cs="宋体" w:hint="eastAsia"/>
          <w:sz w:val="24"/>
        </w:rPr>
        <w:t>委员会，负责全行风险管理与内部控制工作。资产托管部</w:t>
      </w:r>
      <w:r>
        <w:rPr>
          <w:rFonts w:ascii="宋体" w:hAnsi="宋体" w:cs="宋体" w:hint="eastAsia"/>
          <w:sz w:val="24"/>
          <w:lang w:val="zh-CN"/>
        </w:rPr>
        <w:t>建立了严密的内控</w:t>
      </w:r>
      <w:r>
        <w:rPr>
          <w:rFonts w:ascii="宋体" w:hAnsi="宋体" w:cs="宋体" w:hint="eastAsia"/>
          <w:sz w:val="24"/>
        </w:rPr>
        <w:t>监督</w:t>
      </w:r>
      <w:r>
        <w:rPr>
          <w:rFonts w:ascii="宋体" w:hAnsi="宋体" w:cs="宋体" w:hint="eastAsia"/>
          <w:sz w:val="24"/>
          <w:lang w:val="zh-CN"/>
        </w:rPr>
        <w:t>体系，设立了投资监督与内控</w:t>
      </w:r>
      <w:r>
        <w:rPr>
          <w:rFonts w:ascii="宋体" w:hAnsi="宋体" w:cs="宋体" w:hint="eastAsia"/>
          <w:sz w:val="24"/>
        </w:rPr>
        <w:t>合</w:t>
      </w:r>
      <w:proofErr w:type="gramStart"/>
      <w:r>
        <w:rPr>
          <w:rFonts w:ascii="宋体" w:hAnsi="宋体" w:cs="宋体" w:hint="eastAsia"/>
          <w:sz w:val="24"/>
        </w:rPr>
        <w:t>规</w:t>
      </w:r>
      <w:proofErr w:type="gramEnd"/>
      <w:r>
        <w:rPr>
          <w:rFonts w:ascii="宋体" w:hAnsi="宋体" w:cs="宋体" w:hint="eastAsia"/>
          <w:sz w:val="24"/>
          <w:lang w:val="zh-CN"/>
        </w:rPr>
        <w:t>处，</w:t>
      </w:r>
      <w:r>
        <w:rPr>
          <w:rFonts w:ascii="宋体" w:hAnsi="宋体" w:cs="宋体" w:hint="eastAsia"/>
          <w:sz w:val="24"/>
        </w:rPr>
        <w:t>配备了专职内控合</w:t>
      </w:r>
      <w:proofErr w:type="gramStart"/>
      <w:r>
        <w:rPr>
          <w:rFonts w:ascii="宋体" w:hAnsi="宋体" w:cs="宋体" w:hint="eastAsia"/>
          <w:sz w:val="24"/>
        </w:rPr>
        <w:t>规</w:t>
      </w:r>
      <w:proofErr w:type="gramEnd"/>
      <w:r>
        <w:rPr>
          <w:rFonts w:ascii="宋体" w:hAnsi="宋体" w:cs="宋体" w:hint="eastAsia"/>
          <w:sz w:val="24"/>
        </w:rPr>
        <w:t>人员，</w:t>
      </w:r>
      <w:r>
        <w:rPr>
          <w:rFonts w:ascii="宋体" w:hAnsi="宋体" w:cs="宋体" w:hint="eastAsia"/>
          <w:sz w:val="24"/>
          <w:lang w:val="zh-CN"/>
        </w:rPr>
        <w:t>负责证券投资基金托管业务的</w:t>
      </w:r>
      <w:r>
        <w:rPr>
          <w:rFonts w:ascii="宋体" w:hAnsi="宋体" w:cs="宋体" w:hint="eastAsia"/>
          <w:sz w:val="24"/>
        </w:rPr>
        <w:t>内控</w:t>
      </w:r>
      <w:r>
        <w:rPr>
          <w:rFonts w:ascii="宋体" w:hAnsi="宋体" w:cs="宋体" w:hint="eastAsia"/>
          <w:sz w:val="24"/>
          <w:lang w:val="zh-CN"/>
        </w:rPr>
        <w:t>管理</w:t>
      </w:r>
      <w:r>
        <w:rPr>
          <w:rFonts w:ascii="宋体" w:hAnsi="宋体" w:cs="宋体" w:hint="eastAsia"/>
          <w:sz w:val="24"/>
        </w:rPr>
        <w:t>工作</w:t>
      </w:r>
      <w:r>
        <w:rPr>
          <w:rFonts w:ascii="宋体" w:hAnsi="宋体" w:cs="宋体" w:hint="eastAsia"/>
          <w:sz w:val="24"/>
          <w:lang w:val="zh-CN"/>
        </w:rPr>
        <w:t>。</w:t>
      </w:r>
    </w:p>
    <w:p w14:paraId="765F7D26" w14:textId="77777777" w:rsidR="00736DD9" w:rsidRDefault="00736DD9" w:rsidP="00736DD9">
      <w:pPr>
        <w:spacing w:line="360" w:lineRule="auto"/>
        <w:ind w:firstLine="420"/>
        <w:rPr>
          <w:rFonts w:ascii="宋体" w:hAnsi="宋体" w:cs="宋体" w:hint="eastAsia"/>
          <w:sz w:val="24"/>
          <w:lang w:val="zh-CN"/>
        </w:rPr>
      </w:pPr>
      <w:r>
        <w:rPr>
          <w:rFonts w:ascii="宋体" w:hAnsi="宋体" w:cs="宋体" w:hint="eastAsia"/>
          <w:sz w:val="24"/>
          <w:lang w:val="zh-CN"/>
        </w:rPr>
        <w:t>4、内部控制制度</w:t>
      </w:r>
    </w:p>
    <w:p w14:paraId="71979734" w14:textId="1C1165AB" w:rsidR="00566744" w:rsidRDefault="00736DD9">
      <w:pPr>
        <w:spacing w:line="360" w:lineRule="auto"/>
        <w:ind w:firstLine="420"/>
        <w:rPr>
          <w:rFonts w:ascii="宋体" w:hAnsi="宋体" w:cs="宋体" w:hint="eastAsia"/>
          <w:sz w:val="24"/>
          <w:lang w:val="zh-CN"/>
        </w:rPr>
      </w:pPr>
      <w:r>
        <w:rPr>
          <w:rFonts w:ascii="宋体" w:hAnsi="宋体" w:cs="宋体" w:hint="eastAsia"/>
          <w:sz w:val="24"/>
          <w:lang w:val="zh-CN"/>
        </w:rPr>
        <w:t>中国光大银行股份有限公司</w:t>
      </w:r>
      <w:r>
        <w:rPr>
          <w:rFonts w:ascii="宋体" w:hAnsi="宋体" w:cs="宋体" w:hint="eastAsia"/>
          <w:sz w:val="24"/>
        </w:rPr>
        <w:t>资产托管</w:t>
      </w:r>
      <w:r>
        <w:rPr>
          <w:rFonts w:ascii="宋体" w:hAnsi="宋体" w:cs="宋体" w:hint="eastAsia"/>
          <w:sz w:val="24"/>
          <w:lang w:val="zh-CN"/>
        </w:rPr>
        <w:t>部自成立以来严格遵照《基金法》、《中华人民共和国商业银行法》、《信息披露管理办法》、《运作办法》、《销售办法》等法律、法规的要求，并根据相关法律法规制订、完善了《中国光大银行</w:t>
      </w:r>
      <w:r>
        <w:rPr>
          <w:rFonts w:ascii="宋体" w:hAnsi="宋体" w:cs="宋体" w:hint="eastAsia"/>
          <w:sz w:val="24"/>
        </w:rPr>
        <w:t>资产</w:t>
      </w:r>
      <w:r>
        <w:rPr>
          <w:rFonts w:ascii="宋体" w:hAnsi="宋体" w:cs="宋体" w:hint="eastAsia"/>
          <w:sz w:val="24"/>
          <w:lang w:val="zh-CN"/>
        </w:rPr>
        <w:t>托管业务内部控制</w:t>
      </w:r>
      <w:r>
        <w:rPr>
          <w:rFonts w:ascii="宋体" w:hAnsi="宋体" w:cs="宋体" w:hint="eastAsia"/>
          <w:sz w:val="24"/>
        </w:rPr>
        <w:t>管理办法</w:t>
      </w:r>
      <w:r>
        <w:rPr>
          <w:rFonts w:ascii="宋体" w:hAnsi="宋体" w:cs="宋体" w:hint="eastAsia"/>
          <w:sz w:val="24"/>
          <w:lang w:val="zh-CN"/>
        </w:rPr>
        <w:t>》、《中国光大银行</w:t>
      </w:r>
      <w:r>
        <w:rPr>
          <w:rFonts w:ascii="宋体" w:hAnsi="宋体" w:cs="宋体" w:hint="eastAsia"/>
          <w:sz w:val="24"/>
        </w:rPr>
        <w:t>资产托管业务</w:t>
      </w:r>
      <w:r>
        <w:rPr>
          <w:rFonts w:ascii="宋体" w:hAnsi="宋体" w:cs="宋体" w:hint="eastAsia"/>
          <w:sz w:val="24"/>
          <w:lang w:val="zh-CN"/>
        </w:rPr>
        <w:t>保密</w:t>
      </w:r>
      <w:r>
        <w:rPr>
          <w:rFonts w:ascii="宋体" w:hAnsi="宋体" w:cs="宋体" w:hint="eastAsia"/>
          <w:sz w:val="24"/>
        </w:rPr>
        <w:t>办法</w:t>
      </w:r>
      <w:r>
        <w:rPr>
          <w:rFonts w:ascii="宋体" w:hAnsi="宋体" w:cs="宋体" w:hint="eastAsia"/>
          <w:sz w:val="24"/>
          <w:lang w:val="zh-CN"/>
        </w:rPr>
        <w:t>》等十余项规章制度和实施细则，将风险控制落实到每一个工作环节。中国光大银行</w:t>
      </w:r>
      <w:r>
        <w:rPr>
          <w:rFonts w:ascii="宋体" w:hAnsi="宋体" w:cs="宋体" w:hint="eastAsia"/>
          <w:sz w:val="24"/>
        </w:rPr>
        <w:t>资产托管</w:t>
      </w:r>
      <w:r>
        <w:rPr>
          <w:rFonts w:ascii="宋体" w:hAnsi="宋体" w:cs="宋体" w:hint="eastAsia"/>
          <w:sz w:val="24"/>
          <w:lang w:val="zh-CN"/>
        </w:rPr>
        <w:t>部以控制和防范基金托管业务风险为主线，在重要岗位（基金清算、基金核算、</w:t>
      </w:r>
      <w:r>
        <w:rPr>
          <w:rFonts w:ascii="宋体" w:hAnsi="宋体" w:cs="宋体" w:hint="eastAsia"/>
          <w:sz w:val="24"/>
        </w:rPr>
        <w:t>投资监督</w:t>
      </w:r>
      <w:r>
        <w:rPr>
          <w:rFonts w:ascii="宋体" w:hAnsi="宋体" w:cs="宋体" w:hint="eastAsia"/>
          <w:sz w:val="24"/>
          <w:lang w:val="zh-CN"/>
        </w:rPr>
        <w:t>）还建立了安全保密区，安装了录像监视系统和录音监听系统，以保障基金信息的安全。</w:t>
      </w:r>
    </w:p>
    <w:p w14:paraId="5F909A2D" w14:textId="77777777" w:rsidR="00566744" w:rsidRDefault="00000000">
      <w:pPr>
        <w:tabs>
          <w:tab w:val="left" w:pos="2160"/>
        </w:tabs>
        <w:adjustRightInd w:val="0"/>
        <w:snapToGrid w:val="0"/>
        <w:spacing w:line="360" w:lineRule="auto"/>
        <w:ind w:firstLineChars="200" w:firstLine="482"/>
        <w:rPr>
          <w:rFonts w:ascii="宋体" w:hAnsi="宋体" w:cs="宋体" w:hint="eastAsia"/>
          <w:b/>
          <w:bCs/>
          <w:color w:val="000000"/>
          <w:sz w:val="24"/>
        </w:rPr>
      </w:pPr>
      <w:r>
        <w:rPr>
          <w:rFonts w:ascii="宋体" w:hAnsi="宋体" w:cs="宋体" w:hint="eastAsia"/>
          <w:b/>
          <w:bCs/>
          <w:color w:val="000000"/>
          <w:sz w:val="24"/>
        </w:rPr>
        <w:t>（五）托管人对管理人运作基金进行监督的方法和程序</w:t>
      </w:r>
    </w:p>
    <w:p w14:paraId="501CA66B" w14:textId="77777777" w:rsidR="00736DD9" w:rsidRDefault="00736DD9" w:rsidP="00736DD9">
      <w:pPr>
        <w:spacing w:line="360" w:lineRule="auto"/>
        <w:ind w:firstLine="420"/>
        <w:rPr>
          <w:rFonts w:ascii="宋体" w:hAnsi="宋体" w:cs="宋体" w:hint="eastAsia"/>
          <w:sz w:val="24"/>
          <w:lang w:val="zh-CN"/>
        </w:rPr>
      </w:pPr>
      <w:bookmarkStart w:id="31" w:name="OLE_LINK7"/>
      <w:r>
        <w:rPr>
          <w:rFonts w:ascii="宋体" w:hAnsi="宋体" w:cs="宋体" w:hint="eastAsia"/>
          <w:sz w:val="24"/>
          <w:lang w:val="zh-CN"/>
        </w:rPr>
        <w:t>根据法律、法规和基金合同等的要求，基金托管人主要通过定性和定量相结合、事前</w:t>
      </w:r>
      <w:r>
        <w:rPr>
          <w:rFonts w:ascii="宋体" w:hAnsi="宋体" w:cs="宋体" w:hint="eastAsia"/>
          <w:sz w:val="24"/>
        </w:rPr>
        <w:t>事中</w:t>
      </w:r>
      <w:r>
        <w:rPr>
          <w:rFonts w:ascii="宋体" w:hAnsi="宋体" w:cs="宋体" w:hint="eastAsia"/>
          <w:sz w:val="24"/>
          <w:lang w:val="zh-CN"/>
        </w:rPr>
        <w:t>和事后</w:t>
      </w:r>
      <w:r>
        <w:rPr>
          <w:rFonts w:ascii="宋体" w:hAnsi="宋体" w:cs="宋体" w:hint="eastAsia"/>
          <w:sz w:val="24"/>
        </w:rPr>
        <w:t>监督</w:t>
      </w:r>
      <w:r>
        <w:rPr>
          <w:rFonts w:ascii="宋体" w:hAnsi="宋体" w:cs="宋体" w:hint="eastAsia"/>
          <w:sz w:val="24"/>
          <w:lang w:val="zh-CN"/>
        </w:rPr>
        <w:t>相结合、技术与人工监督相结合等方式方法，对基金投资</w:t>
      </w:r>
      <w:r>
        <w:rPr>
          <w:rFonts w:ascii="宋体" w:hAnsi="宋体" w:cs="宋体" w:hint="eastAsia"/>
          <w:sz w:val="24"/>
        </w:rPr>
        <w:t>范围</w:t>
      </w:r>
      <w:r>
        <w:rPr>
          <w:rFonts w:ascii="宋体" w:hAnsi="宋体" w:cs="宋体" w:hint="eastAsia"/>
          <w:sz w:val="24"/>
          <w:lang w:val="zh-CN"/>
        </w:rPr>
        <w:t>、投资组合比例</w:t>
      </w:r>
      <w:r>
        <w:rPr>
          <w:rFonts w:ascii="宋体" w:hAnsi="宋体" w:cs="宋体" w:hint="eastAsia"/>
          <w:sz w:val="24"/>
        </w:rPr>
        <w:t>等</w:t>
      </w:r>
      <w:r>
        <w:rPr>
          <w:rFonts w:ascii="宋体" w:hAnsi="宋体" w:cs="宋体" w:hint="eastAsia"/>
          <w:sz w:val="24"/>
          <w:lang w:val="zh-CN"/>
        </w:rPr>
        <w:t>每日进行监督；同时，对基金管理人就基金资产净值的计算、基金管理人和基金托管人报酬的计提和支付、基金收益分配、基金费用支付等行为的合法性、合</w:t>
      </w:r>
      <w:proofErr w:type="gramStart"/>
      <w:r>
        <w:rPr>
          <w:rFonts w:ascii="宋体" w:hAnsi="宋体" w:cs="宋体" w:hint="eastAsia"/>
          <w:sz w:val="24"/>
          <w:lang w:val="zh-CN"/>
        </w:rPr>
        <w:t>规</w:t>
      </w:r>
      <w:proofErr w:type="gramEnd"/>
      <w:r>
        <w:rPr>
          <w:rFonts w:ascii="宋体" w:hAnsi="宋体" w:cs="宋体" w:hint="eastAsia"/>
          <w:sz w:val="24"/>
          <w:lang w:val="zh-CN"/>
        </w:rPr>
        <w:t>性进行监督和核查。</w:t>
      </w:r>
    </w:p>
    <w:p w14:paraId="0F32E91B" w14:textId="3DD4EAFD" w:rsidR="00566744" w:rsidRDefault="00736DD9" w:rsidP="004A5BE7">
      <w:pPr>
        <w:spacing w:line="360" w:lineRule="auto"/>
        <w:ind w:firstLine="420"/>
        <w:rPr>
          <w:rFonts w:ascii="宋体" w:hAnsi="宋体" w:hint="eastAsia"/>
          <w:color w:val="000000"/>
          <w:kern w:val="0"/>
          <w:sz w:val="24"/>
        </w:rPr>
      </w:pPr>
      <w:r>
        <w:rPr>
          <w:rFonts w:ascii="宋体" w:hAnsi="宋体" w:cs="宋体" w:hint="eastAsia"/>
          <w:sz w:val="24"/>
          <w:lang w:val="zh-CN"/>
        </w:rPr>
        <w:t>基金托管人发现基金管理人</w:t>
      </w:r>
      <w:r>
        <w:rPr>
          <w:rFonts w:ascii="宋体" w:hAnsi="宋体" w:cs="宋体" w:hint="eastAsia"/>
          <w:sz w:val="24"/>
        </w:rPr>
        <w:t>有</w:t>
      </w:r>
      <w:r>
        <w:rPr>
          <w:rFonts w:ascii="宋体" w:hAnsi="宋体" w:cs="宋体" w:hint="eastAsia"/>
          <w:sz w:val="24"/>
          <w:lang w:val="zh-CN"/>
        </w:rPr>
        <w:t>违反法律、法规和基金合同等规定的行为，及时以</w:t>
      </w:r>
      <w:r>
        <w:rPr>
          <w:rFonts w:ascii="宋体" w:hAnsi="宋体" w:cs="宋体" w:hint="eastAsia"/>
          <w:sz w:val="24"/>
        </w:rPr>
        <w:t>邮件、电话或书面等</w:t>
      </w:r>
      <w:r>
        <w:rPr>
          <w:rFonts w:ascii="宋体" w:hAnsi="宋体" w:cs="宋体" w:hint="eastAsia"/>
          <w:sz w:val="24"/>
          <w:lang w:val="zh-CN"/>
        </w:rPr>
        <w:t>形式通知基金管理人限期纠正，基金管理人收到通知后应及时核对确认并以</w:t>
      </w:r>
      <w:r>
        <w:rPr>
          <w:rFonts w:ascii="宋体" w:hAnsi="宋体" w:cs="宋体" w:hint="eastAsia"/>
          <w:sz w:val="24"/>
        </w:rPr>
        <w:t>邮件或</w:t>
      </w:r>
      <w:r>
        <w:rPr>
          <w:rFonts w:ascii="宋体" w:hAnsi="宋体" w:cs="宋体" w:hint="eastAsia"/>
          <w:sz w:val="24"/>
          <w:lang w:val="zh-CN"/>
        </w:rPr>
        <w:t>书面形式对基金托管人发出回函。在限期内，基金托管人有权随时对通知事项进行复查。基金管理人对基金托管人通知的违规事项未能在限期内纠正的，基金托管人应报告中国证监会。</w:t>
      </w:r>
      <w:bookmarkEnd w:id="23"/>
      <w:bookmarkEnd w:id="24"/>
      <w:bookmarkEnd w:id="25"/>
      <w:bookmarkEnd w:id="26"/>
      <w:bookmarkEnd w:id="27"/>
      <w:bookmarkEnd w:id="31"/>
    </w:p>
    <w:p w14:paraId="2F2569D5" w14:textId="77777777" w:rsidR="00566744" w:rsidRDefault="00000000">
      <w:pPr>
        <w:pStyle w:val="1"/>
        <w:spacing w:line="360" w:lineRule="auto"/>
        <w:jc w:val="center"/>
        <w:rPr>
          <w:rFonts w:ascii="宋体" w:hAnsi="宋体" w:hint="eastAsia"/>
          <w:color w:val="000000"/>
          <w:kern w:val="0"/>
          <w:sz w:val="24"/>
          <w:szCs w:val="24"/>
        </w:rPr>
      </w:pPr>
      <w:r>
        <w:rPr>
          <w:rFonts w:ascii="宋体" w:hAnsi="宋体"/>
          <w:color w:val="000000"/>
          <w:kern w:val="0"/>
          <w:sz w:val="24"/>
          <w:szCs w:val="24"/>
        </w:rPr>
        <w:br w:type="page"/>
      </w:r>
      <w:bookmarkStart w:id="32" w:name="_Toc482624793"/>
      <w:bookmarkStart w:id="33" w:name="_Toc78378585"/>
      <w:bookmarkStart w:id="34" w:name="_Toc256666786"/>
      <w:bookmarkStart w:id="35" w:name="_Toc6210"/>
      <w:bookmarkStart w:id="36" w:name="_Toc256666914"/>
      <w:r>
        <w:rPr>
          <w:rFonts w:ascii="宋体" w:hAnsi="宋体" w:hint="eastAsia"/>
          <w:color w:val="000000"/>
          <w:kern w:val="0"/>
          <w:sz w:val="24"/>
          <w:szCs w:val="24"/>
        </w:rPr>
        <w:lastRenderedPageBreak/>
        <w:t>第五部分  相关服务机构</w:t>
      </w:r>
      <w:bookmarkEnd w:id="32"/>
      <w:bookmarkEnd w:id="33"/>
      <w:bookmarkEnd w:id="34"/>
      <w:bookmarkEnd w:id="35"/>
      <w:bookmarkEnd w:id="36"/>
    </w:p>
    <w:p w14:paraId="4959CC9F" w14:textId="77777777" w:rsidR="00566744" w:rsidRDefault="00000000">
      <w:pPr>
        <w:spacing w:line="360" w:lineRule="auto"/>
        <w:ind w:firstLineChars="200" w:firstLine="480"/>
        <w:rPr>
          <w:rFonts w:ascii="宋体" w:hAnsi="宋体" w:hint="eastAsia"/>
          <w:color w:val="000000"/>
          <w:kern w:val="0"/>
          <w:sz w:val="24"/>
        </w:rPr>
      </w:pPr>
      <w:bookmarkStart w:id="37" w:name="_Toc88969234"/>
      <w:r>
        <w:rPr>
          <w:rFonts w:ascii="宋体" w:hAnsi="宋体" w:hint="eastAsia"/>
          <w:color w:val="000000"/>
          <w:kern w:val="0"/>
          <w:sz w:val="24"/>
        </w:rPr>
        <w:t>（一）基金份额发售机构</w:t>
      </w:r>
      <w:bookmarkEnd w:id="37"/>
    </w:p>
    <w:p w14:paraId="150BCB1A"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1、直销机构：富荣基金管理有限公司直销中心</w:t>
      </w:r>
    </w:p>
    <w:p w14:paraId="007B6809"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sz w:val="24"/>
        </w:rPr>
        <w:t>注册地址</w:t>
      </w:r>
      <w:r>
        <w:rPr>
          <w:rFonts w:ascii="宋体" w:hAnsi="宋体" w:hint="eastAsia"/>
          <w:color w:val="000000"/>
          <w:kern w:val="0"/>
          <w:sz w:val="24"/>
        </w:rPr>
        <w:t>：</w:t>
      </w:r>
      <w:r>
        <w:rPr>
          <w:rFonts w:asciiTheme="minorEastAsia" w:hAnsiTheme="minorEastAsia" w:hint="eastAsia"/>
          <w:kern w:val="0"/>
          <w:sz w:val="24"/>
        </w:rPr>
        <w:t>广东省广州市南沙区横</w:t>
      </w:r>
      <w:proofErr w:type="gramStart"/>
      <w:r>
        <w:rPr>
          <w:rFonts w:asciiTheme="minorEastAsia" w:hAnsiTheme="minorEastAsia" w:hint="eastAsia"/>
          <w:kern w:val="0"/>
          <w:sz w:val="24"/>
        </w:rPr>
        <w:t>沥</w:t>
      </w:r>
      <w:proofErr w:type="gramEnd"/>
      <w:r>
        <w:rPr>
          <w:rFonts w:asciiTheme="minorEastAsia" w:hAnsiTheme="minorEastAsia" w:hint="eastAsia"/>
          <w:kern w:val="0"/>
          <w:sz w:val="24"/>
        </w:rPr>
        <w:t>镇汇通二街2号3110房</w:t>
      </w:r>
    </w:p>
    <w:p w14:paraId="1952CE9B"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办公地址：深圳市福田区八卦四路52号安吉尔大厦24层</w:t>
      </w:r>
    </w:p>
    <w:p w14:paraId="18CCBFAB"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法定代表人： 王亦伟</w:t>
      </w:r>
    </w:p>
    <w:p w14:paraId="01E1BA4F"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电话：0755-84356633</w:t>
      </w:r>
    </w:p>
    <w:p w14:paraId="4BB526DA"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传真：0755-83230787</w:t>
      </w:r>
    </w:p>
    <w:p w14:paraId="7FA05997"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客服电话：4006855600</w:t>
      </w:r>
    </w:p>
    <w:p w14:paraId="4599ED97"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网站：www.furamc.com.cn</w:t>
      </w:r>
    </w:p>
    <w:p w14:paraId="3D3C9DE3"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2、其他销售机构：</w:t>
      </w:r>
    </w:p>
    <w:p w14:paraId="5981D3BF" w14:textId="77777777" w:rsidR="00566744" w:rsidRDefault="00000000">
      <w:pPr>
        <w:spacing w:line="360" w:lineRule="auto"/>
        <w:rPr>
          <w:rFonts w:ascii="宋体" w:hAnsi="宋体" w:hint="eastAsia"/>
          <w:color w:val="000000"/>
          <w:kern w:val="0"/>
          <w:sz w:val="24"/>
        </w:rPr>
      </w:pPr>
      <w:r>
        <w:rPr>
          <w:rFonts w:ascii="宋体" w:hAnsi="宋体"/>
          <w:color w:val="000000"/>
          <w:kern w:val="0"/>
          <w:sz w:val="24"/>
        </w:rPr>
        <w:tab/>
      </w:r>
      <w:r>
        <w:rPr>
          <w:rFonts w:ascii="宋体" w:hAnsi="宋体"/>
          <w:color w:val="000000"/>
          <w:kern w:val="0"/>
          <w:sz w:val="24"/>
        </w:rPr>
        <w:tab/>
      </w:r>
      <w:r>
        <w:rPr>
          <w:rFonts w:ascii="宋体" w:hAnsi="宋体" w:hint="eastAsia"/>
          <w:color w:val="000000"/>
          <w:kern w:val="0"/>
          <w:sz w:val="24"/>
        </w:rPr>
        <w:t>具体名单详见基金管理人官方网站。</w:t>
      </w:r>
    </w:p>
    <w:p w14:paraId="64A52EC3" w14:textId="77777777" w:rsidR="00566744" w:rsidRDefault="00000000">
      <w:pPr>
        <w:spacing w:line="360" w:lineRule="auto"/>
        <w:ind w:firstLineChars="200" w:firstLine="480"/>
        <w:rPr>
          <w:rFonts w:ascii="宋体" w:hAnsi="宋体" w:hint="eastAsia"/>
          <w:color w:val="000000"/>
          <w:kern w:val="0"/>
          <w:sz w:val="24"/>
        </w:rPr>
      </w:pPr>
      <w:bookmarkStart w:id="38" w:name="_Toc88969235"/>
      <w:r>
        <w:rPr>
          <w:rFonts w:ascii="宋体" w:hAnsi="宋体" w:hint="eastAsia"/>
          <w:color w:val="000000"/>
          <w:kern w:val="0"/>
          <w:sz w:val="24"/>
        </w:rPr>
        <w:t>（二）</w:t>
      </w:r>
      <w:bookmarkEnd w:id="38"/>
      <w:r>
        <w:rPr>
          <w:rFonts w:ascii="宋体" w:hAnsi="宋体" w:hint="eastAsia"/>
          <w:color w:val="000000"/>
          <w:kern w:val="0"/>
          <w:sz w:val="24"/>
        </w:rPr>
        <w:t>登记机构</w:t>
      </w:r>
    </w:p>
    <w:p w14:paraId="2FFFC9A7"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名称：富荣基金管理有限公司 </w:t>
      </w:r>
    </w:p>
    <w:p w14:paraId="02E7EB35"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住所：</w:t>
      </w:r>
      <w:r>
        <w:rPr>
          <w:rFonts w:asciiTheme="minorEastAsia" w:hAnsiTheme="minorEastAsia" w:hint="eastAsia"/>
          <w:kern w:val="0"/>
          <w:sz w:val="24"/>
        </w:rPr>
        <w:t>广东省广州市南沙区横</w:t>
      </w:r>
      <w:proofErr w:type="gramStart"/>
      <w:r>
        <w:rPr>
          <w:rFonts w:asciiTheme="minorEastAsia" w:hAnsiTheme="minorEastAsia" w:hint="eastAsia"/>
          <w:kern w:val="0"/>
          <w:sz w:val="24"/>
        </w:rPr>
        <w:t>沥</w:t>
      </w:r>
      <w:proofErr w:type="gramEnd"/>
      <w:r>
        <w:rPr>
          <w:rFonts w:asciiTheme="minorEastAsia" w:hAnsiTheme="minorEastAsia" w:hint="eastAsia"/>
          <w:kern w:val="0"/>
          <w:sz w:val="24"/>
        </w:rPr>
        <w:t>镇汇通二街2号3110房</w:t>
      </w:r>
    </w:p>
    <w:p w14:paraId="1636F413"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办公地址：深圳市福田区八卦四路52号安吉尔大厦24层</w:t>
      </w:r>
    </w:p>
    <w:p w14:paraId="553E29A3"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法定代表人：王亦伟</w:t>
      </w:r>
    </w:p>
    <w:p w14:paraId="4CD02D8D"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联系人：黄文飞</w:t>
      </w:r>
    </w:p>
    <w:p w14:paraId="6970642B"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电话： 0755-843566</w:t>
      </w:r>
      <w:r>
        <w:rPr>
          <w:rFonts w:ascii="宋体" w:hAnsi="宋体"/>
          <w:color w:val="000000"/>
          <w:kern w:val="0"/>
          <w:sz w:val="24"/>
        </w:rPr>
        <w:t>04</w:t>
      </w:r>
    </w:p>
    <w:p w14:paraId="17BFBFAF"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传真： 0755-83230787</w:t>
      </w:r>
    </w:p>
    <w:p w14:paraId="32294BEE" w14:textId="77777777" w:rsidR="00566744" w:rsidRDefault="00000000">
      <w:pPr>
        <w:spacing w:line="360" w:lineRule="auto"/>
        <w:ind w:firstLineChars="200" w:firstLine="480"/>
        <w:rPr>
          <w:rFonts w:ascii="宋体" w:hAnsi="宋体" w:hint="eastAsia"/>
          <w:color w:val="000000"/>
          <w:kern w:val="0"/>
          <w:sz w:val="24"/>
        </w:rPr>
      </w:pPr>
      <w:bookmarkStart w:id="39" w:name="_Toc88969236"/>
      <w:r>
        <w:rPr>
          <w:rFonts w:ascii="宋体" w:hAnsi="宋体" w:hint="eastAsia"/>
          <w:color w:val="000000"/>
          <w:kern w:val="0"/>
          <w:sz w:val="24"/>
        </w:rPr>
        <w:t>（三）出具法律意见书的律师事务所</w:t>
      </w:r>
      <w:bookmarkEnd w:id="39"/>
    </w:p>
    <w:p w14:paraId="7552BB81" w14:textId="77777777" w:rsidR="00566744" w:rsidRDefault="00000000">
      <w:pPr>
        <w:spacing w:line="360" w:lineRule="auto"/>
        <w:ind w:firstLineChars="200" w:firstLine="480"/>
        <w:rPr>
          <w:rFonts w:ascii="宋体" w:hAnsi="宋体" w:hint="eastAsia"/>
          <w:color w:val="000000"/>
          <w:kern w:val="0"/>
          <w:sz w:val="24"/>
        </w:rPr>
      </w:pPr>
      <w:bookmarkStart w:id="40" w:name="_Toc88969237"/>
      <w:r>
        <w:rPr>
          <w:rFonts w:ascii="宋体" w:hAnsi="宋体" w:hint="eastAsia"/>
          <w:color w:val="000000"/>
          <w:kern w:val="0"/>
          <w:sz w:val="24"/>
        </w:rPr>
        <w:t>名称：上海市通力律师事务所</w:t>
      </w:r>
    </w:p>
    <w:p w14:paraId="01F04019"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住所：上海市银城中路68号时代金融中心19楼</w:t>
      </w:r>
    </w:p>
    <w:p w14:paraId="78D7B8D9"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办公地址：上海市银城中路68号时代金融中心19楼</w:t>
      </w:r>
    </w:p>
    <w:p w14:paraId="06DB5EC4"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负责人：俞卫锋</w:t>
      </w:r>
    </w:p>
    <w:p w14:paraId="28CF280C"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电话：021-31358666</w:t>
      </w:r>
    </w:p>
    <w:p w14:paraId="2E401998"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lastRenderedPageBreak/>
        <w:t>传真：021-31358600</w:t>
      </w:r>
    </w:p>
    <w:p w14:paraId="6C22AFC3"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经办律师：安冬 陆奇</w:t>
      </w:r>
    </w:p>
    <w:p w14:paraId="09BDB9FD"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联系人： 安冬</w:t>
      </w:r>
    </w:p>
    <w:p w14:paraId="4E94D2FC" w14:textId="77777777" w:rsidR="00566744" w:rsidRDefault="00000000">
      <w:pPr>
        <w:adjustRightInd w:val="0"/>
        <w:snapToGrid w:val="0"/>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（四）会计师事务所和经办注册会计师</w:t>
      </w:r>
      <w:bookmarkEnd w:id="40"/>
    </w:p>
    <w:p w14:paraId="3E6EF09A" w14:textId="77777777" w:rsidR="00566744" w:rsidRDefault="00000000">
      <w:pPr>
        <w:adjustRightInd w:val="0"/>
        <w:snapToGrid w:val="0"/>
        <w:spacing w:line="360" w:lineRule="auto"/>
        <w:rPr>
          <w:rFonts w:ascii="宋体" w:hAnsi="宋体" w:hint="eastAsia"/>
          <w:color w:val="000000"/>
          <w:sz w:val="24"/>
        </w:rPr>
      </w:pPr>
      <w:r>
        <w:rPr>
          <w:rFonts w:ascii="宋体" w:hAnsi="宋体" w:hint="eastAsia"/>
          <w:color w:val="000000"/>
          <w:sz w:val="24"/>
        </w:rPr>
        <w:t xml:space="preserve">    名称：安永华明会计师事务所（特殊普通合伙）</w:t>
      </w:r>
    </w:p>
    <w:p w14:paraId="411122BB" w14:textId="77777777" w:rsidR="00566744" w:rsidRDefault="00000000">
      <w:pPr>
        <w:adjustRightInd w:val="0"/>
        <w:snapToGrid w:val="0"/>
        <w:spacing w:line="360" w:lineRule="auto"/>
        <w:ind w:firstLineChars="177" w:firstLine="425"/>
        <w:rPr>
          <w:rFonts w:ascii="宋体" w:hAnsi="宋体" w:hint="eastAsia"/>
          <w:color w:val="000000"/>
          <w:sz w:val="24"/>
        </w:rPr>
      </w:pPr>
      <w:r>
        <w:rPr>
          <w:rFonts w:ascii="宋体" w:hAnsi="宋体" w:hint="eastAsia"/>
          <w:color w:val="000000"/>
          <w:sz w:val="24"/>
        </w:rPr>
        <w:t>住所：中国北京市东城区东长安街1号东方广场安永大楼17层</w:t>
      </w:r>
    </w:p>
    <w:p w14:paraId="496E3128" w14:textId="77777777" w:rsidR="00566744" w:rsidRDefault="00000000">
      <w:pPr>
        <w:adjustRightInd w:val="0"/>
        <w:snapToGrid w:val="0"/>
        <w:spacing w:line="360" w:lineRule="auto"/>
        <w:ind w:firstLineChars="177" w:firstLine="425"/>
        <w:rPr>
          <w:rFonts w:ascii="宋体" w:hAnsi="宋体" w:hint="eastAsia"/>
          <w:color w:val="000000"/>
          <w:sz w:val="24"/>
        </w:rPr>
      </w:pPr>
      <w:r>
        <w:rPr>
          <w:rFonts w:ascii="宋体" w:hAnsi="宋体" w:hint="eastAsia"/>
          <w:color w:val="000000"/>
          <w:sz w:val="24"/>
        </w:rPr>
        <w:t>办公地址：中国北京市东城区东长安街1号东方广场安永大楼17层</w:t>
      </w:r>
    </w:p>
    <w:p w14:paraId="2360A17A" w14:textId="77777777" w:rsidR="00566744" w:rsidRDefault="00000000">
      <w:pPr>
        <w:adjustRightInd w:val="0"/>
        <w:snapToGrid w:val="0"/>
        <w:spacing w:line="360" w:lineRule="auto"/>
        <w:ind w:firstLineChars="177" w:firstLine="425"/>
        <w:rPr>
          <w:rFonts w:ascii="宋体" w:hAnsi="宋体" w:hint="eastAsia"/>
          <w:color w:val="000000"/>
          <w:sz w:val="24"/>
        </w:rPr>
      </w:pPr>
      <w:r>
        <w:rPr>
          <w:rFonts w:ascii="宋体" w:hAnsi="宋体" w:hint="eastAsia"/>
          <w:color w:val="000000"/>
          <w:sz w:val="24"/>
        </w:rPr>
        <w:t>法定代表人：</w:t>
      </w:r>
      <w:proofErr w:type="gramStart"/>
      <w:r>
        <w:rPr>
          <w:rFonts w:ascii="宋体" w:hAnsi="宋体" w:hint="eastAsia"/>
          <w:color w:val="000000"/>
          <w:sz w:val="24"/>
        </w:rPr>
        <w:t>毛鞍宁</w:t>
      </w:r>
      <w:proofErr w:type="gramEnd"/>
    </w:p>
    <w:p w14:paraId="4D1F85E8" w14:textId="77777777" w:rsidR="00566744" w:rsidRDefault="00000000">
      <w:pPr>
        <w:adjustRightInd w:val="0"/>
        <w:snapToGrid w:val="0"/>
        <w:spacing w:line="360" w:lineRule="auto"/>
        <w:ind w:firstLineChars="177" w:firstLine="425"/>
        <w:rPr>
          <w:rFonts w:ascii="宋体" w:hAnsi="宋体" w:hint="eastAsia"/>
          <w:color w:val="000000"/>
          <w:sz w:val="24"/>
        </w:rPr>
      </w:pPr>
      <w:r>
        <w:rPr>
          <w:rFonts w:ascii="宋体" w:hAnsi="宋体" w:hint="eastAsia"/>
          <w:color w:val="000000"/>
          <w:sz w:val="24"/>
        </w:rPr>
        <w:t>电话：</w:t>
      </w:r>
      <w:r>
        <w:rPr>
          <w:rFonts w:ascii="宋体" w:hAnsi="宋体"/>
          <w:color w:val="000000"/>
          <w:sz w:val="24"/>
        </w:rPr>
        <w:t>+86 10 58153000</w:t>
      </w:r>
    </w:p>
    <w:p w14:paraId="4D610526" w14:textId="77777777" w:rsidR="00566744" w:rsidRDefault="00000000">
      <w:pPr>
        <w:adjustRightInd w:val="0"/>
        <w:snapToGrid w:val="0"/>
        <w:spacing w:line="360" w:lineRule="auto"/>
        <w:ind w:firstLineChars="177" w:firstLine="425"/>
        <w:rPr>
          <w:rFonts w:ascii="宋体" w:hAnsi="宋体" w:hint="eastAsia"/>
          <w:color w:val="000000"/>
          <w:sz w:val="24"/>
        </w:rPr>
      </w:pPr>
      <w:r>
        <w:rPr>
          <w:rFonts w:ascii="宋体" w:hAnsi="宋体" w:hint="eastAsia"/>
          <w:color w:val="000000"/>
          <w:sz w:val="24"/>
        </w:rPr>
        <w:t>传真：</w:t>
      </w:r>
      <w:r>
        <w:rPr>
          <w:rFonts w:ascii="宋体" w:hAnsi="宋体"/>
          <w:color w:val="000000"/>
          <w:sz w:val="24"/>
        </w:rPr>
        <w:t>+86 10 85188298</w:t>
      </w:r>
    </w:p>
    <w:p w14:paraId="1E0F63EA" w14:textId="77777777" w:rsidR="00566744" w:rsidRDefault="00000000">
      <w:pPr>
        <w:adjustRightInd w:val="0"/>
        <w:snapToGrid w:val="0"/>
        <w:spacing w:line="360" w:lineRule="auto"/>
        <w:ind w:firstLineChars="177" w:firstLine="425"/>
        <w:rPr>
          <w:rFonts w:ascii="宋体" w:hAnsi="宋体" w:hint="eastAsia"/>
          <w:color w:val="000000"/>
          <w:sz w:val="24"/>
        </w:rPr>
      </w:pPr>
      <w:r>
        <w:rPr>
          <w:rFonts w:ascii="宋体" w:hAnsi="宋体" w:hint="eastAsia"/>
          <w:color w:val="000000"/>
          <w:sz w:val="24"/>
        </w:rPr>
        <w:t>签字注册会计师：吴翠蓉  高鹤</w:t>
      </w:r>
    </w:p>
    <w:p w14:paraId="4F78CB11" w14:textId="77777777" w:rsidR="00566744" w:rsidRDefault="00000000">
      <w:pPr>
        <w:adjustRightInd w:val="0"/>
        <w:snapToGrid w:val="0"/>
        <w:spacing w:line="360" w:lineRule="auto"/>
        <w:ind w:firstLineChars="177" w:firstLine="425"/>
        <w:rPr>
          <w:rFonts w:ascii="宋体" w:hAnsi="宋体" w:hint="eastAsia"/>
          <w:color w:val="000000"/>
          <w:sz w:val="24"/>
        </w:rPr>
      </w:pPr>
      <w:r>
        <w:rPr>
          <w:rFonts w:ascii="宋体" w:hAnsi="宋体" w:hint="eastAsia"/>
          <w:color w:val="000000"/>
          <w:sz w:val="24"/>
        </w:rPr>
        <w:t>联系人：吴翠蓉</w:t>
      </w:r>
    </w:p>
    <w:p w14:paraId="68133AD1" w14:textId="77777777" w:rsidR="00566744" w:rsidRDefault="00566744">
      <w:pPr>
        <w:adjustRightInd w:val="0"/>
        <w:snapToGrid w:val="0"/>
        <w:spacing w:line="360" w:lineRule="auto"/>
        <w:rPr>
          <w:rFonts w:ascii="宋体" w:hAnsi="宋体" w:hint="eastAsia"/>
          <w:bCs/>
          <w:color w:val="000000"/>
          <w:sz w:val="24"/>
          <w:szCs w:val="20"/>
        </w:rPr>
      </w:pPr>
    </w:p>
    <w:p w14:paraId="44C4567E" w14:textId="77777777" w:rsidR="00566744" w:rsidRDefault="00000000">
      <w:pPr>
        <w:pStyle w:val="1"/>
        <w:spacing w:line="360" w:lineRule="auto"/>
        <w:jc w:val="center"/>
        <w:rPr>
          <w:rFonts w:ascii="宋体" w:hAnsi="宋体" w:hint="eastAsia"/>
          <w:color w:val="000000"/>
          <w:kern w:val="0"/>
          <w:sz w:val="24"/>
          <w:szCs w:val="24"/>
        </w:rPr>
      </w:pPr>
      <w:r>
        <w:rPr>
          <w:rFonts w:cs="Arial"/>
        </w:rPr>
        <w:br w:type="page"/>
      </w:r>
      <w:bookmarkStart w:id="41" w:name="_Toc78378586"/>
      <w:bookmarkStart w:id="42" w:name="_Toc194043642"/>
      <w:bookmarkStart w:id="43" w:name="_Toc256666916"/>
      <w:bookmarkStart w:id="44" w:name="_Toc15792"/>
      <w:bookmarkStart w:id="45" w:name="_Toc256666796"/>
      <w:bookmarkStart w:id="46" w:name="_Toc221612040"/>
      <w:bookmarkStart w:id="47" w:name="_Toc482624796"/>
      <w:bookmarkStart w:id="48" w:name="_Toc221612260"/>
      <w:r>
        <w:rPr>
          <w:rFonts w:ascii="宋体" w:hAnsi="宋体" w:hint="eastAsia"/>
          <w:color w:val="000000"/>
          <w:kern w:val="0"/>
          <w:sz w:val="24"/>
          <w:szCs w:val="24"/>
        </w:rPr>
        <w:lastRenderedPageBreak/>
        <w:t>第六部分  基金的募集</w:t>
      </w:r>
      <w:bookmarkEnd w:id="41"/>
    </w:p>
    <w:p w14:paraId="3B36EF33"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本基金由基金管理人依照《基金法》、《运作办法》、《销售办法》、《信息披露办法》、《基金合同》及其它法律法规的有关规定，经201</w:t>
      </w:r>
      <w:r>
        <w:rPr>
          <w:rFonts w:ascii="宋体" w:hAnsi="宋体"/>
          <w:color w:val="000000"/>
          <w:kern w:val="0"/>
          <w:sz w:val="24"/>
        </w:rPr>
        <w:t>6</w:t>
      </w:r>
      <w:r>
        <w:rPr>
          <w:rFonts w:ascii="宋体" w:hAnsi="宋体" w:hint="eastAsia"/>
          <w:color w:val="000000"/>
          <w:kern w:val="0"/>
          <w:sz w:val="24"/>
        </w:rPr>
        <w:t>年</w:t>
      </w:r>
      <w:r>
        <w:rPr>
          <w:rFonts w:ascii="宋体" w:hAnsi="宋体"/>
          <w:color w:val="000000"/>
          <w:kern w:val="0"/>
          <w:sz w:val="24"/>
        </w:rPr>
        <w:t>9</w:t>
      </w:r>
      <w:r>
        <w:rPr>
          <w:rFonts w:ascii="宋体" w:hAnsi="宋体" w:hint="eastAsia"/>
          <w:color w:val="000000"/>
          <w:kern w:val="0"/>
          <w:sz w:val="24"/>
        </w:rPr>
        <w:t>月</w:t>
      </w:r>
      <w:r>
        <w:rPr>
          <w:rFonts w:ascii="宋体" w:hAnsi="宋体"/>
          <w:color w:val="000000"/>
          <w:kern w:val="0"/>
          <w:sz w:val="24"/>
        </w:rPr>
        <w:t>20</w:t>
      </w:r>
      <w:r>
        <w:rPr>
          <w:rFonts w:ascii="宋体" w:hAnsi="宋体" w:hint="eastAsia"/>
          <w:color w:val="000000"/>
          <w:kern w:val="0"/>
          <w:sz w:val="24"/>
        </w:rPr>
        <w:t>日中国证监会证监许可【201</w:t>
      </w:r>
      <w:r>
        <w:rPr>
          <w:rFonts w:ascii="宋体" w:hAnsi="宋体"/>
          <w:color w:val="000000"/>
          <w:kern w:val="0"/>
          <w:sz w:val="24"/>
        </w:rPr>
        <w:t>6</w:t>
      </w:r>
      <w:r>
        <w:rPr>
          <w:rFonts w:ascii="宋体" w:hAnsi="宋体" w:hint="eastAsia"/>
          <w:color w:val="000000"/>
          <w:kern w:val="0"/>
          <w:sz w:val="24"/>
        </w:rPr>
        <w:t>】</w:t>
      </w:r>
      <w:r>
        <w:rPr>
          <w:rFonts w:ascii="宋体" w:hAnsi="宋体"/>
          <w:color w:val="000000"/>
          <w:kern w:val="0"/>
          <w:sz w:val="24"/>
        </w:rPr>
        <w:t>2153</w:t>
      </w:r>
      <w:r>
        <w:rPr>
          <w:rFonts w:ascii="宋体" w:hAnsi="宋体" w:hint="eastAsia"/>
          <w:color w:val="000000"/>
          <w:kern w:val="0"/>
          <w:sz w:val="24"/>
        </w:rPr>
        <w:t>号文准予募集。 于</w:t>
      </w:r>
      <w:r>
        <w:rPr>
          <w:rFonts w:ascii="宋体" w:hAnsi="宋体"/>
          <w:color w:val="000000"/>
          <w:kern w:val="0"/>
          <w:sz w:val="24"/>
        </w:rPr>
        <w:t>201</w:t>
      </w:r>
      <w:r>
        <w:rPr>
          <w:rFonts w:ascii="宋体" w:hAnsi="宋体" w:hint="eastAsia"/>
          <w:color w:val="000000"/>
          <w:kern w:val="0"/>
          <w:sz w:val="24"/>
        </w:rPr>
        <w:t>6年</w:t>
      </w:r>
      <w:r>
        <w:rPr>
          <w:rFonts w:ascii="宋体" w:hAnsi="宋体"/>
          <w:color w:val="000000"/>
          <w:kern w:val="0"/>
          <w:sz w:val="24"/>
        </w:rPr>
        <w:t>1</w:t>
      </w:r>
      <w:r>
        <w:rPr>
          <w:rFonts w:ascii="宋体" w:hAnsi="宋体" w:hint="eastAsia"/>
          <w:color w:val="000000"/>
          <w:kern w:val="0"/>
          <w:sz w:val="24"/>
        </w:rPr>
        <w:t>2月1日起通过各销售机构向社会公开募集，截至</w:t>
      </w:r>
      <w:r>
        <w:rPr>
          <w:rFonts w:ascii="宋体" w:hAnsi="宋体"/>
          <w:color w:val="000000"/>
          <w:kern w:val="0"/>
          <w:sz w:val="24"/>
        </w:rPr>
        <w:t>201</w:t>
      </w:r>
      <w:r>
        <w:rPr>
          <w:rFonts w:ascii="宋体" w:hAnsi="宋体" w:hint="eastAsia"/>
          <w:color w:val="000000"/>
          <w:kern w:val="0"/>
          <w:sz w:val="24"/>
        </w:rPr>
        <w:t>6年</w:t>
      </w:r>
      <w:r>
        <w:rPr>
          <w:rFonts w:ascii="宋体" w:hAnsi="宋体"/>
          <w:color w:val="000000"/>
          <w:kern w:val="0"/>
          <w:sz w:val="24"/>
        </w:rPr>
        <w:t>1</w:t>
      </w:r>
      <w:r>
        <w:rPr>
          <w:rFonts w:ascii="宋体" w:hAnsi="宋体" w:hint="eastAsia"/>
          <w:color w:val="000000"/>
          <w:kern w:val="0"/>
          <w:sz w:val="24"/>
        </w:rPr>
        <w:t>2月21日，基金募集工作已顺利结束。</w:t>
      </w:r>
    </w:p>
    <w:p w14:paraId="45833FAF" w14:textId="77777777" w:rsidR="00566744" w:rsidRDefault="00000000">
      <w:pPr>
        <w:pStyle w:val="1"/>
        <w:spacing w:line="360" w:lineRule="auto"/>
        <w:jc w:val="center"/>
        <w:rPr>
          <w:rFonts w:ascii="宋体" w:hAnsi="宋体" w:hint="eastAsia"/>
          <w:color w:val="000000"/>
          <w:kern w:val="0"/>
          <w:sz w:val="24"/>
        </w:rPr>
      </w:pPr>
      <w:r>
        <w:rPr>
          <w:rFonts w:ascii="宋体" w:hAnsi="宋体"/>
          <w:color w:val="000000"/>
          <w:kern w:val="0"/>
          <w:sz w:val="24"/>
        </w:rPr>
        <w:br w:type="page"/>
      </w:r>
      <w:bookmarkStart w:id="49" w:name="_Toc78378587"/>
      <w:r>
        <w:rPr>
          <w:rFonts w:ascii="宋体" w:hAnsi="宋体" w:hint="eastAsia"/>
          <w:color w:val="000000"/>
          <w:kern w:val="0"/>
          <w:sz w:val="24"/>
        </w:rPr>
        <w:lastRenderedPageBreak/>
        <w:t xml:space="preserve">第七部分 </w:t>
      </w:r>
      <w:r>
        <w:rPr>
          <w:rFonts w:ascii="宋体" w:hAnsi="宋体"/>
          <w:color w:val="000000"/>
          <w:kern w:val="0"/>
          <w:sz w:val="24"/>
        </w:rPr>
        <w:t xml:space="preserve"> </w:t>
      </w:r>
      <w:r>
        <w:rPr>
          <w:rFonts w:ascii="宋体" w:hAnsi="宋体" w:hint="eastAsia"/>
          <w:color w:val="000000"/>
          <w:kern w:val="0"/>
          <w:sz w:val="24"/>
        </w:rPr>
        <w:t>基金份额的分类</w:t>
      </w:r>
      <w:bookmarkEnd w:id="49"/>
    </w:p>
    <w:p w14:paraId="572EF357" w14:textId="77777777" w:rsidR="00566744" w:rsidRDefault="00000000">
      <w:pPr>
        <w:pStyle w:val="afd"/>
        <w:numPr>
          <w:ilvl w:val="0"/>
          <w:numId w:val="6"/>
        </w:numPr>
        <w:spacing w:line="360" w:lineRule="auto"/>
        <w:ind w:firstLineChars="0"/>
        <w:rPr>
          <w:rFonts w:ascii="宋体" w:hAnsi="宋体" w:hint="eastAsia"/>
          <w:color w:val="000000"/>
          <w:kern w:val="0"/>
          <w:sz w:val="24"/>
        </w:rPr>
      </w:pPr>
      <w:r>
        <w:rPr>
          <w:rFonts w:ascii="宋体" w:hAnsi="宋体"/>
          <w:color w:val="000000"/>
          <w:kern w:val="0"/>
          <w:sz w:val="24"/>
        </w:rPr>
        <w:t>基金份额分类</w:t>
      </w:r>
    </w:p>
    <w:p w14:paraId="3F3A377B"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本基金根据投资者认(申)</w:t>
      </w:r>
      <w:proofErr w:type="gramStart"/>
      <w:r>
        <w:rPr>
          <w:rFonts w:ascii="宋体" w:hAnsi="宋体" w:hint="eastAsia"/>
          <w:color w:val="000000"/>
          <w:kern w:val="0"/>
          <w:sz w:val="24"/>
        </w:rPr>
        <w:t>购本基金</w:t>
      </w:r>
      <w:proofErr w:type="gramEnd"/>
      <w:r>
        <w:rPr>
          <w:rFonts w:ascii="宋体" w:hAnsi="宋体" w:hint="eastAsia"/>
          <w:color w:val="000000"/>
          <w:kern w:val="0"/>
          <w:sz w:val="24"/>
        </w:rPr>
        <w:t>的金额，对投资者持有的基金份额按照不同的费率计提销售服务费用，因此形成不同的基金份额类别。本基金将设A类和B类两类基金份额，两类基金份额单独设置基金代码，并单独公布每万份基金已实现收益和</w:t>
      </w:r>
      <w:proofErr w:type="gramStart"/>
      <w:r>
        <w:rPr>
          <w:rFonts w:ascii="宋体" w:hAnsi="宋体" w:hint="eastAsia"/>
          <w:color w:val="000000"/>
          <w:kern w:val="0"/>
          <w:sz w:val="24"/>
        </w:rPr>
        <w:t>7日年化收益率</w:t>
      </w:r>
      <w:proofErr w:type="gramEnd"/>
      <w:r>
        <w:rPr>
          <w:rFonts w:ascii="宋体" w:hAnsi="宋体" w:hint="eastAsia"/>
          <w:color w:val="000000"/>
          <w:kern w:val="0"/>
          <w:sz w:val="24"/>
        </w:rPr>
        <w:t>。</w:t>
      </w:r>
    </w:p>
    <w:p w14:paraId="376F5296"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根据基金实际运作情况，在履行适当程序后，在不违反法律法规并且不对份额持有人权益产生实质性不利影响的情况下，基金管理人可对基金份额分类进行调整，不需要召开基金份额持有人大会，但应在调整方案实施前依照《信息披露办法》的有关规定在指定媒介上公告，并依照相关法律法规的规定更新本基金相关法律文件。</w:t>
      </w:r>
    </w:p>
    <w:p w14:paraId="44C0035B"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二、基金份额类别的限制</w:t>
      </w:r>
    </w:p>
    <w:p w14:paraId="154DA31C"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投资人可自行选择认(申)购的基金份额类别，不同基金份额类别之间不得互相转换，但符合本基金升降级规则的除外。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677"/>
        <w:gridCol w:w="2952"/>
      </w:tblGrid>
      <w:tr w:rsidR="00566744" w14:paraId="7C765F60" w14:textId="77777777">
        <w:tc>
          <w:tcPr>
            <w:tcW w:w="3227" w:type="dxa"/>
            <w:vAlign w:val="center"/>
          </w:tcPr>
          <w:p w14:paraId="5E7735F9" w14:textId="77777777" w:rsidR="00566744" w:rsidRDefault="00000000">
            <w:pPr>
              <w:spacing w:line="360" w:lineRule="auto"/>
              <w:jc w:val="center"/>
              <w:rPr>
                <w:rFonts w:ascii="宋体" w:hAnsi="宋体" w:hint="eastAsia"/>
                <w:color w:val="000000"/>
                <w:kern w:val="0"/>
                <w:sz w:val="24"/>
              </w:rPr>
            </w:pPr>
            <w:r>
              <w:rPr>
                <w:rFonts w:ascii="宋体" w:hAnsi="宋体" w:hint="eastAsia"/>
                <w:color w:val="000000"/>
                <w:kern w:val="0"/>
                <w:sz w:val="24"/>
              </w:rPr>
              <w:t>份额</w:t>
            </w:r>
            <w:r>
              <w:rPr>
                <w:rFonts w:ascii="宋体" w:hAnsi="宋体"/>
                <w:color w:val="000000"/>
                <w:kern w:val="0"/>
                <w:sz w:val="24"/>
              </w:rPr>
              <w:t>类别</w:t>
            </w:r>
          </w:p>
        </w:tc>
        <w:tc>
          <w:tcPr>
            <w:tcW w:w="2677" w:type="dxa"/>
            <w:vAlign w:val="center"/>
          </w:tcPr>
          <w:p w14:paraId="1E5E7244" w14:textId="77777777" w:rsidR="00566744" w:rsidRDefault="00000000">
            <w:pPr>
              <w:spacing w:line="360" w:lineRule="auto"/>
              <w:jc w:val="center"/>
              <w:rPr>
                <w:rFonts w:ascii="宋体" w:hAnsi="宋体" w:hint="eastAsia"/>
                <w:color w:val="000000"/>
                <w:kern w:val="0"/>
                <w:sz w:val="24"/>
              </w:rPr>
            </w:pPr>
            <w:r>
              <w:rPr>
                <w:rFonts w:ascii="宋体" w:hAnsi="宋体" w:hint="eastAsia"/>
                <w:color w:val="000000"/>
                <w:kern w:val="0"/>
                <w:sz w:val="24"/>
              </w:rPr>
              <w:t>A类</w:t>
            </w:r>
            <w:r>
              <w:rPr>
                <w:rFonts w:ascii="宋体" w:hAnsi="宋体"/>
                <w:color w:val="000000"/>
                <w:kern w:val="0"/>
                <w:sz w:val="24"/>
              </w:rPr>
              <w:t>基金份额</w:t>
            </w:r>
          </w:p>
        </w:tc>
        <w:tc>
          <w:tcPr>
            <w:tcW w:w="2952" w:type="dxa"/>
            <w:vAlign w:val="center"/>
          </w:tcPr>
          <w:p w14:paraId="28526841" w14:textId="77777777" w:rsidR="00566744" w:rsidRDefault="00000000">
            <w:pPr>
              <w:spacing w:line="360" w:lineRule="auto"/>
              <w:jc w:val="center"/>
              <w:rPr>
                <w:rFonts w:ascii="宋体" w:hAnsi="宋体" w:hint="eastAsia"/>
                <w:color w:val="000000"/>
                <w:kern w:val="0"/>
                <w:sz w:val="24"/>
              </w:rPr>
            </w:pPr>
            <w:r>
              <w:rPr>
                <w:rFonts w:ascii="宋体" w:hAnsi="宋体" w:hint="eastAsia"/>
                <w:color w:val="000000"/>
                <w:kern w:val="0"/>
                <w:sz w:val="24"/>
              </w:rPr>
              <w:t>B类</w:t>
            </w:r>
            <w:r>
              <w:rPr>
                <w:rFonts w:ascii="宋体" w:hAnsi="宋体"/>
                <w:color w:val="000000"/>
                <w:kern w:val="0"/>
                <w:sz w:val="24"/>
              </w:rPr>
              <w:t>基金份额</w:t>
            </w:r>
          </w:p>
        </w:tc>
      </w:tr>
      <w:tr w:rsidR="00566744" w14:paraId="4D857AEC" w14:textId="77777777">
        <w:tc>
          <w:tcPr>
            <w:tcW w:w="3227" w:type="dxa"/>
            <w:vAlign w:val="center"/>
          </w:tcPr>
          <w:p w14:paraId="6435D6F1" w14:textId="77777777" w:rsidR="00566744" w:rsidRDefault="00000000">
            <w:pPr>
              <w:spacing w:line="360" w:lineRule="auto"/>
              <w:jc w:val="center"/>
              <w:rPr>
                <w:rFonts w:ascii="宋体" w:hAnsi="宋体" w:hint="eastAsia"/>
                <w:color w:val="000000"/>
                <w:kern w:val="0"/>
                <w:sz w:val="24"/>
              </w:rPr>
            </w:pPr>
            <w:r>
              <w:rPr>
                <w:rFonts w:ascii="宋体" w:hAnsi="宋体" w:hint="eastAsia"/>
                <w:color w:val="000000"/>
                <w:kern w:val="0"/>
                <w:sz w:val="24"/>
              </w:rPr>
              <w:t>首次</w:t>
            </w:r>
            <w:r>
              <w:rPr>
                <w:rFonts w:ascii="宋体" w:hAnsi="宋体"/>
                <w:color w:val="000000"/>
                <w:kern w:val="0"/>
                <w:sz w:val="24"/>
              </w:rPr>
              <w:t>认</w:t>
            </w:r>
            <w:r>
              <w:rPr>
                <w:rFonts w:ascii="宋体" w:hAnsi="宋体" w:hint="eastAsia"/>
                <w:color w:val="000000"/>
                <w:kern w:val="0"/>
                <w:sz w:val="24"/>
              </w:rPr>
              <w:t>/申购</w:t>
            </w:r>
            <w:r>
              <w:rPr>
                <w:rFonts w:ascii="宋体" w:hAnsi="宋体"/>
                <w:color w:val="000000"/>
                <w:kern w:val="0"/>
                <w:sz w:val="24"/>
              </w:rPr>
              <w:t>最低金额</w:t>
            </w:r>
          </w:p>
        </w:tc>
        <w:tc>
          <w:tcPr>
            <w:tcW w:w="2677" w:type="dxa"/>
            <w:vAlign w:val="center"/>
          </w:tcPr>
          <w:p w14:paraId="0083B924" w14:textId="77777777" w:rsidR="00566744" w:rsidRDefault="00000000">
            <w:pPr>
              <w:spacing w:line="360" w:lineRule="auto"/>
              <w:jc w:val="center"/>
              <w:rPr>
                <w:rFonts w:ascii="宋体" w:hAnsi="宋体" w:hint="eastAsia"/>
                <w:color w:val="000000"/>
                <w:kern w:val="0"/>
                <w:sz w:val="24"/>
              </w:rPr>
            </w:pPr>
            <w:r>
              <w:rPr>
                <w:rFonts w:ascii="宋体" w:hAnsi="宋体" w:hint="eastAsia"/>
                <w:color w:val="000000"/>
                <w:kern w:val="0"/>
                <w:sz w:val="24"/>
              </w:rPr>
              <w:t>1元</w:t>
            </w:r>
          </w:p>
        </w:tc>
        <w:tc>
          <w:tcPr>
            <w:tcW w:w="2952" w:type="dxa"/>
            <w:vAlign w:val="center"/>
          </w:tcPr>
          <w:p w14:paraId="58624888" w14:textId="77777777" w:rsidR="00566744" w:rsidRDefault="00000000">
            <w:pPr>
              <w:spacing w:line="360" w:lineRule="auto"/>
              <w:jc w:val="center"/>
              <w:rPr>
                <w:rFonts w:ascii="宋体" w:hAnsi="宋体" w:hint="eastAsia"/>
                <w:color w:val="000000"/>
                <w:kern w:val="0"/>
                <w:sz w:val="24"/>
              </w:rPr>
            </w:pPr>
            <w:r>
              <w:rPr>
                <w:rFonts w:ascii="宋体" w:hAnsi="宋体" w:hint="eastAsia"/>
                <w:color w:val="000000"/>
                <w:kern w:val="0"/>
                <w:sz w:val="24"/>
              </w:rPr>
              <w:t>5，000,000元</w:t>
            </w:r>
          </w:p>
        </w:tc>
      </w:tr>
      <w:tr w:rsidR="00566744" w14:paraId="2BAE75C2" w14:textId="77777777">
        <w:tc>
          <w:tcPr>
            <w:tcW w:w="3227" w:type="dxa"/>
            <w:vAlign w:val="center"/>
          </w:tcPr>
          <w:p w14:paraId="14C99C29" w14:textId="77777777" w:rsidR="00566744" w:rsidRDefault="00000000">
            <w:pPr>
              <w:spacing w:line="360" w:lineRule="auto"/>
              <w:jc w:val="center"/>
              <w:rPr>
                <w:rFonts w:ascii="宋体" w:hAnsi="宋体" w:hint="eastAsia"/>
                <w:color w:val="000000"/>
                <w:kern w:val="0"/>
                <w:sz w:val="24"/>
              </w:rPr>
            </w:pPr>
            <w:r>
              <w:rPr>
                <w:rFonts w:ascii="宋体" w:hAnsi="宋体" w:hint="eastAsia"/>
                <w:color w:val="000000"/>
                <w:kern w:val="0"/>
                <w:sz w:val="24"/>
              </w:rPr>
              <w:t>基金账户</w:t>
            </w:r>
            <w:r>
              <w:rPr>
                <w:rFonts w:ascii="宋体" w:hAnsi="宋体"/>
                <w:color w:val="000000"/>
                <w:kern w:val="0"/>
                <w:sz w:val="24"/>
              </w:rPr>
              <w:t>最低基金份额余额</w:t>
            </w:r>
          </w:p>
        </w:tc>
        <w:tc>
          <w:tcPr>
            <w:tcW w:w="2677" w:type="dxa"/>
            <w:vAlign w:val="center"/>
          </w:tcPr>
          <w:p w14:paraId="15787E01" w14:textId="77777777" w:rsidR="00566744" w:rsidRDefault="00000000">
            <w:pPr>
              <w:spacing w:line="360" w:lineRule="auto"/>
              <w:jc w:val="center"/>
              <w:rPr>
                <w:rFonts w:ascii="宋体" w:hAnsi="宋体" w:hint="eastAsia"/>
                <w:color w:val="000000"/>
                <w:kern w:val="0"/>
                <w:sz w:val="24"/>
              </w:rPr>
            </w:pPr>
            <w:r>
              <w:rPr>
                <w:rFonts w:ascii="宋体" w:hAnsi="宋体" w:hint="eastAsia"/>
                <w:color w:val="000000"/>
                <w:kern w:val="0"/>
                <w:sz w:val="24"/>
              </w:rPr>
              <w:t>1份</w:t>
            </w:r>
          </w:p>
        </w:tc>
        <w:tc>
          <w:tcPr>
            <w:tcW w:w="2952" w:type="dxa"/>
            <w:vAlign w:val="center"/>
          </w:tcPr>
          <w:p w14:paraId="4A86AD2D" w14:textId="77777777" w:rsidR="00566744" w:rsidRDefault="00000000">
            <w:pPr>
              <w:spacing w:line="360" w:lineRule="auto"/>
              <w:jc w:val="center"/>
              <w:rPr>
                <w:rFonts w:ascii="宋体" w:hAnsi="宋体" w:hint="eastAsia"/>
                <w:color w:val="000000"/>
                <w:kern w:val="0"/>
                <w:sz w:val="24"/>
              </w:rPr>
            </w:pPr>
            <w:r>
              <w:rPr>
                <w:rFonts w:ascii="宋体" w:hAnsi="宋体" w:hint="eastAsia"/>
                <w:color w:val="000000"/>
                <w:kern w:val="0"/>
                <w:sz w:val="24"/>
              </w:rPr>
              <w:t>5,000,000份</w:t>
            </w:r>
          </w:p>
        </w:tc>
      </w:tr>
      <w:tr w:rsidR="00566744" w14:paraId="4B9C5865" w14:textId="77777777">
        <w:tc>
          <w:tcPr>
            <w:tcW w:w="3227" w:type="dxa"/>
            <w:vAlign w:val="center"/>
          </w:tcPr>
          <w:p w14:paraId="5EE86838" w14:textId="77777777" w:rsidR="00566744" w:rsidRDefault="00000000">
            <w:pPr>
              <w:spacing w:line="360" w:lineRule="auto"/>
              <w:jc w:val="center"/>
              <w:rPr>
                <w:rFonts w:ascii="宋体" w:hAnsi="宋体" w:hint="eastAsia"/>
                <w:color w:val="000000"/>
                <w:kern w:val="0"/>
                <w:sz w:val="24"/>
              </w:rPr>
            </w:pPr>
            <w:r>
              <w:rPr>
                <w:rFonts w:ascii="宋体" w:hAnsi="宋体" w:hint="eastAsia"/>
                <w:color w:val="000000"/>
                <w:kern w:val="0"/>
                <w:sz w:val="24"/>
              </w:rPr>
              <w:t>销售服务费</w:t>
            </w:r>
            <w:r>
              <w:rPr>
                <w:rFonts w:ascii="宋体" w:hAnsi="宋体"/>
                <w:color w:val="000000"/>
                <w:kern w:val="0"/>
                <w:sz w:val="24"/>
              </w:rPr>
              <w:t>（年费率）</w:t>
            </w:r>
          </w:p>
        </w:tc>
        <w:tc>
          <w:tcPr>
            <w:tcW w:w="2677" w:type="dxa"/>
            <w:vAlign w:val="center"/>
          </w:tcPr>
          <w:p w14:paraId="14F316E5" w14:textId="77777777" w:rsidR="00566744" w:rsidRDefault="00000000">
            <w:pPr>
              <w:spacing w:line="360" w:lineRule="auto"/>
              <w:jc w:val="center"/>
              <w:rPr>
                <w:rFonts w:ascii="宋体" w:hAnsi="宋体" w:hint="eastAsia"/>
                <w:color w:val="000000"/>
                <w:kern w:val="0"/>
                <w:sz w:val="24"/>
              </w:rPr>
            </w:pPr>
            <w:r>
              <w:rPr>
                <w:rFonts w:ascii="宋体" w:hAnsi="宋体" w:hint="eastAsia"/>
                <w:color w:val="000000"/>
                <w:kern w:val="0"/>
                <w:sz w:val="24"/>
              </w:rPr>
              <w:t>0.25</w:t>
            </w:r>
            <w:r>
              <w:rPr>
                <w:rFonts w:ascii="宋体" w:hAnsi="宋体"/>
                <w:color w:val="000000"/>
                <w:kern w:val="0"/>
                <w:sz w:val="24"/>
              </w:rPr>
              <w:t>%</w:t>
            </w:r>
          </w:p>
        </w:tc>
        <w:tc>
          <w:tcPr>
            <w:tcW w:w="2952" w:type="dxa"/>
            <w:vAlign w:val="center"/>
          </w:tcPr>
          <w:p w14:paraId="4CC20DE8" w14:textId="77777777" w:rsidR="00566744" w:rsidRDefault="00000000">
            <w:pPr>
              <w:spacing w:line="360" w:lineRule="auto"/>
              <w:jc w:val="center"/>
              <w:rPr>
                <w:rFonts w:ascii="宋体" w:hAnsi="宋体" w:hint="eastAsia"/>
                <w:color w:val="000000"/>
                <w:kern w:val="0"/>
                <w:sz w:val="24"/>
              </w:rPr>
            </w:pPr>
            <w:r>
              <w:rPr>
                <w:rFonts w:ascii="宋体" w:hAnsi="宋体" w:hint="eastAsia"/>
                <w:color w:val="000000"/>
                <w:kern w:val="0"/>
                <w:sz w:val="24"/>
              </w:rPr>
              <w:t>0.01</w:t>
            </w:r>
            <w:r>
              <w:rPr>
                <w:rFonts w:ascii="宋体" w:hAnsi="宋体"/>
                <w:color w:val="000000"/>
                <w:kern w:val="0"/>
                <w:sz w:val="24"/>
              </w:rPr>
              <w:t>%</w:t>
            </w:r>
          </w:p>
        </w:tc>
      </w:tr>
    </w:tbl>
    <w:p w14:paraId="47F7EFBC"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基金管理人可以与基金托管人协商一致并在履行相关程序后，调整认(申)</w:t>
      </w:r>
      <w:proofErr w:type="gramStart"/>
      <w:r>
        <w:rPr>
          <w:rFonts w:ascii="宋体" w:hAnsi="宋体" w:hint="eastAsia"/>
          <w:color w:val="000000"/>
          <w:kern w:val="0"/>
          <w:sz w:val="24"/>
        </w:rPr>
        <w:t>购各类</w:t>
      </w:r>
      <w:proofErr w:type="gramEnd"/>
      <w:r>
        <w:rPr>
          <w:rFonts w:ascii="宋体" w:hAnsi="宋体" w:hint="eastAsia"/>
          <w:color w:val="000000"/>
          <w:kern w:val="0"/>
          <w:sz w:val="24"/>
        </w:rPr>
        <w:t>基金份额的最低金额限制及规则，基金管理人必须至少在开始调整之日前2日至少在一家指定媒介和基金管理人互联网网站(以下简称“网站”)刊登公告。</w:t>
      </w:r>
    </w:p>
    <w:p w14:paraId="0DB4DF5C"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三、基金份额的自动升降级</w:t>
      </w:r>
    </w:p>
    <w:p w14:paraId="6EE97AA6"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（1）若A类基金份额持有人在单个基金账户保留的基金份额达到或超过500万份时，本基金自动将其在该基金账户持有的A类基金份额升级为B类基金份额。</w:t>
      </w:r>
    </w:p>
    <w:p w14:paraId="0E133548"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（2）若B类基金份额持有人在单个基金账户保留的基金份额低于500万份时，本基金自动将其在该基金账户持有的B类基金份额降级为A类基金份额。</w:t>
      </w:r>
    </w:p>
    <w:p w14:paraId="11EFD21E" w14:textId="77777777" w:rsidR="00566744" w:rsidRDefault="00000000">
      <w:pPr>
        <w:pStyle w:val="1"/>
        <w:spacing w:line="360" w:lineRule="auto"/>
        <w:jc w:val="center"/>
        <w:rPr>
          <w:rFonts w:ascii="宋体" w:hAnsi="宋体" w:hint="eastAsia"/>
          <w:color w:val="000000"/>
          <w:kern w:val="0"/>
          <w:sz w:val="24"/>
          <w:szCs w:val="24"/>
        </w:rPr>
      </w:pPr>
      <w:r>
        <w:br w:type="page"/>
      </w:r>
      <w:bookmarkStart w:id="50" w:name="_Toc78378588"/>
      <w:r>
        <w:rPr>
          <w:rFonts w:ascii="宋体" w:hAnsi="宋体" w:hint="eastAsia"/>
          <w:color w:val="000000"/>
          <w:kern w:val="0"/>
          <w:sz w:val="24"/>
          <w:szCs w:val="24"/>
        </w:rPr>
        <w:lastRenderedPageBreak/>
        <w:t>第八部分</w:t>
      </w:r>
      <w:r>
        <w:rPr>
          <w:rFonts w:ascii="宋体" w:hAnsi="宋体"/>
          <w:color w:val="000000"/>
          <w:kern w:val="0"/>
          <w:sz w:val="24"/>
          <w:szCs w:val="24"/>
        </w:rPr>
        <w:t xml:space="preserve">  </w:t>
      </w:r>
      <w:r>
        <w:rPr>
          <w:rFonts w:ascii="宋体" w:hAnsi="宋体" w:hint="eastAsia"/>
          <w:color w:val="000000"/>
          <w:kern w:val="0"/>
          <w:sz w:val="24"/>
          <w:szCs w:val="24"/>
        </w:rPr>
        <w:t>基金合同的生效</w:t>
      </w:r>
      <w:bookmarkEnd w:id="42"/>
      <w:bookmarkEnd w:id="43"/>
      <w:bookmarkEnd w:id="44"/>
      <w:bookmarkEnd w:id="45"/>
      <w:bookmarkEnd w:id="46"/>
      <w:bookmarkEnd w:id="47"/>
      <w:bookmarkEnd w:id="48"/>
      <w:bookmarkEnd w:id="50"/>
    </w:p>
    <w:p w14:paraId="385C7CE6" w14:textId="77777777" w:rsidR="00566744" w:rsidRDefault="00000000">
      <w:pPr>
        <w:spacing w:line="360" w:lineRule="auto"/>
        <w:ind w:firstLineChars="200" w:firstLine="480"/>
        <w:rPr>
          <w:rFonts w:ascii="宋体" w:hAnsi="宋体" w:hint="eastAsia"/>
          <w:color w:val="000000"/>
          <w:kern w:val="0"/>
          <w:sz w:val="24"/>
        </w:rPr>
      </w:pPr>
      <w:bookmarkStart w:id="51" w:name="_Toc15118260"/>
      <w:bookmarkStart w:id="52" w:name="_Toc79392603"/>
      <w:bookmarkStart w:id="53" w:name="_Toc57530272"/>
      <w:bookmarkStart w:id="54" w:name="_Toc88969251"/>
      <w:r>
        <w:rPr>
          <w:rFonts w:ascii="宋体" w:hAnsi="宋体" w:hint="eastAsia"/>
          <w:color w:val="000000"/>
          <w:kern w:val="0"/>
          <w:sz w:val="24"/>
        </w:rPr>
        <w:t>根据《基金法》、《运作办法》以及基金合同、招募说明书、基金份额发售公告的有关规定，本基金募集结果符合有关条件，本基金管理人于2016年12月26日向中国证监会办理完毕基金备案手续并已获书面确认，基金合同自该日期正式生效。自基金合同生效之日起，本基金管理人正式开始管理本基金。</w:t>
      </w:r>
    </w:p>
    <w:p w14:paraId="4F305FA4"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基金合同生效后，连续20个工作日出现基金份额持有人数量不满200人或者基金资产净值低于5000万元的，基金管理人应当在定期报告中予以披露；连续60个工作日出现前述情形的，基金管理人应当向中国证监会报告并提出解决方案，如转换运作方式、与其他基金合并或者终止基金合同等，并召开基金份额持有人大会进行表决。</w:t>
      </w:r>
    </w:p>
    <w:p w14:paraId="0DD1F97D"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法律法规另有规定时，从其规定。</w:t>
      </w:r>
    </w:p>
    <w:p w14:paraId="4B5CDAE5" w14:textId="77777777" w:rsidR="00566744" w:rsidRDefault="00566744">
      <w:pPr>
        <w:spacing w:line="360" w:lineRule="auto"/>
        <w:ind w:firstLineChars="200" w:firstLine="420"/>
        <w:rPr>
          <w:kern w:val="0"/>
        </w:rPr>
      </w:pPr>
      <w:bookmarkStart w:id="55" w:name="_Hlt88829107"/>
      <w:bookmarkStart w:id="56" w:name="_Hlt88821597"/>
      <w:bookmarkStart w:id="57" w:name="_Hlt88901063"/>
      <w:bookmarkStart w:id="58" w:name="_Toc240112314"/>
      <w:bookmarkStart w:id="59" w:name="_Toc256666797"/>
      <w:bookmarkStart w:id="60" w:name="_Toc256666917"/>
      <w:bookmarkEnd w:id="51"/>
      <w:bookmarkEnd w:id="52"/>
      <w:bookmarkEnd w:id="53"/>
      <w:bookmarkEnd w:id="54"/>
      <w:bookmarkEnd w:id="55"/>
      <w:bookmarkEnd w:id="56"/>
      <w:bookmarkEnd w:id="57"/>
    </w:p>
    <w:bookmarkEnd w:id="58"/>
    <w:p w14:paraId="44465CA8" w14:textId="77777777" w:rsidR="00566744" w:rsidRDefault="00566744">
      <w:pPr>
        <w:pStyle w:val="1"/>
        <w:spacing w:beforeLines="50" w:before="120" w:afterLines="50" w:after="120" w:line="360" w:lineRule="auto"/>
        <w:ind w:firstLine="420"/>
        <w:rPr>
          <w:rFonts w:ascii="宋体" w:hAnsi="宋体" w:hint="eastAsia"/>
          <w:color w:val="000000"/>
          <w:kern w:val="0"/>
          <w:sz w:val="24"/>
          <w:szCs w:val="24"/>
        </w:rPr>
        <w:sectPr w:rsidR="00566744">
          <w:pgSz w:w="12240" w:h="15840"/>
          <w:pgMar w:top="1440" w:right="1800" w:bottom="1440" w:left="1800" w:header="720" w:footer="720" w:gutter="0"/>
          <w:cols w:space="720"/>
          <w:docGrid w:linePitch="286"/>
        </w:sectPr>
      </w:pPr>
    </w:p>
    <w:p w14:paraId="5A5D6E39" w14:textId="77777777" w:rsidR="00566744" w:rsidRDefault="00000000">
      <w:pPr>
        <w:pStyle w:val="1"/>
        <w:spacing w:line="360" w:lineRule="auto"/>
        <w:jc w:val="center"/>
        <w:rPr>
          <w:rFonts w:ascii="宋体" w:hAnsi="宋体" w:hint="eastAsia"/>
          <w:color w:val="000000"/>
          <w:kern w:val="0"/>
          <w:sz w:val="24"/>
          <w:szCs w:val="24"/>
        </w:rPr>
      </w:pPr>
      <w:bookmarkStart w:id="61" w:name="_Toc78378589"/>
      <w:bookmarkStart w:id="62" w:name="_Toc482624798"/>
      <w:bookmarkStart w:id="63" w:name="_Toc23324"/>
      <w:bookmarkStart w:id="64" w:name="_Toc88969266"/>
      <w:bookmarkStart w:id="65" w:name="_Toc55791176"/>
      <w:bookmarkStart w:id="66" w:name="_Toc256666798"/>
      <w:bookmarkStart w:id="67" w:name="_Toc256666918"/>
      <w:bookmarkEnd w:id="59"/>
      <w:bookmarkEnd w:id="60"/>
      <w:r>
        <w:rPr>
          <w:rFonts w:ascii="宋体" w:hAnsi="宋体" w:hint="eastAsia"/>
          <w:color w:val="000000"/>
          <w:kern w:val="0"/>
          <w:sz w:val="24"/>
          <w:szCs w:val="24"/>
        </w:rPr>
        <w:lastRenderedPageBreak/>
        <w:t>第九部分  基金份额的申购与赎回</w:t>
      </w:r>
      <w:bookmarkEnd w:id="61"/>
    </w:p>
    <w:p w14:paraId="4D5A6EB4" w14:textId="77777777" w:rsidR="00566744" w:rsidRDefault="00000000">
      <w:pPr>
        <w:spacing w:line="360" w:lineRule="auto"/>
        <w:ind w:firstLineChars="200" w:firstLine="480"/>
        <w:rPr>
          <w:rFonts w:ascii="宋体" w:hAnsi="宋体" w:hint="eastAsia"/>
          <w:color w:val="000000"/>
          <w:kern w:val="0"/>
          <w:sz w:val="24"/>
        </w:rPr>
      </w:pPr>
      <w:r>
        <w:rPr>
          <w:rFonts w:ascii="宋体" w:hAnsi="宋体"/>
          <w:color w:val="000000"/>
          <w:kern w:val="0"/>
          <w:sz w:val="24"/>
        </w:rPr>
        <w:t>（</w:t>
      </w:r>
      <w:r>
        <w:rPr>
          <w:rFonts w:ascii="宋体" w:hAnsi="宋体" w:hint="eastAsia"/>
          <w:color w:val="000000"/>
          <w:kern w:val="0"/>
          <w:sz w:val="24"/>
        </w:rPr>
        <w:t>一</w:t>
      </w:r>
      <w:r>
        <w:rPr>
          <w:rFonts w:ascii="宋体" w:hAnsi="宋体"/>
          <w:color w:val="000000"/>
          <w:kern w:val="0"/>
          <w:sz w:val="24"/>
        </w:rPr>
        <w:t xml:space="preserve">） </w:t>
      </w:r>
      <w:r>
        <w:rPr>
          <w:rFonts w:ascii="宋体" w:hAnsi="宋体" w:hint="eastAsia"/>
          <w:color w:val="000000"/>
          <w:kern w:val="0"/>
          <w:sz w:val="24"/>
        </w:rPr>
        <w:t>申购与赎回场所</w:t>
      </w:r>
    </w:p>
    <w:p w14:paraId="2155BBBF" w14:textId="77777777" w:rsidR="00566744" w:rsidRDefault="00000000">
      <w:pPr>
        <w:spacing w:line="360" w:lineRule="auto"/>
        <w:ind w:firstLineChars="200" w:firstLine="480"/>
        <w:rPr>
          <w:bCs/>
          <w:sz w:val="24"/>
        </w:rPr>
      </w:pPr>
      <w:r>
        <w:rPr>
          <w:rFonts w:ascii="宋体" w:hAnsi="宋体" w:hint="eastAsia"/>
          <w:color w:val="000000"/>
          <w:kern w:val="0"/>
          <w:sz w:val="24"/>
        </w:rPr>
        <w:t>本基金的申购与赎回将通过销售机构进行。具体的销售网点将由基金管理人在相关公告中列明。基金管理人可根据情况变更或增减销售机构，</w:t>
      </w:r>
      <w:r>
        <w:rPr>
          <w:rFonts w:hint="eastAsia"/>
          <w:bCs/>
          <w:sz w:val="24"/>
        </w:rPr>
        <w:t>并在管理人网站公示</w:t>
      </w:r>
      <w:r>
        <w:rPr>
          <w:rFonts w:ascii="宋体" w:hAnsi="宋体" w:hint="eastAsia"/>
          <w:color w:val="000000"/>
          <w:kern w:val="0"/>
          <w:sz w:val="24"/>
        </w:rPr>
        <w:t>。</w:t>
      </w:r>
      <w:r>
        <w:rPr>
          <w:bCs/>
          <w:sz w:val="24"/>
        </w:rPr>
        <w:t>基金投资</w:t>
      </w:r>
      <w:r>
        <w:rPr>
          <w:rFonts w:hint="eastAsia"/>
          <w:bCs/>
          <w:sz w:val="24"/>
        </w:rPr>
        <w:t>人</w:t>
      </w:r>
      <w:r>
        <w:rPr>
          <w:bCs/>
          <w:sz w:val="24"/>
        </w:rPr>
        <w:t>应当</w:t>
      </w:r>
      <w:r>
        <w:rPr>
          <w:rFonts w:hint="eastAsia"/>
          <w:bCs/>
          <w:sz w:val="24"/>
        </w:rPr>
        <w:t>在</w:t>
      </w:r>
      <w:r>
        <w:rPr>
          <w:bCs/>
          <w:sz w:val="24"/>
        </w:rPr>
        <w:t>销售机构办理基金销售业务的营业场所或按销售机构提供的其他方式办理基金份额的申购与赎回。</w:t>
      </w:r>
    </w:p>
    <w:p w14:paraId="71104562" w14:textId="77777777" w:rsidR="00566744" w:rsidRDefault="00000000">
      <w:pPr>
        <w:spacing w:line="360" w:lineRule="auto"/>
        <w:ind w:firstLineChars="200" w:firstLine="480"/>
        <w:rPr>
          <w:rFonts w:ascii="宋体" w:hAnsi="宋体" w:hint="eastAsia"/>
          <w:color w:val="000000"/>
          <w:kern w:val="0"/>
          <w:sz w:val="24"/>
        </w:rPr>
      </w:pPr>
      <w:proofErr w:type="gramStart"/>
      <w:r>
        <w:rPr>
          <w:rFonts w:ascii="宋体" w:hAnsi="宋体" w:hint="eastAsia"/>
          <w:color w:val="000000"/>
          <w:kern w:val="0"/>
          <w:sz w:val="24"/>
        </w:rPr>
        <w:t>若基金</w:t>
      </w:r>
      <w:proofErr w:type="gramEnd"/>
      <w:r>
        <w:rPr>
          <w:rFonts w:ascii="宋体" w:hAnsi="宋体" w:hint="eastAsia"/>
          <w:color w:val="000000"/>
          <w:kern w:val="0"/>
          <w:sz w:val="24"/>
        </w:rPr>
        <w:t>管理人或其指定的销售机构开通电话、传真或网上等交易方式，投资人可以通过上述方式进行申购与赎回，具体办法由基金管理人另行公告。</w:t>
      </w:r>
    </w:p>
    <w:p w14:paraId="1842A6E2"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（二）申购与赎回的开放日及时间</w:t>
      </w:r>
    </w:p>
    <w:p w14:paraId="5008DD54" w14:textId="77777777" w:rsidR="00566744" w:rsidRDefault="00000000">
      <w:pPr>
        <w:spacing w:line="360" w:lineRule="auto"/>
        <w:ind w:firstLineChars="200" w:firstLine="480"/>
        <w:rPr>
          <w:rFonts w:ascii="宋体" w:hAnsi="宋体" w:hint="eastAsia"/>
          <w:color w:val="000000"/>
          <w:kern w:val="0"/>
          <w:sz w:val="24"/>
        </w:rPr>
      </w:pPr>
      <w:r>
        <w:rPr>
          <w:rFonts w:ascii="宋体" w:hAnsi="宋体"/>
          <w:color w:val="000000"/>
          <w:kern w:val="0"/>
          <w:sz w:val="24"/>
        </w:rPr>
        <w:t>1、</w:t>
      </w:r>
      <w:r>
        <w:rPr>
          <w:rFonts w:ascii="宋体" w:hAnsi="宋体" w:hint="eastAsia"/>
          <w:color w:val="000000"/>
          <w:kern w:val="0"/>
          <w:sz w:val="24"/>
        </w:rPr>
        <w:t>开放日及开放时间</w:t>
      </w:r>
    </w:p>
    <w:p w14:paraId="7F1FC650" w14:textId="77777777" w:rsidR="00566744" w:rsidRDefault="00000000">
      <w:pPr>
        <w:spacing w:line="360" w:lineRule="auto"/>
        <w:ind w:firstLineChars="200" w:firstLine="480"/>
        <w:rPr>
          <w:rFonts w:ascii="宋体" w:hAnsi="宋体" w:hint="eastAsia"/>
          <w:color w:val="000000"/>
          <w:kern w:val="0"/>
          <w:sz w:val="24"/>
        </w:rPr>
      </w:pPr>
      <w:r>
        <w:rPr>
          <w:rFonts w:ascii="宋体" w:hAnsi="宋体"/>
          <w:bCs/>
          <w:sz w:val="24"/>
        </w:rPr>
        <w:t>投资人在开放日办理基金份额的申购和赎回，具体办理时间为上海证券交易所、深圳证券交易所的正常交易日的交易时间</w:t>
      </w:r>
      <w:r>
        <w:rPr>
          <w:rFonts w:ascii="宋体" w:hAnsi="宋体" w:hint="eastAsia"/>
          <w:bCs/>
          <w:sz w:val="24"/>
        </w:rPr>
        <w:t>。</w:t>
      </w:r>
      <w:r>
        <w:rPr>
          <w:rFonts w:ascii="宋体" w:hAnsi="宋体" w:hint="eastAsia"/>
          <w:color w:val="000000"/>
          <w:kern w:val="0"/>
          <w:sz w:val="24"/>
        </w:rPr>
        <w:t>但基金管理人根据法律法规、中国证监会的要求或基金合同的规定公告暂停申购、赎回时除外。具体业务办理时间以销售机构公布的时间为准。</w:t>
      </w:r>
    </w:p>
    <w:p w14:paraId="0107F35C"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基金合同生效后，若出现新的证券交易市场、证券交易所交易时间变更或其他特殊情况，基金管理人将视情况对前述开放日及开放时间进行相应的调整，但应</w:t>
      </w:r>
      <w:r>
        <w:rPr>
          <w:rFonts w:ascii="宋体" w:hAnsi="宋体"/>
          <w:bCs/>
          <w:sz w:val="24"/>
        </w:rPr>
        <w:t>在实施日前依照《信息披露办法》的有关规定在指定媒介上</w:t>
      </w:r>
      <w:r>
        <w:rPr>
          <w:rFonts w:ascii="宋体" w:hAnsi="宋体" w:hint="eastAsia"/>
          <w:color w:val="000000"/>
          <w:kern w:val="0"/>
          <w:sz w:val="24"/>
        </w:rPr>
        <w:t>公告。</w:t>
      </w:r>
    </w:p>
    <w:p w14:paraId="290FD37C" w14:textId="77777777" w:rsidR="00566744" w:rsidRDefault="00000000">
      <w:pPr>
        <w:spacing w:line="360" w:lineRule="auto"/>
        <w:ind w:firstLineChars="200" w:firstLine="480"/>
        <w:rPr>
          <w:rFonts w:ascii="宋体" w:hAnsi="宋体" w:hint="eastAsia"/>
          <w:color w:val="000000"/>
          <w:kern w:val="0"/>
          <w:sz w:val="24"/>
        </w:rPr>
      </w:pPr>
      <w:r>
        <w:rPr>
          <w:rFonts w:ascii="宋体" w:hAnsi="宋体"/>
          <w:color w:val="000000"/>
          <w:kern w:val="0"/>
          <w:sz w:val="24"/>
        </w:rPr>
        <w:t>2、</w:t>
      </w:r>
      <w:r>
        <w:rPr>
          <w:rFonts w:ascii="宋体" w:hAnsi="宋体" w:hint="eastAsia"/>
          <w:color w:val="000000"/>
          <w:kern w:val="0"/>
          <w:sz w:val="24"/>
        </w:rPr>
        <w:t>申购、赎回开始日及业务办理时间</w:t>
      </w:r>
    </w:p>
    <w:p w14:paraId="5F310554"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本基金已于2017年1月5日开始办理申购、赎回业务。</w:t>
      </w:r>
    </w:p>
    <w:p w14:paraId="76A63F37" w14:textId="77777777" w:rsidR="00566744" w:rsidRDefault="00000000">
      <w:pPr>
        <w:spacing w:line="360" w:lineRule="auto"/>
        <w:ind w:firstLineChars="200" w:firstLine="480"/>
        <w:rPr>
          <w:rFonts w:ascii="宋体" w:hAnsi="宋体" w:hint="eastAsia"/>
          <w:color w:val="000000"/>
          <w:kern w:val="0"/>
          <w:sz w:val="24"/>
        </w:rPr>
      </w:pPr>
      <w:r>
        <w:rPr>
          <w:rFonts w:ascii="宋体" w:hAnsi="宋体"/>
          <w:color w:val="000000"/>
          <w:kern w:val="0"/>
          <w:sz w:val="24"/>
        </w:rPr>
        <w:t>基金管理人不得在基金合同约定之外的日期或者时间办理基金份额的申购、赎回或者转换。投资</w:t>
      </w:r>
      <w:r>
        <w:rPr>
          <w:rFonts w:ascii="宋体" w:hAnsi="宋体" w:hint="eastAsia"/>
          <w:color w:val="000000"/>
          <w:kern w:val="0"/>
          <w:sz w:val="24"/>
        </w:rPr>
        <w:t>人</w:t>
      </w:r>
      <w:r>
        <w:rPr>
          <w:rFonts w:ascii="宋体" w:hAnsi="宋体"/>
          <w:color w:val="000000"/>
          <w:kern w:val="0"/>
          <w:sz w:val="24"/>
        </w:rPr>
        <w:t>在基金合同约定之外的日期和时间提出申购、赎回或转换申请</w:t>
      </w:r>
      <w:proofErr w:type="gramStart"/>
      <w:r>
        <w:rPr>
          <w:rFonts w:ascii="宋体" w:hAnsi="宋体" w:hint="eastAsia"/>
          <w:color w:val="000000"/>
          <w:kern w:val="0"/>
          <w:sz w:val="24"/>
        </w:rPr>
        <w:t>且登记</w:t>
      </w:r>
      <w:proofErr w:type="gramEnd"/>
      <w:r>
        <w:rPr>
          <w:rFonts w:ascii="宋体" w:hAnsi="宋体" w:hint="eastAsia"/>
          <w:color w:val="000000"/>
          <w:kern w:val="0"/>
          <w:sz w:val="24"/>
        </w:rPr>
        <w:t>机构确认接受</w:t>
      </w:r>
      <w:r>
        <w:rPr>
          <w:rFonts w:ascii="宋体" w:hAnsi="宋体"/>
          <w:color w:val="000000"/>
          <w:kern w:val="0"/>
          <w:sz w:val="24"/>
        </w:rPr>
        <w:t>的，</w:t>
      </w:r>
      <w:r>
        <w:rPr>
          <w:rFonts w:ascii="宋体" w:hAnsi="宋体" w:hint="eastAsia"/>
          <w:color w:val="000000"/>
          <w:kern w:val="0"/>
          <w:sz w:val="24"/>
        </w:rPr>
        <w:t>视为下一开放日的申购、赎回或转换申请</w:t>
      </w:r>
      <w:r>
        <w:rPr>
          <w:rFonts w:ascii="宋体" w:hAnsi="宋体"/>
          <w:color w:val="000000"/>
          <w:kern w:val="0"/>
          <w:sz w:val="24"/>
        </w:rPr>
        <w:t>。</w:t>
      </w:r>
    </w:p>
    <w:p w14:paraId="62D42574"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（三）申购与赎回的原则</w:t>
      </w:r>
    </w:p>
    <w:p w14:paraId="7FADB25F"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1、“确定价”原则，即申购、赎回价格以</w:t>
      </w:r>
      <w:r>
        <w:rPr>
          <w:rFonts w:ascii="宋体" w:hAnsi="宋体"/>
          <w:color w:val="000000"/>
          <w:kern w:val="0"/>
          <w:sz w:val="24"/>
        </w:rPr>
        <w:t>每份基金份额净值</w:t>
      </w:r>
      <w:r>
        <w:rPr>
          <w:rFonts w:ascii="宋体" w:hAnsi="宋体" w:hint="eastAsia"/>
          <w:color w:val="000000"/>
          <w:kern w:val="0"/>
          <w:sz w:val="24"/>
        </w:rPr>
        <w:t>为1.00元的</w:t>
      </w:r>
      <w:r>
        <w:rPr>
          <w:rFonts w:ascii="宋体" w:hAnsi="宋体"/>
          <w:color w:val="000000"/>
          <w:kern w:val="0"/>
          <w:sz w:val="24"/>
        </w:rPr>
        <w:t>基准进行计算</w:t>
      </w:r>
      <w:r>
        <w:rPr>
          <w:rFonts w:ascii="宋体" w:hAnsi="宋体" w:hint="eastAsia"/>
          <w:color w:val="000000"/>
          <w:kern w:val="0"/>
          <w:sz w:val="24"/>
        </w:rPr>
        <w:t>；</w:t>
      </w:r>
    </w:p>
    <w:p w14:paraId="45A0E18B"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2、“金额申购、份额赎回”原则，即申购以金额申请，赎回以份额申请；</w:t>
      </w:r>
    </w:p>
    <w:p w14:paraId="47F9753A"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lastRenderedPageBreak/>
        <w:t>3、</w:t>
      </w:r>
      <w:r>
        <w:rPr>
          <w:rFonts w:ascii="宋体" w:hAnsi="宋体"/>
          <w:bCs/>
          <w:color w:val="000000"/>
          <w:kern w:val="0"/>
          <w:sz w:val="24"/>
        </w:rPr>
        <w:t>赎回遵循“先进先出”原则，即按照投资人认购、申购的先后次序进行顺序赎回；</w:t>
      </w:r>
    </w:p>
    <w:p w14:paraId="481302D8"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4、当日的申购与赎回申请可以在管理人规定</w:t>
      </w:r>
      <w:r>
        <w:rPr>
          <w:rFonts w:ascii="宋体" w:hAnsi="宋体"/>
          <w:color w:val="000000"/>
          <w:kern w:val="0"/>
          <w:sz w:val="24"/>
        </w:rPr>
        <w:t>的时间</w:t>
      </w:r>
      <w:r>
        <w:rPr>
          <w:rFonts w:ascii="宋体" w:hAnsi="宋体" w:hint="eastAsia"/>
          <w:color w:val="000000"/>
          <w:kern w:val="0"/>
          <w:sz w:val="24"/>
        </w:rPr>
        <w:t>以内</w:t>
      </w:r>
      <w:r>
        <w:rPr>
          <w:rFonts w:ascii="宋体" w:hAnsi="宋体"/>
          <w:color w:val="000000"/>
          <w:kern w:val="0"/>
          <w:sz w:val="24"/>
        </w:rPr>
        <w:t>撤销</w:t>
      </w:r>
      <w:r>
        <w:rPr>
          <w:rFonts w:ascii="宋体" w:hAnsi="宋体" w:hint="eastAsia"/>
          <w:color w:val="000000"/>
          <w:kern w:val="0"/>
          <w:sz w:val="24"/>
        </w:rPr>
        <w:t>；</w:t>
      </w:r>
    </w:p>
    <w:p w14:paraId="1C60EAF8" w14:textId="77777777" w:rsidR="00566744" w:rsidRDefault="00000000">
      <w:pPr>
        <w:spacing w:line="360" w:lineRule="auto"/>
        <w:ind w:firstLineChars="200" w:firstLine="480"/>
        <w:rPr>
          <w:rFonts w:ascii="宋体" w:hAnsi="宋体" w:hint="eastAsia"/>
          <w:color w:val="000000"/>
          <w:kern w:val="0"/>
          <w:sz w:val="24"/>
        </w:rPr>
      </w:pPr>
      <w:r>
        <w:rPr>
          <w:rFonts w:ascii="宋体" w:hAnsi="宋体"/>
          <w:color w:val="000000"/>
          <w:kern w:val="0"/>
          <w:sz w:val="24"/>
        </w:rPr>
        <w:t>5</w:t>
      </w:r>
      <w:r>
        <w:rPr>
          <w:rFonts w:ascii="宋体" w:hAnsi="宋体" w:hint="eastAsia"/>
          <w:color w:val="000000"/>
          <w:kern w:val="0"/>
          <w:sz w:val="24"/>
        </w:rPr>
        <w:t>、</w:t>
      </w:r>
      <w:r>
        <w:rPr>
          <w:rFonts w:ascii="宋体" w:hAnsi="宋体"/>
          <w:color w:val="000000"/>
          <w:kern w:val="0"/>
          <w:sz w:val="24"/>
        </w:rPr>
        <w:t>基金管理人有权决定本基金的总规模限额</w:t>
      </w:r>
      <w:r>
        <w:rPr>
          <w:rFonts w:ascii="宋体" w:hAnsi="宋体" w:hint="eastAsia"/>
          <w:color w:val="000000"/>
          <w:kern w:val="0"/>
          <w:sz w:val="24"/>
        </w:rPr>
        <w:t>，</w:t>
      </w:r>
      <w:r>
        <w:rPr>
          <w:rFonts w:ascii="宋体" w:hAnsi="宋体"/>
          <w:color w:val="000000"/>
          <w:kern w:val="0"/>
          <w:sz w:val="24"/>
        </w:rPr>
        <w:t>但应最迟在新的限额实施前依照《</w:t>
      </w:r>
      <w:r>
        <w:rPr>
          <w:rFonts w:ascii="宋体" w:hAnsi="宋体" w:hint="eastAsia"/>
          <w:color w:val="000000"/>
          <w:kern w:val="0"/>
          <w:sz w:val="24"/>
        </w:rPr>
        <w:t>信息</w:t>
      </w:r>
      <w:r>
        <w:rPr>
          <w:rFonts w:ascii="宋体" w:hAnsi="宋体"/>
          <w:color w:val="000000"/>
          <w:kern w:val="0"/>
          <w:sz w:val="24"/>
        </w:rPr>
        <w:t>披露办法》</w:t>
      </w:r>
      <w:r>
        <w:rPr>
          <w:rFonts w:ascii="宋体" w:hAnsi="宋体" w:hint="eastAsia"/>
          <w:color w:val="000000"/>
          <w:kern w:val="0"/>
          <w:sz w:val="24"/>
        </w:rPr>
        <w:t>的</w:t>
      </w:r>
      <w:r>
        <w:rPr>
          <w:rFonts w:ascii="宋体" w:hAnsi="宋体"/>
          <w:color w:val="000000"/>
          <w:kern w:val="0"/>
          <w:sz w:val="24"/>
        </w:rPr>
        <w:t>有关规定在制定</w:t>
      </w:r>
      <w:r>
        <w:rPr>
          <w:rFonts w:ascii="宋体" w:hAnsi="宋体" w:hint="eastAsia"/>
          <w:color w:val="000000"/>
          <w:kern w:val="0"/>
          <w:sz w:val="24"/>
        </w:rPr>
        <w:t>媒介</w:t>
      </w:r>
      <w:r>
        <w:rPr>
          <w:rFonts w:ascii="宋体" w:hAnsi="宋体"/>
          <w:color w:val="000000"/>
          <w:kern w:val="0"/>
          <w:sz w:val="24"/>
        </w:rPr>
        <w:t>上公告</w:t>
      </w:r>
      <w:r>
        <w:rPr>
          <w:rFonts w:ascii="宋体" w:hAnsi="宋体" w:hint="eastAsia"/>
          <w:color w:val="000000"/>
          <w:kern w:val="0"/>
          <w:sz w:val="24"/>
        </w:rPr>
        <w:t>。</w:t>
      </w:r>
    </w:p>
    <w:p w14:paraId="4D22DF0B" w14:textId="77777777" w:rsidR="00566744" w:rsidRDefault="00000000">
      <w:pPr>
        <w:spacing w:line="360" w:lineRule="auto"/>
        <w:ind w:firstLineChars="200" w:firstLine="480"/>
        <w:rPr>
          <w:rFonts w:ascii="宋体" w:hAnsi="宋体" w:hint="eastAsia"/>
          <w:color w:val="000000"/>
          <w:kern w:val="0"/>
          <w:sz w:val="24"/>
        </w:rPr>
      </w:pPr>
      <w:r>
        <w:rPr>
          <w:bCs/>
          <w:sz w:val="24"/>
        </w:rPr>
        <w:t>基金管理人可在法律法规允许的情况下，对上述原则进行调整。基金管理人必须在新规则开始实施前依照《信息披露办法》</w:t>
      </w:r>
      <w:r>
        <w:rPr>
          <w:rFonts w:hint="eastAsia"/>
          <w:bCs/>
          <w:sz w:val="24"/>
        </w:rPr>
        <w:t>的有关规定进行公告</w:t>
      </w:r>
      <w:r>
        <w:rPr>
          <w:bCs/>
          <w:sz w:val="24"/>
        </w:rPr>
        <w:t>。</w:t>
      </w:r>
    </w:p>
    <w:p w14:paraId="4DD3969E"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（四）申购与赎回的程序</w:t>
      </w:r>
    </w:p>
    <w:p w14:paraId="4945FB46"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1、申购和赎回的申请方式</w:t>
      </w:r>
    </w:p>
    <w:p w14:paraId="1CC57809"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投资人必须根据销售机构规定的程序，在开放日的具体业务办理时间内提出申购或赎回的申请。</w:t>
      </w:r>
    </w:p>
    <w:p w14:paraId="5E9AAF4F"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2、申购和赎回的款项支付</w:t>
      </w:r>
    </w:p>
    <w:p w14:paraId="6F4452D2" w14:textId="77777777" w:rsidR="00566744" w:rsidRDefault="00000000">
      <w:pPr>
        <w:spacing w:line="360" w:lineRule="auto"/>
        <w:ind w:firstLineChars="200" w:firstLine="480"/>
        <w:rPr>
          <w:rFonts w:ascii="宋体" w:hAnsi="宋体" w:hint="eastAsia"/>
          <w:color w:val="000000"/>
          <w:kern w:val="0"/>
          <w:sz w:val="24"/>
          <w:lang w:val="zh-CN"/>
        </w:rPr>
      </w:pPr>
      <w:r>
        <w:rPr>
          <w:rFonts w:ascii="宋体" w:hAnsi="宋体" w:hint="eastAsia"/>
          <w:color w:val="000000"/>
          <w:kern w:val="0"/>
          <w:sz w:val="24"/>
          <w:lang w:val="zh-CN"/>
        </w:rPr>
        <w:t>投资人申购基金份额时，必须全额交付申购款项，投资人交付申购款项，申购成立；</w:t>
      </w:r>
      <w:r>
        <w:rPr>
          <w:rFonts w:ascii="宋体" w:hAnsi="宋体"/>
          <w:color w:val="000000"/>
          <w:kern w:val="0"/>
          <w:sz w:val="24"/>
          <w:lang w:val="zh-CN"/>
        </w:rPr>
        <w:t>登记机构确认基金份额时，申购生效</w:t>
      </w:r>
      <w:r>
        <w:rPr>
          <w:rFonts w:ascii="宋体" w:hAnsi="宋体" w:hint="eastAsia"/>
          <w:color w:val="000000"/>
          <w:kern w:val="0"/>
          <w:sz w:val="24"/>
          <w:lang w:val="zh-CN"/>
        </w:rPr>
        <w:t>。</w:t>
      </w:r>
    </w:p>
    <w:p w14:paraId="2B2A3C6C"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基金份额持有人递交赎回申请，赎回成立；登记机构确认赎回时，赎回生效。基金份额持有人赎回申请成功后，基金管理人将在T＋</w:t>
      </w:r>
      <w:r>
        <w:rPr>
          <w:rFonts w:ascii="宋体" w:hAnsi="宋体"/>
          <w:color w:val="000000"/>
          <w:kern w:val="0"/>
          <w:sz w:val="24"/>
        </w:rPr>
        <w:t>3</w:t>
      </w:r>
      <w:r>
        <w:rPr>
          <w:rFonts w:ascii="宋体" w:hAnsi="宋体" w:hint="eastAsia"/>
          <w:color w:val="000000"/>
          <w:kern w:val="0"/>
          <w:sz w:val="24"/>
        </w:rPr>
        <w:t>日(包括该日)内支付赎回款项。遇证券交易所或交易市场数据传输延迟、通讯系统故障、银行数据交换系统故障或其它</w:t>
      </w:r>
      <w:proofErr w:type="gramStart"/>
      <w:r>
        <w:rPr>
          <w:rFonts w:ascii="宋体" w:hAnsi="宋体" w:hint="eastAsia"/>
          <w:color w:val="000000"/>
          <w:kern w:val="0"/>
          <w:sz w:val="24"/>
        </w:rPr>
        <w:t>非基金</w:t>
      </w:r>
      <w:proofErr w:type="gramEnd"/>
      <w:r>
        <w:rPr>
          <w:rFonts w:ascii="宋体" w:hAnsi="宋体" w:hint="eastAsia"/>
          <w:color w:val="000000"/>
          <w:kern w:val="0"/>
          <w:sz w:val="24"/>
        </w:rPr>
        <w:t>管理人及基金托管人所能控制的因素影响业务处理流程，则</w:t>
      </w:r>
      <w:proofErr w:type="gramStart"/>
      <w:r>
        <w:rPr>
          <w:rFonts w:ascii="宋体" w:hAnsi="宋体" w:hint="eastAsia"/>
          <w:color w:val="000000"/>
          <w:kern w:val="0"/>
          <w:sz w:val="24"/>
        </w:rPr>
        <w:t>赎回款</w:t>
      </w:r>
      <w:proofErr w:type="gramEnd"/>
      <w:r>
        <w:rPr>
          <w:rFonts w:ascii="宋体" w:hAnsi="宋体" w:hint="eastAsia"/>
          <w:color w:val="000000"/>
          <w:kern w:val="0"/>
          <w:sz w:val="24"/>
        </w:rPr>
        <w:t>在该等故障消除后及时</w:t>
      </w:r>
      <w:proofErr w:type="gramStart"/>
      <w:r>
        <w:rPr>
          <w:rFonts w:ascii="宋体" w:hAnsi="宋体" w:hint="eastAsia"/>
          <w:color w:val="000000"/>
          <w:kern w:val="0"/>
          <w:sz w:val="24"/>
        </w:rPr>
        <w:t>划往基金</w:t>
      </w:r>
      <w:proofErr w:type="gramEnd"/>
      <w:r>
        <w:rPr>
          <w:rFonts w:ascii="宋体" w:hAnsi="宋体" w:hint="eastAsia"/>
          <w:color w:val="000000"/>
          <w:kern w:val="0"/>
          <w:sz w:val="24"/>
        </w:rPr>
        <w:t>份额持有人银行账户。在发生巨额赎回时，款项的支付办法参照基金合同有关条款处理。</w:t>
      </w:r>
    </w:p>
    <w:p w14:paraId="0E5CD813"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3、申购和赎回申请的确认</w:t>
      </w:r>
    </w:p>
    <w:p w14:paraId="1ADA0667"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基金管理人应以交易时间结束前受理有效申购和赎回申请的当天作为申购或赎回申请日(T日)，在正常情况下，本基金登记机构在T+1日内对该交易的有效性进行确认。T日提交的有效申请，投资人应在T+2日后(包括该日)及时到销售网点柜台或以销售机构规定的其他方式查询申请的确认情况。若申购不成功或无效，则申购款项本金退还给投资人。 </w:t>
      </w:r>
    </w:p>
    <w:p w14:paraId="39346B6B"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销售机构对申购、赎回申请的受理并不代表申请一定成功，而仅代表销售机构确实接收到申请。申购、赎回的确认以登记机构的确认结果为准。对于申请的确认</w:t>
      </w:r>
      <w:r>
        <w:rPr>
          <w:rFonts w:ascii="宋体" w:hAnsi="宋体" w:hint="eastAsia"/>
          <w:color w:val="000000"/>
          <w:kern w:val="0"/>
          <w:sz w:val="24"/>
        </w:rPr>
        <w:lastRenderedPageBreak/>
        <w:t>情况，投资者应及时查询并</w:t>
      </w:r>
      <w:r>
        <w:rPr>
          <w:rFonts w:ascii="宋体" w:hAnsi="宋体"/>
          <w:color w:val="000000"/>
          <w:kern w:val="0"/>
          <w:sz w:val="24"/>
        </w:rPr>
        <w:t>妥善行使合法权利</w:t>
      </w:r>
      <w:r>
        <w:rPr>
          <w:rFonts w:ascii="宋体" w:hAnsi="宋体" w:hint="eastAsia"/>
          <w:color w:val="000000"/>
          <w:kern w:val="0"/>
          <w:sz w:val="24"/>
        </w:rPr>
        <w:t>。</w:t>
      </w:r>
    </w:p>
    <w:p w14:paraId="2B09C515"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基金管理人在法律法规允许的范围内，本基金登记机构可根据相关业务规则，对上述业务办理时间进行调整，本基金管理人必须在新规则</w:t>
      </w:r>
      <w:r>
        <w:rPr>
          <w:rFonts w:ascii="宋体" w:hAnsi="宋体"/>
          <w:color w:val="000000"/>
          <w:kern w:val="0"/>
          <w:sz w:val="24"/>
        </w:rPr>
        <w:t>开始实施前依照</w:t>
      </w:r>
      <w:r>
        <w:rPr>
          <w:rFonts w:ascii="宋体" w:hAnsi="宋体" w:hint="eastAsia"/>
          <w:color w:val="000000"/>
          <w:kern w:val="0"/>
          <w:sz w:val="24"/>
        </w:rPr>
        <w:t>《信息</w:t>
      </w:r>
      <w:r>
        <w:rPr>
          <w:rFonts w:ascii="宋体" w:hAnsi="宋体"/>
          <w:color w:val="000000"/>
          <w:kern w:val="0"/>
          <w:sz w:val="24"/>
        </w:rPr>
        <w:t>披露办法》</w:t>
      </w:r>
      <w:r>
        <w:rPr>
          <w:rFonts w:ascii="宋体" w:hAnsi="宋体" w:hint="eastAsia"/>
          <w:color w:val="000000"/>
          <w:kern w:val="0"/>
          <w:sz w:val="24"/>
        </w:rPr>
        <w:t>的</w:t>
      </w:r>
      <w:r>
        <w:rPr>
          <w:rFonts w:ascii="宋体" w:hAnsi="宋体"/>
          <w:color w:val="000000"/>
          <w:kern w:val="0"/>
          <w:sz w:val="24"/>
        </w:rPr>
        <w:t>有关规定在制定媒介上公告并报中国证监会备案</w:t>
      </w:r>
      <w:r>
        <w:rPr>
          <w:rFonts w:ascii="宋体" w:hAnsi="宋体" w:hint="eastAsia"/>
          <w:color w:val="000000"/>
          <w:kern w:val="0"/>
          <w:sz w:val="24"/>
        </w:rPr>
        <w:t>。</w:t>
      </w:r>
    </w:p>
    <w:p w14:paraId="30DA8EF8"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（五）申购和赎回的数额限制</w:t>
      </w:r>
    </w:p>
    <w:p w14:paraId="4BAB9FDA"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1、投资者通过直销机构以外的其他销售机构申购本</w:t>
      </w:r>
      <w:proofErr w:type="gramStart"/>
      <w:r>
        <w:rPr>
          <w:rFonts w:ascii="宋体" w:hAnsi="宋体" w:hint="eastAsia"/>
          <w:color w:val="000000"/>
          <w:kern w:val="0"/>
          <w:sz w:val="24"/>
        </w:rPr>
        <w:t>基金基金</w:t>
      </w:r>
      <w:proofErr w:type="gramEnd"/>
      <w:r>
        <w:rPr>
          <w:rFonts w:ascii="宋体" w:hAnsi="宋体" w:hint="eastAsia"/>
          <w:color w:val="000000"/>
          <w:kern w:val="0"/>
          <w:sz w:val="24"/>
        </w:rPr>
        <w:t>份额的，单个基金账户的首次申购A类基金份额最低申购金额为1.00元人民币，首次申购B类基金份额最低金额为5</w:t>
      </w:r>
      <w:r>
        <w:rPr>
          <w:rFonts w:ascii="宋体" w:hAnsi="宋体"/>
          <w:color w:val="000000"/>
          <w:kern w:val="0"/>
          <w:sz w:val="24"/>
        </w:rPr>
        <w:t>,</w:t>
      </w:r>
      <w:r>
        <w:rPr>
          <w:rFonts w:ascii="宋体" w:hAnsi="宋体" w:hint="eastAsia"/>
          <w:color w:val="000000"/>
          <w:kern w:val="0"/>
          <w:sz w:val="24"/>
        </w:rPr>
        <w:t>000,000.00元</w:t>
      </w:r>
      <w:r>
        <w:rPr>
          <w:rFonts w:ascii="宋体" w:hAnsi="宋体"/>
          <w:color w:val="000000"/>
          <w:kern w:val="0"/>
          <w:sz w:val="24"/>
        </w:rPr>
        <w:t>人民币</w:t>
      </w:r>
      <w:r>
        <w:rPr>
          <w:rFonts w:ascii="宋体" w:hAnsi="宋体" w:hint="eastAsia"/>
          <w:color w:val="000000"/>
          <w:kern w:val="0"/>
          <w:sz w:val="24"/>
        </w:rPr>
        <w:t>，追加申购A类基金份额/B类基金份额单笔最低金额为1.00元人民币，具体申购限额以销售机构的规定为准。</w:t>
      </w:r>
    </w:p>
    <w:p w14:paraId="12204D48"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通过本基金管理人网上交易系统申购，单个基金账户的首次申购A类基金份额每笔最低金额为1.00元人民币，申购B类基金份额最低金额为5</w:t>
      </w:r>
      <w:r>
        <w:rPr>
          <w:rFonts w:ascii="宋体" w:hAnsi="宋体"/>
          <w:color w:val="000000"/>
          <w:kern w:val="0"/>
          <w:sz w:val="24"/>
        </w:rPr>
        <w:t>,</w:t>
      </w:r>
      <w:r>
        <w:rPr>
          <w:rFonts w:ascii="宋体" w:hAnsi="宋体" w:hint="eastAsia"/>
          <w:color w:val="000000"/>
          <w:kern w:val="0"/>
          <w:sz w:val="24"/>
        </w:rPr>
        <w:t>000,000.00元</w:t>
      </w:r>
      <w:r>
        <w:rPr>
          <w:rFonts w:ascii="宋体" w:hAnsi="宋体"/>
          <w:color w:val="000000"/>
          <w:kern w:val="0"/>
          <w:sz w:val="24"/>
        </w:rPr>
        <w:t>人民币</w:t>
      </w:r>
      <w:r>
        <w:rPr>
          <w:rFonts w:ascii="宋体" w:hAnsi="宋体" w:hint="eastAsia"/>
          <w:color w:val="000000"/>
          <w:kern w:val="0"/>
          <w:sz w:val="24"/>
        </w:rPr>
        <w:t>，追加申购A类基金份额/B类基金份额单笔最低金额为1.00元</w:t>
      </w:r>
      <w:r>
        <w:rPr>
          <w:rFonts w:ascii="宋体" w:hAnsi="宋体"/>
          <w:color w:val="000000"/>
          <w:kern w:val="0"/>
          <w:sz w:val="24"/>
        </w:rPr>
        <w:t>人民币</w:t>
      </w:r>
      <w:r>
        <w:rPr>
          <w:rFonts w:ascii="宋体" w:hAnsi="宋体" w:hint="eastAsia"/>
          <w:color w:val="000000"/>
          <w:kern w:val="0"/>
          <w:sz w:val="24"/>
        </w:rPr>
        <w:t>。</w:t>
      </w:r>
    </w:p>
    <w:p w14:paraId="7C4189E3"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通过本基金管理人直销机构申购，单个基金账户的首次申购A类基金份额最低申购金额为1.00元人民币，申购B类基金份额最低金额为5</w:t>
      </w:r>
      <w:r>
        <w:rPr>
          <w:rFonts w:ascii="宋体" w:hAnsi="宋体"/>
          <w:color w:val="000000"/>
          <w:kern w:val="0"/>
          <w:sz w:val="24"/>
        </w:rPr>
        <w:t>,</w:t>
      </w:r>
      <w:r>
        <w:rPr>
          <w:rFonts w:ascii="宋体" w:hAnsi="宋体" w:hint="eastAsia"/>
          <w:color w:val="000000"/>
          <w:kern w:val="0"/>
          <w:sz w:val="24"/>
        </w:rPr>
        <w:t>000,000.00元</w:t>
      </w:r>
      <w:r>
        <w:rPr>
          <w:rFonts w:ascii="宋体" w:hAnsi="宋体"/>
          <w:color w:val="000000"/>
          <w:kern w:val="0"/>
          <w:sz w:val="24"/>
        </w:rPr>
        <w:t>人民币</w:t>
      </w:r>
      <w:r>
        <w:rPr>
          <w:rFonts w:ascii="宋体" w:hAnsi="宋体" w:hint="eastAsia"/>
          <w:color w:val="000000"/>
          <w:kern w:val="0"/>
          <w:sz w:val="24"/>
        </w:rPr>
        <w:t>，追加申购A类基金份额/B类基金份额单笔最低金额为1.00元</w:t>
      </w:r>
      <w:r>
        <w:rPr>
          <w:rFonts w:ascii="宋体" w:hAnsi="宋体"/>
          <w:color w:val="000000"/>
          <w:kern w:val="0"/>
          <w:sz w:val="24"/>
        </w:rPr>
        <w:t>人民币</w:t>
      </w:r>
      <w:r>
        <w:rPr>
          <w:rFonts w:ascii="宋体" w:hAnsi="宋体" w:hint="eastAsia"/>
          <w:color w:val="000000"/>
          <w:kern w:val="0"/>
          <w:sz w:val="24"/>
        </w:rPr>
        <w:t>。</w:t>
      </w:r>
    </w:p>
    <w:p w14:paraId="7953B549"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2、本基金不对单笔最低赎回份额进行限制，投资人可申请将其持有的部分或全部基金份额赎回。若某笔赎回将导致投资人在销售机构托管的本</w:t>
      </w:r>
      <w:proofErr w:type="gramStart"/>
      <w:r>
        <w:rPr>
          <w:rFonts w:ascii="宋体" w:hAnsi="宋体" w:hint="eastAsia"/>
          <w:color w:val="000000"/>
          <w:kern w:val="0"/>
          <w:sz w:val="24"/>
        </w:rPr>
        <w:t>基金基金</w:t>
      </w:r>
      <w:proofErr w:type="gramEnd"/>
      <w:r>
        <w:rPr>
          <w:rFonts w:ascii="宋体" w:hAnsi="宋体" w:hint="eastAsia"/>
          <w:color w:val="000000"/>
          <w:kern w:val="0"/>
          <w:sz w:val="24"/>
        </w:rPr>
        <w:t>份额余额不足1份时，该笔赎回业务应包括账户内全部基金份额，否则，基金管理人有权将剩余部分的基金份额强制赎回。</w:t>
      </w:r>
    </w:p>
    <w:p w14:paraId="1B5E9A0C"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3、基金管理人对单个投资人累计持有的基金份额暂不设上限限制。 </w:t>
      </w:r>
    </w:p>
    <w:p w14:paraId="174880D3"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4、基金管理人可以依照相关法律法规以及基金合同的约定，在特定市场条件下暂停或者拒绝接受一定金额以上的资金申购，具体以基金管理人的公告为准。 </w:t>
      </w:r>
    </w:p>
    <w:p w14:paraId="5382D68C"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5、基金管理人可在法律法规允许的情况下，根据本基金运作情况、法律法规或登记机构的业务规则，调整上述规定申购金额和赎回份额等数量限制。基金管理人必须在调整实施前依照《信息披露办法》的有关规定在指定媒介上公告。</w:t>
      </w:r>
    </w:p>
    <w:p w14:paraId="5D6DA607"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6、</w:t>
      </w:r>
      <w:r>
        <w:rPr>
          <w:rFonts w:hint="eastAsia"/>
          <w:kern w:val="0"/>
          <w:sz w:val="24"/>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w:t>
      </w:r>
      <w:r>
        <w:rPr>
          <w:kern w:val="0"/>
          <w:sz w:val="24"/>
        </w:rPr>
        <w:t xml:space="preserve">, </w:t>
      </w:r>
      <w:r>
        <w:rPr>
          <w:rFonts w:hint="eastAsia"/>
          <w:kern w:val="0"/>
          <w:sz w:val="24"/>
        </w:rPr>
        <w:t>具体请</w:t>
      </w:r>
      <w:r>
        <w:rPr>
          <w:rFonts w:hint="eastAsia"/>
          <w:kern w:val="0"/>
          <w:sz w:val="24"/>
        </w:rPr>
        <w:lastRenderedPageBreak/>
        <w:t>参见相关公告。</w:t>
      </w:r>
    </w:p>
    <w:p w14:paraId="52874D55"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（六）申购</w:t>
      </w:r>
      <w:r>
        <w:rPr>
          <w:rFonts w:ascii="宋体" w:hAnsi="宋体"/>
          <w:color w:val="000000"/>
          <w:kern w:val="0"/>
          <w:sz w:val="24"/>
        </w:rPr>
        <w:t>份额与赎回金额的计算方式</w:t>
      </w:r>
    </w:p>
    <w:p w14:paraId="2BAE9A36" w14:textId="77777777" w:rsidR="00566744" w:rsidRDefault="00000000">
      <w:pPr>
        <w:numPr>
          <w:ilvl w:val="0"/>
          <w:numId w:val="7"/>
        </w:numPr>
        <w:spacing w:line="360" w:lineRule="auto"/>
        <w:ind w:left="0" w:firstLine="426"/>
        <w:rPr>
          <w:rFonts w:ascii="宋体" w:hAnsi="宋体" w:hint="eastAsia"/>
          <w:sz w:val="24"/>
        </w:rPr>
      </w:pPr>
      <w:r>
        <w:rPr>
          <w:rFonts w:ascii="宋体" w:hAnsi="宋体" w:hint="eastAsia"/>
          <w:sz w:val="24"/>
        </w:rPr>
        <w:t>本基金不收取</w:t>
      </w:r>
      <w:r>
        <w:rPr>
          <w:rFonts w:ascii="宋体" w:hAnsi="宋体"/>
          <w:sz w:val="24"/>
        </w:rPr>
        <w:t>申购费用和赎回费用，但基金合同约定的征收强制赎回费情形除外。</w:t>
      </w:r>
    </w:p>
    <w:p w14:paraId="645EC568" w14:textId="77777777" w:rsidR="00566744" w:rsidRDefault="00000000">
      <w:pPr>
        <w:numPr>
          <w:ilvl w:val="0"/>
          <w:numId w:val="7"/>
        </w:numPr>
        <w:spacing w:line="360" w:lineRule="auto"/>
        <w:ind w:left="0" w:firstLine="426"/>
        <w:rPr>
          <w:rFonts w:ascii="宋体" w:hAnsi="宋体" w:hint="eastAsia"/>
          <w:sz w:val="24"/>
        </w:rPr>
      </w:pPr>
      <w:r>
        <w:rPr>
          <w:rFonts w:ascii="宋体" w:hAnsi="宋体" w:hint="eastAsia"/>
          <w:bCs/>
          <w:sz w:val="24"/>
        </w:rPr>
        <w:t>在满足相关流动性风险管理要求的前提下，当本基金持有的现金、国债、中央银行票据、政策性金融债券以及5个交易日内到期的其他金融工具占基金资产净值的比例合计低于5%且偏离度为负时；</w:t>
      </w:r>
      <w:r>
        <w:rPr>
          <w:rFonts w:hint="eastAsia"/>
          <w:kern w:val="0"/>
          <w:sz w:val="24"/>
        </w:rPr>
        <w:t>当本基金前</w:t>
      </w:r>
      <w:r>
        <w:rPr>
          <w:kern w:val="0"/>
          <w:sz w:val="24"/>
        </w:rPr>
        <w:t>10</w:t>
      </w:r>
      <w:r>
        <w:rPr>
          <w:rFonts w:hint="eastAsia"/>
          <w:kern w:val="0"/>
          <w:sz w:val="24"/>
        </w:rPr>
        <w:t>名基金份额持有人的持有份额合计超过基金总份额的</w:t>
      </w:r>
      <w:r>
        <w:rPr>
          <w:kern w:val="0"/>
          <w:sz w:val="24"/>
        </w:rPr>
        <w:t>50%</w:t>
      </w:r>
      <w:r>
        <w:rPr>
          <w:rFonts w:hint="eastAsia"/>
          <w:kern w:val="0"/>
          <w:sz w:val="24"/>
        </w:rPr>
        <w:t>，且本基金投资组合中现金、国债、中央银行票据、政策性金融债券以及</w:t>
      </w:r>
      <w:r>
        <w:rPr>
          <w:kern w:val="0"/>
          <w:sz w:val="24"/>
        </w:rPr>
        <w:t>5</w:t>
      </w:r>
      <w:r>
        <w:rPr>
          <w:rFonts w:hint="eastAsia"/>
          <w:kern w:val="0"/>
          <w:sz w:val="24"/>
        </w:rPr>
        <w:t>个交易日内到期的其他金融工具占基金资产净值的比例合计低于</w:t>
      </w:r>
      <w:r>
        <w:rPr>
          <w:kern w:val="0"/>
          <w:sz w:val="24"/>
        </w:rPr>
        <w:t>10%</w:t>
      </w:r>
      <w:r>
        <w:rPr>
          <w:rFonts w:hint="eastAsia"/>
          <w:kern w:val="0"/>
          <w:sz w:val="24"/>
        </w:rPr>
        <w:t>且偏离度为负时，</w:t>
      </w:r>
      <w:r>
        <w:rPr>
          <w:rFonts w:ascii="宋体" w:hAnsi="宋体" w:hint="eastAsia"/>
          <w:bCs/>
          <w:sz w:val="24"/>
        </w:rPr>
        <w:t>为确保基金平稳运作，避免诱发系统性风险，基金管理人将对当日单个基金份额持有人申请赎回基金份额超过基金总份额1%以上的赎回申请征收1%的强制赎回费用，并将上述赎回费用全额计入基金财产。</w:t>
      </w:r>
      <w:r>
        <w:rPr>
          <w:rFonts w:ascii="宋体" w:hAnsi="宋体" w:hint="eastAsia"/>
          <w:sz w:val="24"/>
        </w:rPr>
        <w:t>基金管理人与基金托管人协商确认上述做法无益于基金利益最大化的情形除外。</w:t>
      </w:r>
    </w:p>
    <w:p w14:paraId="22C8250A" w14:textId="77777777" w:rsidR="00566744" w:rsidRDefault="00000000">
      <w:pPr>
        <w:numPr>
          <w:ilvl w:val="0"/>
          <w:numId w:val="7"/>
        </w:numPr>
        <w:spacing w:line="360" w:lineRule="auto"/>
        <w:ind w:left="0" w:firstLine="426"/>
        <w:rPr>
          <w:rFonts w:ascii="宋体" w:hAnsi="宋体" w:hint="eastAsia"/>
          <w:sz w:val="24"/>
        </w:rPr>
      </w:pPr>
      <w:r>
        <w:rPr>
          <w:rFonts w:ascii="宋体" w:hAnsi="宋体" w:hint="eastAsia"/>
          <w:sz w:val="24"/>
        </w:rPr>
        <w:t>本基金各类</w:t>
      </w:r>
      <w:r>
        <w:rPr>
          <w:rFonts w:ascii="宋体" w:hAnsi="宋体"/>
          <w:sz w:val="24"/>
        </w:rPr>
        <w:t>基金份额的申购、赎回价格为每份基金单位</w:t>
      </w:r>
      <w:r>
        <w:rPr>
          <w:rFonts w:ascii="宋体" w:hAnsi="宋体" w:hint="eastAsia"/>
          <w:sz w:val="24"/>
        </w:rPr>
        <w:t>1.00元</w:t>
      </w:r>
      <w:r>
        <w:rPr>
          <w:rFonts w:ascii="宋体" w:hAnsi="宋体"/>
          <w:sz w:val="24"/>
        </w:rPr>
        <w:t>。</w:t>
      </w:r>
    </w:p>
    <w:p w14:paraId="7341A694" w14:textId="77777777" w:rsidR="00566744" w:rsidRDefault="00000000">
      <w:pPr>
        <w:numPr>
          <w:ilvl w:val="0"/>
          <w:numId w:val="7"/>
        </w:numPr>
        <w:spacing w:line="360" w:lineRule="auto"/>
        <w:ind w:left="0" w:firstLine="426"/>
        <w:rPr>
          <w:rFonts w:ascii="宋体" w:hAnsi="宋体" w:hint="eastAsia"/>
          <w:sz w:val="24"/>
        </w:rPr>
      </w:pPr>
      <w:r>
        <w:rPr>
          <w:rFonts w:ascii="宋体" w:hAnsi="宋体" w:hint="eastAsia"/>
          <w:sz w:val="24"/>
        </w:rPr>
        <w:t>申购份额和赎回份额的计算及余额的处理方式</w:t>
      </w:r>
    </w:p>
    <w:p w14:paraId="38A07394" w14:textId="77777777" w:rsidR="00566744" w:rsidRDefault="00000000">
      <w:pPr>
        <w:spacing w:line="360" w:lineRule="auto"/>
        <w:ind w:firstLineChars="200" w:firstLine="480"/>
        <w:rPr>
          <w:rFonts w:ascii="宋体" w:hAnsi="宋体" w:hint="eastAsia"/>
          <w:sz w:val="24"/>
        </w:rPr>
      </w:pPr>
      <w:r>
        <w:rPr>
          <w:rFonts w:ascii="宋体" w:hAnsi="宋体" w:hint="eastAsia"/>
          <w:sz w:val="24"/>
        </w:rPr>
        <w:t>本基金通过每日计算收益并分配的方式，使基金份额净值保持在1.00元。该基金份额净值是计算基金申购与赎回价格的基础。</w:t>
      </w:r>
    </w:p>
    <w:p w14:paraId="7E7EB952" w14:textId="77777777" w:rsidR="00566744" w:rsidRDefault="00000000">
      <w:pPr>
        <w:pStyle w:val="Default"/>
        <w:spacing w:line="360" w:lineRule="auto"/>
        <w:ind w:firstLineChars="177" w:firstLine="425"/>
        <w:rPr>
          <w:rFonts w:hAnsi="宋体" w:cs="Times New Roman" w:hint="eastAsia"/>
        </w:rPr>
      </w:pPr>
      <w:r>
        <w:rPr>
          <w:rFonts w:hAnsi="宋体" w:cs="Times New Roman" w:hint="eastAsia"/>
        </w:rPr>
        <w:t>（1）</w:t>
      </w:r>
      <w:r>
        <w:rPr>
          <w:rFonts w:hAnsi="宋体" w:cs="Times New Roman"/>
        </w:rPr>
        <w:t>本基金申购份额的计算</w:t>
      </w:r>
    </w:p>
    <w:p w14:paraId="5E9886B5" w14:textId="77777777" w:rsidR="00566744" w:rsidRDefault="00000000">
      <w:pPr>
        <w:pStyle w:val="Default"/>
        <w:spacing w:line="360" w:lineRule="auto"/>
        <w:ind w:firstLineChars="177" w:firstLine="425"/>
        <w:rPr>
          <w:rFonts w:hAnsi="宋体" w:cs="Times New Roman" w:hint="eastAsia"/>
        </w:rPr>
      </w:pPr>
      <w:r>
        <w:rPr>
          <w:rFonts w:hAnsi="宋体" w:cs="Times New Roman" w:hint="eastAsia"/>
        </w:rPr>
        <w:t>采用“金额申购”方式，申购价格为每份基金份额净值1.00元，计算公式如下：</w:t>
      </w:r>
    </w:p>
    <w:p w14:paraId="1C74BAC7" w14:textId="77777777" w:rsidR="00566744" w:rsidRDefault="00000000">
      <w:pPr>
        <w:pStyle w:val="Default"/>
        <w:spacing w:line="360" w:lineRule="auto"/>
        <w:ind w:firstLineChars="177" w:firstLine="425"/>
        <w:rPr>
          <w:rFonts w:hAnsi="宋体" w:cs="Times New Roman" w:hint="eastAsia"/>
        </w:rPr>
      </w:pPr>
      <w:r>
        <w:rPr>
          <w:rFonts w:hAnsi="宋体" w:cs="Times New Roman" w:hint="eastAsia"/>
        </w:rPr>
        <w:t>申购份额＝申购金额</w:t>
      </w:r>
      <w:r>
        <w:rPr>
          <w:rFonts w:hAnsi="宋体" w:cs="Times New Roman"/>
        </w:rPr>
        <w:t xml:space="preserve">/1.00 </w:t>
      </w:r>
    </w:p>
    <w:p w14:paraId="452E22C8" w14:textId="77777777" w:rsidR="00566744" w:rsidRDefault="00000000">
      <w:pPr>
        <w:pStyle w:val="Default"/>
        <w:spacing w:line="360" w:lineRule="auto"/>
        <w:ind w:firstLineChars="177" w:firstLine="425"/>
        <w:rPr>
          <w:rFonts w:hAnsi="宋体" w:cs="Times New Roman" w:hint="eastAsia"/>
        </w:rPr>
      </w:pPr>
      <w:r>
        <w:rPr>
          <w:rFonts w:hAnsi="宋体" w:cs="Times New Roman" w:hint="eastAsia"/>
        </w:rPr>
        <w:t>申购的有效份额按实际确认的申购金额除以1.00元确定，申购份额计算结果保留到小数点后</w:t>
      </w:r>
      <w:r>
        <w:rPr>
          <w:rFonts w:hAnsi="宋体" w:cs="Times New Roman"/>
        </w:rPr>
        <w:t>2</w:t>
      </w:r>
      <w:r>
        <w:rPr>
          <w:rFonts w:hAnsi="宋体" w:cs="Times New Roman" w:hint="eastAsia"/>
        </w:rPr>
        <w:t>位，小数点</w:t>
      </w:r>
      <w:r>
        <w:rPr>
          <w:rFonts w:hAnsi="宋体" w:cs="Times New Roman"/>
        </w:rPr>
        <w:t>2</w:t>
      </w:r>
      <w:r>
        <w:rPr>
          <w:rFonts w:hAnsi="宋体" w:cs="Times New Roman" w:hint="eastAsia"/>
        </w:rPr>
        <w:t>位以后的部分四舍五入，由此产生的收益或</w:t>
      </w:r>
      <w:r>
        <w:rPr>
          <w:rFonts w:hAnsi="宋体" w:cs="Times New Roman"/>
        </w:rPr>
        <w:t>损失</w:t>
      </w:r>
      <w:r>
        <w:rPr>
          <w:rFonts w:hAnsi="宋体" w:cs="Times New Roman" w:hint="eastAsia"/>
        </w:rPr>
        <w:t>由</w:t>
      </w:r>
      <w:r>
        <w:rPr>
          <w:rFonts w:hAnsi="宋体" w:cs="Times New Roman"/>
        </w:rPr>
        <w:t>基金财产承担</w:t>
      </w:r>
      <w:r>
        <w:rPr>
          <w:rFonts w:hAnsi="宋体" w:cs="Times New Roman" w:hint="eastAsia"/>
        </w:rPr>
        <w:t>。</w:t>
      </w:r>
    </w:p>
    <w:p w14:paraId="15F93F3B" w14:textId="77777777" w:rsidR="00566744" w:rsidRDefault="00000000">
      <w:pPr>
        <w:pStyle w:val="Default"/>
        <w:spacing w:line="360" w:lineRule="auto"/>
        <w:ind w:firstLineChars="177" w:firstLine="425"/>
        <w:rPr>
          <w:rFonts w:hAnsi="宋体" w:cs="Times New Roman" w:hint="eastAsia"/>
        </w:rPr>
      </w:pPr>
      <w:r>
        <w:rPr>
          <w:rFonts w:hAnsi="宋体" w:cs="Times New Roman" w:hint="eastAsia"/>
        </w:rPr>
        <w:t>例：投资人投资</w:t>
      </w:r>
      <w:r>
        <w:rPr>
          <w:rFonts w:hAnsi="宋体" w:cs="Times New Roman"/>
        </w:rPr>
        <w:t>100,000.00</w:t>
      </w:r>
      <w:r>
        <w:rPr>
          <w:rFonts w:hAnsi="宋体" w:cs="Times New Roman" w:hint="eastAsia"/>
        </w:rPr>
        <w:t>元申购本基金</w:t>
      </w:r>
      <w:r>
        <w:rPr>
          <w:rFonts w:hAnsi="宋体" w:hint="eastAsia"/>
        </w:rPr>
        <w:t>A类</w:t>
      </w:r>
      <w:r>
        <w:rPr>
          <w:rFonts w:hAnsi="宋体"/>
        </w:rPr>
        <w:t>基金份额</w:t>
      </w:r>
      <w:r>
        <w:rPr>
          <w:rFonts w:hAnsi="宋体" w:cs="Times New Roman" w:hint="eastAsia"/>
        </w:rPr>
        <w:t>，则其可得到的</w:t>
      </w:r>
      <w:r>
        <w:rPr>
          <w:rFonts w:hAnsi="宋体" w:hint="eastAsia"/>
        </w:rPr>
        <w:t>A类</w:t>
      </w:r>
      <w:r>
        <w:rPr>
          <w:rFonts w:hAnsi="宋体"/>
        </w:rPr>
        <w:t>基金份额</w:t>
      </w:r>
      <w:r>
        <w:rPr>
          <w:rFonts w:hAnsi="宋体" w:cs="Times New Roman" w:hint="eastAsia"/>
        </w:rPr>
        <w:t>为：</w:t>
      </w:r>
    </w:p>
    <w:p w14:paraId="15FB757B" w14:textId="77777777" w:rsidR="00566744" w:rsidRDefault="00000000">
      <w:pPr>
        <w:pStyle w:val="Default"/>
        <w:spacing w:line="360" w:lineRule="auto"/>
        <w:ind w:firstLineChars="177" w:firstLine="425"/>
        <w:rPr>
          <w:rFonts w:hAnsi="宋体" w:cs="Times New Roman" w:hint="eastAsia"/>
        </w:rPr>
      </w:pPr>
      <w:r>
        <w:rPr>
          <w:rFonts w:hAnsi="宋体" w:cs="Times New Roman" w:hint="eastAsia"/>
        </w:rPr>
        <w:t>申购份额＝</w:t>
      </w:r>
      <w:r>
        <w:rPr>
          <w:rFonts w:hAnsi="宋体" w:cs="Times New Roman"/>
        </w:rPr>
        <w:t>100,000.00/1.00=100,000.00.00</w:t>
      </w:r>
      <w:r>
        <w:rPr>
          <w:rFonts w:hAnsi="宋体" w:cs="Times New Roman" w:hint="eastAsia"/>
        </w:rPr>
        <w:t>份</w:t>
      </w:r>
    </w:p>
    <w:p w14:paraId="6AD6A841" w14:textId="77777777" w:rsidR="00566744" w:rsidRDefault="00000000">
      <w:pPr>
        <w:pStyle w:val="Default"/>
        <w:spacing w:line="360" w:lineRule="auto"/>
        <w:ind w:firstLineChars="177" w:firstLine="425"/>
        <w:rPr>
          <w:rFonts w:hAnsi="宋体" w:cs="Times New Roman" w:hint="eastAsia"/>
        </w:rPr>
      </w:pPr>
      <w:r>
        <w:rPr>
          <w:rFonts w:hAnsi="宋体" w:cs="Times New Roman" w:hint="eastAsia"/>
        </w:rPr>
        <w:t>即：投资者投资</w:t>
      </w:r>
      <w:r>
        <w:rPr>
          <w:rFonts w:hAnsi="宋体" w:cs="Times New Roman"/>
        </w:rPr>
        <w:t>100,000.00</w:t>
      </w:r>
      <w:r>
        <w:rPr>
          <w:rFonts w:hAnsi="宋体" w:cs="Times New Roman" w:hint="eastAsia"/>
        </w:rPr>
        <w:t>元申购本基金</w:t>
      </w:r>
      <w:r>
        <w:rPr>
          <w:rFonts w:hAnsi="宋体" w:hint="eastAsia"/>
        </w:rPr>
        <w:t>A类</w:t>
      </w:r>
      <w:r>
        <w:rPr>
          <w:rFonts w:hAnsi="宋体"/>
        </w:rPr>
        <w:t>基金份额</w:t>
      </w:r>
      <w:r>
        <w:rPr>
          <w:rFonts w:hAnsi="宋体" w:cs="Times New Roman" w:hint="eastAsia"/>
        </w:rPr>
        <w:t>，则其可获得</w:t>
      </w:r>
      <w:r>
        <w:rPr>
          <w:rFonts w:hAnsi="宋体" w:cs="Times New Roman"/>
        </w:rPr>
        <w:t>100,000.00</w:t>
      </w:r>
      <w:r>
        <w:rPr>
          <w:rFonts w:hAnsi="宋体" w:cs="Times New Roman" w:hint="eastAsia"/>
        </w:rPr>
        <w:t>份</w:t>
      </w:r>
      <w:r>
        <w:rPr>
          <w:rFonts w:hAnsi="宋体" w:hint="eastAsia"/>
        </w:rPr>
        <w:t>A类</w:t>
      </w:r>
      <w:r>
        <w:rPr>
          <w:rFonts w:hAnsi="宋体"/>
        </w:rPr>
        <w:t>基金份额</w:t>
      </w:r>
      <w:r>
        <w:rPr>
          <w:rFonts w:hAnsi="宋体" w:cs="Times New Roman" w:hint="eastAsia"/>
        </w:rPr>
        <w:t>。</w:t>
      </w:r>
    </w:p>
    <w:p w14:paraId="4801A4C6" w14:textId="77777777" w:rsidR="00566744" w:rsidRDefault="00000000">
      <w:pPr>
        <w:pStyle w:val="Default"/>
        <w:spacing w:line="360" w:lineRule="auto"/>
        <w:ind w:firstLineChars="177" w:firstLine="425"/>
        <w:rPr>
          <w:rFonts w:hAnsi="宋体" w:cs="Times New Roman" w:hint="eastAsia"/>
        </w:rPr>
      </w:pPr>
      <w:r>
        <w:rPr>
          <w:rFonts w:hAnsi="宋体" w:cs="Times New Roman" w:hint="eastAsia"/>
        </w:rPr>
        <w:lastRenderedPageBreak/>
        <w:t>（2）本基金</w:t>
      </w:r>
      <w:r>
        <w:rPr>
          <w:rFonts w:hAnsi="宋体" w:cs="Times New Roman"/>
        </w:rPr>
        <w:t>赎回金额的计算</w:t>
      </w:r>
    </w:p>
    <w:p w14:paraId="021B0DC9" w14:textId="77777777" w:rsidR="00566744" w:rsidRDefault="00000000">
      <w:pPr>
        <w:spacing w:line="360" w:lineRule="auto"/>
        <w:ind w:firstLineChars="177" w:firstLine="425"/>
        <w:rPr>
          <w:rFonts w:ascii="宋体" w:hAnsi="宋体" w:hint="eastAsia"/>
          <w:sz w:val="24"/>
        </w:rPr>
      </w:pPr>
      <w:r>
        <w:rPr>
          <w:rFonts w:ascii="宋体" w:hAnsi="宋体"/>
          <w:sz w:val="24"/>
        </w:rPr>
        <w:t>采用“份额赎回”方式，赎回价格为每份基金份额净值1.00元。</w:t>
      </w:r>
      <w:r>
        <w:rPr>
          <w:rFonts w:ascii="宋体" w:hAnsi="宋体" w:hint="eastAsia"/>
          <w:sz w:val="24"/>
        </w:rPr>
        <w:t>赎回</w:t>
      </w:r>
      <w:r>
        <w:rPr>
          <w:rFonts w:ascii="宋体" w:hAnsi="宋体"/>
          <w:sz w:val="24"/>
        </w:rPr>
        <w:t>金额的确定</w:t>
      </w:r>
      <w:r>
        <w:rPr>
          <w:rFonts w:ascii="宋体" w:hAnsi="宋体" w:hint="eastAsia"/>
          <w:sz w:val="24"/>
        </w:rPr>
        <w:t>分</w:t>
      </w:r>
      <w:r>
        <w:rPr>
          <w:rFonts w:ascii="宋体" w:hAnsi="宋体"/>
          <w:sz w:val="24"/>
        </w:rPr>
        <w:t>两种情况处理：</w:t>
      </w:r>
    </w:p>
    <w:p w14:paraId="62EC80EE" w14:textId="77777777" w:rsidR="00566744" w:rsidRDefault="00000000">
      <w:pPr>
        <w:spacing w:line="360" w:lineRule="auto"/>
        <w:ind w:firstLineChars="177" w:firstLine="425"/>
        <w:rPr>
          <w:rFonts w:ascii="宋体" w:hAnsi="宋体" w:hint="eastAsia"/>
          <w:sz w:val="24"/>
        </w:rPr>
      </w:pPr>
      <w:r>
        <w:rPr>
          <w:rFonts w:ascii="宋体" w:hAnsi="宋体"/>
          <w:sz w:val="24"/>
        </w:rPr>
        <w:fldChar w:fldCharType="begin"/>
      </w:r>
      <w:r>
        <w:rPr>
          <w:rFonts w:ascii="宋体" w:hAnsi="宋体" w:hint="eastAsia"/>
          <w:sz w:val="24"/>
        </w:rPr>
        <w:instrText>= 1 \* GB3</w:instrText>
      </w:r>
      <w:r>
        <w:rPr>
          <w:rFonts w:ascii="宋体" w:hAnsi="宋体"/>
          <w:sz w:val="24"/>
        </w:rPr>
        <w:fldChar w:fldCharType="separate"/>
      </w:r>
      <w:r>
        <w:rPr>
          <w:rFonts w:ascii="宋体" w:hAnsi="宋体" w:hint="eastAsia"/>
          <w:sz w:val="24"/>
        </w:rPr>
        <w:t>①</w:t>
      </w:r>
      <w:r>
        <w:rPr>
          <w:rFonts w:ascii="宋体" w:hAnsi="宋体"/>
          <w:sz w:val="24"/>
        </w:rPr>
        <w:fldChar w:fldCharType="end"/>
      </w:r>
      <w:r>
        <w:rPr>
          <w:rFonts w:ascii="宋体" w:hAnsi="宋体"/>
          <w:sz w:val="24"/>
        </w:rPr>
        <w:t>部分赎回时</w:t>
      </w:r>
    </w:p>
    <w:p w14:paraId="261B0B0C" w14:textId="77777777" w:rsidR="00566744" w:rsidRDefault="00000000">
      <w:pPr>
        <w:spacing w:line="360" w:lineRule="auto"/>
        <w:ind w:firstLineChars="177" w:firstLine="425"/>
        <w:rPr>
          <w:rFonts w:ascii="宋体" w:hAnsi="宋体" w:hint="eastAsia"/>
          <w:sz w:val="24"/>
        </w:rPr>
      </w:pPr>
      <w:r>
        <w:rPr>
          <w:rFonts w:ascii="宋体" w:hAnsi="宋体" w:hint="eastAsia"/>
          <w:sz w:val="24"/>
        </w:rPr>
        <w:t>基金份额持有人部分赎回其持有的基金份额时，当该基金份额的未付收益为正时，该笔赎回将予以全部确认并支付；当该基金份额未付收益为负时，其赎回后剩余的基金份额需足以弥补其当前未付收益为负时的损益，否则将自动按比例结转未付收益为负的部分，再进行赎回款项结算。通常情况下赎回金额计算方法如下：</w:t>
      </w:r>
    </w:p>
    <w:p w14:paraId="76839B01" w14:textId="77777777" w:rsidR="00566744" w:rsidRDefault="00000000">
      <w:pPr>
        <w:pStyle w:val="Default"/>
        <w:spacing w:line="360" w:lineRule="auto"/>
        <w:ind w:firstLineChars="177" w:firstLine="425"/>
        <w:rPr>
          <w:rFonts w:hAnsi="宋体" w:cs="Times New Roman" w:hint="eastAsia"/>
        </w:rPr>
      </w:pPr>
      <w:r>
        <w:rPr>
          <w:rFonts w:hAnsi="宋体" w:cs="Times New Roman"/>
        </w:rPr>
        <w:t xml:space="preserve">赎回金额＝赎回份额×1.00 </w:t>
      </w:r>
    </w:p>
    <w:p w14:paraId="31DE78CA" w14:textId="77777777" w:rsidR="00566744" w:rsidRDefault="00000000">
      <w:pPr>
        <w:pStyle w:val="Default"/>
        <w:spacing w:line="360" w:lineRule="auto"/>
        <w:ind w:firstLineChars="177" w:firstLine="425"/>
        <w:rPr>
          <w:rFonts w:hAnsi="宋体" w:cs="Times New Roman" w:hint="eastAsia"/>
        </w:rPr>
      </w:pPr>
      <w:r>
        <w:rPr>
          <w:rFonts w:hAnsi="宋体" w:cs="Times New Roman"/>
        </w:rPr>
        <w:t xml:space="preserve">赎回金额计算结果均按四舍五入方法，保留到小数点后2位，由此产生的收益或损失由基金财产承担。 </w:t>
      </w:r>
    </w:p>
    <w:p w14:paraId="3ECCA7F0" w14:textId="77777777" w:rsidR="00566744" w:rsidRDefault="00000000">
      <w:pPr>
        <w:pStyle w:val="Default"/>
        <w:spacing w:line="360" w:lineRule="auto"/>
        <w:ind w:firstLineChars="177" w:firstLine="425"/>
        <w:rPr>
          <w:rFonts w:hAnsi="宋体" w:cs="Times New Roman" w:hint="eastAsia"/>
        </w:rPr>
      </w:pPr>
      <w:r>
        <w:rPr>
          <w:rFonts w:hAnsi="宋体" w:cs="Times New Roman"/>
        </w:rPr>
        <w:t>例：假定某投资者在T日赎回10,000.00份</w:t>
      </w:r>
      <w:r>
        <w:rPr>
          <w:rFonts w:hAnsi="宋体" w:hint="eastAsia"/>
        </w:rPr>
        <w:t>A类</w:t>
      </w:r>
      <w:r>
        <w:rPr>
          <w:rFonts w:hAnsi="宋体"/>
        </w:rPr>
        <w:t>基金份额</w:t>
      </w:r>
      <w:r>
        <w:rPr>
          <w:rFonts w:hAnsi="宋体" w:cs="Times New Roman"/>
        </w:rPr>
        <w:t>（当日单个基金份额持有人申请赎回</w:t>
      </w:r>
      <w:r>
        <w:rPr>
          <w:rFonts w:hAnsi="宋体" w:hint="eastAsia"/>
        </w:rPr>
        <w:t>A类</w:t>
      </w:r>
      <w:r>
        <w:rPr>
          <w:rFonts w:hAnsi="宋体"/>
        </w:rPr>
        <w:t>基金份额</w:t>
      </w:r>
      <w:r>
        <w:rPr>
          <w:rFonts w:hAnsi="宋体" w:cs="Times New Roman"/>
        </w:rPr>
        <w:t>未超过基金总份额1%以上），则赎回金额的计算如下：</w:t>
      </w:r>
    </w:p>
    <w:p w14:paraId="4C5371C3" w14:textId="77777777" w:rsidR="00566744" w:rsidRDefault="00000000">
      <w:pPr>
        <w:pStyle w:val="Default"/>
        <w:spacing w:line="360" w:lineRule="auto"/>
        <w:ind w:firstLineChars="177" w:firstLine="425"/>
        <w:rPr>
          <w:rFonts w:hAnsi="宋体" w:cs="Times New Roman" w:hint="eastAsia"/>
        </w:rPr>
      </w:pPr>
      <w:r>
        <w:rPr>
          <w:rFonts w:hAnsi="宋体" w:cs="Times New Roman"/>
        </w:rPr>
        <w:t xml:space="preserve">赎回金额=10,000.00×1.00=10,000.00元 </w:t>
      </w:r>
    </w:p>
    <w:p w14:paraId="38401BEF" w14:textId="77777777" w:rsidR="00566744" w:rsidRDefault="00000000">
      <w:pPr>
        <w:pStyle w:val="Default"/>
        <w:spacing w:line="360" w:lineRule="auto"/>
        <w:ind w:firstLineChars="177" w:firstLine="425"/>
        <w:rPr>
          <w:rFonts w:hAnsi="宋体" w:cs="Times New Roman" w:hint="eastAsia"/>
        </w:rPr>
      </w:pPr>
      <w:r>
        <w:rPr>
          <w:rFonts w:hAnsi="宋体" w:cs="Times New Roman"/>
        </w:rPr>
        <w:t>即投资者赎回10,000.00份</w:t>
      </w:r>
      <w:r>
        <w:rPr>
          <w:rFonts w:hAnsi="宋体" w:hint="eastAsia"/>
        </w:rPr>
        <w:t>A类</w:t>
      </w:r>
      <w:r>
        <w:rPr>
          <w:rFonts w:hAnsi="宋体"/>
        </w:rPr>
        <w:t>基金份额</w:t>
      </w:r>
      <w:r>
        <w:rPr>
          <w:rFonts w:hAnsi="宋体" w:cs="Times New Roman"/>
        </w:rPr>
        <w:t>，则投资人可得到赎回金额</w:t>
      </w:r>
      <w:r>
        <w:rPr>
          <w:rFonts w:hAnsi="宋体" w:cs="Times New Roman" w:hint="eastAsia"/>
        </w:rPr>
        <w:t>为</w:t>
      </w:r>
      <w:r>
        <w:rPr>
          <w:rFonts w:hAnsi="宋体" w:cs="Times New Roman"/>
        </w:rPr>
        <w:t>10,000.00元。</w:t>
      </w:r>
    </w:p>
    <w:p w14:paraId="0E7C6E5A" w14:textId="77777777" w:rsidR="00566744" w:rsidRDefault="00000000">
      <w:pPr>
        <w:pStyle w:val="Default"/>
        <w:spacing w:line="360" w:lineRule="auto"/>
        <w:ind w:firstLineChars="177" w:firstLine="425"/>
        <w:rPr>
          <w:rFonts w:hAnsi="宋体" w:cs="Times New Roman" w:hint="eastAsia"/>
        </w:rPr>
      </w:pPr>
      <w:r>
        <w:rPr>
          <w:rFonts w:hAnsi="宋体" w:cs="Times New Roman"/>
        </w:rPr>
        <w:fldChar w:fldCharType="begin"/>
      </w:r>
      <w:r>
        <w:rPr>
          <w:rFonts w:hAnsi="宋体" w:cs="Times New Roman" w:hint="eastAsia"/>
        </w:rPr>
        <w:instrText>= 2 \* GB3</w:instrText>
      </w:r>
      <w:r>
        <w:rPr>
          <w:rFonts w:hAnsi="宋体" w:cs="Times New Roman"/>
        </w:rPr>
        <w:fldChar w:fldCharType="separate"/>
      </w:r>
      <w:r>
        <w:rPr>
          <w:rFonts w:hAnsi="宋体" w:cs="Times New Roman" w:hint="eastAsia"/>
        </w:rPr>
        <w:t>②</w:t>
      </w:r>
      <w:r>
        <w:rPr>
          <w:rFonts w:hAnsi="宋体" w:cs="Times New Roman"/>
        </w:rPr>
        <w:fldChar w:fldCharType="end"/>
      </w:r>
      <w:r>
        <w:rPr>
          <w:rFonts w:hAnsi="宋体" w:cs="Times New Roman" w:hint="eastAsia"/>
        </w:rPr>
        <w:t>全部</w:t>
      </w:r>
      <w:r>
        <w:rPr>
          <w:rFonts w:hAnsi="宋体" w:cs="Times New Roman"/>
        </w:rPr>
        <w:t>赎回</w:t>
      </w:r>
    </w:p>
    <w:p w14:paraId="56A233F5" w14:textId="77777777" w:rsidR="00566744" w:rsidRDefault="00000000">
      <w:pPr>
        <w:pStyle w:val="Default"/>
        <w:spacing w:line="360" w:lineRule="auto"/>
        <w:ind w:firstLineChars="177" w:firstLine="425"/>
        <w:rPr>
          <w:rFonts w:hAnsi="宋体" w:cs="Times New Roman" w:hint="eastAsia"/>
        </w:rPr>
      </w:pPr>
      <w:r>
        <w:rPr>
          <w:rFonts w:hAnsi="宋体" w:cs="Times New Roman" w:hint="eastAsia"/>
        </w:rPr>
        <w:t>基金份额持有人在全部赎回其持有的本</w:t>
      </w:r>
      <w:proofErr w:type="gramStart"/>
      <w:r>
        <w:rPr>
          <w:rFonts w:hAnsi="宋体" w:cs="Times New Roman" w:hint="eastAsia"/>
        </w:rPr>
        <w:t>基金基金</w:t>
      </w:r>
      <w:proofErr w:type="gramEnd"/>
      <w:r>
        <w:rPr>
          <w:rFonts w:hAnsi="宋体" w:cs="Times New Roman" w:hint="eastAsia"/>
        </w:rPr>
        <w:t>份额余额时，基金管理人自动将该基金份额持有人的基金份额未付收益一并结算并与</w:t>
      </w:r>
      <w:proofErr w:type="gramStart"/>
      <w:r>
        <w:rPr>
          <w:rFonts w:hAnsi="宋体" w:cs="Times New Roman" w:hint="eastAsia"/>
        </w:rPr>
        <w:t>赎回款</w:t>
      </w:r>
      <w:proofErr w:type="gramEnd"/>
      <w:r>
        <w:rPr>
          <w:rFonts w:hAnsi="宋体" w:cs="Times New Roman" w:hint="eastAsia"/>
        </w:rPr>
        <w:t xml:space="preserve">一起支付给该基金份额持有人。赎回金额计算方法如下： </w:t>
      </w:r>
    </w:p>
    <w:p w14:paraId="27B01FDD" w14:textId="77777777" w:rsidR="00566744" w:rsidRDefault="00000000">
      <w:pPr>
        <w:pStyle w:val="Default"/>
        <w:spacing w:line="360" w:lineRule="auto"/>
        <w:ind w:firstLineChars="177" w:firstLine="425"/>
        <w:rPr>
          <w:rFonts w:hAnsi="宋体" w:cs="Times New Roman" w:hint="eastAsia"/>
        </w:rPr>
      </w:pPr>
      <w:r>
        <w:rPr>
          <w:rFonts w:hAnsi="宋体" w:cs="Times New Roman" w:hint="eastAsia"/>
        </w:rPr>
        <w:t>赎回金额=赎回份额×1.00 + 赎回份额对应的未付收益</w:t>
      </w:r>
    </w:p>
    <w:p w14:paraId="2AC31D4E" w14:textId="77777777" w:rsidR="00566744" w:rsidRDefault="00000000">
      <w:pPr>
        <w:pStyle w:val="Default"/>
        <w:spacing w:line="360" w:lineRule="auto"/>
        <w:ind w:firstLineChars="177" w:firstLine="425"/>
        <w:rPr>
          <w:rFonts w:hAnsi="宋体" w:cs="Times New Roman" w:hint="eastAsia"/>
        </w:rPr>
      </w:pPr>
      <w:r>
        <w:rPr>
          <w:rFonts w:hAnsi="宋体" w:cs="Times New Roman" w:hint="eastAsia"/>
        </w:rPr>
        <w:t>赎回金额计算结果保留到小数点后两位，小数点后两位以后的部分四舍五入，由此产生的收益或损失由基金财产承担。</w:t>
      </w:r>
    </w:p>
    <w:p w14:paraId="1A47FFC5" w14:textId="77777777" w:rsidR="00566744" w:rsidRDefault="00000000">
      <w:pPr>
        <w:pStyle w:val="Default"/>
        <w:spacing w:line="360" w:lineRule="auto"/>
        <w:ind w:firstLineChars="177" w:firstLine="425"/>
        <w:rPr>
          <w:rFonts w:hAnsi="宋体" w:cs="Times New Roman" w:hint="eastAsia"/>
        </w:rPr>
      </w:pPr>
      <w:r>
        <w:rPr>
          <w:rFonts w:hAnsi="宋体" w:cs="Times New Roman" w:hint="eastAsia"/>
        </w:rPr>
        <w:t>例：假定某投资者在T日所持有的</w:t>
      </w:r>
      <w:r>
        <w:rPr>
          <w:rFonts w:hAnsi="宋体" w:hint="eastAsia"/>
        </w:rPr>
        <w:t>A类</w:t>
      </w:r>
      <w:r>
        <w:rPr>
          <w:rFonts w:hAnsi="宋体"/>
        </w:rPr>
        <w:t>基金份额</w:t>
      </w:r>
      <w:r>
        <w:rPr>
          <w:rFonts w:hAnsi="宋体" w:cs="Times New Roman" w:hint="eastAsia"/>
        </w:rPr>
        <w:t>为100,000份</w:t>
      </w:r>
      <w:r>
        <w:rPr>
          <w:rFonts w:hAnsi="宋体" w:hint="eastAsia"/>
        </w:rPr>
        <w:t>A类</w:t>
      </w:r>
      <w:r>
        <w:rPr>
          <w:rFonts w:hAnsi="宋体"/>
        </w:rPr>
        <w:t>基金份额</w:t>
      </w:r>
      <w:r>
        <w:rPr>
          <w:rFonts w:hAnsi="宋体" w:cs="Times New Roman" w:hint="eastAsia"/>
        </w:rPr>
        <w:t>，对应的未付收益为100 元，该投资者申请全部赎回持有的</w:t>
      </w:r>
      <w:r>
        <w:rPr>
          <w:rFonts w:hAnsi="宋体" w:hint="eastAsia"/>
        </w:rPr>
        <w:t>A类</w:t>
      </w:r>
      <w:r>
        <w:rPr>
          <w:rFonts w:hAnsi="宋体"/>
        </w:rPr>
        <w:t>基金份额</w:t>
      </w:r>
      <w:r>
        <w:rPr>
          <w:rFonts w:hAnsi="宋体" w:cs="Times New Roman" w:hint="eastAsia"/>
        </w:rPr>
        <w:t>，则其可得到的赎回金额为：</w:t>
      </w:r>
    </w:p>
    <w:p w14:paraId="572BF884" w14:textId="77777777" w:rsidR="00566744" w:rsidRDefault="00000000">
      <w:pPr>
        <w:pStyle w:val="Default"/>
        <w:spacing w:line="360" w:lineRule="auto"/>
        <w:ind w:firstLineChars="177" w:firstLine="425"/>
        <w:rPr>
          <w:rFonts w:hAnsi="宋体" w:cs="Times New Roman" w:hint="eastAsia"/>
        </w:rPr>
      </w:pPr>
      <w:r>
        <w:rPr>
          <w:rFonts w:hAnsi="宋体" w:cs="Times New Roman" w:hint="eastAsia"/>
        </w:rPr>
        <w:t>赎回金额=100,000×1.00 + 100.00=100,100.00元</w:t>
      </w:r>
    </w:p>
    <w:p w14:paraId="4CE9B286" w14:textId="77777777" w:rsidR="00566744" w:rsidRDefault="00000000">
      <w:pPr>
        <w:pStyle w:val="Default"/>
        <w:spacing w:line="360" w:lineRule="auto"/>
        <w:ind w:firstLineChars="177" w:firstLine="425"/>
      </w:pPr>
      <w:r>
        <w:rPr>
          <w:rFonts w:hAnsi="宋体" w:cs="Times New Roman" w:hint="eastAsia"/>
        </w:rPr>
        <w:t>即该投资者赎回100,000份本基金</w:t>
      </w:r>
      <w:r>
        <w:rPr>
          <w:rFonts w:hAnsi="宋体" w:hint="eastAsia"/>
        </w:rPr>
        <w:t>A类</w:t>
      </w:r>
      <w:r>
        <w:rPr>
          <w:rFonts w:hAnsi="宋体"/>
        </w:rPr>
        <w:t>基金份额</w:t>
      </w:r>
      <w:r>
        <w:rPr>
          <w:rFonts w:hAnsi="宋体" w:cs="Times New Roman" w:hint="eastAsia"/>
        </w:rPr>
        <w:t>，则其可得到的赎回金额为</w:t>
      </w:r>
      <w:r>
        <w:rPr>
          <w:rFonts w:hAnsi="宋体" w:cs="Times New Roman" w:hint="eastAsia"/>
        </w:rPr>
        <w:lastRenderedPageBreak/>
        <w:t>100,100元。</w:t>
      </w:r>
    </w:p>
    <w:p w14:paraId="3C729EF7"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（七）拒绝或暂停申购的情形</w:t>
      </w:r>
    </w:p>
    <w:p w14:paraId="14492CDF"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发生下列情况时，基金管理人可拒绝或暂停接受投资人的申购申请：</w:t>
      </w:r>
    </w:p>
    <w:p w14:paraId="564B10E5"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1、因不可抗力导致基金无法正常运作；</w:t>
      </w:r>
    </w:p>
    <w:p w14:paraId="18D40FA3"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2、发生基金合同规定的暂停基金资产估值情况时，基金管理人可暂停接受投资人的申购申请；</w:t>
      </w:r>
    </w:p>
    <w:p w14:paraId="1A68B004"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3、证券交易所交易时间非正常停市，导致基金管理人无法计算当日基金资产净值；</w:t>
      </w:r>
    </w:p>
    <w:p w14:paraId="3D354E17" w14:textId="77777777" w:rsidR="00566744" w:rsidRDefault="00000000">
      <w:pPr>
        <w:spacing w:line="360" w:lineRule="auto"/>
        <w:ind w:firstLineChars="200" w:firstLine="480"/>
        <w:rPr>
          <w:rFonts w:ascii="宋体" w:hAnsi="宋体" w:hint="eastAsia"/>
          <w:bCs/>
          <w:color w:val="000000"/>
          <w:kern w:val="0"/>
          <w:sz w:val="24"/>
        </w:rPr>
      </w:pPr>
      <w:r>
        <w:rPr>
          <w:rFonts w:ascii="宋体" w:hAnsi="宋体" w:hint="eastAsia"/>
          <w:bCs/>
          <w:color w:val="000000"/>
          <w:kern w:val="0"/>
          <w:sz w:val="24"/>
        </w:rPr>
        <w:t>4、本基金出现当日已实现收益或累计未分配已实现收益小于零的情形，为保护持有人的利益，基金管理人将暂停本基金的申购；</w:t>
      </w:r>
    </w:p>
    <w:p w14:paraId="41018A84" w14:textId="77777777" w:rsidR="00566744" w:rsidRDefault="00000000">
      <w:pPr>
        <w:spacing w:line="360" w:lineRule="auto"/>
        <w:ind w:firstLineChars="200" w:firstLine="480"/>
        <w:rPr>
          <w:rFonts w:ascii="宋体" w:hAnsi="宋体" w:hint="eastAsia"/>
          <w:bCs/>
          <w:color w:val="000000"/>
          <w:kern w:val="0"/>
          <w:sz w:val="24"/>
        </w:rPr>
      </w:pPr>
      <w:r>
        <w:rPr>
          <w:rFonts w:ascii="宋体" w:hAnsi="宋体" w:hint="eastAsia"/>
          <w:bCs/>
          <w:color w:val="000000"/>
          <w:kern w:val="0"/>
          <w:sz w:val="24"/>
        </w:rPr>
        <w:t xml:space="preserve">5、申购达到基金管理人设定的数额限制； </w:t>
      </w:r>
    </w:p>
    <w:p w14:paraId="732BD2B3" w14:textId="77777777" w:rsidR="00566744" w:rsidRDefault="00000000">
      <w:pPr>
        <w:spacing w:line="360" w:lineRule="auto"/>
        <w:ind w:firstLineChars="200" w:firstLine="480"/>
        <w:rPr>
          <w:rFonts w:ascii="宋体" w:hAnsi="宋体" w:hint="eastAsia"/>
          <w:bCs/>
          <w:color w:val="000000"/>
          <w:kern w:val="0"/>
          <w:sz w:val="24"/>
        </w:rPr>
      </w:pPr>
      <w:r>
        <w:rPr>
          <w:rFonts w:ascii="宋体" w:hAnsi="宋体" w:hint="eastAsia"/>
          <w:bCs/>
          <w:color w:val="000000"/>
          <w:kern w:val="0"/>
          <w:sz w:val="24"/>
        </w:rPr>
        <w:t>6、某笔申购超过基金管理人公告的单笔申购上限；</w:t>
      </w:r>
    </w:p>
    <w:p w14:paraId="733F1AAE"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7、接受某笔或某些申购申请可能会影响或损害现有基金份额持有人利益时；</w:t>
      </w:r>
    </w:p>
    <w:p w14:paraId="56EF7694"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8、基金资产规模过大，使基金管理人无法找到合适的投资品种，或其他可能对基金业绩产生负面影响，或发生其他损害现有基金份额持有人利益的情形；</w:t>
      </w:r>
    </w:p>
    <w:p w14:paraId="3BA4DEDD"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9、销售机构、登记机构因异常情况无法正常办理申购业务；</w:t>
      </w:r>
    </w:p>
    <w:p w14:paraId="3F06889F"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10、当影子定价确定的基金资产净值与摊</w:t>
      </w:r>
      <w:proofErr w:type="gramStart"/>
      <w:r>
        <w:rPr>
          <w:rFonts w:ascii="宋体" w:hAnsi="宋体" w:hint="eastAsia"/>
          <w:color w:val="000000"/>
          <w:kern w:val="0"/>
          <w:sz w:val="24"/>
        </w:rPr>
        <w:t>余成本</w:t>
      </w:r>
      <w:proofErr w:type="gramEnd"/>
      <w:r>
        <w:rPr>
          <w:rFonts w:ascii="宋体" w:hAnsi="宋体" w:hint="eastAsia"/>
          <w:color w:val="000000"/>
          <w:kern w:val="0"/>
          <w:sz w:val="24"/>
        </w:rPr>
        <w:t>法计算的基金资产净值的正偏离度绝对值达到0.5%时；</w:t>
      </w:r>
    </w:p>
    <w:p w14:paraId="78B40869" w14:textId="77777777" w:rsidR="00566744" w:rsidRDefault="00000000">
      <w:pPr>
        <w:spacing w:line="360" w:lineRule="auto"/>
        <w:ind w:firstLineChars="200" w:firstLine="480"/>
        <w:rPr>
          <w:kern w:val="0"/>
          <w:sz w:val="24"/>
        </w:rPr>
      </w:pPr>
      <w:r>
        <w:rPr>
          <w:rFonts w:ascii="宋体" w:hAnsi="宋体" w:hint="eastAsia"/>
          <w:color w:val="000000"/>
          <w:kern w:val="0"/>
          <w:sz w:val="24"/>
        </w:rPr>
        <w:t>11、</w:t>
      </w:r>
      <w:r>
        <w:rPr>
          <w:rFonts w:hint="eastAsia"/>
          <w:kern w:val="0"/>
          <w:sz w:val="24"/>
        </w:rPr>
        <w:t>基金管理人接受某笔或者某些申购申请有可能导致单一投资者持有基金份额的比例达到或者超过</w:t>
      </w:r>
      <w:r>
        <w:rPr>
          <w:kern w:val="0"/>
          <w:sz w:val="24"/>
        </w:rPr>
        <w:t>50%</w:t>
      </w:r>
      <w:r>
        <w:rPr>
          <w:rFonts w:hint="eastAsia"/>
          <w:kern w:val="0"/>
          <w:sz w:val="24"/>
        </w:rPr>
        <w:t>，或者变相规避</w:t>
      </w:r>
      <w:r>
        <w:rPr>
          <w:kern w:val="0"/>
          <w:sz w:val="24"/>
        </w:rPr>
        <w:t>50%</w:t>
      </w:r>
      <w:r>
        <w:rPr>
          <w:rFonts w:hint="eastAsia"/>
          <w:kern w:val="0"/>
          <w:sz w:val="24"/>
        </w:rPr>
        <w:t>集中度的情形时。</w:t>
      </w:r>
    </w:p>
    <w:p w14:paraId="2DB39D61" w14:textId="77777777" w:rsidR="00566744" w:rsidRDefault="00000000">
      <w:pPr>
        <w:spacing w:line="360" w:lineRule="auto"/>
        <w:ind w:firstLineChars="200" w:firstLine="480"/>
        <w:rPr>
          <w:rFonts w:ascii="宋体" w:hAnsi="宋体" w:hint="eastAsia"/>
          <w:kern w:val="0"/>
          <w:sz w:val="24"/>
        </w:rPr>
      </w:pPr>
      <w:r>
        <w:rPr>
          <w:rFonts w:ascii="宋体" w:hAnsi="宋体" w:hint="eastAsia"/>
          <w:kern w:val="0"/>
          <w:sz w:val="24"/>
        </w:rPr>
        <w:t>12、当前一估值日基金资产净值</w:t>
      </w:r>
      <w:r>
        <w:rPr>
          <w:rFonts w:ascii="宋体" w:hAnsi="宋体"/>
          <w:kern w:val="0"/>
          <w:sz w:val="24"/>
        </w:rPr>
        <w:t>50%</w:t>
      </w:r>
      <w:r>
        <w:rPr>
          <w:rFonts w:ascii="宋体" w:hAnsi="宋体" w:hint="eastAsia"/>
          <w:kern w:val="0"/>
          <w:sz w:val="24"/>
        </w:rPr>
        <w:t>以上的资产出现无可参考的活跃市场价格且采用估值技术</w:t>
      </w:r>
      <w:proofErr w:type="gramStart"/>
      <w:r>
        <w:rPr>
          <w:rFonts w:ascii="宋体" w:hAnsi="宋体" w:hint="eastAsia"/>
          <w:kern w:val="0"/>
          <w:sz w:val="24"/>
        </w:rPr>
        <w:t>仍导致</w:t>
      </w:r>
      <w:proofErr w:type="gramEnd"/>
      <w:r>
        <w:rPr>
          <w:rFonts w:ascii="宋体" w:hAnsi="宋体" w:hint="eastAsia"/>
          <w:kern w:val="0"/>
          <w:sz w:val="24"/>
        </w:rPr>
        <w:t>公允价值存在重大不确定性时，经与基金托管人协商确认后，基金管理人应当暂停基金估值并采取暂停接受基金申购申请的措施。</w:t>
      </w:r>
    </w:p>
    <w:p w14:paraId="5EA9682E"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13、法律法规规定或中国证监会认定的其他情形。</w:t>
      </w:r>
    </w:p>
    <w:p w14:paraId="240E93AA" w14:textId="77777777" w:rsidR="00566744" w:rsidRDefault="00000000">
      <w:pPr>
        <w:spacing w:line="360" w:lineRule="auto"/>
        <w:ind w:firstLineChars="200" w:firstLine="480"/>
        <w:rPr>
          <w:rFonts w:ascii="宋体" w:hAnsi="宋体" w:hint="eastAsia"/>
          <w:kern w:val="0"/>
          <w:sz w:val="24"/>
        </w:rPr>
      </w:pPr>
      <w:r>
        <w:rPr>
          <w:rFonts w:ascii="宋体" w:hAnsi="宋体" w:hint="eastAsia"/>
          <w:kern w:val="0"/>
          <w:sz w:val="24"/>
        </w:rPr>
        <w:t>发生上述第</w:t>
      </w:r>
      <w:r>
        <w:rPr>
          <w:rFonts w:ascii="宋体" w:hAnsi="宋体"/>
          <w:kern w:val="0"/>
          <w:sz w:val="24"/>
        </w:rPr>
        <w:t>1</w:t>
      </w:r>
      <w:r>
        <w:rPr>
          <w:rFonts w:ascii="宋体" w:hAnsi="宋体" w:hint="eastAsia"/>
          <w:kern w:val="0"/>
          <w:sz w:val="24"/>
        </w:rPr>
        <w:t>、</w:t>
      </w:r>
      <w:r>
        <w:rPr>
          <w:rFonts w:ascii="宋体" w:hAnsi="宋体"/>
          <w:kern w:val="0"/>
          <w:sz w:val="24"/>
        </w:rPr>
        <w:t>2</w:t>
      </w:r>
      <w:r>
        <w:rPr>
          <w:rFonts w:ascii="宋体" w:hAnsi="宋体" w:hint="eastAsia"/>
          <w:kern w:val="0"/>
          <w:sz w:val="24"/>
        </w:rPr>
        <w:t>、</w:t>
      </w:r>
      <w:r>
        <w:rPr>
          <w:rFonts w:ascii="宋体" w:hAnsi="宋体"/>
          <w:kern w:val="0"/>
          <w:sz w:val="24"/>
        </w:rPr>
        <w:t>3</w:t>
      </w:r>
      <w:r>
        <w:rPr>
          <w:rFonts w:ascii="宋体" w:hAnsi="宋体" w:hint="eastAsia"/>
          <w:kern w:val="0"/>
          <w:sz w:val="24"/>
        </w:rPr>
        <w:t>、</w:t>
      </w:r>
      <w:r>
        <w:rPr>
          <w:rFonts w:ascii="宋体" w:hAnsi="宋体"/>
          <w:kern w:val="0"/>
          <w:sz w:val="24"/>
        </w:rPr>
        <w:t>4</w:t>
      </w:r>
      <w:r>
        <w:rPr>
          <w:rFonts w:ascii="宋体" w:hAnsi="宋体" w:hint="eastAsia"/>
          <w:kern w:val="0"/>
          <w:sz w:val="24"/>
        </w:rPr>
        <w:t>、</w:t>
      </w:r>
      <w:r>
        <w:rPr>
          <w:rFonts w:ascii="宋体" w:hAnsi="宋体"/>
          <w:kern w:val="0"/>
          <w:sz w:val="24"/>
        </w:rPr>
        <w:t>8</w:t>
      </w:r>
      <w:r>
        <w:rPr>
          <w:rFonts w:ascii="宋体" w:hAnsi="宋体" w:hint="eastAsia"/>
          <w:kern w:val="0"/>
          <w:sz w:val="24"/>
        </w:rPr>
        <w:t>、</w:t>
      </w:r>
      <w:r>
        <w:rPr>
          <w:rFonts w:ascii="宋体" w:hAnsi="宋体"/>
          <w:kern w:val="0"/>
          <w:sz w:val="24"/>
        </w:rPr>
        <w:t>9</w:t>
      </w:r>
      <w:r>
        <w:rPr>
          <w:rFonts w:ascii="宋体" w:hAnsi="宋体" w:hint="eastAsia"/>
          <w:kern w:val="0"/>
          <w:sz w:val="24"/>
        </w:rPr>
        <w:t>、</w:t>
      </w:r>
      <w:r>
        <w:rPr>
          <w:rFonts w:ascii="宋体" w:hAnsi="宋体"/>
          <w:kern w:val="0"/>
          <w:sz w:val="24"/>
        </w:rPr>
        <w:t>10</w:t>
      </w:r>
      <w:r>
        <w:rPr>
          <w:rFonts w:ascii="宋体" w:hAnsi="宋体" w:hint="eastAsia"/>
          <w:kern w:val="0"/>
          <w:sz w:val="24"/>
        </w:rPr>
        <w:t>、</w:t>
      </w:r>
      <w:r>
        <w:rPr>
          <w:rFonts w:ascii="宋体" w:hAnsi="宋体"/>
          <w:kern w:val="0"/>
          <w:sz w:val="24"/>
        </w:rPr>
        <w:t>12</w:t>
      </w:r>
      <w:r>
        <w:rPr>
          <w:rFonts w:ascii="宋体" w:hAnsi="宋体" w:hint="eastAsia"/>
          <w:kern w:val="0"/>
          <w:sz w:val="24"/>
        </w:rPr>
        <w:t>、</w:t>
      </w:r>
      <w:r>
        <w:rPr>
          <w:rFonts w:ascii="宋体" w:hAnsi="宋体"/>
          <w:kern w:val="0"/>
          <w:sz w:val="24"/>
        </w:rPr>
        <w:t>13</w:t>
      </w:r>
      <w:r>
        <w:rPr>
          <w:rFonts w:ascii="宋体" w:hAnsi="宋体" w:hint="eastAsia"/>
          <w:kern w:val="0"/>
          <w:sz w:val="24"/>
        </w:rPr>
        <w:t>项暂停申购情形之一</w:t>
      </w:r>
      <w:proofErr w:type="gramStart"/>
      <w:r>
        <w:rPr>
          <w:rFonts w:ascii="宋体" w:hAnsi="宋体" w:hint="eastAsia"/>
          <w:kern w:val="0"/>
          <w:sz w:val="24"/>
        </w:rPr>
        <w:t>且基金</w:t>
      </w:r>
      <w:proofErr w:type="gramEnd"/>
      <w:r>
        <w:rPr>
          <w:rFonts w:ascii="宋体" w:hAnsi="宋体" w:hint="eastAsia"/>
          <w:kern w:val="0"/>
          <w:sz w:val="24"/>
        </w:rPr>
        <w:t>管理人决定暂停申购时，基金管理人应当根据有关规定在指定媒介上刊登暂停申购公告。如果投资人的申购申请被拒绝，被拒绝的申购款项将退还给投资人。在暂停申购的情况消除时，基金管理人应及时恢复申购业务的办理。</w:t>
      </w:r>
    </w:p>
    <w:p w14:paraId="5E43AA43"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lastRenderedPageBreak/>
        <w:t>（八）暂停赎回或延缓支付赎回款项的情形</w:t>
      </w:r>
    </w:p>
    <w:p w14:paraId="64E7AD72"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发生下列情形时，基金管理人可暂停接受投资人的赎回申请或延缓支付赎回款项：</w:t>
      </w:r>
    </w:p>
    <w:p w14:paraId="26F5D7D7"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1、因不可抗力导致基金管理人无法支付赎回款项；</w:t>
      </w:r>
    </w:p>
    <w:p w14:paraId="40661C63"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2、发生基金合同规定的暂停基金资产估值情况；</w:t>
      </w:r>
    </w:p>
    <w:p w14:paraId="285BCE2B"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3、证券交易所交易时间非正常停市，导致基金管理人无法计算当日基金资产净值；</w:t>
      </w:r>
    </w:p>
    <w:p w14:paraId="6501170B"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4、连续两个或两个以上开放日发生巨额赎回；</w:t>
      </w:r>
    </w:p>
    <w:p w14:paraId="75DDEF83"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5、继续接受赎回可能会影响或损害基金份额持有人利益的情形时</w:t>
      </w:r>
      <w:r>
        <w:rPr>
          <w:rFonts w:ascii="宋体" w:hAnsi="宋体"/>
          <w:color w:val="000000"/>
          <w:kern w:val="0"/>
          <w:sz w:val="24"/>
        </w:rPr>
        <w:t>；</w:t>
      </w:r>
    </w:p>
    <w:p w14:paraId="5E3A71B8" w14:textId="77777777" w:rsidR="00566744" w:rsidRDefault="00000000">
      <w:pPr>
        <w:spacing w:line="360" w:lineRule="auto"/>
        <w:ind w:firstLineChars="177" w:firstLine="425"/>
        <w:rPr>
          <w:rFonts w:ascii="宋体" w:hAnsi="宋体" w:hint="eastAsia"/>
          <w:bCs/>
          <w:color w:val="000000"/>
          <w:kern w:val="0"/>
          <w:sz w:val="24"/>
        </w:rPr>
      </w:pPr>
      <w:r>
        <w:rPr>
          <w:rFonts w:ascii="宋体" w:hAnsi="宋体" w:hint="eastAsia"/>
          <w:bCs/>
          <w:color w:val="000000"/>
          <w:kern w:val="0"/>
          <w:sz w:val="24"/>
        </w:rPr>
        <w:t>6、本基金出现当日已实现收益或累计未分配已实现收益小于零的情形，为保护基金份额持有人的利益，基金管理人可暂停本基金的赎回；</w:t>
      </w:r>
    </w:p>
    <w:p w14:paraId="032986E0" w14:textId="77777777" w:rsidR="00566744" w:rsidRDefault="00000000">
      <w:pPr>
        <w:spacing w:line="360" w:lineRule="auto"/>
        <w:ind w:firstLineChars="177" w:firstLine="425"/>
        <w:rPr>
          <w:rFonts w:ascii="宋体" w:hAnsi="宋体" w:hint="eastAsia"/>
          <w:bCs/>
          <w:color w:val="000000"/>
          <w:kern w:val="0"/>
          <w:sz w:val="24"/>
        </w:rPr>
      </w:pPr>
      <w:r>
        <w:rPr>
          <w:rFonts w:ascii="宋体" w:hAnsi="宋体"/>
          <w:bCs/>
          <w:color w:val="000000"/>
          <w:kern w:val="0"/>
          <w:sz w:val="24"/>
        </w:rPr>
        <w:t>7</w:t>
      </w:r>
      <w:r>
        <w:rPr>
          <w:rFonts w:ascii="宋体" w:hAnsi="宋体" w:hint="eastAsia"/>
          <w:bCs/>
          <w:color w:val="000000"/>
          <w:kern w:val="0"/>
          <w:sz w:val="24"/>
        </w:rPr>
        <w:t xml:space="preserve">、当日赎回申请达到基金管理人设定的数额限制； </w:t>
      </w:r>
    </w:p>
    <w:p w14:paraId="6B27E97B" w14:textId="77777777" w:rsidR="00566744" w:rsidRDefault="00000000">
      <w:pPr>
        <w:spacing w:line="360" w:lineRule="auto"/>
        <w:ind w:firstLineChars="177" w:firstLine="425"/>
        <w:rPr>
          <w:rFonts w:ascii="宋体" w:hAnsi="宋体" w:hint="eastAsia"/>
          <w:bCs/>
          <w:color w:val="000000"/>
          <w:kern w:val="0"/>
          <w:sz w:val="24"/>
        </w:rPr>
      </w:pPr>
      <w:r>
        <w:rPr>
          <w:rFonts w:ascii="宋体" w:hAnsi="宋体"/>
          <w:bCs/>
          <w:color w:val="000000"/>
          <w:kern w:val="0"/>
          <w:sz w:val="24"/>
        </w:rPr>
        <w:t>8</w:t>
      </w:r>
      <w:r>
        <w:rPr>
          <w:rFonts w:ascii="宋体" w:hAnsi="宋体" w:hint="eastAsia"/>
          <w:bCs/>
          <w:color w:val="000000"/>
          <w:kern w:val="0"/>
          <w:sz w:val="24"/>
        </w:rPr>
        <w:t>、当影子定价确定的基金资产净值与摊</w:t>
      </w:r>
      <w:proofErr w:type="gramStart"/>
      <w:r>
        <w:rPr>
          <w:rFonts w:ascii="宋体" w:hAnsi="宋体" w:hint="eastAsia"/>
          <w:bCs/>
          <w:color w:val="000000"/>
          <w:kern w:val="0"/>
          <w:sz w:val="24"/>
        </w:rPr>
        <w:t>余成本</w:t>
      </w:r>
      <w:proofErr w:type="gramEnd"/>
      <w:r>
        <w:rPr>
          <w:rFonts w:ascii="宋体" w:hAnsi="宋体" w:hint="eastAsia"/>
          <w:bCs/>
          <w:color w:val="000000"/>
          <w:kern w:val="0"/>
          <w:sz w:val="24"/>
        </w:rPr>
        <w:t>法计算的基金资产净值的负偏离度绝对值连续两个交易日超过0.5%时，基金管理人决定履行适当程序终止基金合同的；</w:t>
      </w:r>
    </w:p>
    <w:p w14:paraId="75351708" w14:textId="77777777" w:rsidR="00566744" w:rsidRDefault="00000000">
      <w:pPr>
        <w:spacing w:line="360" w:lineRule="auto"/>
        <w:ind w:firstLineChars="177" w:firstLine="425"/>
        <w:rPr>
          <w:rFonts w:ascii="宋体" w:hAnsi="宋体" w:hint="eastAsia"/>
          <w:bCs/>
          <w:color w:val="000000"/>
          <w:kern w:val="0"/>
          <w:sz w:val="24"/>
        </w:rPr>
      </w:pPr>
      <w:r>
        <w:rPr>
          <w:rFonts w:ascii="宋体" w:hAnsi="宋体" w:hint="eastAsia"/>
          <w:bCs/>
          <w:color w:val="000000"/>
          <w:kern w:val="0"/>
          <w:sz w:val="24"/>
        </w:rPr>
        <w:t>9、</w:t>
      </w:r>
      <w:r>
        <w:rPr>
          <w:rFonts w:hint="eastAsia"/>
          <w:kern w:val="0"/>
          <w:sz w:val="24"/>
        </w:rPr>
        <w:t>当前一估值日基金资产净值</w:t>
      </w:r>
      <w:r>
        <w:rPr>
          <w:kern w:val="0"/>
          <w:sz w:val="24"/>
        </w:rPr>
        <w:t>50%</w:t>
      </w:r>
      <w:r>
        <w:rPr>
          <w:rFonts w:hint="eastAsia"/>
          <w:kern w:val="0"/>
          <w:sz w:val="24"/>
        </w:rPr>
        <w:t>以上的资产出现无可参考的活跃市场价格且采用估值技术</w:t>
      </w:r>
      <w:proofErr w:type="gramStart"/>
      <w:r>
        <w:rPr>
          <w:rFonts w:hint="eastAsia"/>
          <w:kern w:val="0"/>
          <w:sz w:val="24"/>
        </w:rPr>
        <w:t>仍导致</w:t>
      </w:r>
      <w:proofErr w:type="gramEnd"/>
      <w:r>
        <w:rPr>
          <w:rFonts w:hint="eastAsia"/>
          <w:kern w:val="0"/>
          <w:sz w:val="24"/>
        </w:rPr>
        <w:t>公允价值存在重大不确定性时，经与基金托管人协商确认后，基金管理人应当暂停基金估值并采取延缓支付赎回款项或暂停接受基金赎回申请的措施。</w:t>
      </w:r>
    </w:p>
    <w:p w14:paraId="10C18EB6"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10、法律法规规定或中国证监会认定的其他情形。</w:t>
      </w:r>
    </w:p>
    <w:p w14:paraId="6C8C98E2" w14:textId="77777777" w:rsidR="00566744" w:rsidRDefault="00000000">
      <w:pPr>
        <w:spacing w:line="360" w:lineRule="auto"/>
        <w:ind w:firstLineChars="177" w:firstLine="425"/>
        <w:rPr>
          <w:bCs/>
          <w:sz w:val="24"/>
        </w:rPr>
      </w:pPr>
      <w:r>
        <w:rPr>
          <w:rFonts w:hint="eastAsia"/>
          <w:bCs/>
          <w:sz w:val="24"/>
        </w:rPr>
        <w:t>发生上述情形之一</w:t>
      </w:r>
      <w:proofErr w:type="gramStart"/>
      <w:r>
        <w:rPr>
          <w:rFonts w:hint="eastAsia"/>
          <w:bCs/>
          <w:sz w:val="24"/>
        </w:rPr>
        <w:t>且基金</w:t>
      </w:r>
      <w:proofErr w:type="gramEnd"/>
      <w:r>
        <w:rPr>
          <w:rFonts w:hint="eastAsia"/>
          <w:bCs/>
          <w:sz w:val="24"/>
        </w:rPr>
        <w:t>管理人决定暂停或拒绝接受基金份额持有人赎回申请时，基金管理人应在当日报中国证监会备案，已确认的赎回申请，基金管理人应足额支付；如暂时不能足额支付，应将可支付部分按单个账户申请量占申请总量的比例分配给赎回申请人，未支付部分可延期支付。若出现上述第</w:t>
      </w:r>
      <w:r>
        <w:rPr>
          <w:rFonts w:hint="eastAsia"/>
          <w:bCs/>
          <w:sz w:val="24"/>
        </w:rPr>
        <w:t>4</w:t>
      </w:r>
      <w:r>
        <w:rPr>
          <w:rFonts w:hint="eastAsia"/>
          <w:bCs/>
          <w:sz w:val="24"/>
        </w:rPr>
        <w:t>项所述情形，按基金合同的相关条款处理。基金份额持有人在申请赎回时可事先选择将当日可能未获受理部分予以撤销。在暂停赎回的情况消除时，基金管理人应及时恢复赎回业务的办理并公告。</w:t>
      </w:r>
    </w:p>
    <w:p w14:paraId="68D1FBDA" w14:textId="77777777" w:rsidR="00566744" w:rsidRDefault="00000000">
      <w:pPr>
        <w:spacing w:line="360" w:lineRule="auto"/>
        <w:ind w:firstLineChars="200" w:firstLine="480"/>
        <w:rPr>
          <w:rFonts w:ascii="宋体" w:hAnsi="宋体" w:hint="eastAsia"/>
          <w:bCs/>
          <w:color w:val="000000"/>
          <w:kern w:val="0"/>
          <w:sz w:val="24"/>
        </w:rPr>
      </w:pPr>
      <w:r>
        <w:rPr>
          <w:rFonts w:ascii="宋体" w:hAnsi="宋体" w:hint="eastAsia"/>
          <w:bCs/>
          <w:color w:val="000000"/>
          <w:kern w:val="0"/>
          <w:sz w:val="24"/>
        </w:rPr>
        <w:t>为公平对待不同类别基金份额持有人的合法权益，单个基金份额持有人在单个</w:t>
      </w:r>
      <w:r>
        <w:rPr>
          <w:rFonts w:ascii="宋体" w:hAnsi="宋体" w:hint="eastAsia"/>
          <w:bCs/>
          <w:color w:val="000000"/>
          <w:kern w:val="0"/>
          <w:sz w:val="24"/>
        </w:rPr>
        <w:lastRenderedPageBreak/>
        <w:t>开放日申请赎回基金份额超过基金总份额10%的，基金管理人可以采取延期办理部分赎回申请或者延缓支付赎回款项的措施。</w:t>
      </w:r>
    </w:p>
    <w:p w14:paraId="5AB7CDCF"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（九）巨额赎回的情形及处理方式</w:t>
      </w:r>
    </w:p>
    <w:p w14:paraId="585F6274"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1、巨额赎回的认定</w:t>
      </w:r>
    </w:p>
    <w:p w14:paraId="5E50D754" w14:textId="77777777" w:rsidR="00566744" w:rsidRDefault="00000000">
      <w:pPr>
        <w:spacing w:line="360" w:lineRule="auto"/>
        <w:ind w:firstLineChars="200" w:firstLine="480"/>
        <w:rPr>
          <w:rFonts w:ascii="宋体" w:hAnsi="宋体" w:hint="eastAsia"/>
          <w:bCs/>
          <w:sz w:val="24"/>
        </w:rPr>
      </w:pPr>
      <w:r>
        <w:rPr>
          <w:rFonts w:ascii="宋体" w:hAnsi="宋体" w:hint="eastAsia"/>
          <w:bCs/>
          <w:sz w:val="24"/>
        </w:rPr>
        <w:t>若本基金</w:t>
      </w:r>
      <w:r>
        <w:rPr>
          <w:rFonts w:ascii="宋体" w:hAnsi="宋体"/>
          <w:bCs/>
          <w:sz w:val="24"/>
        </w:rPr>
        <w:t>单个开放日内，</w:t>
      </w:r>
      <w:r>
        <w:rPr>
          <w:rFonts w:ascii="宋体" w:hAnsi="宋体" w:hint="eastAsia"/>
          <w:bCs/>
          <w:sz w:val="24"/>
        </w:rPr>
        <w:t>各类</w:t>
      </w:r>
      <w:r>
        <w:rPr>
          <w:rFonts w:ascii="宋体" w:hAnsi="宋体"/>
          <w:bCs/>
          <w:sz w:val="24"/>
        </w:rPr>
        <w:t>基金份额净赎回申请（赎回申请份额总数加上基金转换中转出申请份额</w:t>
      </w:r>
      <w:r>
        <w:rPr>
          <w:rFonts w:ascii="宋体" w:hAnsi="宋体" w:hint="eastAsia"/>
          <w:bCs/>
          <w:sz w:val="24"/>
        </w:rPr>
        <w:t>总数</w:t>
      </w:r>
      <w:r>
        <w:rPr>
          <w:rFonts w:ascii="宋体" w:hAnsi="宋体"/>
          <w:bCs/>
          <w:sz w:val="24"/>
        </w:rPr>
        <w:t>后扣除</w:t>
      </w:r>
      <w:r>
        <w:rPr>
          <w:rFonts w:ascii="宋体" w:hAnsi="宋体" w:hint="eastAsia"/>
          <w:bCs/>
          <w:sz w:val="24"/>
        </w:rPr>
        <w:t>申购</w:t>
      </w:r>
      <w:r>
        <w:rPr>
          <w:rFonts w:ascii="宋体" w:hAnsi="宋体"/>
          <w:bCs/>
          <w:sz w:val="24"/>
        </w:rPr>
        <w:t>申请</w:t>
      </w:r>
      <w:r>
        <w:rPr>
          <w:rFonts w:ascii="宋体" w:hAnsi="宋体" w:hint="eastAsia"/>
          <w:bCs/>
          <w:sz w:val="24"/>
        </w:rPr>
        <w:t>份额</w:t>
      </w:r>
      <w:r>
        <w:rPr>
          <w:rFonts w:ascii="宋体" w:hAnsi="宋体"/>
          <w:bCs/>
          <w:sz w:val="24"/>
        </w:rPr>
        <w:t>总数及基金转换中转入申请份额总数后的</w:t>
      </w:r>
      <w:r>
        <w:rPr>
          <w:rFonts w:ascii="宋体" w:hAnsi="宋体" w:hint="eastAsia"/>
          <w:bCs/>
          <w:sz w:val="24"/>
        </w:rPr>
        <w:t>余额</w:t>
      </w:r>
      <w:r>
        <w:rPr>
          <w:rFonts w:ascii="宋体" w:hAnsi="宋体"/>
          <w:bCs/>
          <w:sz w:val="24"/>
        </w:rPr>
        <w:t>）超过前一开放日的基金总份额的</w:t>
      </w:r>
      <w:r>
        <w:rPr>
          <w:rFonts w:ascii="宋体" w:hAnsi="宋体" w:hint="eastAsia"/>
          <w:bCs/>
          <w:sz w:val="24"/>
        </w:rPr>
        <w:t>10</w:t>
      </w:r>
      <w:r>
        <w:rPr>
          <w:rFonts w:ascii="宋体" w:hAnsi="宋体"/>
          <w:bCs/>
          <w:sz w:val="24"/>
        </w:rPr>
        <w:t>%，即认为</w:t>
      </w:r>
      <w:r>
        <w:rPr>
          <w:rFonts w:ascii="宋体" w:hAnsi="宋体" w:hint="eastAsia"/>
          <w:bCs/>
          <w:sz w:val="24"/>
        </w:rPr>
        <w:t>各类</w:t>
      </w:r>
      <w:r>
        <w:rPr>
          <w:rFonts w:ascii="宋体" w:hAnsi="宋体"/>
          <w:bCs/>
          <w:sz w:val="24"/>
        </w:rPr>
        <w:t>基金份额发生了</w:t>
      </w:r>
      <w:r>
        <w:rPr>
          <w:rFonts w:ascii="宋体" w:hAnsi="宋体" w:hint="eastAsia"/>
          <w:bCs/>
          <w:sz w:val="24"/>
        </w:rPr>
        <w:t>巨额</w:t>
      </w:r>
      <w:r>
        <w:rPr>
          <w:rFonts w:ascii="宋体" w:hAnsi="宋体"/>
          <w:bCs/>
          <w:sz w:val="24"/>
        </w:rPr>
        <w:t>赎回。</w:t>
      </w:r>
    </w:p>
    <w:p w14:paraId="5E618D87"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2、</w:t>
      </w:r>
      <w:r>
        <w:rPr>
          <w:rFonts w:ascii="宋体" w:hAnsi="宋体" w:hint="eastAsia"/>
          <w:bCs/>
          <w:sz w:val="24"/>
        </w:rPr>
        <w:t>各类</w:t>
      </w:r>
      <w:r>
        <w:rPr>
          <w:rFonts w:ascii="宋体" w:hAnsi="宋体"/>
          <w:bCs/>
          <w:sz w:val="24"/>
        </w:rPr>
        <w:t>基金份额</w:t>
      </w:r>
      <w:r>
        <w:rPr>
          <w:rFonts w:ascii="宋体" w:hAnsi="宋体" w:hint="eastAsia"/>
          <w:color w:val="000000"/>
          <w:kern w:val="0"/>
          <w:sz w:val="24"/>
        </w:rPr>
        <w:t>巨额赎回的处理方式</w:t>
      </w:r>
    </w:p>
    <w:p w14:paraId="5F7F4FFA" w14:textId="77777777" w:rsidR="00566744" w:rsidRDefault="00000000">
      <w:pPr>
        <w:spacing w:line="360" w:lineRule="auto"/>
        <w:ind w:firstLineChars="200" w:firstLine="480"/>
        <w:rPr>
          <w:bCs/>
          <w:sz w:val="24"/>
          <w:szCs w:val="20"/>
        </w:rPr>
      </w:pPr>
      <w:r>
        <w:rPr>
          <w:bCs/>
          <w:sz w:val="24"/>
          <w:szCs w:val="20"/>
        </w:rPr>
        <w:t>当</w:t>
      </w:r>
      <w:r>
        <w:rPr>
          <w:rFonts w:ascii="宋体" w:hAnsi="宋体" w:hint="eastAsia"/>
          <w:bCs/>
          <w:sz w:val="24"/>
        </w:rPr>
        <w:t>各类</w:t>
      </w:r>
      <w:r>
        <w:rPr>
          <w:bCs/>
          <w:sz w:val="24"/>
          <w:szCs w:val="20"/>
        </w:rPr>
        <w:t>基金</w:t>
      </w:r>
      <w:r>
        <w:rPr>
          <w:rFonts w:hint="eastAsia"/>
          <w:bCs/>
          <w:sz w:val="24"/>
          <w:szCs w:val="20"/>
        </w:rPr>
        <w:t>份额</w:t>
      </w:r>
      <w:r>
        <w:rPr>
          <w:bCs/>
          <w:sz w:val="24"/>
          <w:szCs w:val="20"/>
        </w:rPr>
        <w:t>出现巨额赎回时，基金管理人可以根据基金当时的资产组合状况决定全额赎回或部分延期赎回。</w:t>
      </w:r>
    </w:p>
    <w:p w14:paraId="322C2527"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（1）全额赎回：当基金管理人认为有能力支付投资人的全部</w:t>
      </w:r>
      <w:r>
        <w:rPr>
          <w:rFonts w:ascii="宋体" w:hAnsi="宋体" w:hint="eastAsia"/>
          <w:bCs/>
          <w:sz w:val="24"/>
        </w:rPr>
        <w:t>各类</w:t>
      </w:r>
      <w:r>
        <w:rPr>
          <w:rFonts w:ascii="宋体" w:hAnsi="宋体"/>
          <w:color w:val="000000"/>
          <w:kern w:val="0"/>
          <w:sz w:val="24"/>
        </w:rPr>
        <w:t>基金份额</w:t>
      </w:r>
      <w:r>
        <w:rPr>
          <w:rFonts w:ascii="宋体" w:hAnsi="宋体" w:hint="eastAsia"/>
          <w:color w:val="000000"/>
          <w:kern w:val="0"/>
          <w:sz w:val="24"/>
        </w:rPr>
        <w:t>赎回申请时，按正常赎回程序执行。</w:t>
      </w:r>
    </w:p>
    <w:p w14:paraId="629A2242" w14:textId="77777777" w:rsidR="00566744" w:rsidRDefault="00000000">
      <w:pPr>
        <w:spacing w:line="360" w:lineRule="auto"/>
        <w:ind w:firstLineChars="200" w:firstLine="480"/>
        <w:rPr>
          <w:rFonts w:asciiTheme="minorEastAsia" w:eastAsiaTheme="minorEastAsia" w:hAnsiTheme="minorEastAsia" w:hint="eastAsia"/>
          <w:kern w:val="0"/>
          <w:sz w:val="24"/>
        </w:rPr>
      </w:pPr>
      <w:r>
        <w:rPr>
          <w:rFonts w:asciiTheme="minorEastAsia" w:eastAsiaTheme="minorEastAsia" w:hAnsiTheme="minorEastAsia" w:hint="eastAsia"/>
          <w:color w:val="000000"/>
          <w:kern w:val="0"/>
          <w:sz w:val="24"/>
        </w:rPr>
        <w:t>（2）部分延期赎回：当基金管理人认为支付投资人的</w:t>
      </w:r>
      <w:r>
        <w:rPr>
          <w:rFonts w:asciiTheme="minorEastAsia" w:eastAsiaTheme="minorEastAsia" w:hAnsiTheme="minorEastAsia" w:hint="eastAsia"/>
          <w:bCs/>
          <w:sz w:val="24"/>
        </w:rPr>
        <w:t>各类</w:t>
      </w:r>
      <w:r>
        <w:rPr>
          <w:rFonts w:asciiTheme="minorEastAsia" w:eastAsiaTheme="minorEastAsia" w:hAnsiTheme="minorEastAsia"/>
          <w:bCs/>
          <w:sz w:val="24"/>
        </w:rPr>
        <w:t>基金份额</w:t>
      </w:r>
      <w:r>
        <w:rPr>
          <w:rFonts w:asciiTheme="minorEastAsia" w:eastAsiaTheme="minorEastAsia" w:hAnsiTheme="minorEastAsia" w:hint="eastAsia"/>
          <w:color w:val="000000"/>
          <w:kern w:val="0"/>
          <w:sz w:val="24"/>
        </w:rPr>
        <w:t>赎回申请有困难或认为因支付投资人的</w:t>
      </w:r>
      <w:r>
        <w:rPr>
          <w:rFonts w:asciiTheme="minorEastAsia" w:eastAsiaTheme="minorEastAsia" w:hAnsiTheme="minorEastAsia" w:hint="eastAsia"/>
          <w:bCs/>
          <w:sz w:val="24"/>
        </w:rPr>
        <w:t>各类</w:t>
      </w:r>
      <w:r>
        <w:rPr>
          <w:rFonts w:asciiTheme="minorEastAsia" w:eastAsiaTheme="minorEastAsia" w:hAnsiTheme="minorEastAsia"/>
          <w:bCs/>
          <w:sz w:val="24"/>
        </w:rPr>
        <w:t>基金份额</w:t>
      </w:r>
      <w:r>
        <w:rPr>
          <w:rFonts w:asciiTheme="minorEastAsia" w:eastAsiaTheme="minorEastAsia" w:hAnsiTheme="minorEastAsia" w:hint="eastAsia"/>
          <w:color w:val="000000"/>
          <w:kern w:val="0"/>
          <w:sz w:val="24"/>
        </w:rPr>
        <w:t>赎回申请而进行的财产变现可能会对基金资产净值造成较大波动时，基金管理人在当日接受</w:t>
      </w:r>
      <w:r>
        <w:rPr>
          <w:rFonts w:asciiTheme="minorEastAsia" w:eastAsiaTheme="minorEastAsia" w:hAnsiTheme="minorEastAsia" w:hint="eastAsia"/>
          <w:bCs/>
          <w:sz w:val="24"/>
        </w:rPr>
        <w:t>各类</w:t>
      </w:r>
      <w:r>
        <w:rPr>
          <w:rFonts w:asciiTheme="minorEastAsia" w:eastAsiaTheme="minorEastAsia" w:hAnsiTheme="minorEastAsia"/>
          <w:bCs/>
          <w:sz w:val="24"/>
        </w:rPr>
        <w:t>基金份额</w:t>
      </w:r>
      <w:r>
        <w:rPr>
          <w:rFonts w:asciiTheme="minorEastAsia" w:eastAsiaTheme="minorEastAsia" w:hAnsiTheme="minorEastAsia" w:hint="eastAsia"/>
          <w:color w:val="000000"/>
          <w:kern w:val="0"/>
          <w:sz w:val="24"/>
        </w:rPr>
        <w:t>赎回比例不低于上一开放日基金总份额的10%的前提下，可对其余</w:t>
      </w:r>
      <w:r>
        <w:rPr>
          <w:rFonts w:asciiTheme="minorEastAsia" w:eastAsiaTheme="minorEastAsia" w:hAnsiTheme="minorEastAsia" w:hint="eastAsia"/>
          <w:bCs/>
          <w:sz w:val="24"/>
        </w:rPr>
        <w:t>各类</w:t>
      </w:r>
      <w:r>
        <w:rPr>
          <w:rFonts w:asciiTheme="minorEastAsia" w:eastAsiaTheme="minorEastAsia" w:hAnsiTheme="minorEastAsia"/>
          <w:bCs/>
          <w:sz w:val="24"/>
        </w:rPr>
        <w:t>基金份额</w:t>
      </w:r>
      <w:r>
        <w:rPr>
          <w:rFonts w:asciiTheme="minorEastAsia" w:eastAsiaTheme="minorEastAsia" w:hAnsiTheme="minorEastAsia" w:hint="eastAsia"/>
          <w:color w:val="000000"/>
          <w:kern w:val="0"/>
          <w:sz w:val="24"/>
        </w:rPr>
        <w:t>赎回申请延期办理。</w:t>
      </w:r>
      <w:r>
        <w:rPr>
          <w:rFonts w:asciiTheme="minorEastAsia" w:eastAsiaTheme="minorEastAsia" w:hAnsiTheme="minorEastAsia" w:hint="eastAsia"/>
          <w:kern w:val="0"/>
          <w:sz w:val="24"/>
        </w:rPr>
        <w:t>当发生巨额赎回时，对于单个基金份额持有人当日赎回申请超过上一开放日基金总份额</w:t>
      </w:r>
      <w:r>
        <w:rPr>
          <w:rFonts w:asciiTheme="minorEastAsia" w:eastAsiaTheme="minorEastAsia" w:hAnsiTheme="minorEastAsia"/>
          <w:kern w:val="0"/>
          <w:sz w:val="24"/>
        </w:rPr>
        <w:t>50%</w:t>
      </w:r>
      <w:r>
        <w:rPr>
          <w:rFonts w:asciiTheme="minorEastAsia" w:eastAsiaTheme="minorEastAsia" w:hAnsiTheme="minorEastAsia" w:hint="eastAsia"/>
          <w:kern w:val="0"/>
          <w:sz w:val="24"/>
        </w:rPr>
        <w:t>以上的部分，基金管理人应当进行延期办理。对于其余当日非自动延期办理的赎回申请，应当按单个账户非自动延期办理的赎回申请量占非自动延期办理的赎回申请总量的比例，确定当日受理的赎回份额；对于各类基金份额未能赎回部分，投资人在提交各类基金份额赎回申请时可以选择延期赎回或取消赎回。选择延期赎回的，将自动转入下一个开放日继续赎回，直到全部赎回为止；选择取消赎回的，当日未获受理的部分各类基金份额赎回申请将被撤销。延期的各类基金份额赎回申请与下一开放日赎回申请一并处理，无优先权，以此类推，直到全部赎回为止。如投资人在提交各类基金份额赎回申请时未作明确选择，投资人未能赎回部分作自动延期赎回处理。</w:t>
      </w:r>
    </w:p>
    <w:p w14:paraId="4E2116B1"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（3）</w:t>
      </w:r>
      <w:r>
        <w:rPr>
          <w:rFonts w:ascii="宋体" w:hAnsi="宋体"/>
          <w:bCs/>
          <w:color w:val="000000"/>
          <w:kern w:val="0"/>
          <w:sz w:val="24"/>
        </w:rPr>
        <w:t>暂停赎回：</w:t>
      </w:r>
      <w:r>
        <w:rPr>
          <w:rFonts w:ascii="宋体" w:hAnsi="宋体" w:hint="eastAsia"/>
          <w:color w:val="000000"/>
          <w:kern w:val="0"/>
          <w:sz w:val="24"/>
        </w:rPr>
        <w:t>连续2个开放日以上（含本数）</w:t>
      </w:r>
      <w:r>
        <w:rPr>
          <w:rFonts w:ascii="宋体" w:hAnsi="宋体" w:hint="eastAsia"/>
          <w:bCs/>
          <w:sz w:val="24"/>
        </w:rPr>
        <w:t>各类</w:t>
      </w:r>
      <w:r>
        <w:rPr>
          <w:rFonts w:ascii="宋体" w:hAnsi="宋体"/>
          <w:color w:val="000000"/>
          <w:kern w:val="0"/>
          <w:sz w:val="24"/>
        </w:rPr>
        <w:t>基金份额</w:t>
      </w:r>
      <w:r>
        <w:rPr>
          <w:rFonts w:ascii="宋体" w:hAnsi="宋体" w:hint="eastAsia"/>
          <w:color w:val="000000"/>
          <w:kern w:val="0"/>
          <w:sz w:val="24"/>
        </w:rPr>
        <w:t>发生巨额赎回，</w:t>
      </w:r>
      <w:r>
        <w:rPr>
          <w:rFonts w:ascii="宋体" w:hAnsi="宋体" w:hint="eastAsia"/>
          <w:color w:val="000000"/>
          <w:kern w:val="0"/>
          <w:sz w:val="24"/>
        </w:rPr>
        <w:lastRenderedPageBreak/>
        <w:t>如基金管理人认为有必要，可暂停接受</w:t>
      </w:r>
      <w:r>
        <w:rPr>
          <w:rFonts w:ascii="宋体" w:hAnsi="宋体" w:hint="eastAsia"/>
          <w:bCs/>
          <w:sz w:val="24"/>
        </w:rPr>
        <w:t>各类</w:t>
      </w:r>
      <w:r>
        <w:rPr>
          <w:rFonts w:ascii="宋体" w:hAnsi="宋体"/>
          <w:color w:val="000000"/>
          <w:kern w:val="0"/>
          <w:sz w:val="24"/>
        </w:rPr>
        <w:t>基金份额</w:t>
      </w:r>
      <w:r>
        <w:rPr>
          <w:rFonts w:ascii="宋体" w:hAnsi="宋体" w:hint="eastAsia"/>
          <w:color w:val="000000"/>
          <w:kern w:val="0"/>
          <w:sz w:val="24"/>
        </w:rPr>
        <w:t>的赎回申请；已经接受的</w:t>
      </w:r>
      <w:r>
        <w:rPr>
          <w:rFonts w:ascii="宋体" w:hAnsi="宋体" w:hint="eastAsia"/>
          <w:bCs/>
          <w:sz w:val="24"/>
        </w:rPr>
        <w:t>各类</w:t>
      </w:r>
      <w:r>
        <w:rPr>
          <w:rFonts w:ascii="宋体" w:hAnsi="宋体"/>
          <w:color w:val="000000"/>
          <w:kern w:val="0"/>
          <w:sz w:val="24"/>
        </w:rPr>
        <w:t>基金份额</w:t>
      </w:r>
      <w:r>
        <w:rPr>
          <w:rFonts w:ascii="宋体" w:hAnsi="宋体" w:hint="eastAsia"/>
          <w:color w:val="000000"/>
          <w:kern w:val="0"/>
          <w:sz w:val="24"/>
        </w:rPr>
        <w:t>赎回申请可以延缓支付赎回款项，但不得超过20个工作日，并应当在指定媒介上进行公告。</w:t>
      </w:r>
    </w:p>
    <w:p w14:paraId="66706089"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3、巨额赎回的公告</w:t>
      </w:r>
    </w:p>
    <w:p w14:paraId="0034589E"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当发生上述延期赎回并延期办理时，基金管理人应当通过邮寄、传真或者招募说明书规定的其他方式在3个交易日内通知基金份额持有人，说明有关处理方法，并在2日内在指定媒介上刊登公告。</w:t>
      </w:r>
    </w:p>
    <w:p w14:paraId="733847A3"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（十）暂停申购或赎回的公告和重新开放申购或赎回的公告</w:t>
      </w:r>
    </w:p>
    <w:p w14:paraId="512138CB"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1、发生上述暂停申购或赎回情况的，</w:t>
      </w:r>
      <w:r>
        <w:rPr>
          <w:rFonts w:hint="eastAsia"/>
          <w:bCs/>
          <w:sz w:val="24"/>
        </w:rPr>
        <w:t>基金管理人应在规定期限内在指定媒介上刊登暂停公告。</w:t>
      </w:r>
    </w:p>
    <w:p w14:paraId="028CA049"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2、如发生暂停的时间为1日，基金管理人应于重新开放日，在指定媒介上刊登基金重新开放申购或赎回公告，并公布最近1 </w:t>
      </w:r>
      <w:proofErr w:type="gramStart"/>
      <w:r>
        <w:rPr>
          <w:rFonts w:ascii="宋体" w:hAnsi="宋体" w:hint="eastAsia"/>
          <w:color w:val="000000"/>
          <w:kern w:val="0"/>
          <w:sz w:val="24"/>
        </w:rPr>
        <w:t>个</w:t>
      </w:r>
      <w:proofErr w:type="gramEnd"/>
      <w:r>
        <w:rPr>
          <w:rFonts w:ascii="宋体" w:hAnsi="宋体" w:hint="eastAsia"/>
          <w:color w:val="000000"/>
          <w:kern w:val="0"/>
          <w:sz w:val="24"/>
        </w:rPr>
        <w:t xml:space="preserve">开放日的每万份基金已实现收益和7 </w:t>
      </w:r>
      <w:proofErr w:type="gramStart"/>
      <w:r>
        <w:rPr>
          <w:rFonts w:ascii="宋体" w:hAnsi="宋体" w:hint="eastAsia"/>
          <w:color w:val="000000"/>
          <w:kern w:val="0"/>
          <w:sz w:val="24"/>
        </w:rPr>
        <w:t>日年化收益率</w:t>
      </w:r>
      <w:proofErr w:type="gramEnd"/>
      <w:r>
        <w:rPr>
          <w:rFonts w:ascii="宋体" w:hAnsi="宋体" w:hint="eastAsia"/>
          <w:color w:val="000000"/>
          <w:kern w:val="0"/>
          <w:sz w:val="24"/>
        </w:rPr>
        <w:t xml:space="preserve">。 </w:t>
      </w:r>
    </w:p>
    <w:p w14:paraId="67EDD082"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3、如发生暂停的时间超过1 日，基金管理人自行确定公告增加次数，并根据《信息披露办法》的规定在指定媒介刊登公告。</w:t>
      </w:r>
    </w:p>
    <w:p w14:paraId="2964E9B7"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（十一）基金转换</w:t>
      </w:r>
    </w:p>
    <w:p w14:paraId="1F66DDD6"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基金管理人可以根据相关法律法规以及《基金合同》的规定决定开办本基金与基金管理人管理的其他基金之间的转换业务，基金转换可以收取一定的转换费，相关规则由基金管理人届时根据相关法律法规及《基金合同》的规定制定并公告</w:t>
      </w:r>
      <w:r>
        <w:rPr>
          <w:bCs/>
          <w:sz w:val="24"/>
        </w:rPr>
        <w:t>，并提前告知基金托管人与相关机构</w:t>
      </w:r>
      <w:r>
        <w:rPr>
          <w:rFonts w:ascii="宋体" w:hAnsi="宋体" w:hint="eastAsia"/>
          <w:color w:val="000000"/>
          <w:kern w:val="0"/>
          <w:sz w:val="24"/>
        </w:rPr>
        <w:t>。</w:t>
      </w:r>
    </w:p>
    <w:p w14:paraId="485911BD"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w:t>
      </w:r>
      <w:r>
        <w:rPr>
          <w:rFonts w:ascii="宋体" w:hAnsi="宋体"/>
          <w:color w:val="000000"/>
          <w:kern w:val="0"/>
          <w:sz w:val="24"/>
        </w:rPr>
        <w:t>十</w:t>
      </w:r>
      <w:r>
        <w:rPr>
          <w:rFonts w:ascii="宋体" w:hAnsi="宋体" w:hint="eastAsia"/>
          <w:color w:val="000000"/>
          <w:kern w:val="0"/>
          <w:sz w:val="24"/>
        </w:rPr>
        <w:t>二</w:t>
      </w:r>
      <w:r>
        <w:rPr>
          <w:rFonts w:ascii="宋体" w:hAnsi="宋体"/>
          <w:color w:val="000000"/>
          <w:kern w:val="0"/>
          <w:sz w:val="24"/>
        </w:rPr>
        <w:t>）</w:t>
      </w:r>
      <w:r>
        <w:rPr>
          <w:rFonts w:ascii="宋体" w:hAnsi="宋体" w:hint="eastAsia"/>
          <w:color w:val="000000"/>
          <w:kern w:val="0"/>
          <w:sz w:val="24"/>
        </w:rPr>
        <w:t>基金的</w:t>
      </w:r>
      <w:proofErr w:type="gramStart"/>
      <w:r>
        <w:rPr>
          <w:rFonts w:ascii="宋体" w:hAnsi="宋体" w:hint="eastAsia"/>
          <w:color w:val="000000"/>
          <w:kern w:val="0"/>
          <w:sz w:val="24"/>
        </w:rPr>
        <w:t>非交易</w:t>
      </w:r>
      <w:proofErr w:type="gramEnd"/>
      <w:r>
        <w:rPr>
          <w:rFonts w:ascii="宋体" w:hAnsi="宋体" w:hint="eastAsia"/>
          <w:color w:val="000000"/>
          <w:kern w:val="0"/>
          <w:sz w:val="24"/>
        </w:rPr>
        <w:t>过户</w:t>
      </w:r>
    </w:p>
    <w:p w14:paraId="1C0A65F1" w14:textId="77777777" w:rsidR="00566744" w:rsidRDefault="00000000">
      <w:pPr>
        <w:pStyle w:val="22"/>
        <w:adjustRightInd w:val="0"/>
        <w:snapToGrid w:val="0"/>
        <w:spacing w:after="0" w:line="360" w:lineRule="auto"/>
        <w:ind w:firstLineChars="200" w:firstLine="480"/>
        <w:rPr>
          <w:sz w:val="24"/>
        </w:rPr>
      </w:pPr>
      <w:r>
        <w:rPr>
          <w:rFonts w:hint="eastAsia"/>
          <w:sz w:val="24"/>
        </w:rPr>
        <w:t>基金的</w:t>
      </w:r>
      <w:proofErr w:type="gramStart"/>
      <w:r>
        <w:rPr>
          <w:rFonts w:hint="eastAsia"/>
          <w:sz w:val="24"/>
        </w:rPr>
        <w:t>非交易</w:t>
      </w:r>
      <w:proofErr w:type="gramEnd"/>
      <w:r>
        <w:rPr>
          <w:rFonts w:hint="eastAsia"/>
          <w:sz w:val="24"/>
        </w:rPr>
        <w:t>过户是指基金登记机构受理继承、捐赠和司法强制执行等情形而产生的</w:t>
      </w:r>
      <w:proofErr w:type="gramStart"/>
      <w:r>
        <w:rPr>
          <w:rFonts w:hint="eastAsia"/>
          <w:sz w:val="24"/>
        </w:rPr>
        <w:t>非交易</w:t>
      </w:r>
      <w:proofErr w:type="gramEnd"/>
      <w:r>
        <w:rPr>
          <w:rFonts w:hint="eastAsia"/>
          <w:sz w:val="24"/>
        </w:rPr>
        <w:t>过户以及登记机构认可、符合法律法规的其它</w:t>
      </w:r>
      <w:proofErr w:type="gramStart"/>
      <w:r>
        <w:rPr>
          <w:rFonts w:hint="eastAsia"/>
          <w:sz w:val="24"/>
        </w:rPr>
        <w:t>非交易</w:t>
      </w:r>
      <w:proofErr w:type="gramEnd"/>
      <w:r>
        <w:rPr>
          <w:rFonts w:hint="eastAsia"/>
          <w:sz w:val="24"/>
        </w:rPr>
        <w:t>过户。无论在上述何种情况下，接受划转的主体必须是依法可以持有本</w:t>
      </w:r>
      <w:proofErr w:type="gramStart"/>
      <w:r>
        <w:rPr>
          <w:rFonts w:hint="eastAsia"/>
          <w:sz w:val="24"/>
        </w:rPr>
        <w:t>基金基金</w:t>
      </w:r>
      <w:proofErr w:type="gramEnd"/>
      <w:r>
        <w:rPr>
          <w:rFonts w:hint="eastAsia"/>
          <w:sz w:val="24"/>
        </w:rPr>
        <w:t>份额的投资人。</w:t>
      </w:r>
    </w:p>
    <w:p w14:paraId="55F57FB4" w14:textId="77777777" w:rsidR="00566744" w:rsidRDefault="00000000">
      <w:pPr>
        <w:pStyle w:val="22"/>
        <w:adjustRightInd w:val="0"/>
        <w:snapToGrid w:val="0"/>
        <w:spacing w:after="0" w:line="360" w:lineRule="auto"/>
        <w:ind w:firstLineChars="200" w:firstLine="480"/>
        <w:rPr>
          <w:sz w:val="24"/>
        </w:rPr>
      </w:pPr>
      <w:r>
        <w:rPr>
          <w:rFonts w:hint="eastAsia"/>
          <w:sz w:val="24"/>
        </w:rPr>
        <w:t>继承是指基金份额持有人死亡，其持有的基金份额由其合法的继承人继承；</w:t>
      </w:r>
      <w:proofErr w:type="gramStart"/>
      <w:r>
        <w:rPr>
          <w:rFonts w:hint="eastAsia"/>
          <w:sz w:val="24"/>
        </w:rPr>
        <w:t>捐赠指</w:t>
      </w:r>
      <w:proofErr w:type="gramEnd"/>
      <w:r>
        <w:rPr>
          <w:rFonts w:hint="eastAsia"/>
          <w:sz w:val="24"/>
        </w:rPr>
        <w:t>基金份额持有人将其合法持有的基金份额捐赠给福利性质的基金会或社会团体；司法强制执行是指司法机构依据生效司法文书将基金份额持有人持有的基金份额强制划转给其他自然人、法人或其他组织。办理</w:t>
      </w:r>
      <w:proofErr w:type="gramStart"/>
      <w:r>
        <w:rPr>
          <w:rFonts w:hint="eastAsia"/>
          <w:sz w:val="24"/>
        </w:rPr>
        <w:t>非交易</w:t>
      </w:r>
      <w:proofErr w:type="gramEnd"/>
      <w:r>
        <w:rPr>
          <w:rFonts w:hint="eastAsia"/>
          <w:sz w:val="24"/>
        </w:rPr>
        <w:t>过户必须提供登记机构要求提</w:t>
      </w:r>
      <w:r>
        <w:rPr>
          <w:rFonts w:hint="eastAsia"/>
          <w:sz w:val="24"/>
        </w:rPr>
        <w:lastRenderedPageBreak/>
        <w:t>供的相关资料，对于符合条件的</w:t>
      </w:r>
      <w:proofErr w:type="gramStart"/>
      <w:r>
        <w:rPr>
          <w:rFonts w:hint="eastAsia"/>
          <w:sz w:val="24"/>
        </w:rPr>
        <w:t>非交易过户申请按</w:t>
      </w:r>
      <w:proofErr w:type="gramEnd"/>
      <w:r>
        <w:rPr>
          <w:rFonts w:hint="eastAsia"/>
          <w:sz w:val="24"/>
        </w:rPr>
        <w:t>登记机构的规定办理，并按登记机构规定的标准收费。</w:t>
      </w:r>
    </w:p>
    <w:p w14:paraId="4630FC39"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（十三）基金的转托管</w:t>
      </w:r>
    </w:p>
    <w:p w14:paraId="6048FCC2" w14:textId="77777777" w:rsidR="00566744" w:rsidRDefault="00000000">
      <w:pPr>
        <w:pStyle w:val="22"/>
        <w:adjustRightInd w:val="0"/>
        <w:snapToGrid w:val="0"/>
        <w:spacing w:after="0" w:line="360" w:lineRule="auto"/>
        <w:ind w:firstLineChars="200" w:firstLine="480"/>
        <w:rPr>
          <w:sz w:val="24"/>
        </w:rPr>
      </w:pPr>
      <w:r>
        <w:rPr>
          <w:rFonts w:hint="eastAsia"/>
          <w:sz w:val="24"/>
        </w:rPr>
        <w:t>基金份额持有人可办理已持有基金份额在不同销售机构之间的转托管，基金销售机构可以按照规定的标准收取转托管费。</w:t>
      </w:r>
    </w:p>
    <w:p w14:paraId="6B158773"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（十四）定期定额投资计划</w:t>
      </w:r>
    </w:p>
    <w:p w14:paraId="33FA32FA" w14:textId="77777777" w:rsidR="00566744" w:rsidRDefault="00000000">
      <w:pPr>
        <w:spacing w:line="360" w:lineRule="auto"/>
        <w:ind w:firstLineChars="200" w:firstLine="480"/>
        <w:rPr>
          <w:bCs/>
          <w:sz w:val="24"/>
        </w:rPr>
      </w:pPr>
      <w:r>
        <w:rPr>
          <w:bCs/>
          <w:sz w:val="24"/>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14:paraId="20825F63"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（十五）基金份额的冻结和解冻</w:t>
      </w:r>
    </w:p>
    <w:p w14:paraId="44922624" w14:textId="77777777" w:rsidR="00566744" w:rsidRDefault="00000000">
      <w:pPr>
        <w:spacing w:line="360" w:lineRule="auto"/>
        <w:ind w:firstLineChars="200" w:firstLine="480"/>
        <w:rPr>
          <w:sz w:val="24"/>
        </w:rPr>
      </w:pPr>
      <w:r>
        <w:rPr>
          <w:rFonts w:hint="eastAsia"/>
          <w:sz w:val="24"/>
        </w:rPr>
        <w:t>基金登记机构只受理国家有权机关依法要求的基金份额的冻结与解冻，以及登记机构认可、符合法律法规的其他情况下的冻结与解冻。</w:t>
      </w:r>
    </w:p>
    <w:p w14:paraId="35CE105D" w14:textId="77777777" w:rsidR="00566744" w:rsidRDefault="00000000">
      <w:pPr>
        <w:pStyle w:val="22"/>
        <w:adjustRightInd w:val="0"/>
        <w:snapToGrid w:val="0"/>
        <w:spacing w:after="0" w:line="360" w:lineRule="auto"/>
        <w:ind w:firstLineChars="200" w:firstLine="480"/>
        <w:jc w:val="left"/>
        <w:rPr>
          <w:sz w:val="24"/>
        </w:rPr>
      </w:pPr>
      <w:r>
        <w:rPr>
          <w:rFonts w:hint="eastAsia"/>
          <w:sz w:val="24"/>
        </w:rPr>
        <w:t>（十六</w:t>
      </w:r>
      <w:r>
        <w:rPr>
          <w:sz w:val="24"/>
        </w:rPr>
        <w:t>）</w:t>
      </w:r>
      <w:r>
        <w:rPr>
          <w:rFonts w:hint="eastAsia"/>
          <w:sz w:val="24"/>
        </w:rPr>
        <w:t>基金份额的转让</w:t>
      </w:r>
    </w:p>
    <w:p w14:paraId="3D569F18" w14:textId="77777777" w:rsidR="00566744" w:rsidRDefault="00000000">
      <w:pPr>
        <w:pStyle w:val="22"/>
        <w:adjustRightInd w:val="0"/>
        <w:snapToGrid w:val="0"/>
        <w:spacing w:after="0" w:line="360" w:lineRule="auto"/>
        <w:ind w:firstLineChars="200" w:firstLine="480"/>
        <w:jc w:val="left"/>
        <w:rPr>
          <w:sz w:val="24"/>
        </w:rPr>
      </w:pPr>
      <w:r>
        <w:rPr>
          <w:rFonts w:hint="eastAsia"/>
          <w:sz w:val="24"/>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14:paraId="3F22375B" w14:textId="77777777" w:rsidR="00566744" w:rsidRDefault="00000000">
      <w:pPr>
        <w:pStyle w:val="22"/>
        <w:adjustRightInd w:val="0"/>
        <w:snapToGrid w:val="0"/>
        <w:spacing w:after="0" w:line="360" w:lineRule="auto"/>
        <w:ind w:firstLineChars="200" w:firstLine="480"/>
        <w:jc w:val="left"/>
        <w:rPr>
          <w:sz w:val="24"/>
        </w:rPr>
      </w:pPr>
      <w:r>
        <w:rPr>
          <w:rFonts w:hint="eastAsia"/>
          <w:sz w:val="24"/>
        </w:rPr>
        <w:t>（十七）未来条件许可情况下的基金模式</w:t>
      </w:r>
    </w:p>
    <w:p w14:paraId="1EB27D85" w14:textId="77777777" w:rsidR="00566744" w:rsidRDefault="00000000">
      <w:pPr>
        <w:pStyle w:val="22"/>
        <w:adjustRightInd w:val="0"/>
        <w:snapToGrid w:val="0"/>
        <w:spacing w:after="0" w:line="360" w:lineRule="auto"/>
        <w:ind w:firstLineChars="200" w:firstLine="480"/>
        <w:jc w:val="left"/>
        <w:rPr>
          <w:sz w:val="24"/>
        </w:rPr>
      </w:pPr>
      <w:r>
        <w:rPr>
          <w:rFonts w:hint="eastAsia"/>
          <w:sz w:val="24"/>
        </w:rPr>
        <w:t>本基金管理人可在条件成熟时，在对基金份额持有人利益无实质不利影响的情况下，按照法律法规规定和基金合同约定的方式办理基金份额质押等相关业务，届时无须召开基金份额持有人大会审议但须报中国证监会核准或备案并提前公告。</w:t>
      </w:r>
      <w:r>
        <w:rPr>
          <w:sz w:val="24"/>
        </w:rPr>
        <w:br w:type="page"/>
      </w:r>
    </w:p>
    <w:p w14:paraId="40861A87" w14:textId="77777777" w:rsidR="00566744" w:rsidRDefault="00000000">
      <w:pPr>
        <w:pStyle w:val="1"/>
        <w:spacing w:line="360" w:lineRule="auto"/>
        <w:jc w:val="center"/>
        <w:rPr>
          <w:rFonts w:ascii="宋体" w:hAnsi="宋体" w:hint="eastAsia"/>
          <w:color w:val="000000"/>
          <w:kern w:val="0"/>
          <w:sz w:val="24"/>
          <w:szCs w:val="24"/>
        </w:rPr>
      </w:pPr>
      <w:bookmarkStart w:id="68" w:name="_Toc78378590"/>
      <w:r>
        <w:rPr>
          <w:rFonts w:ascii="宋体" w:hAnsi="宋体" w:hint="eastAsia"/>
          <w:color w:val="000000"/>
          <w:kern w:val="0"/>
          <w:sz w:val="24"/>
          <w:szCs w:val="24"/>
        </w:rPr>
        <w:lastRenderedPageBreak/>
        <w:t>第十部分  基金的投资</w:t>
      </w:r>
      <w:bookmarkEnd w:id="62"/>
      <w:bookmarkEnd w:id="63"/>
      <w:bookmarkEnd w:id="68"/>
    </w:p>
    <w:p w14:paraId="73B48442" w14:textId="77777777" w:rsidR="00566744" w:rsidRDefault="00000000">
      <w:pPr>
        <w:spacing w:line="360" w:lineRule="auto"/>
        <w:ind w:firstLineChars="200" w:firstLine="480"/>
        <w:rPr>
          <w:rFonts w:ascii="宋体" w:hAnsi="宋体" w:hint="eastAsia"/>
          <w:color w:val="000000"/>
          <w:kern w:val="0"/>
          <w:sz w:val="24"/>
        </w:rPr>
      </w:pPr>
      <w:bookmarkStart w:id="69" w:name="_Toc88969271"/>
      <w:bookmarkEnd w:id="64"/>
      <w:bookmarkEnd w:id="65"/>
      <w:bookmarkEnd w:id="66"/>
      <w:bookmarkEnd w:id="67"/>
      <w:r>
        <w:rPr>
          <w:rFonts w:ascii="宋体" w:hAnsi="宋体" w:hint="eastAsia"/>
          <w:color w:val="000000"/>
          <w:kern w:val="0"/>
          <w:sz w:val="24"/>
        </w:rPr>
        <w:t>（一）</w:t>
      </w:r>
      <w:r>
        <w:rPr>
          <w:rFonts w:ascii="宋体" w:hAnsi="宋体"/>
          <w:color w:val="000000"/>
          <w:kern w:val="0"/>
          <w:sz w:val="24"/>
        </w:rPr>
        <w:t>投资目标</w:t>
      </w:r>
    </w:p>
    <w:p w14:paraId="6F42C24C"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在保持本金安全和资产流动性基础上追求较高的当期收益。</w:t>
      </w:r>
    </w:p>
    <w:p w14:paraId="6F24D438"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（二）投资范围</w:t>
      </w:r>
    </w:p>
    <w:p w14:paraId="72EE56DC" w14:textId="77777777" w:rsidR="00566744" w:rsidRDefault="00000000">
      <w:pPr>
        <w:spacing w:line="360" w:lineRule="auto"/>
        <w:ind w:firstLineChars="177" w:firstLine="425"/>
        <w:rPr>
          <w:rFonts w:ascii="宋体" w:hAnsi="宋体" w:hint="eastAsia"/>
          <w:color w:val="000000"/>
          <w:kern w:val="0"/>
          <w:sz w:val="24"/>
        </w:rPr>
      </w:pPr>
      <w:bookmarkStart w:id="70" w:name="OLE_LINK4"/>
      <w:r>
        <w:rPr>
          <w:rFonts w:ascii="宋体" w:hAnsi="宋体" w:hint="eastAsia"/>
          <w:color w:val="000000"/>
          <w:kern w:val="0"/>
          <w:sz w:val="24"/>
        </w:rPr>
        <w:t>1、现金；</w:t>
      </w:r>
    </w:p>
    <w:p w14:paraId="3C873321"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2、期限在1年以内（含1年）的银行存款、债券回购、中央银行票据、同业存单；</w:t>
      </w:r>
    </w:p>
    <w:p w14:paraId="29C1408C"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3、剩余期限在397天以内（含397天）的债券、非金融企业债务融资工具、资产支持证券；</w:t>
      </w:r>
    </w:p>
    <w:p w14:paraId="75D6003D"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4、中国证监会、中国人民银行认可的其它具有良好流动性的货币市场工具。</w:t>
      </w:r>
    </w:p>
    <w:p w14:paraId="2DD42C02"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如法律法规或监管机构以后允许货币市场基金投资其他产品，基金管理人在履行适当的程序后，可以将其纳入投资范围</w:t>
      </w:r>
      <w:r>
        <w:rPr>
          <w:rFonts w:ascii="宋体" w:hAnsi="宋体" w:cs="Arial" w:hint="eastAsia"/>
          <w:bCs/>
          <w:sz w:val="24"/>
        </w:rPr>
        <w:t>。</w:t>
      </w:r>
    </w:p>
    <w:bookmarkEnd w:id="70"/>
    <w:p w14:paraId="3FA90857"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（三）</w:t>
      </w:r>
      <w:r>
        <w:rPr>
          <w:rFonts w:ascii="宋体" w:hAnsi="宋体"/>
          <w:color w:val="000000"/>
          <w:kern w:val="0"/>
          <w:sz w:val="24"/>
        </w:rPr>
        <w:t>投资策略</w:t>
      </w:r>
    </w:p>
    <w:p w14:paraId="52B1D39C"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本基金将综合宏观经济运行状况，货币政策、财政政策等政府宏观经济状况及政策，分析资本市场资金供给状况的变动趋势，预测市场利率水平变动趋势。在此基础上，综合考虑各类投资品种的流动性、收益性以及信用风险状况，进行积极的投资组合管理。</w:t>
      </w:r>
    </w:p>
    <w:p w14:paraId="0B0FF7FE"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1、类属配置策略</w:t>
      </w:r>
    </w:p>
    <w:p w14:paraId="7EA98976"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类属配置指组合在央行票据、债券回购、短期债券以及现金等投资品种之间的配置比例。本基金通过分析各类货币市场工具的市场规模、信用等级、流动性、市场供求、票息及付息频率等确定不同类别资产的具体配置比例，寻找具有投资价值的投资品种，并通过控制存款的比例、保留充足的可变现资产和平均安排回购到期期限，保证组合的充分流动性。</w:t>
      </w:r>
    </w:p>
    <w:p w14:paraId="490B6AEE"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2、</w:t>
      </w:r>
      <w:proofErr w:type="gramStart"/>
      <w:r>
        <w:rPr>
          <w:rFonts w:ascii="宋体" w:hAnsi="宋体" w:hint="eastAsia"/>
          <w:color w:val="000000"/>
          <w:kern w:val="0"/>
          <w:sz w:val="24"/>
        </w:rPr>
        <w:t>久期策略</w:t>
      </w:r>
      <w:proofErr w:type="gramEnd"/>
    </w:p>
    <w:p w14:paraId="5611F810"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结合宏观经济运行态势及利率预测分析，本基金将动态确定并调整基金组合平均剩余期限。预测利率将进入下降通道时，适当延长投资品种的平均期限；预测市场利率将进入上升通道时，适当缩短投资品种的平均期限。</w:t>
      </w:r>
    </w:p>
    <w:p w14:paraId="0A666238"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lastRenderedPageBreak/>
        <w:t>3、套利策略</w:t>
      </w:r>
    </w:p>
    <w:p w14:paraId="14D2C11C"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本基金根据对货币市场变动趋势、各市场和品种之间的风险收益差异的充分研究和论证，贯彻谨慎投资的原则，加强对前沿的研究，充分把握市场无风险套利机会，通过跨市场套利和跨期限套利等策略，提高基金投资收益。</w:t>
      </w:r>
    </w:p>
    <w:p w14:paraId="7446FC93"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4、现金流管理策略</w:t>
      </w:r>
    </w:p>
    <w:p w14:paraId="62549673"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本基金作为现金管理工具，具有较高的流动性要求，基金管理人将对基金的申购赎回情况、季节性资金流动情况和日历效应等因素进行跟踪，通过留存现金、持有高流动性债券、降低</w:t>
      </w:r>
      <w:proofErr w:type="gramStart"/>
      <w:r>
        <w:rPr>
          <w:rFonts w:ascii="宋体" w:hAnsi="宋体" w:hint="eastAsia"/>
          <w:color w:val="000000"/>
          <w:kern w:val="0"/>
          <w:sz w:val="24"/>
        </w:rPr>
        <w:t>组合久期等</w:t>
      </w:r>
      <w:proofErr w:type="gramEnd"/>
      <w:r>
        <w:rPr>
          <w:rFonts w:ascii="宋体" w:hAnsi="宋体" w:hint="eastAsia"/>
          <w:color w:val="000000"/>
          <w:kern w:val="0"/>
          <w:sz w:val="24"/>
        </w:rPr>
        <w:t>方式动态调整并有效分配基金的现金流，在保持充分流动性的基础上争取较高收益。</w:t>
      </w:r>
    </w:p>
    <w:p w14:paraId="621CAE24"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5、债券回购投资策略</w:t>
      </w:r>
    </w:p>
    <w:p w14:paraId="0151784B"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本基金基于对资金面走势的判断，选择回购品种和期限。</w:t>
      </w:r>
      <w:proofErr w:type="gramStart"/>
      <w:r>
        <w:rPr>
          <w:rFonts w:ascii="宋体" w:hAnsi="宋体" w:hint="eastAsia"/>
          <w:color w:val="000000"/>
          <w:kern w:val="0"/>
          <w:sz w:val="24"/>
        </w:rPr>
        <w:t>若资产</w:t>
      </w:r>
      <w:proofErr w:type="gramEnd"/>
      <w:r>
        <w:rPr>
          <w:rFonts w:ascii="宋体" w:hAnsi="宋体" w:hint="eastAsia"/>
          <w:color w:val="000000"/>
          <w:kern w:val="0"/>
          <w:sz w:val="24"/>
        </w:rPr>
        <w:t>配置中有逆回购，则在判断资金面趋于宽松的情况下，优先进行相对较长期限逆回购配置；反之，则进行相对较短期限逆回购操作。在组合进行杠杆操作时，根据资金面的松紧，</w:t>
      </w:r>
      <w:proofErr w:type="gramStart"/>
      <w:r>
        <w:rPr>
          <w:rFonts w:ascii="宋体" w:hAnsi="宋体" w:hint="eastAsia"/>
          <w:color w:val="000000"/>
          <w:kern w:val="0"/>
          <w:sz w:val="24"/>
        </w:rPr>
        <w:t>决定正</w:t>
      </w:r>
      <w:proofErr w:type="gramEnd"/>
      <w:r>
        <w:rPr>
          <w:rFonts w:ascii="宋体" w:hAnsi="宋体" w:hint="eastAsia"/>
          <w:color w:val="000000"/>
          <w:kern w:val="0"/>
          <w:sz w:val="24"/>
        </w:rPr>
        <w:t>回购的操作期限。</w:t>
      </w:r>
    </w:p>
    <w:p w14:paraId="2D80873A"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6、利率债的投资策略</w:t>
      </w:r>
    </w:p>
    <w:p w14:paraId="36D07578"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本基金在对国内外经济趋势的分析和预测的基础上，通过对利率期限结构变化趋势和债券市场供求关系变化进行分析和预测，决定国债、央行票据、政策性金融债等利率债品种的投资比例和期限结构配置，在合理控制风险的前提下，综合考虑组合的流动性，决定利率债投资品种和期限。</w:t>
      </w:r>
    </w:p>
    <w:p w14:paraId="763740D0"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7、信用债的投资策略</w:t>
      </w:r>
    </w:p>
    <w:p w14:paraId="40BE6758"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为了保障基金资产的安全，本基金将按照相关法规仅投资于具有满足信用等级要求的债券。基金管理人通过对市场公开发行的短期融资</w:t>
      </w:r>
      <w:proofErr w:type="gramStart"/>
      <w:r>
        <w:rPr>
          <w:rFonts w:ascii="宋体" w:hAnsi="宋体" w:hint="eastAsia"/>
          <w:color w:val="000000"/>
          <w:kern w:val="0"/>
          <w:sz w:val="24"/>
        </w:rPr>
        <w:t>券</w:t>
      </w:r>
      <w:proofErr w:type="gramEnd"/>
      <w:r>
        <w:rPr>
          <w:rFonts w:ascii="宋体" w:hAnsi="宋体" w:hint="eastAsia"/>
          <w:color w:val="000000"/>
          <w:kern w:val="0"/>
          <w:sz w:val="24"/>
        </w:rPr>
        <w:t>、中期票据、企业债、公司债等信用债品种进行研究和筛选，形成信用债券投资备选库。在信用债券投资备选库基础上，结合本基金的投资与配置需要，通过分析比较剩余期限、到期收益率、流动性等特征，挑选适当的信用债</w:t>
      </w:r>
      <w:proofErr w:type="gramStart"/>
      <w:r>
        <w:rPr>
          <w:rFonts w:ascii="宋体" w:hAnsi="宋体" w:hint="eastAsia"/>
          <w:color w:val="000000"/>
          <w:kern w:val="0"/>
          <w:sz w:val="24"/>
        </w:rPr>
        <w:t>个券</w:t>
      </w:r>
      <w:proofErr w:type="gramEnd"/>
      <w:r>
        <w:rPr>
          <w:rFonts w:ascii="宋体" w:hAnsi="宋体" w:hint="eastAsia"/>
          <w:color w:val="000000"/>
          <w:kern w:val="0"/>
          <w:sz w:val="24"/>
        </w:rPr>
        <w:t>进行投资。</w:t>
      </w:r>
    </w:p>
    <w:p w14:paraId="638F7781"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8、资产支持证券的投资策略</w:t>
      </w:r>
    </w:p>
    <w:p w14:paraId="11E87638"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本基金将综合运用战略资产配置和战术资产配置进行资产支持证券的投资组合管理，并根据信用风险、利率风险和流动性风险变化积极调整投资策略，严格遵守</w:t>
      </w:r>
      <w:r>
        <w:rPr>
          <w:rFonts w:ascii="宋体" w:hAnsi="宋体" w:hint="eastAsia"/>
          <w:color w:val="000000"/>
          <w:kern w:val="0"/>
          <w:sz w:val="24"/>
        </w:rPr>
        <w:lastRenderedPageBreak/>
        <w:t>法律法规和基金合同的约定，在保证本金安全和基金资产流动性的基础上获得稳定收益。</w:t>
      </w:r>
    </w:p>
    <w:p w14:paraId="1E0BFA78"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w:t>
      </w:r>
      <w:r>
        <w:rPr>
          <w:rFonts w:ascii="宋体" w:hAnsi="宋体"/>
          <w:color w:val="000000"/>
          <w:kern w:val="0"/>
          <w:sz w:val="24"/>
        </w:rPr>
        <w:t>四）</w:t>
      </w:r>
      <w:bookmarkStart w:id="71" w:name="_Toc257033993"/>
      <w:r>
        <w:rPr>
          <w:rFonts w:ascii="宋体" w:hAnsi="宋体" w:hint="eastAsia"/>
          <w:color w:val="000000"/>
          <w:kern w:val="0"/>
          <w:sz w:val="24"/>
        </w:rPr>
        <w:t>投资</w:t>
      </w:r>
      <w:r>
        <w:rPr>
          <w:rFonts w:ascii="宋体" w:hAnsi="宋体"/>
          <w:color w:val="000000"/>
          <w:kern w:val="0"/>
          <w:sz w:val="24"/>
        </w:rPr>
        <w:t>限制</w:t>
      </w:r>
    </w:p>
    <w:p w14:paraId="4C9482F1"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w:t>
      </w:r>
      <w:r>
        <w:rPr>
          <w:rFonts w:ascii="宋体" w:hAnsi="宋体"/>
          <w:color w:val="000000"/>
          <w:kern w:val="0"/>
          <w:sz w:val="24"/>
        </w:rPr>
        <w:t>组合</w:t>
      </w:r>
      <w:r>
        <w:rPr>
          <w:rFonts w:ascii="宋体" w:hAnsi="宋体" w:hint="eastAsia"/>
          <w:color w:val="000000"/>
          <w:kern w:val="0"/>
          <w:sz w:val="24"/>
        </w:rPr>
        <w:t>限制</w:t>
      </w:r>
    </w:p>
    <w:p w14:paraId="78703DFA" w14:textId="77777777" w:rsidR="00566744" w:rsidRDefault="00000000">
      <w:pPr>
        <w:pStyle w:val="12"/>
        <w:adjustRightInd w:val="0"/>
        <w:snapToGrid w:val="0"/>
        <w:ind w:firstLineChars="177" w:firstLine="425"/>
        <w:rPr>
          <w:rFonts w:ascii="宋体"/>
          <w:color w:val="000000"/>
          <w:kern w:val="0"/>
          <w:sz w:val="24"/>
          <w:szCs w:val="24"/>
        </w:rPr>
      </w:pPr>
      <w:r>
        <w:rPr>
          <w:rFonts w:ascii="宋体" w:hAnsi="宋体" w:cs="Arial"/>
          <w:bCs/>
          <w:sz w:val="24"/>
        </w:rPr>
        <w:t>基金的投资组合应遵循以下限制：</w:t>
      </w:r>
    </w:p>
    <w:p w14:paraId="05068547" w14:textId="77777777" w:rsidR="00566744" w:rsidRDefault="00000000">
      <w:pPr>
        <w:pStyle w:val="12"/>
        <w:adjustRightInd w:val="0"/>
        <w:snapToGrid w:val="0"/>
        <w:ind w:firstLine="480"/>
        <w:rPr>
          <w:rFonts w:ascii="宋体" w:hAnsi="宋体" w:cs="Arial" w:hint="eastAsia"/>
          <w:bCs/>
          <w:sz w:val="24"/>
        </w:rPr>
      </w:pPr>
      <w:r>
        <w:rPr>
          <w:rFonts w:ascii="宋体" w:hAnsi="宋体" w:cs="Arial"/>
          <w:bCs/>
          <w:sz w:val="24"/>
        </w:rPr>
        <w:t>（1</w:t>
      </w:r>
      <w:r>
        <w:rPr>
          <w:rFonts w:ascii="宋体" w:hAnsi="宋体" w:cs="Arial" w:hint="eastAsia"/>
          <w:bCs/>
          <w:sz w:val="24"/>
        </w:rPr>
        <w:t>）本基金投资组合的平均剩余期限在每个交易日均不得超过</w:t>
      </w:r>
      <w:r>
        <w:rPr>
          <w:rFonts w:ascii="宋体" w:hAnsi="宋体" w:cs="Arial"/>
          <w:bCs/>
          <w:sz w:val="24"/>
        </w:rPr>
        <w:t>120</w:t>
      </w:r>
      <w:r>
        <w:rPr>
          <w:rFonts w:ascii="宋体" w:hAnsi="宋体" w:cs="Arial" w:hint="eastAsia"/>
          <w:bCs/>
          <w:sz w:val="24"/>
        </w:rPr>
        <w:t>天，平均剩余存续期不得超过</w:t>
      </w:r>
      <w:r>
        <w:rPr>
          <w:rFonts w:ascii="宋体" w:hAnsi="宋体" w:cs="Arial"/>
          <w:bCs/>
          <w:sz w:val="24"/>
        </w:rPr>
        <w:t xml:space="preserve">240 </w:t>
      </w:r>
      <w:r>
        <w:rPr>
          <w:rFonts w:ascii="宋体" w:hAnsi="宋体" w:cs="Arial" w:hint="eastAsia"/>
          <w:bCs/>
          <w:sz w:val="24"/>
        </w:rPr>
        <w:t>天；</w:t>
      </w:r>
    </w:p>
    <w:p w14:paraId="6633A62B" w14:textId="77777777" w:rsidR="00566744" w:rsidRDefault="00000000">
      <w:pPr>
        <w:pStyle w:val="12"/>
        <w:adjustRightInd w:val="0"/>
        <w:snapToGrid w:val="0"/>
        <w:ind w:firstLine="480"/>
        <w:rPr>
          <w:rFonts w:ascii="宋体" w:hAnsi="宋体" w:cs="Arial" w:hint="eastAsia"/>
          <w:bCs/>
          <w:sz w:val="24"/>
        </w:rPr>
      </w:pPr>
      <w:r>
        <w:rPr>
          <w:rFonts w:ascii="宋体" w:hAnsi="宋体" w:cs="Arial" w:hint="eastAsia"/>
          <w:bCs/>
          <w:sz w:val="24"/>
        </w:rPr>
        <w:t>（</w:t>
      </w:r>
      <w:r>
        <w:rPr>
          <w:rFonts w:ascii="宋体" w:hAnsi="宋体" w:cs="Arial"/>
          <w:bCs/>
          <w:sz w:val="24"/>
        </w:rPr>
        <w:t>2</w:t>
      </w:r>
      <w:r>
        <w:rPr>
          <w:rFonts w:ascii="宋体" w:hAnsi="宋体" w:cs="Arial" w:hint="eastAsia"/>
          <w:bCs/>
          <w:sz w:val="24"/>
        </w:rPr>
        <w:t>）本基金与由基金管理人管理的其他基金持有一家公司发行的证券，不得超过该证券的</w:t>
      </w:r>
      <w:r>
        <w:rPr>
          <w:rFonts w:ascii="宋体" w:hAnsi="宋体" w:cs="Arial"/>
          <w:bCs/>
          <w:sz w:val="24"/>
        </w:rPr>
        <w:t>10%</w:t>
      </w:r>
      <w:r>
        <w:rPr>
          <w:rFonts w:ascii="宋体" w:hAnsi="宋体" w:cs="Arial" w:hint="eastAsia"/>
          <w:bCs/>
          <w:sz w:val="24"/>
        </w:rPr>
        <w:t>；</w:t>
      </w:r>
    </w:p>
    <w:p w14:paraId="667AB45B" w14:textId="77777777" w:rsidR="00566744" w:rsidRDefault="00000000">
      <w:pPr>
        <w:pStyle w:val="12"/>
        <w:adjustRightInd w:val="0"/>
        <w:snapToGrid w:val="0"/>
        <w:ind w:firstLine="480"/>
        <w:rPr>
          <w:rFonts w:ascii="宋体" w:hAnsi="宋体" w:cs="Arial" w:hint="eastAsia"/>
          <w:bCs/>
          <w:sz w:val="24"/>
        </w:rPr>
      </w:pPr>
      <w:r>
        <w:rPr>
          <w:rFonts w:ascii="宋体" w:hAnsi="宋体" w:cs="Arial" w:hint="eastAsia"/>
          <w:bCs/>
          <w:sz w:val="24"/>
        </w:rPr>
        <w:t>（</w:t>
      </w:r>
      <w:r>
        <w:rPr>
          <w:rFonts w:ascii="宋体" w:hAnsi="宋体" w:cs="Arial"/>
          <w:bCs/>
          <w:sz w:val="24"/>
        </w:rPr>
        <w:t>3</w:t>
      </w:r>
      <w:r>
        <w:rPr>
          <w:rFonts w:ascii="宋体" w:hAnsi="宋体" w:cs="Arial" w:hint="eastAsia"/>
          <w:bCs/>
          <w:sz w:val="24"/>
        </w:rPr>
        <w:t>）本基金投资于固定期限银行存款的比例不得超过基金资产净值的</w:t>
      </w:r>
      <w:r>
        <w:rPr>
          <w:rFonts w:ascii="宋体" w:hAnsi="宋体" w:cs="Arial"/>
          <w:bCs/>
          <w:sz w:val="24"/>
        </w:rPr>
        <w:t>30%</w:t>
      </w:r>
      <w:r>
        <w:rPr>
          <w:rFonts w:ascii="宋体" w:hAnsi="宋体" w:cs="Arial" w:hint="eastAsia"/>
          <w:bCs/>
          <w:sz w:val="24"/>
        </w:rPr>
        <w:t>，但根据协议可提前支取的银行存款，不受此限制；</w:t>
      </w:r>
    </w:p>
    <w:p w14:paraId="0C66071D" w14:textId="77777777" w:rsidR="00566744" w:rsidRDefault="00000000">
      <w:pPr>
        <w:autoSpaceDE w:val="0"/>
        <w:autoSpaceDN w:val="0"/>
        <w:adjustRightInd w:val="0"/>
        <w:spacing w:line="360" w:lineRule="auto"/>
        <w:ind w:firstLineChars="200" w:firstLine="480"/>
        <w:jc w:val="left"/>
      </w:pPr>
      <w:r>
        <w:rPr>
          <w:rFonts w:ascii="宋体" w:hAnsi="宋体" w:cs="Arial" w:hint="eastAsia"/>
          <w:bCs/>
          <w:sz w:val="24"/>
        </w:rPr>
        <w:t>（4）本基金投资于具有基金托管人资格的同一商业银行的银行存款、同业存单占基金资产净值的比例合计不得超过</w:t>
      </w:r>
      <w:r>
        <w:rPr>
          <w:rFonts w:ascii="宋体" w:hAnsi="宋体" w:cs="Arial"/>
          <w:bCs/>
          <w:sz w:val="24"/>
        </w:rPr>
        <w:t>20%</w:t>
      </w:r>
      <w:r>
        <w:rPr>
          <w:rFonts w:ascii="宋体" w:hAnsi="宋体" w:cs="Arial" w:hint="eastAsia"/>
          <w:bCs/>
          <w:sz w:val="24"/>
        </w:rPr>
        <w:t>，投资于不具有基金托管人资格的同一商业银行的银行存款、同业存单占基金资产净值的比例合计不得超过</w:t>
      </w:r>
      <w:r>
        <w:rPr>
          <w:rFonts w:ascii="宋体" w:hAnsi="宋体" w:cs="Arial"/>
          <w:bCs/>
          <w:sz w:val="24"/>
        </w:rPr>
        <w:t>5%</w:t>
      </w:r>
      <w:r>
        <w:rPr>
          <w:rFonts w:ascii="宋体" w:hAnsi="宋体" w:cs="Arial" w:hint="eastAsia"/>
          <w:bCs/>
          <w:sz w:val="24"/>
        </w:rPr>
        <w:t>；</w:t>
      </w:r>
    </w:p>
    <w:p w14:paraId="412BA745" w14:textId="77777777" w:rsidR="00566744" w:rsidRDefault="00000000">
      <w:pPr>
        <w:pStyle w:val="12"/>
        <w:adjustRightInd w:val="0"/>
        <w:snapToGrid w:val="0"/>
        <w:ind w:firstLine="480"/>
        <w:rPr>
          <w:rFonts w:ascii="宋体" w:hAnsi="宋体" w:cs="Arial" w:hint="eastAsia"/>
          <w:bCs/>
          <w:sz w:val="24"/>
        </w:rPr>
      </w:pPr>
      <w:r>
        <w:rPr>
          <w:rFonts w:ascii="宋体" w:hAnsi="宋体" w:cs="Arial" w:hint="eastAsia"/>
          <w:bCs/>
          <w:sz w:val="24"/>
        </w:rPr>
        <w:t>（5）本基金持有一家公司发行的证券，其市值不超过基金资产净值的</w:t>
      </w:r>
      <w:r>
        <w:rPr>
          <w:rFonts w:ascii="宋体" w:hAnsi="宋体" w:cs="Arial"/>
          <w:bCs/>
          <w:sz w:val="24"/>
        </w:rPr>
        <w:t>10</w:t>
      </w:r>
      <w:r>
        <w:rPr>
          <w:rFonts w:ascii="宋体" w:hAnsi="宋体" w:cs="Arial" w:hint="eastAsia"/>
          <w:bCs/>
          <w:sz w:val="24"/>
        </w:rPr>
        <w:t>％；</w:t>
      </w:r>
    </w:p>
    <w:p w14:paraId="42BCE3B3" w14:textId="77777777" w:rsidR="00566744" w:rsidRDefault="00000000">
      <w:pPr>
        <w:pStyle w:val="12"/>
        <w:adjustRightInd w:val="0"/>
        <w:snapToGrid w:val="0"/>
        <w:ind w:firstLine="480"/>
        <w:rPr>
          <w:rFonts w:ascii="宋体" w:hAnsi="宋体" w:cs="Arial" w:hint="eastAsia"/>
          <w:bCs/>
          <w:sz w:val="24"/>
        </w:rPr>
      </w:pPr>
      <w:r>
        <w:rPr>
          <w:rFonts w:ascii="宋体" w:hAnsi="宋体" w:cs="Arial" w:hint="eastAsia"/>
          <w:bCs/>
          <w:sz w:val="24"/>
        </w:rPr>
        <w:t>（6）本基金持有的全部资产支持证券，其市值不得超过基金资产净值的</w:t>
      </w:r>
      <w:r>
        <w:rPr>
          <w:rFonts w:ascii="宋体" w:hAnsi="宋体" w:cs="Arial"/>
          <w:bCs/>
          <w:sz w:val="24"/>
        </w:rPr>
        <w:t>20%</w:t>
      </w:r>
      <w:r>
        <w:rPr>
          <w:rFonts w:ascii="宋体" w:hAnsi="宋体" w:cs="Arial" w:hint="eastAsia"/>
          <w:bCs/>
          <w:sz w:val="24"/>
        </w:rPr>
        <w:t>；本基金持有的同一（指同一信用级别）资产支持证券的比例，不得超过该资产支持证券规模的</w:t>
      </w:r>
      <w:r>
        <w:rPr>
          <w:rFonts w:ascii="宋体" w:hAnsi="宋体" w:cs="Arial"/>
          <w:bCs/>
          <w:sz w:val="24"/>
        </w:rPr>
        <w:t>10%</w:t>
      </w:r>
      <w:r>
        <w:rPr>
          <w:rFonts w:ascii="宋体" w:hAnsi="宋体" w:cs="Arial" w:hint="eastAsia"/>
          <w:bCs/>
          <w:sz w:val="24"/>
        </w:rPr>
        <w:t>；本基金投资于同一原始权益人的各类资产支持证券的比例，不得超过基金资产净值的</w:t>
      </w:r>
      <w:r>
        <w:rPr>
          <w:rFonts w:ascii="宋体" w:hAnsi="宋体" w:cs="Arial"/>
          <w:bCs/>
          <w:sz w:val="24"/>
        </w:rPr>
        <w:t>10%</w:t>
      </w:r>
      <w:r>
        <w:rPr>
          <w:rFonts w:ascii="宋体" w:hAnsi="宋体" w:cs="Arial" w:hint="eastAsia"/>
          <w:bCs/>
          <w:sz w:val="24"/>
        </w:rPr>
        <w:t>；</w:t>
      </w:r>
    </w:p>
    <w:p w14:paraId="63781780" w14:textId="77777777" w:rsidR="00566744" w:rsidRDefault="00000000">
      <w:pPr>
        <w:pStyle w:val="12"/>
        <w:adjustRightInd w:val="0"/>
        <w:snapToGrid w:val="0"/>
        <w:ind w:firstLine="480"/>
        <w:rPr>
          <w:rFonts w:ascii="宋体" w:hAnsi="宋体" w:cs="Arial" w:hint="eastAsia"/>
          <w:bCs/>
          <w:sz w:val="24"/>
        </w:rPr>
      </w:pPr>
      <w:r>
        <w:rPr>
          <w:rFonts w:ascii="宋体" w:hAnsi="宋体" w:cs="Arial" w:hint="eastAsia"/>
          <w:bCs/>
          <w:sz w:val="24"/>
        </w:rPr>
        <w:t>本基金管理人管理的全部基金投资于同一原始权益人的各类资产支持证券，不得超过其</w:t>
      </w:r>
      <w:r>
        <w:rPr>
          <w:rFonts w:ascii="宋体" w:hAnsi="宋体" w:cs="Arial"/>
          <w:bCs/>
          <w:sz w:val="24"/>
        </w:rPr>
        <w:t>各类资产支持证券合计规模的10%</w:t>
      </w:r>
      <w:r>
        <w:rPr>
          <w:rFonts w:ascii="宋体" w:hAnsi="宋体" w:cs="Arial" w:hint="eastAsia"/>
          <w:bCs/>
          <w:sz w:val="24"/>
        </w:rPr>
        <w:t>；</w:t>
      </w:r>
    </w:p>
    <w:p w14:paraId="112A82AA" w14:textId="77777777" w:rsidR="00566744" w:rsidRDefault="00000000">
      <w:pPr>
        <w:pStyle w:val="12"/>
        <w:adjustRightInd w:val="0"/>
        <w:snapToGrid w:val="0"/>
        <w:ind w:firstLine="480"/>
        <w:rPr>
          <w:rFonts w:ascii="宋体" w:hAnsi="宋体" w:cs="Arial" w:hint="eastAsia"/>
          <w:bCs/>
          <w:sz w:val="24"/>
        </w:rPr>
      </w:pPr>
      <w:r>
        <w:rPr>
          <w:rFonts w:ascii="宋体" w:hAnsi="宋体" w:cs="Arial" w:hint="eastAsia"/>
          <w:bCs/>
          <w:sz w:val="24"/>
        </w:rPr>
        <w:t>（7）除发生巨额赎回、连续</w:t>
      </w:r>
      <w:r>
        <w:rPr>
          <w:rFonts w:ascii="宋体" w:hAnsi="宋体" w:cs="Arial"/>
          <w:bCs/>
          <w:sz w:val="24"/>
        </w:rPr>
        <w:t xml:space="preserve">3 </w:t>
      </w:r>
      <w:proofErr w:type="gramStart"/>
      <w:r>
        <w:rPr>
          <w:rFonts w:ascii="宋体" w:hAnsi="宋体" w:cs="Arial" w:hint="eastAsia"/>
          <w:bCs/>
          <w:sz w:val="24"/>
        </w:rPr>
        <w:t>个</w:t>
      </w:r>
      <w:proofErr w:type="gramEnd"/>
      <w:r>
        <w:rPr>
          <w:rFonts w:ascii="宋体" w:hAnsi="宋体" w:cs="Arial" w:hint="eastAsia"/>
          <w:bCs/>
          <w:sz w:val="24"/>
        </w:rPr>
        <w:t>交易日累计赎回</w:t>
      </w:r>
      <w:r>
        <w:rPr>
          <w:rFonts w:ascii="宋体" w:hAnsi="宋体" w:cs="Arial"/>
          <w:bCs/>
          <w:sz w:val="24"/>
        </w:rPr>
        <w:t>20%</w:t>
      </w:r>
      <w:r>
        <w:rPr>
          <w:rFonts w:ascii="宋体" w:hAnsi="宋体" w:cs="Arial" w:hint="eastAsia"/>
          <w:bCs/>
          <w:sz w:val="24"/>
        </w:rPr>
        <w:t>以上或者连续</w:t>
      </w:r>
      <w:r>
        <w:rPr>
          <w:rFonts w:ascii="宋体" w:hAnsi="宋体" w:cs="Arial"/>
          <w:bCs/>
          <w:sz w:val="24"/>
        </w:rPr>
        <w:t xml:space="preserve">5 </w:t>
      </w:r>
      <w:proofErr w:type="gramStart"/>
      <w:r>
        <w:rPr>
          <w:rFonts w:ascii="宋体" w:hAnsi="宋体" w:cs="Arial" w:hint="eastAsia"/>
          <w:bCs/>
          <w:sz w:val="24"/>
        </w:rPr>
        <w:t>个</w:t>
      </w:r>
      <w:proofErr w:type="gramEnd"/>
      <w:r>
        <w:rPr>
          <w:rFonts w:ascii="宋体" w:hAnsi="宋体" w:cs="Arial" w:hint="eastAsia"/>
          <w:bCs/>
          <w:sz w:val="24"/>
        </w:rPr>
        <w:t>交易日累计赎回</w:t>
      </w:r>
      <w:r>
        <w:rPr>
          <w:rFonts w:ascii="宋体" w:hAnsi="宋体" w:cs="Arial"/>
          <w:bCs/>
          <w:sz w:val="24"/>
        </w:rPr>
        <w:t>30%</w:t>
      </w:r>
      <w:r>
        <w:rPr>
          <w:rFonts w:ascii="宋体" w:hAnsi="宋体" w:cs="Arial" w:hint="eastAsia"/>
          <w:bCs/>
          <w:sz w:val="24"/>
        </w:rPr>
        <w:t>以上的情形外，本基金债券正回购的资金余额在每个交易日均不得超过基金资产净值的</w:t>
      </w:r>
      <w:r>
        <w:rPr>
          <w:rFonts w:ascii="宋体" w:hAnsi="宋体" w:cs="Arial"/>
          <w:bCs/>
          <w:sz w:val="24"/>
        </w:rPr>
        <w:t>20%</w:t>
      </w:r>
      <w:r>
        <w:rPr>
          <w:rFonts w:ascii="宋体" w:hAnsi="宋体" w:cs="Arial" w:hint="eastAsia"/>
          <w:bCs/>
          <w:sz w:val="24"/>
        </w:rPr>
        <w:t>；</w:t>
      </w:r>
    </w:p>
    <w:p w14:paraId="26E35C39" w14:textId="77777777" w:rsidR="00566744" w:rsidRDefault="00000000">
      <w:pPr>
        <w:pStyle w:val="12"/>
        <w:adjustRightInd w:val="0"/>
        <w:snapToGrid w:val="0"/>
        <w:ind w:firstLine="480"/>
        <w:rPr>
          <w:rFonts w:ascii="宋体" w:hAnsi="宋体" w:cs="Arial" w:hint="eastAsia"/>
          <w:bCs/>
          <w:sz w:val="24"/>
        </w:rPr>
      </w:pPr>
      <w:r>
        <w:rPr>
          <w:rFonts w:ascii="宋体" w:hAnsi="宋体" w:cs="Arial" w:hint="eastAsia"/>
          <w:bCs/>
          <w:sz w:val="24"/>
        </w:rPr>
        <w:t>（8）本基金的基金资产总值不得超过基金资产净值的</w:t>
      </w:r>
      <w:r>
        <w:rPr>
          <w:rFonts w:ascii="宋体" w:hAnsi="宋体" w:cs="Arial"/>
          <w:bCs/>
          <w:sz w:val="24"/>
        </w:rPr>
        <w:t>140%</w:t>
      </w:r>
      <w:r>
        <w:rPr>
          <w:rFonts w:ascii="宋体" w:hAnsi="宋体" w:cs="Arial" w:hint="eastAsia"/>
          <w:bCs/>
          <w:sz w:val="24"/>
        </w:rPr>
        <w:t>；</w:t>
      </w:r>
    </w:p>
    <w:p w14:paraId="7B55AD7A" w14:textId="77777777" w:rsidR="00566744" w:rsidRDefault="00000000">
      <w:pPr>
        <w:pStyle w:val="12"/>
        <w:adjustRightInd w:val="0"/>
        <w:snapToGrid w:val="0"/>
        <w:ind w:firstLine="480"/>
        <w:rPr>
          <w:rFonts w:ascii="宋体" w:hAnsi="宋体" w:cs="Arial" w:hint="eastAsia"/>
          <w:bCs/>
          <w:sz w:val="24"/>
        </w:rPr>
      </w:pPr>
      <w:r>
        <w:rPr>
          <w:rFonts w:ascii="宋体" w:hAnsi="宋体" w:cs="Arial" w:hint="eastAsia"/>
          <w:bCs/>
          <w:sz w:val="24"/>
        </w:rPr>
        <w:t>（9）同一机构发行的债券、非金融企业债务融资工具及其作为原始权益人的资产支持证券占基金资产净值的比例合计不得超过</w:t>
      </w:r>
      <w:r>
        <w:rPr>
          <w:rFonts w:ascii="宋体" w:hAnsi="宋体" w:cs="Arial"/>
          <w:bCs/>
          <w:sz w:val="24"/>
        </w:rPr>
        <w:t>10%</w:t>
      </w:r>
      <w:r>
        <w:rPr>
          <w:rFonts w:ascii="宋体" w:hAnsi="宋体" w:cs="Arial" w:hint="eastAsia"/>
          <w:bCs/>
          <w:sz w:val="24"/>
        </w:rPr>
        <w:t>，国债、中央银行票据、政策性金融债券除外；</w:t>
      </w:r>
    </w:p>
    <w:p w14:paraId="20ED190F" w14:textId="77777777" w:rsidR="00566744" w:rsidRDefault="00000000">
      <w:pPr>
        <w:pStyle w:val="12"/>
        <w:adjustRightInd w:val="0"/>
        <w:snapToGrid w:val="0"/>
        <w:ind w:firstLine="480"/>
        <w:rPr>
          <w:rFonts w:ascii="宋体" w:hAnsi="宋体" w:cs="Arial" w:hint="eastAsia"/>
          <w:bCs/>
          <w:sz w:val="24"/>
        </w:rPr>
      </w:pPr>
      <w:r>
        <w:rPr>
          <w:rFonts w:ascii="宋体" w:hAnsi="宋体" w:cs="Arial" w:hint="eastAsia"/>
          <w:bCs/>
          <w:sz w:val="24"/>
        </w:rPr>
        <w:lastRenderedPageBreak/>
        <w:t>（10）现金、国债、中央银行票据、政策性金融债券占基金资产净值的比例合计不得低于</w:t>
      </w:r>
      <w:r>
        <w:rPr>
          <w:rFonts w:ascii="宋体" w:hAnsi="宋体" w:cs="Arial"/>
          <w:bCs/>
          <w:sz w:val="24"/>
        </w:rPr>
        <w:t>5%</w:t>
      </w:r>
      <w:r>
        <w:rPr>
          <w:rFonts w:ascii="宋体" w:hAnsi="宋体" w:cs="Arial" w:hint="eastAsia"/>
          <w:bCs/>
          <w:sz w:val="24"/>
        </w:rPr>
        <w:t>；</w:t>
      </w:r>
    </w:p>
    <w:p w14:paraId="42E7121E" w14:textId="77777777" w:rsidR="00566744" w:rsidRDefault="00000000">
      <w:pPr>
        <w:pStyle w:val="12"/>
        <w:adjustRightInd w:val="0"/>
        <w:snapToGrid w:val="0"/>
        <w:ind w:firstLine="480"/>
        <w:rPr>
          <w:rFonts w:ascii="宋体" w:hAnsi="宋体" w:cs="Arial" w:hint="eastAsia"/>
          <w:bCs/>
          <w:sz w:val="24"/>
        </w:rPr>
      </w:pPr>
      <w:r>
        <w:rPr>
          <w:rFonts w:ascii="宋体" w:hAnsi="宋体" w:cs="Arial" w:hint="eastAsia"/>
          <w:bCs/>
          <w:sz w:val="24"/>
        </w:rPr>
        <w:t>（11）现金、国债、中央银行票据、政策性金融债券以及五个交易日内到期的其他金融工具占基金资产净值的比例合计不得低于</w:t>
      </w:r>
      <w:r>
        <w:rPr>
          <w:rFonts w:ascii="宋体" w:hAnsi="宋体" w:cs="Arial"/>
          <w:bCs/>
          <w:sz w:val="24"/>
        </w:rPr>
        <w:t>10%</w:t>
      </w:r>
      <w:r>
        <w:rPr>
          <w:rFonts w:ascii="宋体" w:hAnsi="宋体" w:cs="Arial" w:hint="eastAsia"/>
          <w:bCs/>
          <w:sz w:val="24"/>
        </w:rPr>
        <w:t>；</w:t>
      </w:r>
    </w:p>
    <w:p w14:paraId="35AECF2F" w14:textId="77777777" w:rsidR="00566744" w:rsidRDefault="00000000">
      <w:pPr>
        <w:pStyle w:val="12"/>
        <w:adjustRightInd w:val="0"/>
        <w:snapToGrid w:val="0"/>
        <w:ind w:firstLine="480"/>
        <w:rPr>
          <w:rFonts w:ascii="宋体" w:hAnsi="宋体" w:cs="Arial" w:hint="eastAsia"/>
          <w:bCs/>
          <w:sz w:val="24"/>
        </w:rPr>
      </w:pPr>
      <w:r>
        <w:rPr>
          <w:rFonts w:ascii="宋体" w:hAnsi="宋体" w:cs="Arial" w:hint="eastAsia"/>
          <w:bCs/>
          <w:sz w:val="24"/>
        </w:rPr>
        <w:t>（12）到期日在</w:t>
      </w:r>
      <w:r>
        <w:rPr>
          <w:rFonts w:ascii="宋体" w:hAnsi="宋体" w:cs="Arial"/>
          <w:bCs/>
          <w:sz w:val="24"/>
        </w:rPr>
        <w:t xml:space="preserve">10 </w:t>
      </w:r>
      <w:proofErr w:type="gramStart"/>
      <w:r>
        <w:rPr>
          <w:rFonts w:ascii="宋体" w:hAnsi="宋体" w:cs="Arial" w:hint="eastAsia"/>
          <w:bCs/>
          <w:sz w:val="24"/>
        </w:rPr>
        <w:t>个</w:t>
      </w:r>
      <w:proofErr w:type="gramEnd"/>
      <w:r>
        <w:rPr>
          <w:rFonts w:ascii="宋体" w:hAnsi="宋体" w:cs="Arial" w:hint="eastAsia"/>
          <w:bCs/>
          <w:sz w:val="24"/>
        </w:rPr>
        <w:t>交易日以上的逆回购、银行定期存款等流动性受限资产投资占基金资产净值的比例合计不得超过</w:t>
      </w:r>
      <w:r>
        <w:rPr>
          <w:rFonts w:ascii="宋体" w:hAnsi="宋体" w:cs="Arial"/>
          <w:bCs/>
          <w:sz w:val="24"/>
        </w:rPr>
        <w:t>30%</w:t>
      </w:r>
      <w:r>
        <w:rPr>
          <w:rFonts w:ascii="宋体" w:hAnsi="宋体" w:cs="Arial" w:hint="eastAsia"/>
          <w:bCs/>
          <w:sz w:val="24"/>
        </w:rPr>
        <w:t>；</w:t>
      </w:r>
    </w:p>
    <w:p w14:paraId="0E4F0017" w14:textId="77777777" w:rsidR="00566744" w:rsidRDefault="00000000">
      <w:pPr>
        <w:pStyle w:val="12"/>
        <w:adjustRightInd w:val="0"/>
        <w:snapToGrid w:val="0"/>
        <w:ind w:firstLine="480"/>
        <w:rPr>
          <w:bCs/>
          <w:sz w:val="24"/>
        </w:rPr>
      </w:pPr>
      <w:r>
        <w:rPr>
          <w:rFonts w:ascii="宋体" w:hAnsi="宋体" w:cs="Arial" w:hint="eastAsia"/>
          <w:bCs/>
          <w:sz w:val="24"/>
        </w:rPr>
        <w:t>（</w:t>
      </w:r>
      <w:r>
        <w:rPr>
          <w:rFonts w:ascii="宋体" w:hAnsi="宋体" w:cs="Arial"/>
          <w:bCs/>
          <w:sz w:val="24"/>
        </w:rPr>
        <w:t>13</w:t>
      </w:r>
      <w:r>
        <w:rPr>
          <w:rFonts w:ascii="宋体" w:hAnsi="宋体" w:cs="Arial" w:hint="eastAsia"/>
          <w:bCs/>
          <w:sz w:val="24"/>
        </w:rPr>
        <w:t>）</w:t>
      </w:r>
      <w:r>
        <w:rPr>
          <w:rFonts w:ascii="宋体" w:hAnsi="宋体" w:hint="eastAsia"/>
          <w:bCs/>
          <w:sz w:val="24"/>
        </w:rPr>
        <w:t>在全国银行间债券市场债券回购的资金余额不得超过基金资产净值的</w:t>
      </w:r>
      <w:r>
        <w:rPr>
          <w:rFonts w:ascii="宋体" w:hAnsi="宋体"/>
          <w:bCs/>
          <w:sz w:val="24"/>
        </w:rPr>
        <w:t>40%</w:t>
      </w:r>
      <w:r>
        <w:rPr>
          <w:rFonts w:ascii="宋体" w:hAnsi="宋体" w:hint="eastAsia"/>
          <w:bCs/>
          <w:sz w:val="24"/>
        </w:rPr>
        <w:t>；</w:t>
      </w:r>
      <w:r>
        <w:rPr>
          <w:rFonts w:hint="eastAsia"/>
          <w:bCs/>
          <w:sz w:val="24"/>
        </w:rPr>
        <w:t>债券回购最长期限为</w:t>
      </w:r>
      <w:r>
        <w:rPr>
          <w:rFonts w:hint="eastAsia"/>
          <w:bCs/>
          <w:sz w:val="24"/>
        </w:rPr>
        <w:t>1</w:t>
      </w:r>
      <w:r>
        <w:rPr>
          <w:rFonts w:hint="eastAsia"/>
          <w:bCs/>
          <w:sz w:val="24"/>
        </w:rPr>
        <w:t>年，债券回购到期后不得展期；</w:t>
      </w:r>
    </w:p>
    <w:p w14:paraId="07C326CF" w14:textId="77777777" w:rsidR="00566744" w:rsidRDefault="00000000">
      <w:pPr>
        <w:pStyle w:val="12"/>
        <w:adjustRightInd w:val="0"/>
        <w:snapToGrid w:val="0"/>
        <w:ind w:firstLine="480"/>
        <w:rPr>
          <w:rFonts w:ascii="宋体" w:hAnsi="宋体" w:cs="Arial" w:hint="eastAsia"/>
          <w:bCs/>
          <w:sz w:val="24"/>
        </w:rPr>
      </w:pPr>
      <w:r>
        <w:rPr>
          <w:rFonts w:ascii="宋体" w:hAnsi="宋体" w:cs="Arial" w:hint="eastAsia"/>
          <w:bCs/>
          <w:sz w:val="24"/>
        </w:rPr>
        <w:t>（</w:t>
      </w:r>
      <w:r>
        <w:rPr>
          <w:rFonts w:ascii="宋体" w:hAnsi="宋体" w:cs="Arial"/>
          <w:bCs/>
          <w:sz w:val="24"/>
        </w:rPr>
        <w:t>14</w:t>
      </w:r>
      <w:r>
        <w:rPr>
          <w:rFonts w:ascii="宋体" w:hAnsi="宋体" w:cs="Arial" w:hint="eastAsia"/>
          <w:bCs/>
          <w:sz w:val="24"/>
        </w:rPr>
        <w:t>）本基金投资的资产支持证券须具有评级资质的资信评级机构进行持续信用评级，且其信用评级应不低于国内信用评级机构评定的</w:t>
      </w:r>
      <w:r>
        <w:rPr>
          <w:rFonts w:ascii="宋体" w:hAnsi="宋体" w:cs="Arial"/>
          <w:bCs/>
          <w:sz w:val="24"/>
        </w:rPr>
        <w:t>AAA</w:t>
      </w:r>
      <w:r>
        <w:rPr>
          <w:rFonts w:ascii="宋体" w:hAnsi="宋体" w:cs="Arial" w:hint="eastAsia"/>
          <w:bCs/>
          <w:sz w:val="24"/>
        </w:rPr>
        <w:t>级或相当于</w:t>
      </w:r>
      <w:r>
        <w:rPr>
          <w:rFonts w:ascii="宋体" w:hAnsi="宋体" w:cs="Arial"/>
          <w:bCs/>
          <w:sz w:val="24"/>
        </w:rPr>
        <w:t>AAA</w:t>
      </w:r>
      <w:r>
        <w:rPr>
          <w:rFonts w:ascii="宋体" w:hAnsi="宋体" w:cs="Arial" w:hint="eastAsia"/>
          <w:bCs/>
          <w:sz w:val="24"/>
        </w:rPr>
        <w:t>级的信用级别。本基金持有的资产支持证券信用等级下降、不再符合投资标准的，基金管理人应在评级报告发布之日起</w:t>
      </w:r>
      <w:r>
        <w:rPr>
          <w:rFonts w:ascii="宋体" w:hAnsi="宋体" w:cs="Arial"/>
          <w:bCs/>
          <w:sz w:val="24"/>
        </w:rPr>
        <w:t>3</w:t>
      </w:r>
      <w:r>
        <w:rPr>
          <w:rFonts w:ascii="宋体" w:hAnsi="宋体" w:cs="Arial" w:hint="eastAsia"/>
          <w:bCs/>
          <w:sz w:val="24"/>
        </w:rPr>
        <w:t>个月内对其予以全部卖出。</w:t>
      </w:r>
    </w:p>
    <w:p w14:paraId="64B48C5E" w14:textId="77777777" w:rsidR="00566744" w:rsidRDefault="00000000">
      <w:pPr>
        <w:pStyle w:val="12"/>
        <w:adjustRightInd w:val="0"/>
        <w:snapToGrid w:val="0"/>
        <w:ind w:firstLine="480"/>
        <w:rPr>
          <w:rFonts w:ascii="宋体" w:hAnsi="宋体" w:cs="Arial" w:hint="eastAsia"/>
          <w:bCs/>
          <w:sz w:val="24"/>
        </w:rPr>
      </w:pPr>
      <w:r>
        <w:rPr>
          <w:rFonts w:ascii="宋体" w:hAnsi="宋体" w:cs="Arial" w:hint="eastAsia"/>
          <w:bCs/>
          <w:sz w:val="24"/>
        </w:rPr>
        <w:t>（</w:t>
      </w:r>
      <w:r>
        <w:rPr>
          <w:rFonts w:ascii="宋体" w:hAnsi="宋体" w:cs="Arial"/>
          <w:bCs/>
          <w:sz w:val="24"/>
        </w:rPr>
        <w:t>15</w:t>
      </w:r>
      <w:r>
        <w:rPr>
          <w:rFonts w:ascii="宋体" w:hAnsi="宋体" w:cs="Arial" w:hint="eastAsia"/>
          <w:bCs/>
          <w:sz w:val="24"/>
        </w:rPr>
        <w:t>）本基金持有的全部资产支持证券，其市值不得超过基金资产净值的</w:t>
      </w:r>
      <w:r>
        <w:rPr>
          <w:rFonts w:ascii="宋体" w:hAnsi="宋体" w:cs="Arial"/>
          <w:bCs/>
          <w:sz w:val="24"/>
        </w:rPr>
        <w:t xml:space="preserve"> 20%</w:t>
      </w:r>
      <w:r>
        <w:rPr>
          <w:rFonts w:ascii="宋体" w:hAnsi="宋体" w:cs="Arial" w:hint="eastAsia"/>
          <w:bCs/>
          <w:sz w:val="24"/>
        </w:rPr>
        <w:t>；本基金持有的同一（指同一信用级别）资产支持证券的比例，不得超过该资产支持证券规模的</w:t>
      </w:r>
      <w:r>
        <w:rPr>
          <w:rFonts w:ascii="宋体" w:hAnsi="宋体" w:cs="Arial"/>
          <w:bCs/>
          <w:sz w:val="24"/>
        </w:rPr>
        <w:t>10%</w:t>
      </w:r>
      <w:r>
        <w:rPr>
          <w:rFonts w:ascii="宋体" w:hAnsi="宋体" w:cs="Arial" w:hint="eastAsia"/>
          <w:bCs/>
          <w:sz w:val="24"/>
        </w:rPr>
        <w:t>；基金投资于同一原始权益人的各类资产支持证券的比例，不得超过基金资产净值的</w:t>
      </w:r>
      <w:r>
        <w:rPr>
          <w:rFonts w:ascii="宋体" w:hAnsi="宋体" w:cs="Arial"/>
          <w:bCs/>
          <w:sz w:val="24"/>
        </w:rPr>
        <w:t xml:space="preserve"> 10%</w:t>
      </w:r>
      <w:r>
        <w:rPr>
          <w:rFonts w:ascii="宋体" w:hAnsi="宋体" w:cs="Arial" w:hint="eastAsia"/>
          <w:bCs/>
          <w:sz w:val="24"/>
        </w:rPr>
        <w:t>；基金管理人管理的全部证券投资基金投资于同一原始权益人的各类资产支持证券，不得超过其各类资产支持证券合计规模的</w:t>
      </w:r>
      <w:r>
        <w:rPr>
          <w:rFonts w:ascii="宋体" w:hAnsi="宋体" w:cs="Arial"/>
          <w:bCs/>
          <w:sz w:val="24"/>
        </w:rPr>
        <w:t xml:space="preserve"> 10%</w:t>
      </w:r>
      <w:r>
        <w:rPr>
          <w:rFonts w:ascii="宋体" w:hAnsi="宋体" w:cs="Arial" w:hint="eastAsia"/>
          <w:bCs/>
          <w:sz w:val="24"/>
        </w:rPr>
        <w:t>；</w:t>
      </w:r>
    </w:p>
    <w:p w14:paraId="7D79E2B0" w14:textId="77777777" w:rsidR="00566744" w:rsidRDefault="00000000">
      <w:pPr>
        <w:pStyle w:val="12"/>
        <w:adjustRightInd w:val="0"/>
        <w:snapToGrid w:val="0"/>
        <w:ind w:firstLine="480"/>
        <w:rPr>
          <w:rFonts w:asciiTheme="minorEastAsia" w:eastAsiaTheme="minorEastAsia" w:hAnsiTheme="minorEastAsia" w:hint="eastAsia"/>
          <w:kern w:val="0"/>
          <w:sz w:val="24"/>
          <w:szCs w:val="24"/>
        </w:rPr>
      </w:pPr>
      <w:r>
        <w:rPr>
          <w:rFonts w:asciiTheme="minorEastAsia" w:eastAsiaTheme="minorEastAsia" w:hAnsiTheme="minorEastAsia" w:cs="Arial" w:hint="eastAsia"/>
          <w:bCs/>
          <w:sz w:val="24"/>
          <w:szCs w:val="24"/>
        </w:rPr>
        <w:t>（16）</w:t>
      </w:r>
      <w:r>
        <w:rPr>
          <w:rFonts w:asciiTheme="minorEastAsia" w:eastAsiaTheme="minorEastAsia" w:hAnsiTheme="minorEastAsia" w:hint="eastAsia"/>
          <w:kern w:val="0"/>
          <w:sz w:val="24"/>
          <w:szCs w:val="24"/>
        </w:rPr>
        <w:t>当本基金前</w:t>
      </w:r>
      <w:r>
        <w:rPr>
          <w:rFonts w:asciiTheme="minorEastAsia" w:eastAsiaTheme="minorEastAsia" w:hAnsiTheme="minorEastAsia"/>
          <w:kern w:val="0"/>
          <w:sz w:val="24"/>
          <w:szCs w:val="24"/>
        </w:rPr>
        <w:t>10</w:t>
      </w:r>
      <w:r>
        <w:rPr>
          <w:rFonts w:asciiTheme="minorEastAsia" w:eastAsiaTheme="minorEastAsia" w:hAnsiTheme="minorEastAsia" w:hint="eastAsia"/>
          <w:kern w:val="0"/>
          <w:sz w:val="24"/>
          <w:szCs w:val="24"/>
        </w:rPr>
        <w:t>名份额持有人的持有份额合计超过基金总份额的</w:t>
      </w:r>
      <w:r>
        <w:rPr>
          <w:rFonts w:asciiTheme="minorEastAsia" w:eastAsiaTheme="minorEastAsia" w:hAnsiTheme="minorEastAsia"/>
          <w:kern w:val="0"/>
          <w:sz w:val="24"/>
          <w:szCs w:val="24"/>
        </w:rPr>
        <w:t>50%</w:t>
      </w:r>
      <w:r>
        <w:rPr>
          <w:rFonts w:asciiTheme="minorEastAsia" w:eastAsiaTheme="minorEastAsia" w:hAnsiTheme="minorEastAsia" w:hint="eastAsia"/>
          <w:kern w:val="0"/>
          <w:sz w:val="24"/>
          <w:szCs w:val="24"/>
        </w:rPr>
        <w:t>时</w:t>
      </w:r>
      <w:r>
        <w:rPr>
          <w:rFonts w:asciiTheme="minorEastAsia" w:eastAsiaTheme="minorEastAsia" w:hAnsiTheme="minorEastAsia"/>
          <w:kern w:val="0"/>
          <w:sz w:val="24"/>
          <w:szCs w:val="24"/>
        </w:rPr>
        <w:t xml:space="preserve">, </w:t>
      </w:r>
      <w:r>
        <w:rPr>
          <w:rFonts w:asciiTheme="minorEastAsia" w:eastAsiaTheme="minorEastAsia" w:hAnsiTheme="minorEastAsia" w:hint="eastAsia"/>
          <w:kern w:val="0"/>
          <w:sz w:val="24"/>
          <w:szCs w:val="24"/>
        </w:rPr>
        <w:t>本基金投资组合的平均剩余期限不得超过</w:t>
      </w:r>
      <w:r>
        <w:rPr>
          <w:rFonts w:asciiTheme="minorEastAsia" w:eastAsiaTheme="minorEastAsia" w:hAnsiTheme="minorEastAsia"/>
          <w:kern w:val="0"/>
          <w:sz w:val="24"/>
          <w:szCs w:val="24"/>
        </w:rPr>
        <w:t>60</w:t>
      </w:r>
      <w:r>
        <w:rPr>
          <w:rFonts w:asciiTheme="minorEastAsia" w:eastAsiaTheme="minorEastAsia" w:hAnsiTheme="minorEastAsia" w:hint="eastAsia"/>
          <w:kern w:val="0"/>
          <w:sz w:val="24"/>
          <w:szCs w:val="24"/>
        </w:rPr>
        <w:t>天，平均剩余存续期不得超过</w:t>
      </w:r>
      <w:r>
        <w:rPr>
          <w:rFonts w:asciiTheme="minorEastAsia" w:eastAsiaTheme="minorEastAsia" w:hAnsiTheme="minorEastAsia"/>
          <w:kern w:val="0"/>
          <w:sz w:val="24"/>
          <w:szCs w:val="24"/>
        </w:rPr>
        <w:t>120</w:t>
      </w:r>
      <w:r>
        <w:rPr>
          <w:rFonts w:asciiTheme="minorEastAsia" w:eastAsiaTheme="minorEastAsia" w:hAnsiTheme="minorEastAsia" w:hint="eastAsia"/>
          <w:kern w:val="0"/>
          <w:sz w:val="24"/>
          <w:szCs w:val="24"/>
        </w:rPr>
        <w:t>天；投资组合中现金、国债、中央银行票据、政策性金融债券以及</w:t>
      </w:r>
      <w:r>
        <w:rPr>
          <w:rFonts w:asciiTheme="minorEastAsia" w:eastAsiaTheme="minorEastAsia" w:hAnsiTheme="minorEastAsia"/>
          <w:kern w:val="0"/>
          <w:sz w:val="24"/>
          <w:szCs w:val="24"/>
        </w:rPr>
        <w:t>5</w:t>
      </w:r>
      <w:r>
        <w:rPr>
          <w:rFonts w:asciiTheme="minorEastAsia" w:eastAsiaTheme="minorEastAsia" w:hAnsiTheme="minorEastAsia" w:hint="eastAsia"/>
          <w:kern w:val="0"/>
          <w:sz w:val="24"/>
          <w:szCs w:val="24"/>
        </w:rPr>
        <w:t>个交易日内到期的其他金融工具占基金资产净值的比例合计不得低于</w:t>
      </w:r>
      <w:r>
        <w:rPr>
          <w:rFonts w:asciiTheme="minorEastAsia" w:eastAsiaTheme="minorEastAsia" w:hAnsiTheme="minorEastAsia"/>
          <w:kern w:val="0"/>
          <w:sz w:val="24"/>
          <w:szCs w:val="24"/>
        </w:rPr>
        <w:t>30%</w:t>
      </w:r>
      <w:r>
        <w:rPr>
          <w:rFonts w:asciiTheme="minorEastAsia" w:eastAsiaTheme="minorEastAsia" w:hAnsiTheme="minorEastAsia" w:hint="eastAsia"/>
          <w:kern w:val="0"/>
          <w:sz w:val="24"/>
          <w:szCs w:val="24"/>
        </w:rPr>
        <w:t>；</w:t>
      </w:r>
    </w:p>
    <w:p w14:paraId="47FA7365" w14:textId="77777777" w:rsidR="00566744" w:rsidRDefault="00000000">
      <w:pPr>
        <w:pStyle w:val="12"/>
        <w:adjustRightInd w:val="0"/>
        <w:snapToGrid w:val="0"/>
        <w:ind w:firstLine="480"/>
        <w:rPr>
          <w:rFonts w:asciiTheme="minorEastAsia" w:eastAsiaTheme="minorEastAsia" w:hAnsiTheme="minorEastAsia" w:hint="eastAsia"/>
          <w:kern w:val="0"/>
          <w:sz w:val="24"/>
          <w:szCs w:val="24"/>
        </w:rPr>
      </w:pPr>
      <w:r>
        <w:rPr>
          <w:rFonts w:asciiTheme="minorEastAsia" w:eastAsiaTheme="minorEastAsia" w:hAnsiTheme="minorEastAsia" w:hint="eastAsia"/>
          <w:kern w:val="0"/>
          <w:sz w:val="24"/>
          <w:szCs w:val="24"/>
        </w:rPr>
        <w:t xml:space="preserve"> </w:t>
      </w:r>
      <w:r>
        <w:rPr>
          <w:rFonts w:asciiTheme="minorEastAsia" w:eastAsiaTheme="minorEastAsia" w:hAnsiTheme="minorEastAsia" w:cs="Arial" w:hint="eastAsia"/>
          <w:bCs/>
          <w:sz w:val="24"/>
          <w:szCs w:val="24"/>
        </w:rPr>
        <w:t>（17）</w:t>
      </w:r>
      <w:r>
        <w:rPr>
          <w:rFonts w:asciiTheme="minorEastAsia" w:eastAsiaTheme="minorEastAsia" w:hAnsiTheme="minorEastAsia" w:hint="eastAsia"/>
          <w:kern w:val="0"/>
          <w:sz w:val="24"/>
          <w:szCs w:val="24"/>
        </w:rPr>
        <w:t>当本基金前</w:t>
      </w:r>
      <w:r>
        <w:rPr>
          <w:rFonts w:asciiTheme="minorEastAsia" w:eastAsiaTheme="minorEastAsia" w:hAnsiTheme="minorEastAsia"/>
          <w:kern w:val="0"/>
          <w:sz w:val="24"/>
          <w:szCs w:val="24"/>
        </w:rPr>
        <w:t>10</w:t>
      </w:r>
      <w:r>
        <w:rPr>
          <w:rFonts w:asciiTheme="minorEastAsia" w:eastAsiaTheme="minorEastAsia" w:hAnsiTheme="minorEastAsia" w:hint="eastAsia"/>
          <w:kern w:val="0"/>
          <w:sz w:val="24"/>
          <w:szCs w:val="24"/>
        </w:rPr>
        <w:t>名份额持有人的持有份额合计超过基金总份额的</w:t>
      </w:r>
      <w:r>
        <w:rPr>
          <w:rFonts w:asciiTheme="minorEastAsia" w:eastAsiaTheme="minorEastAsia" w:hAnsiTheme="minorEastAsia"/>
          <w:kern w:val="0"/>
          <w:sz w:val="24"/>
          <w:szCs w:val="24"/>
        </w:rPr>
        <w:t>20%</w:t>
      </w:r>
      <w:r>
        <w:rPr>
          <w:rFonts w:asciiTheme="minorEastAsia" w:eastAsiaTheme="minorEastAsia" w:hAnsiTheme="minorEastAsia" w:hint="eastAsia"/>
          <w:kern w:val="0"/>
          <w:sz w:val="24"/>
          <w:szCs w:val="24"/>
        </w:rPr>
        <w:t>时，本基金投资组合的平均剩余期限不得超过</w:t>
      </w:r>
      <w:r>
        <w:rPr>
          <w:rFonts w:asciiTheme="minorEastAsia" w:eastAsiaTheme="minorEastAsia" w:hAnsiTheme="minorEastAsia"/>
          <w:kern w:val="0"/>
          <w:sz w:val="24"/>
          <w:szCs w:val="24"/>
        </w:rPr>
        <w:t>90</w:t>
      </w:r>
      <w:r>
        <w:rPr>
          <w:rFonts w:asciiTheme="minorEastAsia" w:eastAsiaTheme="minorEastAsia" w:hAnsiTheme="minorEastAsia" w:hint="eastAsia"/>
          <w:kern w:val="0"/>
          <w:sz w:val="24"/>
          <w:szCs w:val="24"/>
        </w:rPr>
        <w:t>天，平均剩余存续期不得超过</w:t>
      </w:r>
      <w:r>
        <w:rPr>
          <w:rFonts w:asciiTheme="minorEastAsia" w:eastAsiaTheme="minorEastAsia" w:hAnsiTheme="minorEastAsia"/>
          <w:kern w:val="0"/>
          <w:sz w:val="24"/>
          <w:szCs w:val="24"/>
        </w:rPr>
        <w:t>180</w:t>
      </w:r>
      <w:r>
        <w:rPr>
          <w:rFonts w:asciiTheme="minorEastAsia" w:eastAsiaTheme="minorEastAsia" w:hAnsiTheme="minorEastAsia" w:hint="eastAsia"/>
          <w:kern w:val="0"/>
          <w:sz w:val="24"/>
          <w:szCs w:val="24"/>
        </w:rPr>
        <w:t>天；投资组合中现金、国债、中央银行票据、政策性金融债券以及</w:t>
      </w:r>
      <w:r>
        <w:rPr>
          <w:rFonts w:asciiTheme="minorEastAsia" w:eastAsiaTheme="minorEastAsia" w:hAnsiTheme="minorEastAsia"/>
          <w:kern w:val="0"/>
          <w:sz w:val="24"/>
          <w:szCs w:val="24"/>
        </w:rPr>
        <w:t>5</w:t>
      </w:r>
      <w:r>
        <w:rPr>
          <w:rFonts w:asciiTheme="minorEastAsia" w:eastAsiaTheme="minorEastAsia" w:hAnsiTheme="minorEastAsia" w:hint="eastAsia"/>
          <w:kern w:val="0"/>
          <w:sz w:val="24"/>
          <w:szCs w:val="24"/>
        </w:rPr>
        <w:t>个交易日内到期的其他金融工具占基金资产净值的比例合计不得低于</w:t>
      </w:r>
      <w:r>
        <w:rPr>
          <w:rFonts w:asciiTheme="minorEastAsia" w:eastAsiaTheme="minorEastAsia" w:hAnsiTheme="minorEastAsia"/>
          <w:kern w:val="0"/>
          <w:sz w:val="24"/>
          <w:szCs w:val="24"/>
        </w:rPr>
        <w:t>20%</w:t>
      </w:r>
      <w:r>
        <w:rPr>
          <w:rFonts w:asciiTheme="minorEastAsia" w:eastAsiaTheme="minorEastAsia" w:hAnsiTheme="minorEastAsia" w:hint="eastAsia"/>
          <w:kern w:val="0"/>
          <w:sz w:val="24"/>
          <w:szCs w:val="24"/>
        </w:rPr>
        <w:t>；</w:t>
      </w:r>
    </w:p>
    <w:p w14:paraId="6E29D476" w14:textId="77777777" w:rsidR="00566744" w:rsidRDefault="00000000">
      <w:pPr>
        <w:pStyle w:val="12"/>
        <w:adjustRightInd w:val="0"/>
        <w:snapToGrid w:val="0"/>
        <w:ind w:firstLine="420"/>
        <w:rPr>
          <w:rFonts w:asciiTheme="minorEastAsia" w:eastAsiaTheme="minorEastAsia" w:hAnsiTheme="minorEastAsia" w:cs="Arial" w:hint="eastAsia"/>
          <w:bCs/>
          <w:sz w:val="24"/>
          <w:szCs w:val="24"/>
        </w:rPr>
      </w:pPr>
      <w:r>
        <w:rPr>
          <w:rFonts w:hint="eastAsia"/>
        </w:rPr>
        <w:t xml:space="preserve">  </w:t>
      </w:r>
      <w:r>
        <w:rPr>
          <w:rFonts w:asciiTheme="minorEastAsia" w:eastAsiaTheme="minorEastAsia" w:hAnsiTheme="minorEastAsia" w:cs="Arial" w:hint="eastAsia"/>
          <w:bCs/>
          <w:sz w:val="24"/>
          <w:szCs w:val="24"/>
        </w:rPr>
        <w:t>（18）本基金主动投资于流动性受限资产的市值合计不得超过基金资产净值的</w:t>
      </w:r>
      <w:r>
        <w:rPr>
          <w:rFonts w:asciiTheme="minorEastAsia" w:eastAsiaTheme="minorEastAsia" w:hAnsiTheme="minorEastAsia" w:cs="Arial"/>
          <w:bCs/>
          <w:sz w:val="24"/>
          <w:szCs w:val="24"/>
        </w:rPr>
        <w:t>10%</w:t>
      </w:r>
      <w:r>
        <w:rPr>
          <w:rFonts w:asciiTheme="minorEastAsia" w:eastAsiaTheme="minorEastAsia" w:hAnsiTheme="minorEastAsia" w:cs="Arial" w:hint="eastAsia"/>
          <w:bCs/>
          <w:sz w:val="24"/>
          <w:szCs w:val="24"/>
        </w:rPr>
        <w:t>；因证券市场波动、基金规模变动等基金管理人之外的因素致使基金不符合前款所规定比例限制的，基金管理人不得主动新增流动性受限资产的投资；</w:t>
      </w:r>
      <w:r>
        <w:rPr>
          <w:rFonts w:asciiTheme="minorEastAsia" w:eastAsiaTheme="minorEastAsia" w:hAnsiTheme="minorEastAsia" w:cs="Arial"/>
          <w:bCs/>
          <w:sz w:val="24"/>
          <w:szCs w:val="24"/>
        </w:rPr>
        <w:t xml:space="preserve"> </w:t>
      </w:r>
    </w:p>
    <w:p w14:paraId="55C8ACD9" w14:textId="77777777" w:rsidR="00566744" w:rsidRDefault="00000000">
      <w:pPr>
        <w:pStyle w:val="12"/>
        <w:adjustRightInd w:val="0"/>
        <w:snapToGrid w:val="0"/>
        <w:ind w:firstLine="480"/>
        <w:rPr>
          <w:rFonts w:asciiTheme="minorEastAsia" w:eastAsiaTheme="minorEastAsia" w:hAnsiTheme="minorEastAsia" w:cs="Arial" w:hint="eastAsia"/>
          <w:bCs/>
          <w:sz w:val="24"/>
          <w:szCs w:val="24"/>
        </w:rPr>
      </w:pPr>
      <w:r>
        <w:rPr>
          <w:rFonts w:asciiTheme="minorEastAsia" w:eastAsiaTheme="minorEastAsia" w:hAnsiTheme="minorEastAsia" w:cs="Arial" w:hint="eastAsia"/>
          <w:bCs/>
          <w:sz w:val="24"/>
          <w:szCs w:val="24"/>
        </w:rPr>
        <w:lastRenderedPageBreak/>
        <w:t xml:space="preserve"> （19）同一基金管理人管理的全部货币市场基金投资于同一商业银行的银行存款及其发行的同业存单与债券，不得超过该商业银行最近一个季度末净资产</w:t>
      </w:r>
      <w:r>
        <w:rPr>
          <w:rFonts w:asciiTheme="minorEastAsia" w:eastAsiaTheme="minorEastAsia" w:hAnsiTheme="minorEastAsia" w:cs="Arial"/>
          <w:bCs/>
          <w:sz w:val="24"/>
          <w:szCs w:val="24"/>
        </w:rPr>
        <w:t>10%</w:t>
      </w:r>
      <w:r>
        <w:rPr>
          <w:rFonts w:asciiTheme="minorEastAsia" w:eastAsiaTheme="minorEastAsia" w:hAnsiTheme="minorEastAsia" w:cs="Arial" w:hint="eastAsia"/>
          <w:bCs/>
          <w:sz w:val="24"/>
          <w:szCs w:val="24"/>
        </w:rPr>
        <w:t>；</w:t>
      </w:r>
    </w:p>
    <w:p w14:paraId="0E9BF5F3" w14:textId="77777777" w:rsidR="00566744" w:rsidRDefault="00000000">
      <w:pPr>
        <w:pStyle w:val="12"/>
        <w:adjustRightInd w:val="0"/>
        <w:snapToGrid w:val="0"/>
        <w:ind w:firstLine="480"/>
        <w:rPr>
          <w:rFonts w:asciiTheme="minorEastAsia" w:eastAsiaTheme="minorEastAsia" w:hAnsiTheme="minorEastAsia" w:cs="Arial" w:hint="eastAsia"/>
          <w:bCs/>
          <w:sz w:val="24"/>
          <w:szCs w:val="24"/>
        </w:rPr>
      </w:pPr>
      <w:r>
        <w:rPr>
          <w:rFonts w:asciiTheme="minorEastAsia" w:eastAsiaTheme="minorEastAsia" w:hAnsiTheme="minorEastAsia" w:cs="Arial" w:hint="eastAsia"/>
          <w:bCs/>
          <w:sz w:val="24"/>
          <w:szCs w:val="24"/>
        </w:rPr>
        <w:t xml:space="preserve"> （20）本基金投资于主体信用评级低于</w:t>
      </w:r>
      <w:r>
        <w:rPr>
          <w:rFonts w:asciiTheme="minorEastAsia" w:eastAsiaTheme="minorEastAsia" w:hAnsiTheme="minorEastAsia" w:cs="Arial"/>
          <w:bCs/>
          <w:sz w:val="24"/>
          <w:szCs w:val="24"/>
        </w:rPr>
        <w:t>AAA</w:t>
      </w:r>
      <w:r>
        <w:rPr>
          <w:rFonts w:asciiTheme="minorEastAsia" w:eastAsiaTheme="minorEastAsia" w:hAnsiTheme="minorEastAsia" w:cs="Arial" w:hint="eastAsia"/>
          <w:bCs/>
          <w:sz w:val="24"/>
          <w:szCs w:val="24"/>
        </w:rPr>
        <w:t>的机构发行的金融工具占基金资产净值的比例合计不得超过</w:t>
      </w:r>
      <w:r>
        <w:rPr>
          <w:rFonts w:asciiTheme="minorEastAsia" w:eastAsiaTheme="minorEastAsia" w:hAnsiTheme="minorEastAsia" w:cs="Arial"/>
          <w:bCs/>
          <w:sz w:val="24"/>
          <w:szCs w:val="24"/>
        </w:rPr>
        <w:t>10%</w:t>
      </w:r>
      <w:r>
        <w:rPr>
          <w:rFonts w:asciiTheme="minorEastAsia" w:eastAsiaTheme="minorEastAsia" w:hAnsiTheme="minorEastAsia" w:cs="Arial" w:hint="eastAsia"/>
          <w:bCs/>
          <w:sz w:val="24"/>
          <w:szCs w:val="24"/>
        </w:rPr>
        <w:t>，其中单一机构发行的金融工具占基金资产净值的比例合计不得超过</w:t>
      </w:r>
      <w:r>
        <w:rPr>
          <w:rFonts w:asciiTheme="minorEastAsia" w:eastAsiaTheme="minorEastAsia" w:hAnsiTheme="minorEastAsia" w:cs="Arial"/>
          <w:bCs/>
          <w:sz w:val="24"/>
          <w:szCs w:val="24"/>
        </w:rPr>
        <w:t>2%</w:t>
      </w:r>
      <w:r>
        <w:rPr>
          <w:rFonts w:asciiTheme="minorEastAsia" w:eastAsiaTheme="minorEastAsia" w:hAnsiTheme="minorEastAsia" w:cs="Arial" w:hint="eastAsia"/>
          <w:bCs/>
          <w:sz w:val="24"/>
          <w:szCs w:val="24"/>
        </w:rPr>
        <w:t>；前述金融工具包括债券、非金融企业债务融资工具、银行存款、同业存单、相关机构作为原始权益人的资产支持证券及中国证监会认定的其他品种；</w:t>
      </w:r>
    </w:p>
    <w:p w14:paraId="10371B16" w14:textId="77777777" w:rsidR="00566744" w:rsidRDefault="00000000">
      <w:pPr>
        <w:pStyle w:val="12"/>
        <w:adjustRightInd w:val="0"/>
        <w:snapToGrid w:val="0"/>
        <w:ind w:firstLineChars="300" w:firstLine="720"/>
        <w:rPr>
          <w:rFonts w:asciiTheme="minorEastAsia" w:eastAsiaTheme="minorEastAsia" w:hAnsiTheme="minorEastAsia" w:cs="Arial" w:hint="eastAsia"/>
          <w:bCs/>
          <w:sz w:val="24"/>
          <w:szCs w:val="24"/>
        </w:rPr>
      </w:pPr>
      <w:r>
        <w:rPr>
          <w:rFonts w:asciiTheme="minorEastAsia" w:eastAsiaTheme="minorEastAsia" w:hAnsiTheme="minorEastAsia" w:cs="Arial" w:hint="eastAsia"/>
          <w:bCs/>
          <w:sz w:val="24"/>
          <w:szCs w:val="24"/>
        </w:rPr>
        <w:t>（21）本基金与私募类</w:t>
      </w:r>
      <w:proofErr w:type="gramStart"/>
      <w:r>
        <w:rPr>
          <w:rFonts w:asciiTheme="minorEastAsia" w:eastAsiaTheme="minorEastAsia" w:hAnsiTheme="minorEastAsia" w:cs="Arial" w:hint="eastAsia"/>
          <w:bCs/>
          <w:sz w:val="24"/>
          <w:szCs w:val="24"/>
        </w:rPr>
        <w:t>证券资管产品</w:t>
      </w:r>
      <w:proofErr w:type="gramEnd"/>
      <w:r>
        <w:rPr>
          <w:rFonts w:asciiTheme="minorEastAsia" w:eastAsiaTheme="minorEastAsia" w:hAnsiTheme="minorEastAsia" w:cs="Arial" w:hint="eastAsia"/>
          <w:bCs/>
          <w:sz w:val="24"/>
          <w:szCs w:val="24"/>
        </w:rPr>
        <w:t>及中国证监会认定的其他主体为交易对手开展逆回购交易的，可接受质押品的资质要求应当与基金合同约定的投资范围保持一致；</w:t>
      </w:r>
    </w:p>
    <w:p w14:paraId="2D16CA20" w14:textId="77777777" w:rsidR="00566744" w:rsidRDefault="00000000">
      <w:pPr>
        <w:pStyle w:val="12"/>
        <w:adjustRightInd w:val="0"/>
        <w:snapToGrid w:val="0"/>
        <w:ind w:firstLineChars="283" w:firstLine="679"/>
        <w:rPr>
          <w:rFonts w:ascii="宋体" w:hAnsi="宋体" w:cs="Arial" w:hint="eastAsia"/>
          <w:bCs/>
          <w:sz w:val="24"/>
        </w:rPr>
      </w:pPr>
      <w:r>
        <w:rPr>
          <w:rFonts w:ascii="宋体" w:hAnsi="宋体" w:cs="Arial" w:hint="eastAsia"/>
          <w:bCs/>
          <w:sz w:val="24"/>
        </w:rPr>
        <w:t>（22）法律法规及中国证监会规定的和《基金合同》约定的其他投资限制。</w:t>
      </w:r>
    </w:p>
    <w:p w14:paraId="5E54EAC4" w14:textId="77777777" w:rsidR="00566744" w:rsidRDefault="00000000">
      <w:pPr>
        <w:pStyle w:val="12"/>
        <w:adjustRightInd w:val="0"/>
        <w:snapToGrid w:val="0"/>
        <w:ind w:firstLine="480"/>
        <w:rPr>
          <w:rFonts w:asciiTheme="minorEastAsia" w:eastAsiaTheme="minorEastAsia" w:hAnsiTheme="minorEastAsia" w:hint="eastAsia"/>
          <w:kern w:val="0"/>
          <w:sz w:val="24"/>
          <w:szCs w:val="24"/>
        </w:rPr>
      </w:pPr>
      <w:r>
        <w:rPr>
          <w:rFonts w:asciiTheme="minorEastAsia" w:eastAsiaTheme="minorEastAsia" w:hAnsiTheme="minorEastAsia" w:hint="eastAsia"/>
          <w:kern w:val="0"/>
          <w:sz w:val="24"/>
          <w:szCs w:val="24"/>
        </w:rPr>
        <w:t>除上述第（</w:t>
      </w:r>
      <w:r>
        <w:rPr>
          <w:rFonts w:asciiTheme="minorEastAsia" w:eastAsiaTheme="minorEastAsia" w:hAnsiTheme="minorEastAsia"/>
          <w:kern w:val="0"/>
          <w:sz w:val="24"/>
          <w:szCs w:val="24"/>
        </w:rPr>
        <w:t>1</w:t>
      </w:r>
      <w:r>
        <w:rPr>
          <w:rFonts w:asciiTheme="minorEastAsia" w:eastAsiaTheme="minorEastAsia" w:hAnsiTheme="minorEastAsia" w:hint="eastAsia"/>
          <w:kern w:val="0"/>
          <w:sz w:val="24"/>
          <w:szCs w:val="24"/>
        </w:rPr>
        <w:t>）、（</w:t>
      </w:r>
      <w:r>
        <w:rPr>
          <w:rFonts w:asciiTheme="minorEastAsia" w:eastAsiaTheme="minorEastAsia" w:hAnsiTheme="minorEastAsia"/>
          <w:kern w:val="0"/>
          <w:sz w:val="24"/>
          <w:szCs w:val="24"/>
        </w:rPr>
        <w:t>10</w:t>
      </w:r>
      <w:r>
        <w:rPr>
          <w:rFonts w:asciiTheme="minorEastAsia" w:eastAsiaTheme="minorEastAsia" w:hAnsiTheme="minorEastAsia" w:hint="eastAsia"/>
          <w:kern w:val="0"/>
          <w:sz w:val="24"/>
          <w:szCs w:val="24"/>
        </w:rPr>
        <w:t>）、（</w:t>
      </w:r>
      <w:r>
        <w:rPr>
          <w:rFonts w:asciiTheme="minorEastAsia" w:eastAsiaTheme="minorEastAsia" w:hAnsiTheme="minorEastAsia"/>
          <w:kern w:val="0"/>
          <w:sz w:val="24"/>
          <w:szCs w:val="24"/>
        </w:rPr>
        <w:t>14</w:t>
      </w:r>
      <w:r>
        <w:rPr>
          <w:rFonts w:asciiTheme="minorEastAsia" w:eastAsiaTheme="minorEastAsia" w:hAnsiTheme="minorEastAsia" w:hint="eastAsia"/>
          <w:kern w:val="0"/>
          <w:sz w:val="24"/>
          <w:szCs w:val="24"/>
        </w:rPr>
        <w:t>）、（</w:t>
      </w:r>
      <w:r>
        <w:rPr>
          <w:rFonts w:asciiTheme="minorEastAsia" w:eastAsiaTheme="minorEastAsia" w:hAnsiTheme="minorEastAsia"/>
          <w:kern w:val="0"/>
          <w:sz w:val="24"/>
          <w:szCs w:val="24"/>
        </w:rPr>
        <w:t>18</w:t>
      </w:r>
      <w:r>
        <w:rPr>
          <w:rFonts w:asciiTheme="minorEastAsia" w:eastAsiaTheme="minorEastAsia" w:hAnsiTheme="minorEastAsia" w:hint="eastAsia"/>
          <w:kern w:val="0"/>
          <w:sz w:val="24"/>
          <w:szCs w:val="24"/>
        </w:rPr>
        <w:t>）、（</w:t>
      </w:r>
      <w:r>
        <w:rPr>
          <w:rFonts w:asciiTheme="minorEastAsia" w:eastAsiaTheme="minorEastAsia" w:hAnsiTheme="minorEastAsia"/>
          <w:kern w:val="0"/>
          <w:sz w:val="24"/>
          <w:szCs w:val="24"/>
        </w:rPr>
        <w:t>21</w:t>
      </w:r>
      <w:r>
        <w:rPr>
          <w:rFonts w:asciiTheme="minorEastAsia" w:eastAsiaTheme="minorEastAsia" w:hAnsiTheme="minorEastAsia" w:hint="eastAsia"/>
          <w:kern w:val="0"/>
          <w:sz w:val="24"/>
          <w:szCs w:val="24"/>
        </w:rPr>
        <w:t>）条外，因基金规模或市场变化导致本基金投资组合不符合以上比例限制的，基金管理人应在</w:t>
      </w:r>
      <w:r>
        <w:rPr>
          <w:rFonts w:asciiTheme="minorEastAsia" w:eastAsiaTheme="minorEastAsia" w:hAnsiTheme="minorEastAsia"/>
          <w:kern w:val="0"/>
          <w:sz w:val="24"/>
          <w:szCs w:val="24"/>
        </w:rPr>
        <w:t>10</w:t>
      </w:r>
      <w:r>
        <w:rPr>
          <w:rFonts w:asciiTheme="minorEastAsia" w:eastAsiaTheme="minorEastAsia" w:hAnsiTheme="minorEastAsia" w:hint="eastAsia"/>
          <w:kern w:val="0"/>
          <w:sz w:val="24"/>
          <w:szCs w:val="24"/>
        </w:rPr>
        <w:t>个交易日内调整完毕，以达到上述标准，但中国证监会规定的特殊情形除外。法律法规另有规定时，从其规定。</w:t>
      </w:r>
    </w:p>
    <w:p w14:paraId="7ABF436E" w14:textId="77777777" w:rsidR="00566744" w:rsidRDefault="00000000">
      <w:pPr>
        <w:pStyle w:val="12"/>
        <w:adjustRightInd w:val="0"/>
        <w:snapToGrid w:val="0"/>
        <w:ind w:firstLine="480"/>
        <w:rPr>
          <w:rFonts w:ascii="宋体" w:hAnsi="宋体" w:cs="Arial" w:hint="eastAsia"/>
          <w:bCs/>
          <w:sz w:val="24"/>
        </w:rPr>
      </w:pPr>
      <w:r>
        <w:rPr>
          <w:rFonts w:ascii="宋体" w:hAnsi="宋体" w:cs="Arial" w:hint="eastAsia"/>
          <w:bCs/>
          <w:sz w:val="24"/>
        </w:rPr>
        <w:t>基金管理人应当自基金合同生效日起</w:t>
      </w:r>
      <w:r>
        <w:rPr>
          <w:rFonts w:ascii="宋体" w:hAnsi="宋体" w:cs="Arial"/>
          <w:bCs/>
          <w:sz w:val="24"/>
        </w:rPr>
        <w:t>6</w:t>
      </w:r>
      <w:r>
        <w:rPr>
          <w:rFonts w:ascii="宋体" w:hAnsi="宋体" w:cs="Arial" w:hint="eastAsia"/>
          <w:bCs/>
          <w:sz w:val="24"/>
        </w:rPr>
        <w:t>个月内使基金的投资组合比例符合基金合同的有关约定。期间，基金的投资范围、投资策略应当符合基金合同的约定。基金托管人对基金的投资的监督与检查自基金合同生效之日起开始。</w:t>
      </w:r>
    </w:p>
    <w:p w14:paraId="168AD830" w14:textId="77777777" w:rsidR="00566744" w:rsidRDefault="00000000">
      <w:pPr>
        <w:pStyle w:val="12"/>
        <w:adjustRightInd w:val="0"/>
        <w:snapToGrid w:val="0"/>
        <w:ind w:firstLine="480"/>
        <w:rPr>
          <w:rFonts w:ascii="宋体" w:hAnsi="宋体" w:cs="Arial" w:hint="eastAsia"/>
          <w:bCs/>
          <w:sz w:val="24"/>
        </w:rPr>
      </w:pPr>
      <w:r>
        <w:rPr>
          <w:rFonts w:ascii="宋体" w:hAnsi="宋体" w:cs="Arial" w:hint="eastAsia"/>
          <w:bCs/>
          <w:sz w:val="24"/>
        </w:rPr>
        <w:t>法律法规或监管部门调整上述限制，则本基金投资将按照调整后的规则执行。</w:t>
      </w:r>
    </w:p>
    <w:p w14:paraId="67945B6A" w14:textId="77777777" w:rsidR="00566744" w:rsidRDefault="00000000">
      <w:pPr>
        <w:pStyle w:val="12"/>
        <w:adjustRightInd w:val="0"/>
        <w:snapToGrid w:val="0"/>
        <w:ind w:firstLine="480"/>
        <w:rPr>
          <w:rFonts w:ascii="宋体" w:hAnsi="宋体" w:cs="Arial" w:hint="eastAsia"/>
          <w:bCs/>
          <w:sz w:val="24"/>
        </w:rPr>
      </w:pPr>
      <w:r>
        <w:rPr>
          <w:rFonts w:ascii="宋体" w:hAnsi="宋体" w:cs="Arial"/>
          <w:bCs/>
          <w:sz w:val="24"/>
        </w:rPr>
        <w:t>2、禁止行为</w:t>
      </w:r>
    </w:p>
    <w:p w14:paraId="4183D144" w14:textId="77777777" w:rsidR="00566744" w:rsidRDefault="00000000">
      <w:pPr>
        <w:pStyle w:val="12"/>
        <w:adjustRightInd w:val="0"/>
        <w:snapToGrid w:val="0"/>
        <w:ind w:firstLine="480"/>
        <w:rPr>
          <w:rFonts w:ascii="宋体" w:hAnsi="宋体" w:cs="Arial" w:hint="eastAsia"/>
          <w:bCs/>
          <w:sz w:val="24"/>
        </w:rPr>
      </w:pPr>
      <w:r>
        <w:rPr>
          <w:rFonts w:ascii="宋体" w:hAnsi="宋体" w:cs="Arial"/>
          <w:bCs/>
          <w:sz w:val="24"/>
        </w:rPr>
        <w:t>为维护基金份额持有人的合法权益，基金财产不得用于下列投资或者活动：</w:t>
      </w:r>
    </w:p>
    <w:p w14:paraId="78FFFCC9" w14:textId="77777777" w:rsidR="00566744" w:rsidRDefault="00000000">
      <w:pPr>
        <w:pStyle w:val="12"/>
        <w:adjustRightInd w:val="0"/>
        <w:snapToGrid w:val="0"/>
        <w:ind w:firstLine="480"/>
        <w:rPr>
          <w:rFonts w:ascii="宋体" w:hAnsi="宋体" w:cs="Arial" w:hint="eastAsia"/>
          <w:bCs/>
          <w:sz w:val="24"/>
        </w:rPr>
      </w:pPr>
      <w:r>
        <w:rPr>
          <w:rFonts w:ascii="宋体" w:hAnsi="宋体" w:cs="Arial" w:hint="eastAsia"/>
          <w:bCs/>
          <w:sz w:val="24"/>
        </w:rPr>
        <w:t>（1）</w:t>
      </w:r>
      <w:r>
        <w:rPr>
          <w:rFonts w:ascii="宋体" w:hAnsi="宋体" w:cs="Arial"/>
          <w:bCs/>
          <w:sz w:val="24"/>
        </w:rPr>
        <w:t>承销证券；</w:t>
      </w:r>
    </w:p>
    <w:p w14:paraId="0F91981E" w14:textId="77777777" w:rsidR="00566744" w:rsidRDefault="00000000">
      <w:pPr>
        <w:pStyle w:val="12"/>
        <w:adjustRightInd w:val="0"/>
        <w:snapToGrid w:val="0"/>
        <w:ind w:firstLine="480"/>
        <w:rPr>
          <w:rFonts w:ascii="宋体" w:hAnsi="宋体" w:cs="Arial" w:hint="eastAsia"/>
          <w:bCs/>
          <w:sz w:val="24"/>
        </w:rPr>
      </w:pPr>
      <w:r>
        <w:rPr>
          <w:rFonts w:ascii="宋体" w:hAnsi="宋体" w:cs="Arial" w:hint="eastAsia"/>
          <w:bCs/>
          <w:sz w:val="24"/>
        </w:rPr>
        <w:t>（2）违反规定</w:t>
      </w:r>
      <w:r>
        <w:rPr>
          <w:rFonts w:ascii="宋体" w:hAnsi="宋体" w:cs="Arial"/>
          <w:bCs/>
          <w:sz w:val="24"/>
        </w:rPr>
        <w:t>向他人贷款或者提供担保；</w:t>
      </w:r>
    </w:p>
    <w:p w14:paraId="5F857C5B" w14:textId="77777777" w:rsidR="00566744" w:rsidRDefault="00000000">
      <w:pPr>
        <w:pStyle w:val="12"/>
        <w:adjustRightInd w:val="0"/>
        <w:snapToGrid w:val="0"/>
        <w:ind w:firstLine="480"/>
        <w:rPr>
          <w:rFonts w:ascii="宋体" w:hAnsi="宋体" w:cs="Arial" w:hint="eastAsia"/>
          <w:bCs/>
          <w:sz w:val="24"/>
        </w:rPr>
      </w:pPr>
      <w:r>
        <w:rPr>
          <w:rFonts w:ascii="宋体" w:hAnsi="宋体" w:cs="Arial" w:hint="eastAsia"/>
          <w:bCs/>
          <w:sz w:val="24"/>
        </w:rPr>
        <w:t>（3）</w:t>
      </w:r>
      <w:r>
        <w:rPr>
          <w:rFonts w:ascii="宋体" w:hAnsi="宋体" w:cs="Arial"/>
          <w:bCs/>
          <w:sz w:val="24"/>
        </w:rPr>
        <w:t>从事承担无限责任的投资；</w:t>
      </w:r>
    </w:p>
    <w:p w14:paraId="1F009783" w14:textId="77777777" w:rsidR="00566744" w:rsidRDefault="00000000">
      <w:pPr>
        <w:pStyle w:val="12"/>
        <w:adjustRightInd w:val="0"/>
        <w:snapToGrid w:val="0"/>
        <w:ind w:firstLine="480"/>
        <w:rPr>
          <w:rFonts w:ascii="宋体" w:hAnsi="宋体" w:cs="Arial" w:hint="eastAsia"/>
          <w:bCs/>
          <w:sz w:val="24"/>
        </w:rPr>
      </w:pPr>
      <w:r>
        <w:rPr>
          <w:rFonts w:ascii="宋体" w:hAnsi="宋体" w:cs="Arial" w:hint="eastAsia"/>
          <w:bCs/>
          <w:sz w:val="24"/>
        </w:rPr>
        <w:t>（4）</w:t>
      </w:r>
      <w:r>
        <w:rPr>
          <w:rFonts w:ascii="宋体" w:hAnsi="宋体" w:cs="Arial"/>
          <w:bCs/>
          <w:sz w:val="24"/>
        </w:rPr>
        <w:t>买卖其他基金份额，但是</w:t>
      </w:r>
      <w:r>
        <w:rPr>
          <w:rFonts w:ascii="宋体" w:hAnsi="宋体" w:cs="Arial" w:hint="eastAsia"/>
          <w:bCs/>
          <w:sz w:val="24"/>
        </w:rPr>
        <w:t>中国证监会</w:t>
      </w:r>
      <w:r>
        <w:rPr>
          <w:rFonts w:ascii="宋体" w:hAnsi="宋体" w:cs="Arial"/>
          <w:bCs/>
          <w:sz w:val="24"/>
        </w:rPr>
        <w:t>另有规定的除外；</w:t>
      </w:r>
    </w:p>
    <w:p w14:paraId="74C13801" w14:textId="77777777" w:rsidR="00566744" w:rsidRDefault="00000000">
      <w:pPr>
        <w:pStyle w:val="12"/>
        <w:adjustRightInd w:val="0"/>
        <w:snapToGrid w:val="0"/>
        <w:ind w:firstLine="480"/>
        <w:rPr>
          <w:rFonts w:ascii="宋体" w:hAnsi="宋体" w:cs="Arial" w:hint="eastAsia"/>
          <w:bCs/>
          <w:sz w:val="24"/>
        </w:rPr>
      </w:pPr>
      <w:r>
        <w:rPr>
          <w:rFonts w:ascii="宋体" w:hAnsi="宋体" w:cs="Arial" w:hint="eastAsia"/>
          <w:bCs/>
          <w:sz w:val="24"/>
        </w:rPr>
        <w:t>（5）</w:t>
      </w:r>
      <w:r>
        <w:rPr>
          <w:rFonts w:ascii="宋体" w:hAnsi="宋体" w:cs="Arial"/>
          <w:bCs/>
          <w:sz w:val="24"/>
        </w:rPr>
        <w:t>向其基金管理人、基金托管人出资；</w:t>
      </w:r>
    </w:p>
    <w:p w14:paraId="338E8024" w14:textId="77777777" w:rsidR="00566744" w:rsidRDefault="00000000">
      <w:pPr>
        <w:pStyle w:val="12"/>
        <w:adjustRightInd w:val="0"/>
        <w:snapToGrid w:val="0"/>
        <w:ind w:firstLine="480"/>
        <w:rPr>
          <w:rFonts w:ascii="宋体" w:hAnsi="宋体" w:cs="Arial" w:hint="eastAsia"/>
          <w:bCs/>
          <w:sz w:val="24"/>
        </w:rPr>
      </w:pPr>
      <w:r>
        <w:rPr>
          <w:rFonts w:ascii="宋体" w:hAnsi="宋体" w:cs="Arial" w:hint="eastAsia"/>
          <w:bCs/>
          <w:sz w:val="24"/>
        </w:rPr>
        <w:t>（6）</w:t>
      </w:r>
      <w:r>
        <w:rPr>
          <w:rFonts w:ascii="宋体" w:hAnsi="宋体" w:cs="Arial"/>
          <w:bCs/>
          <w:sz w:val="24"/>
        </w:rPr>
        <w:t>从事内幕交易、操纵证券交易价格及其他不正当的证券交易活动；</w:t>
      </w:r>
    </w:p>
    <w:p w14:paraId="7CD6AFA1" w14:textId="77777777" w:rsidR="00566744" w:rsidRDefault="00000000">
      <w:pPr>
        <w:pStyle w:val="12"/>
        <w:adjustRightInd w:val="0"/>
        <w:snapToGrid w:val="0"/>
        <w:ind w:firstLine="480"/>
        <w:rPr>
          <w:rFonts w:ascii="宋体" w:hAnsi="宋体" w:cs="Arial" w:hint="eastAsia"/>
          <w:bCs/>
          <w:sz w:val="24"/>
        </w:rPr>
      </w:pPr>
      <w:r>
        <w:rPr>
          <w:rFonts w:ascii="宋体" w:hAnsi="宋体" w:cs="Arial" w:hint="eastAsia"/>
          <w:bCs/>
          <w:sz w:val="24"/>
        </w:rPr>
        <w:t>（7）</w:t>
      </w:r>
      <w:r>
        <w:rPr>
          <w:rFonts w:ascii="宋体" w:hAnsi="宋体" w:cs="Arial"/>
          <w:bCs/>
          <w:sz w:val="24"/>
        </w:rPr>
        <w:t>法律</w:t>
      </w:r>
      <w:r>
        <w:rPr>
          <w:rFonts w:ascii="宋体" w:hAnsi="宋体" w:cs="Arial" w:hint="eastAsia"/>
          <w:bCs/>
          <w:sz w:val="24"/>
        </w:rPr>
        <w:t>、行政</w:t>
      </w:r>
      <w:r>
        <w:rPr>
          <w:rFonts w:ascii="宋体" w:hAnsi="宋体" w:cs="Arial"/>
          <w:bCs/>
          <w:sz w:val="24"/>
        </w:rPr>
        <w:t>法规</w:t>
      </w:r>
      <w:r>
        <w:rPr>
          <w:rFonts w:ascii="宋体" w:hAnsi="宋体" w:cs="Arial" w:hint="eastAsia"/>
          <w:bCs/>
          <w:sz w:val="24"/>
        </w:rPr>
        <w:t>和</w:t>
      </w:r>
      <w:r>
        <w:rPr>
          <w:rFonts w:ascii="宋体" w:hAnsi="宋体" w:cs="Arial"/>
          <w:bCs/>
          <w:sz w:val="24"/>
        </w:rPr>
        <w:t>中国证监会规定禁止的其他活动</w:t>
      </w:r>
      <w:r>
        <w:rPr>
          <w:rFonts w:ascii="宋体" w:hAnsi="宋体" w:cs="Arial" w:hint="eastAsia"/>
          <w:bCs/>
          <w:sz w:val="24"/>
        </w:rPr>
        <w:t>。</w:t>
      </w:r>
    </w:p>
    <w:p w14:paraId="531CA96D" w14:textId="77777777" w:rsidR="00566744" w:rsidRDefault="00000000">
      <w:pPr>
        <w:pStyle w:val="12"/>
        <w:adjustRightInd w:val="0"/>
        <w:snapToGrid w:val="0"/>
        <w:ind w:firstLine="480"/>
        <w:rPr>
          <w:rFonts w:ascii="宋体" w:hAnsi="宋体" w:cs="Arial" w:hint="eastAsia"/>
          <w:bCs/>
          <w:sz w:val="24"/>
        </w:rPr>
      </w:pPr>
      <w:r>
        <w:rPr>
          <w:rFonts w:ascii="宋体" w:hAnsi="宋体" w:cs="Arial" w:hint="eastAsia"/>
          <w:bCs/>
          <w:sz w:val="24"/>
        </w:rPr>
        <w:t>基金管理人运用基金财产买卖基金管理人、基金托管人及其控股股东、实际控</w:t>
      </w:r>
      <w:r>
        <w:rPr>
          <w:rFonts w:ascii="宋体" w:hAnsi="宋体" w:cs="Arial" w:hint="eastAsia"/>
          <w:bCs/>
          <w:sz w:val="24"/>
        </w:rPr>
        <w:lastRenderedPageBreak/>
        <w:t>制人或者与其有其他重大利害关系的公司发行的证券或者承销期内承销的证券，或者从事其他重大关联交易的，应当符合本基金的投资目标和投资策略，遵循基金份额持有人利益优先原则，防范利益冲突，建立健全内部审批机制和评估机制，按照市场公平合理价格执行。相关交易必须事先得到基金托管人同意，并按法律法规予以披露。重大关联交易应提交基金管理人董事会审议，并经过三分之二以上的独立董事通过。</w:t>
      </w:r>
    </w:p>
    <w:p w14:paraId="0D9C90D8" w14:textId="77777777" w:rsidR="00566744" w:rsidRDefault="00000000">
      <w:pPr>
        <w:pStyle w:val="12"/>
        <w:adjustRightInd w:val="0"/>
        <w:snapToGrid w:val="0"/>
        <w:ind w:firstLine="480"/>
        <w:rPr>
          <w:rFonts w:ascii="宋体" w:hAnsi="宋体" w:cs="Arial" w:hint="eastAsia"/>
          <w:bCs/>
          <w:sz w:val="24"/>
        </w:rPr>
      </w:pPr>
      <w:r>
        <w:rPr>
          <w:rFonts w:ascii="宋体" w:hAnsi="宋体" w:cs="Arial" w:hint="eastAsia"/>
          <w:bCs/>
          <w:sz w:val="24"/>
        </w:rPr>
        <w:t>法律、行政法规或监管部门取消上述限制，如适用于本基金，则本基金投资不再受相关限制。</w:t>
      </w:r>
    </w:p>
    <w:p w14:paraId="4A6D6491" w14:textId="77777777" w:rsidR="00566744" w:rsidRDefault="00000000">
      <w:pPr>
        <w:pStyle w:val="12"/>
        <w:adjustRightInd w:val="0"/>
        <w:snapToGrid w:val="0"/>
        <w:ind w:firstLine="480"/>
        <w:rPr>
          <w:rFonts w:ascii="宋体" w:hAnsi="宋体" w:cs="Arial" w:hint="eastAsia"/>
          <w:bCs/>
          <w:sz w:val="24"/>
        </w:rPr>
      </w:pPr>
      <w:r>
        <w:rPr>
          <w:rFonts w:ascii="宋体" w:hAnsi="宋体" w:cs="Arial" w:hint="eastAsia"/>
          <w:bCs/>
          <w:sz w:val="24"/>
        </w:rPr>
        <w:t>3、本基金不得投资于以下金融工具：</w:t>
      </w:r>
    </w:p>
    <w:p w14:paraId="61B7EE0F" w14:textId="77777777" w:rsidR="00566744" w:rsidRDefault="00000000">
      <w:pPr>
        <w:pStyle w:val="12"/>
        <w:adjustRightInd w:val="0"/>
        <w:snapToGrid w:val="0"/>
        <w:ind w:firstLine="480"/>
        <w:rPr>
          <w:rFonts w:ascii="宋体" w:hAnsi="宋体" w:cs="Arial" w:hint="eastAsia"/>
          <w:bCs/>
          <w:sz w:val="24"/>
        </w:rPr>
      </w:pPr>
      <w:r>
        <w:rPr>
          <w:rFonts w:ascii="宋体" w:hAnsi="宋体" w:cs="Arial" w:hint="eastAsia"/>
          <w:bCs/>
          <w:sz w:val="24"/>
        </w:rPr>
        <w:t>（</w:t>
      </w:r>
      <w:r>
        <w:rPr>
          <w:rFonts w:ascii="宋体" w:hAnsi="宋体" w:cs="Arial"/>
          <w:bCs/>
          <w:sz w:val="24"/>
        </w:rPr>
        <w:t>1</w:t>
      </w:r>
      <w:r>
        <w:rPr>
          <w:rFonts w:ascii="宋体" w:hAnsi="宋体" w:cs="Arial" w:hint="eastAsia"/>
          <w:bCs/>
          <w:sz w:val="24"/>
        </w:rPr>
        <w:t>）股票和权证；</w:t>
      </w:r>
    </w:p>
    <w:p w14:paraId="6834980D" w14:textId="77777777" w:rsidR="00566744" w:rsidRDefault="00000000">
      <w:pPr>
        <w:pStyle w:val="12"/>
        <w:adjustRightInd w:val="0"/>
        <w:snapToGrid w:val="0"/>
        <w:ind w:firstLine="480"/>
        <w:rPr>
          <w:rFonts w:ascii="宋体" w:hAnsi="宋体" w:cs="Arial" w:hint="eastAsia"/>
          <w:bCs/>
          <w:sz w:val="24"/>
        </w:rPr>
      </w:pPr>
      <w:r>
        <w:rPr>
          <w:rFonts w:ascii="宋体" w:hAnsi="宋体" w:cs="Arial" w:hint="eastAsia"/>
          <w:bCs/>
          <w:sz w:val="24"/>
        </w:rPr>
        <w:t>（</w:t>
      </w:r>
      <w:r>
        <w:rPr>
          <w:rFonts w:ascii="宋体" w:hAnsi="宋体" w:cs="Arial"/>
          <w:bCs/>
          <w:sz w:val="24"/>
        </w:rPr>
        <w:t>2</w:t>
      </w:r>
      <w:r>
        <w:rPr>
          <w:rFonts w:ascii="宋体" w:hAnsi="宋体" w:cs="Arial" w:hint="eastAsia"/>
          <w:bCs/>
          <w:sz w:val="24"/>
        </w:rPr>
        <w:t>）可转换债券、可交换债券；</w:t>
      </w:r>
    </w:p>
    <w:p w14:paraId="44BA2C6C" w14:textId="77777777" w:rsidR="00566744" w:rsidRDefault="00000000">
      <w:pPr>
        <w:pStyle w:val="12"/>
        <w:adjustRightInd w:val="0"/>
        <w:snapToGrid w:val="0"/>
        <w:ind w:firstLine="480"/>
        <w:rPr>
          <w:rFonts w:ascii="宋体" w:hAnsi="宋体" w:cs="Arial" w:hint="eastAsia"/>
          <w:bCs/>
          <w:sz w:val="24"/>
        </w:rPr>
      </w:pPr>
      <w:r>
        <w:rPr>
          <w:rFonts w:ascii="宋体" w:hAnsi="宋体" w:cs="Arial" w:hint="eastAsia"/>
          <w:bCs/>
          <w:sz w:val="24"/>
        </w:rPr>
        <w:t>（</w:t>
      </w:r>
      <w:r>
        <w:rPr>
          <w:rFonts w:ascii="宋体" w:hAnsi="宋体" w:cs="Arial"/>
          <w:bCs/>
          <w:sz w:val="24"/>
        </w:rPr>
        <w:t>3</w:t>
      </w:r>
      <w:r>
        <w:rPr>
          <w:rFonts w:ascii="宋体" w:hAnsi="宋体" w:cs="Arial" w:hint="eastAsia"/>
          <w:bCs/>
          <w:sz w:val="24"/>
        </w:rPr>
        <w:t>）剩余期限超过</w:t>
      </w:r>
      <w:r>
        <w:rPr>
          <w:rFonts w:ascii="宋体" w:hAnsi="宋体" w:cs="Arial"/>
          <w:bCs/>
          <w:sz w:val="24"/>
        </w:rPr>
        <w:t>397</w:t>
      </w:r>
      <w:r>
        <w:rPr>
          <w:rFonts w:ascii="宋体" w:hAnsi="宋体" w:cs="Arial" w:hint="eastAsia"/>
          <w:bCs/>
          <w:sz w:val="24"/>
        </w:rPr>
        <w:t>天的债券、</w:t>
      </w:r>
      <w:r>
        <w:rPr>
          <w:rFonts w:hint="eastAsia"/>
          <w:sz w:val="23"/>
          <w:szCs w:val="23"/>
        </w:rPr>
        <w:t>资产支持证券、非金融企业债务融资工具</w:t>
      </w:r>
      <w:r>
        <w:rPr>
          <w:rFonts w:ascii="宋体" w:hAnsi="宋体" w:cs="Arial" w:hint="eastAsia"/>
          <w:bCs/>
          <w:sz w:val="24"/>
        </w:rPr>
        <w:t>；</w:t>
      </w:r>
    </w:p>
    <w:p w14:paraId="3547152F" w14:textId="77777777" w:rsidR="00566744" w:rsidRDefault="00000000">
      <w:pPr>
        <w:pStyle w:val="12"/>
        <w:adjustRightInd w:val="0"/>
        <w:snapToGrid w:val="0"/>
        <w:ind w:firstLine="480"/>
        <w:rPr>
          <w:rFonts w:ascii="宋体" w:hAnsi="宋体" w:cs="Arial" w:hint="eastAsia"/>
          <w:bCs/>
          <w:sz w:val="24"/>
        </w:rPr>
      </w:pPr>
      <w:r>
        <w:rPr>
          <w:rFonts w:ascii="宋体" w:hAnsi="宋体" w:cs="Arial" w:hint="eastAsia"/>
          <w:bCs/>
          <w:sz w:val="24"/>
        </w:rPr>
        <w:t>（</w:t>
      </w:r>
      <w:r>
        <w:rPr>
          <w:rFonts w:ascii="宋体" w:hAnsi="宋体" w:cs="Arial"/>
          <w:bCs/>
          <w:sz w:val="24"/>
        </w:rPr>
        <w:t>4</w:t>
      </w:r>
      <w:r>
        <w:rPr>
          <w:rFonts w:ascii="宋体" w:hAnsi="宋体" w:cs="Arial" w:hint="eastAsia"/>
          <w:bCs/>
          <w:sz w:val="24"/>
        </w:rPr>
        <w:t>）信用等级在</w:t>
      </w:r>
      <w:r>
        <w:rPr>
          <w:rFonts w:ascii="宋体" w:hAnsi="宋体" w:cs="Arial"/>
          <w:bCs/>
          <w:sz w:val="24"/>
        </w:rPr>
        <w:t>AA+</w:t>
      </w:r>
      <w:r>
        <w:rPr>
          <w:rFonts w:ascii="宋体" w:hAnsi="宋体" w:cs="Arial" w:hint="eastAsia"/>
          <w:bCs/>
          <w:sz w:val="24"/>
        </w:rPr>
        <w:t>级以下的债券与非金融企业债务融资工具；</w:t>
      </w:r>
    </w:p>
    <w:p w14:paraId="03047FC6" w14:textId="77777777" w:rsidR="00566744" w:rsidRDefault="00000000">
      <w:pPr>
        <w:pStyle w:val="12"/>
        <w:adjustRightInd w:val="0"/>
        <w:snapToGrid w:val="0"/>
        <w:ind w:firstLine="480"/>
        <w:rPr>
          <w:rFonts w:ascii="宋体" w:hAnsi="宋体" w:cs="Arial" w:hint="eastAsia"/>
          <w:bCs/>
          <w:sz w:val="24"/>
        </w:rPr>
      </w:pPr>
      <w:r>
        <w:rPr>
          <w:rFonts w:ascii="宋体" w:hAnsi="宋体" w:cs="Arial" w:hint="eastAsia"/>
          <w:bCs/>
          <w:sz w:val="24"/>
        </w:rPr>
        <w:t>（</w:t>
      </w:r>
      <w:r>
        <w:rPr>
          <w:rFonts w:ascii="宋体" w:hAnsi="宋体" w:cs="Arial"/>
          <w:bCs/>
          <w:sz w:val="24"/>
        </w:rPr>
        <w:t>5</w:t>
      </w:r>
      <w:r>
        <w:rPr>
          <w:rFonts w:ascii="宋体" w:hAnsi="宋体" w:cs="Arial" w:hint="eastAsia"/>
          <w:bCs/>
          <w:sz w:val="24"/>
        </w:rPr>
        <w:t>）以定期存款利率为基准利率的浮动利率债券，已进入最后一个利率调整期的除外；</w:t>
      </w:r>
    </w:p>
    <w:p w14:paraId="5EA67E48" w14:textId="77777777" w:rsidR="00566744" w:rsidRDefault="00000000">
      <w:pPr>
        <w:pStyle w:val="12"/>
        <w:adjustRightInd w:val="0"/>
        <w:snapToGrid w:val="0"/>
        <w:ind w:firstLine="480"/>
        <w:rPr>
          <w:rFonts w:ascii="宋体" w:hAnsi="宋体" w:cs="Arial" w:hint="eastAsia"/>
          <w:bCs/>
          <w:sz w:val="24"/>
        </w:rPr>
      </w:pPr>
      <w:r>
        <w:rPr>
          <w:rFonts w:ascii="宋体" w:hAnsi="宋体" w:cs="Arial" w:hint="eastAsia"/>
          <w:bCs/>
          <w:sz w:val="24"/>
        </w:rPr>
        <w:t>（</w:t>
      </w:r>
      <w:r>
        <w:rPr>
          <w:rFonts w:ascii="宋体" w:hAnsi="宋体" w:cs="Arial"/>
          <w:bCs/>
          <w:sz w:val="24"/>
        </w:rPr>
        <w:t>6</w:t>
      </w:r>
      <w:r>
        <w:rPr>
          <w:rFonts w:ascii="宋体" w:hAnsi="宋体" w:cs="Arial" w:hint="eastAsia"/>
          <w:bCs/>
          <w:sz w:val="24"/>
        </w:rPr>
        <w:t>）非在全国银行间债券交易市场或证券交易所交易的资产支持证券；</w:t>
      </w:r>
    </w:p>
    <w:p w14:paraId="34478892" w14:textId="77777777" w:rsidR="00566744" w:rsidRDefault="00000000">
      <w:pPr>
        <w:pStyle w:val="12"/>
        <w:adjustRightInd w:val="0"/>
        <w:snapToGrid w:val="0"/>
        <w:ind w:firstLine="480"/>
        <w:rPr>
          <w:rFonts w:ascii="宋体" w:hAnsi="宋体" w:cs="Arial" w:hint="eastAsia"/>
          <w:bCs/>
          <w:sz w:val="24"/>
        </w:rPr>
      </w:pPr>
      <w:r>
        <w:rPr>
          <w:rFonts w:ascii="宋体" w:hAnsi="宋体" w:cs="Arial" w:hint="eastAsia"/>
          <w:bCs/>
          <w:sz w:val="24"/>
        </w:rPr>
        <w:t>（</w:t>
      </w:r>
      <w:r>
        <w:rPr>
          <w:rFonts w:ascii="宋体" w:hAnsi="宋体" w:cs="Arial"/>
          <w:bCs/>
          <w:sz w:val="24"/>
        </w:rPr>
        <w:t>7</w:t>
      </w:r>
      <w:r>
        <w:rPr>
          <w:rFonts w:ascii="宋体" w:hAnsi="宋体" w:cs="Arial" w:hint="eastAsia"/>
          <w:bCs/>
          <w:sz w:val="24"/>
        </w:rPr>
        <w:t>）流通受限证券；</w:t>
      </w:r>
    </w:p>
    <w:p w14:paraId="374F0F8C" w14:textId="77777777" w:rsidR="00566744" w:rsidRDefault="00000000">
      <w:pPr>
        <w:pStyle w:val="12"/>
        <w:adjustRightInd w:val="0"/>
        <w:snapToGrid w:val="0"/>
        <w:ind w:firstLine="480"/>
        <w:rPr>
          <w:rFonts w:ascii="宋体" w:hAnsi="宋体" w:cs="Arial" w:hint="eastAsia"/>
          <w:bCs/>
          <w:sz w:val="24"/>
        </w:rPr>
      </w:pPr>
      <w:r>
        <w:rPr>
          <w:rFonts w:ascii="宋体" w:hAnsi="宋体" w:cs="Arial" w:hint="eastAsia"/>
          <w:bCs/>
          <w:sz w:val="24"/>
        </w:rPr>
        <w:t>（</w:t>
      </w:r>
      <w:r>
        <w:rPr>
          <w:rFonts w:ascii="宋体" w:hAnsi="宋体" w:cs="Arial"/>
          <w:bCs/>
          <w:sz w:val="24"/>
        </w:rPr>
        <w:t>8</w:t>
      </w:r>
      <w:r>
        <w:rPr>
          <w:rFonts w:ascii="宋体" w:hAnsi="宋体" w:cs="Arial" w:hint="eastAsia"/>
          <w:bCs/>
          <w:sz w:val="24"/>
        </w:rPr>
        <w:t>）中国证监会、中国人民银行禁止投资的其他金融工具。</w:t>
      </w:r>
    </w:p>
    <w:p w14:paraId="6F1444C6" w14:textId="77777777" w:rsidR="00566744" w:rsidRDefault="00000000">
      <w:pPr>
        <w:spacing w:line="360" w:lineRule="auto"/>
        <w:rPr>
          <w:rFonts w:ascii="华文细黑" w:eastAsia="华文细黑" w:hAnsi="华文细黑" w:hint="eastAsia"/>
          <w:sz w:val="24"/>
        </w:rPr>
      </w:pPr>
      <w:r>
        <w:rPr>
          <w:rFonts w:ascii="宋体" w:hAnsi="宋体" w:cs="Arial" w:hint="eastAsia"/>
          <w:bCs/>
          <w:sz w:val="24"/>
        </w:rPr>
        <w:t>如果法律法规或监管部门取消上述限制，则本基金投资不再受相关限制。</w:t>
      </w:r>
      <w:bookmarkEnd w:id="71"/>
    </w:p>
    <w:p w14:paraId="779F54BD" w14:textId="77777777" w:rsidR="00566744" w:rsidRDefault="00000000">
      <w:pPr>
        <w:spacing w:line="360" w:lineRule="auto"/>
        <w:ind w:firstLineChars="177" w:firstLine="425"/>
        <w:rPr>
          <w:rFonts w:ascii="宋体" w:hAnsi="宋体" w:hint="eastAsia"/>
          <w:sz w:val="24"/>
        </w:rPr>
      </w:pPr>
      <w:r>
        <w:rPr>
          <w:rFonts w:ascii="宋体" w:hAnsi="宋体" w:hint="eastAsia"/>
          <w:color w:val="000000"/>
          <w:kern w:val="0"/>
          <w:sz w:val="24"/>
        </w:rPr>
        <w:t>（五）业绩比</w:t>
      </w:r>
      <w:r>
        <w:rPr>
          <w:rFonts w:ascii="宋体" w:hAnsi="宋体" w:hint="eastAsia"/>
          <w:sz w:val="24"/>
        </w:rPr>
        <w:t>较基准</w:t>
      </w:r>
    </w:p>
    <w:p w14:paraId="3682DDC2" w14:textId="77777777" w:rsidR="00566744" w:rsidRDefault="00000000">
      <w:pPr>
        <w:spacing w:line="360" w:lineRule="auto"/>
        <w:ind w:firstLineChars="177" w:firstLine="425"/>
        <w:rPr>
          <w:rFonts w:ascii="宋体" w:hAnsi="宋体" w:hint="eastAsia"/>
          <w:sz w:val="24"/>
        </w:rPr>
      </w:pPr>
      <w:r>
        <w:rPr>
          <w:rFonts w:ascii="宋体" w:hAnsi="宋体" w:hint="eastAsia"/>
          <w:sz w:val="24"/>
        </w:rPr>
        <w:t>本基金的业绩比较基准为：活期存款利率（税后）</w:t>
      </w:r>
    </w:p>
    <w:p w14:paraId="55822222" w14:textId="77777777" w:rsidR="00566744" w:rsidRDefault="00000000">
      <w:pPr>
        <w:spacing w:line="360" w:lineRule="auto"/>
        <w:ind w:firstLineChars="177" w:firstLine="425"/>
        <w:rPr>
          <w:rFonts w:ascii="宋体" w:hAnsi="宋体" w:hint="eastAsia"/>
          <w:sz w:val="24"/>
        </w:rPr>
      </w:pPr>
      <w:r>
        <w:rPr>
          <w:rFonts w:ascii="宋体" w:hAnsi="宋体" w:hint="eastAsia"/>
          <w:sz w:val="24"/>
        </w:rPr>
        <w:t>本基金为货币市场基金，具有低风险、高流动性的特征。基于本基金的投资范围和投资比例限制，选用上述业绩比较基准能够忠实反映本基金的风险收益特征。</w:t>
      </w:r>
    </w:p>
    <w:p w14:paraId="7C645734" w14:textId="77777777" w:rsidR="00566744" w:rsidRDefault="00000000">
      <w:pPr>
        <w:spacing w:line="360" w:lineRule="auto"/>
        <w:ind w:firstLineChars="177" w:firstLine="425"/>
        <w:rPr>
          <w:rFonts w:ascii="宋体" w:hAnsi="宋体" w:hint="eastAsia"/>
          <w:sz w:val="24"/>
        </w:rPr>
      </w:pPr>
      <w:r>
        <w:rPr>
          <w:rFonts w:ascii="宋体" w:hAnsi="宋体" w:hint="eastAsia"/>
          <w:sz w:val="24"/>
        </w:rPr>
        <w:t>如果今后法律法规发生变化，或者有其他代表性更强、更科学客观的业绩比较基准适用于本基金时，经基金管理人和基金托管人协商一致后，本基金可以在报中国证监会备案后变更业绩比较基准并及时公告，而无需召开基金份额持有人大会。</w:t>
      </w:r>
    </w:p>
    <w:p w14:paraId="30725277" w14:textId="77777777" w:rsidR="00566744" w:rsidRDefault="00000000">
      <w:pPr>
        <w:spacing w:line="360" w:lineRule="auto"/>
        <w:ind w:firstLineChars="177" w:firstLine="425"/>
        <w:rPr>
          <w:rFonts w:ascii="宋体" w:hAnsi="宋体" w:hint="eastAsia"/>
          <w:sz w:val="24"/>
        </w:rPr>
      </w:pPr>
      <w:r>
        <w:rPr>
          <w:rFonts w:ascii="宋体" w:hAnsi="宋体" w:hint="eastAsia"/>
          <w:sz w:val="24"/>
        </w:rPr>
        <w:t>（六）风险收益特征</w:t>
      </w:r>
    </w:p>
    <w:p w14:paraId="2CD25A5A" w14:textId="77777777" w:rsidR="00566744" w:rsidRDefault="00000000">
      <w:pPr>
        <w:spacing w:line="360" w:lineRule="auto"/>
        <w:ind w:firstLineChars="177" w:firstLine="425"/>
        <w:rPr>
          <w:rFonts w:ascii="宋体" w:hAnsi="宋体" w:hint="eastAsia"/>
          <w:sz w:val="24"/>
        </w:rPr>
      </w:pPr>
      <w:r>
        <w:rPr>
          <w:rFonts w:ascii="宋体" w:hAnsi="宋体" w:hint="eastAsia"/>
          <w:sz w:val="24"/>
        </w:rPr>
        <w:t>本基金为货币市场基金，属于证券投资基金中的低风险品种，其预期收益和预</w:t>
      </w:r>
      <w:r>
        <w:rPr>
          <w:rFonts w:ascii="宋体" w:hAnsi="宋体" w:hint="eastAsia"/>
          <w:sz w:val="24"/>
        </w:rPr>
        <w:lastRenderedPageBreak/>
        <w:t>期风险均低于债券型基金、混合型基金及股票型基金。</w:t>
      </w:r>
      <w:bookmarkStart w:id="72" w:name="_Hlt88821694"/>
      <w:bookmarkStart w:id="73" w:name="_Hlt81032199"/>
      <w:bookmarkStart w:id="74" w:name="_Toc256666919"/>
      <w:bookmarkStart w:id="75" w:name="_Toc256666799"/>
      <w:bookmarkEnd w:id="72"/>
      <w:bookmarkEnd w:id="73"/>
    </w:p>
    <w:p w14:paraId="1CE0EE3D" w14:textId="77777777" w:rsidR="00566744" w:rsidRDefault="00000000">
      <w:pPr>
        <w:spacing w:line="360" w:lineRule="auto"/>
        <w:ind w:firstLineChars="177" w:firstLine="425"/>
        <w:rPr>
          <w:rFonts w:ascii="宋体" w:hAnsi="宋体" w:hint="eastAsia"/>
          <w:bCs/>
          <w:sz w:val="24"/>
        </w:rPr>
      </w:pPr>
      <w:r>
        <w:rPr>
          <w:rFonts w:ascii="宋体" w:hAnsi="宋体" w:hint="eastAsia"/>
          <w:sz w:val="24"/>
        </w:rPr>
        <w:t>（七）</w:t>
      </w:r>
      <w:r>
        <w:rPr>
          <w:rFonts w:ascii="宋体" w:hAnsi="宋体"/>
          <w:bCs/>
          <w:sz w:val="24"/>
        </w:rPr>
        <w:t>投资组合平均剩余期限</w:t>
      </w:r>
      <w:r>
        <w:rPr>
          <w:rFonts w:ascii="宋体" w:hAnsi="宋体" w:hint="eastAsia"/>
          <w:bCs/>
          <w:sz w:val="24"/>
        </w:rPr>
        <w:t>和平均剩余存续期限</w:t>
      </w:r>
      <w:r>
        <w:rPr>
          <w:rFonts w:ascii="宋体" w:hAnsi="宋体"/>
          <w:bCs/>
          <w:sz w:val="24"/>
        </w:rPr>
        <w:t>的计算方法</w:t>
      </w:r>
    </w:p>
    <w:p w14:paraId="7C204ED5" w14:textId="77777777" w:rsidR="00566744" w:rsidRDefault="00000000">
      <w:pPr>
        <w:autoSpaceDE w:val="0"/>
        <w:autoSpaceDN w:val="0"/>
        <w:adjustRightInd w:val="0"/>
        <w:spacing w:line="360" w:lineRule="auto"/>
        <w:ind w:firstLineChars="177" w:firstLine="425"/>
        <w:jc w:val="left"/>
        <w:rPr>
          <w:rFonts w:ascii="宋体" w:hAnsi="宋体" w:hint="eastAsia"/>
          <w:bCs/>
          <w:sz w:val="24"/>
        </w:rPr>
      </w:pPr>
      <w:r>
        <w:rPr>
          <w:rFonts w:ascii="宋体" w:hAnsi="宋体"/>
          <w:bCs/>
          <w:sz w:val="24"/>
        </w:rPr>
        <w:t>1</w:t>
      </w:r>
      <w:r>
        <w:rPr>
          <w:rFonts w:ascii="宋体" w:hAnsi="宋体" w:hint="eastAsia"/>
          <w:bCs/>
          <w:sz w:val="24"/>
        </w:rPr>
        <w:t>、计算公式</w:t>
      </w:r>
    </w:p>
    <w:p w14:paraId="7E7D35D0" w14:textId="77777777" w:rsidR="00566744" w:rsidRDefault="00000000">
      <w:pPr>
        <w:autoSpaceDE w:val="0"/>
        <w:autoSpaceDN w:val="0"/>
        <w:adjustRightInd w:val="0"/>
        <w:spacing w:line="360" w:lineRule="auto"/>
        <w:ind w:firstLineChars="177" w:firstLine="425"/>
        <w:jc w:val="left"/>
        <w:rPr>
          <w:rFonts w:ascii="宋体" w:hAnsi="宋体" w:hint="eastAsia"/>
          <w:bCs/>
          <w:sz w:val="24"/>
        </w:rPr>
      </w:pPr>
      <w:r>
        <w:rPr>
          <w:rFonts w:ascii="宋体" w:hAnsi="宋体" w:hint="eastAsia"/>
          <w:bCs/>
          <w:sz w:val="24"/>
        </w:rPr>
        <w:t>本基金按下列公式计算平均剩余期限：</w:t>
      </w:r>
    </w:p>
    <w:p w14:paraId="24867742" w14:textId="77777777" w:rsidR="00566744" w:rsidRDefault="00000000">
      <w:pPr>
        <w:autoSpaceDE w:val="0"/>
        <w:autoSpaceDN w:val="0"/>
        <w:adjustRightInd w:val="0"/>
        <w:spacing w:line="360" w:lineRule="auto"/>
        <w:ind w:firstLineChars="177" w:firstLine="425"/>
        <w:jc w:val="left"/>
        <w:rPr>
          <w:rFonts w:ascii="宋体" w:hAnsi="宋体" w:hint="eastAsia"/>
          <w:bCs/>
          <w:sz w:val="24"/>
        </w:rPr>
      </w:pPr>
      <w:r>
        <w:rPr>
          <w:rFonts w:ascii="宋体" w:hAnsi="宋体" w:hint="eastAsia"/>
          <w:bCs/>
          <w:sz w:val="24"/>
        </w:rPr>
        <w:t>（</w:t>
      </w:r>
      <w:r>
        <w:rPr>
          <w:rFonts w:ascii="宋体" w:hAnsi="宋体"/>
          <w:bCs/>
          <w:sz w:val="24"/>
        </w:rPr>
        <w:t>Σ</w:t>
      </w:r>
      <w:r>
        <w:rPr>
          <w:rFonts w:ascii="宋体" w:hAnsi="宋体" w:hint="eastAsia"/>
          <w:bCs/>
          <w:sz w:val="24"/>
        </w:rPr>
        <w:t>投资于金融工具产生的资产</w:t>
      </w:r>
      <w:r>
        <w:rPr>
          <w:rFonts w:ascii="宋体" w:hAnsi="宋体"/>
          <w:bCs/>
          <w:sz w:val="24"/>
        </w:rPr>
        <w:t>×</w:t>
      </w:r>
      <w:r>
        <w:rPr>
          <w:rFonts w:ascii="宋体" w:hAnsi="宋体" w:hint="eastAsia"/>
          <w:bCs/>
          <w:sz w:val="24"/>
        </w:rPr>
        <w:t>剩余期限</w:t>
      </w:r>
      <w:r>
        <w:rPr>
          <w:rFonts w:ascii="宋体" w:hAnsi="宋体"/>
          <w:bCs/>
          <w:sz w:val="24"/>
        </w:rPr>
        <w:t>-Σ</w:t>
      </w:r>
      <w:r>
        <w:rPr>
          <w:rFonts w:ascii="宋体" w:hAnsi="宋体" w:hint="eastAsia"/>
          <w:bCs/>
          <w:sz w:val="24"/>
        </w:rPr>
        <w:t>投资于金融工具产生的负债</w:t>
      </w:r>
      <w:r>
        <w:rPr>
          <w:rFonts w:ascii="宋体" w:hAnsi="宋体"/>
          <w:bCs/>
          <w:sz w:val="24"/>
        </w:rPr>
        <w:t>×</w:t>
      </w:r>
      <w:r>
        <w:rPr>
          <w:rFonts w:ascii="宋体" w:hAnsi="宋体" w:hint="eastAsia"/>
          <w:bCs/>
          <w:sz w:val="24"/>
        </w:rPr>
        <w:t>剩余期限＋</w:t>
      </w:r>
      <w:r>
        <w:rPr>
          <w:rFonts w:ascii="宋体" w:hAnsi="宋体"/>
          <w:bCs/>
          <w:sz w:val="24"/>
        </w:rPr>
        <w:t>Σ</w:t>
      </w:r>
      <w:r>
        <w:rPr>
          <w:rFonts w:ascii="宋体" w:hAnsi="宋体" w:hint="eastAsia"/>
          <w:bCs/>
          <w:sz w:val="24"/>
        </w:rPr>
        <w:t>债券正回购</w:t>
      </w:r>
      <w:r>
        <w:rPr>
          <w:rFonts w:ascii="宋体" w:hAnsi="宋体"/>
          <w:bCs/>
          <w:sz w:val="24"/>
        </w:rPr>
        <w:t>×</w:t>
      </w:r>
      <w:r>
        <w:rPr>
          <w:rFonts w:ascii="宋体" w:hAnsi="宋体" w:hint="eastAsia"/>
          <w:bCs/>
          <w:sz w:val="24"/>
        </w:rPr>
        <w:t>剩余期限）</w:t>
      </w:r>
      <w:r>
        <w:rPr>
          <w:rFonts w:ascii="宋体" w:hAnsi="宋体"/>
          <w:bCs/>
          <w:sz w:val="24"/>
        </w:rPr>
        <w:t>/</w:t>
      </w:r>
      <w:r>
        <w:rPr>
          <w:rFonts w:ascii="宋体" w:hAnsi="宋体" w:hint="eastAsia"/>
          <w:bCs/>
          <w:sz w:val="24"/>
        </w:rPr>
        <w:t>（投资于金融工具产生的资产</w:t>
      </w:r>
      <w:r>
        <w:rPr>
          <w:rFonts w:ascii="宋体" w:hAnsi="宋体"/>
          <w:bCs/>
          <w:sz w:val="24"/>
        </w:rPr>
        <w:t>-</w:t>
      </w:r>
      <w:r>
        <w:rPr>
          <w:rFonts w:ascii="宋体" w:hAnsi="宋体" w:hint="eastAsia"/>
          <w:bCs/>
          <w:sz w:val="24"/>
        </w:rPr>
        <w:t>投资于金融工具产生的负债＋债券正回购）</w:t>
      </w:r>
    </w:p>
    <w:p w14:paraId="5599DAD8" w14:textId="77777777" w:rsidR="00566744" w:rsidRDefault="00000000">
      <w:pPr>
        <w:autoSpaceDE w:val="0"/>
        <w:autoSpaceDN w:val="0"/>
        <w:adjustRightInd w:val="0"/>
        <w:spacing w:line="360" w:lineRule="auto"/>
        <w:ind w:firstLineChars="177" w:firstLine="425"/>
        <w:jc w:val="left"/>
        <w:rPr>
          <w:rFonts w:ascii="宋体" w:hAnsi="宋体" w:hint="eastAsia"/>
          <w:bCs/>
          <w:sz w:val="24"/>
        </w:rPr>
      </w:pPr>
      <w:r>
        <w:rPr>
          <w:rFonts w:ascii="宋体" w:hAnsi="宋体" w:hint="eastAsia"/>
          <w:bCs/>
          <w:sz w:val="24"/>
        </w:rPr>
        <w:t>本基金按下列公式计算平均剩余存续期限：</w:t>
      </w:r>
    </w:p>
    <w:p w14:paraId="0A6D6F55" w14:textId="77777777" w:rsidR="00566744" w:rsidRDefault="00000000">
      <w:pPr>
        <w:autoSpaceDE w:val="0"/>
        <w:autoSpaceDN w:val="0"/>
        <w:adjustRightInd w:val="0"/>
        <w:spacing w:line="360" w:lineRule="auto"/>
        <w:ind w:firstLineChars="177" w:firstLine="425"/>
        <w:jc w:val="left"/>
        <w:rPr>
          <w:rFonts w:ascii="宋体" w:hAnsi="宋体" w:hint="eastAsia"/>
          <w:bCs/>
          <w:sz w:val="24"/>
        </w:rPr>
      </w:pPr>
      <w:r>
        <w:rPr>
          <w:rFonts w:ascii="宋体" w:hAnsi="宋体" w:hint="eastAsia"/>
          <w:bCs/>
          <w:sz w:val="24"/>
        </w:rPr>
        <w:t>（</w:t>
      </w:r>
      <w:r>
        <w:rPr>
          <w:rFonts w:ascii="宋体" w:hAnsi="宋体"/>
          <w:bCs/>
          <w:sz w:val="24"/>
        </w:rPr>
        <w:t>Σ</w:t>
      </w:r>
      <w:r>
        <w:rPr>
          <w:rFonts w:ascii="宋体" w:hAnsi="宋体" w:hint="eastAsia"/>
          <w:bCs/>
          <w:sz w:val="24"/>
        </w:rPr>
        <w:t>投资于金融工具产生的资产</w:t>
      </w:r>
      <w:r>
        <w:rPr>
          <w:rFonts w:ascii="宋体" w:hAnsi="宋体"/>
          <w:bCs/>
          <w:sz w:val="24"/>
        </w:rPr>
        <w:t>×</w:t>
      </w:r>
      <w:r>
        <w:rPr>
          <w:rFonts w:ascii="宋体" w:hAnsi="宋体" w:hint="eastAsia"/>
          <w:bCs/>
          <w:sz w:val="24"/>
        </w:rPr>
        <w:t>剩余存续期限</w:t>
      </w:r>
      <w:r>
        <w:rPr>
          <w:rFonts w:ascii="宋体" w:hAnsi="宋体"/>
          <w:bCs/>
          <w:sz w:val="24"/>
        </w:rPr>
        <w:t>−Σ</w:t>
      </w:r>
      <w:r>
        <w:rPr>
          <w:rFonts w:ascii="宋体" w:hAnsi="宋体" w:hint="eastAsia"/>
          <w:bCs/>
          <w:sz w:val="24"/>
        </w:rPr>
        <w:t>投资于金融工具产生的负债</w:t>
      </w:r>
      <w:r>
        <w:rPr>
          <w:rFonts w:ascii="宋体" w:hAnsi="宋体"/>
          <w:bCs/>
          <w:sz w:val="24"/>
        </w:rPr>
        <w:t>×</w:t>
      </w:r>
      <w:r>
        <w:rPr>
          <w:rFonts w:ascii="宋体" w:hAnsi="宋体" w:hint="eastAsia"/>
          <w:bCs/>
          <w:sz w:val="24"/>
        </w:rPr>
        <w:t>剩余存续期限+债券正回购</w:t>
      </w:r>
      <w:r>
        <w:rPr>
          <w:rFonts w:ascii="宋体" w:hAnsi="宋体"/>
          <w:bCs/>
          <w:sz w:val="24"/>
        </w:rPr>
        <w:t>×</w:t>
      </w:r>
      <w:r>
        <w:rPr>
          <w:rFonts w:ascii="宋体" w:hAnsi="宋体" w:hint="eastAsia"/>
          <w:bCs/>
          <w:sz w:val="24"/>
        </w:rPr>
        <w:t>剩余存续期限）/(投资于金融工具产生的资产</w:t>
      </w:r>
      <w:r>
        <w:rPr>
          <w:rFonts w:ascii="宋体" w:hAnsi="宋体"/>
          <w:bCs/>
          <w:sz w:val="24"/>
        </w:rPr>
        <w:t>−</w:t>
      </w:r>
      <w:r>
        <w:rPr>
          <w:rFonts w:ascii="宋体" w:hAnsi="宋体" w:hint="eastAsia"/>
          <w:bCs/>
          <w:sz w:val="24"/>
        </w:rPr>
        <w:t>投资于金融工具产生的负债+债券正回购)</w:t>
      </w:r>
    </w:p>
    <w:p w14:paraId="2354C1B5" w14:textId="77777777" w:rsidR="00566744" w:rsidRDefault="00000000">
      <w:pPr>
        <w:autoSpaceDE w:val="0"/>
        <w:autoSpaceDN w:val="0"/>
        <w:adjustRightInd w:val="0"/>
        <w:spacing w:line="360" w:lineRule="auto"/>
        <w:ind w:firstLineChars="177" w:firstLine="425"/>
        <w:jc w:val="left"/>
        <w:rPr>
          <w:rFonts w:ascii="宋体" w:hAnsi="宋体" w:hint="eastAsia"/>
          <w:bCs/>
          <w:sz w:val="24"/>
        </w:rPr>
      </w:pPr>
      <w:r>
        <w:rPr>
          <w:rFonts w:ascii="宋体" w:hAnsi="宋体" w:hint="eastAsia"/>
          <w:bCs/>
          <w:sz w:val="24"/>
        </w:rPr>
        <w:t>其中：投资于金融工具产生的资产包括现金类资产</w:t>
      </w:r>
      <w:r>
        <w:rPr>
          <w:rFonts w:ascii="宋体" w:hAnsi="宋体"/>
          <w:bCs/>
          <w:sz w:val="24"/>
        </w:rPr>
        <w:t>(</w:t>
      </w:r>
      <w:r>
        <w:rPr>
          <w:rFonts w:ascii="宋体" w:hAnsi="宋体" w:hint="eastAsia"/>
          <w:bCs/>
          <w:sz w:val="24"/>
        </w:rPr>
        <w:t>含银行存款、清算备付金、交易保证金、证券清算款、买断式回购履约金</w:t>
      </w:r>
      <w:r>
        <w:rPr>
          <w:rFonts w:ascii="宋体" w:hAnsi="宋体"/>
          <w:bCs/>
          <w:sz w:val="24"/>
        </w:rPr>
        <w:t>)</w:t>
      </w:r>
      <w:r>
        <w:rPr>
          <w:rFonts w:ascii="宋体" w:hAnsi="宋体" w:hint="eastAsia"/>
          <w:bCs/>
          <w:sz w:val="24"/>
        </w:rPr>
        <w:t>、银行定期存款、同业存单、债券、逆回购、中央银行票据、买断式回购产生的待回购债券、中国证监会允许投资的其他固定收益类金融工具。</w:t>
      </w:r>
    </w:p>
    <w:p w14:paraId="05980E94" w14:textId="77777777" w:rsidR="00566744" w:rsidRDefault="00000000">
      <w:pPr>
        <w:autoSpaceDE w:val="0"/>
        <w:autoSpaceDN w:val="0"/>
        <w:adjustRightInd w:val="0"/>
        <w:spacing w:line="360" w:lineRule="auto"/>
        <w:ind w:firstLineChars="177" w:firstLine="425"/>
        <w:jc w:val="left"/>
        <w:rPr>
          <w:rFonts w:ascii="宋体" w:hAnsi="宋体" w:hint="eastAsia"/>
          <w:bCs/>
          <w:sz w:val="24"/>
        </w:rPr>
      </w:pPr>
      <w:r>
        <w:rPr>
          <w:rFonts w:ascii="宋体" w:hAnsi="宋体" w:hint="eastAsia"/>
          <w:bCs/>
          <w:sz w:val="24"/>
        </w:rPr>
        <w:t>投资于金融工具产生的负债包括正回购、买断式回购产生</w:t>
      </w:r>
      <w:proofErr w:type="gramStart"/>
      <w:r>
        <w:rPr>
          <w:rFonts w:ascii="宋体" w:hAnsi="宋体" w:hint="eastAsia"/>
          <w:bCs/>
          <w:sz w:val="24"/>
        </w:rPr>
        <w:t>的待返售</w:t>
      </w:r>
      <w:proofErr w:type="gramEnd"/>
      <w:r>
        <w:rPr>
          <w:rFonts w:ascii="宋体" w:hAnsi="宋体" w:hint="eastAsia"/>
          <w:bCs/>
          <w:sz w:val="24"/>
        </w:rPr>
        <w:t>债券等。</w:t>
      </w:r>
    </w:p>
    <w:p w14:paraId="357404BB" w14:textId="77777777" w:rsidR="00566744" w:rsidRDefault="00000000">
      <w:pPr>
        <w:autoSpaceDE w:val="0"/>
        <w:autoSpaceDN w:val="0"/>
        <w:adjustRightInd w:val="0"/>
        <w:spacing w:line="360" w:lineRule="auto"/>
        <w:ind w:firstLineChars="177" w:firstLine="425"/>
        <w:jc w:val="left"/>
        <w:rPr>
          <w:rFonts w:ascii="宋体" w:hAnsi="宋体" w:hint="eastAsia"/>
          <w:bCs/>
          <w:sz w:val="24"/>
        </w:rPr>
      </w:pPr>
      <w:r>
        <w:rPr>
          <w:rFonts w:ascii="宋体" w:hAnsi="宋体"/>
          <w:bCs/>
          <w:sz w:val="24"/>
        </w:rPr>
        <w:t>2</w:t>
      </w:r>
      <w:r>
        <w:rPr>
          <w:rFonts w:ascii="宋体" w:hAnsi="宋体" w:hint="eastAsia"/>
          <w:bCs/>
          <w:sz w:val="24"/>
        </w:rPr>
        <w:t>、各类资产及负债剩余期限和剩余存续期限的确定方法</w:t>
      </w:r>
    </w:p>
    <w:p w14:paraId="3EE63FEB" w14:textId="77777777" w:rsidR="00566744" w:rsidRDefault="00000000">
      <w:pPr>
        <w:autoSpaceDE w:val="0"/>
        <w:autoSpaceDN w:val="0"/>
        <w:adjustRightInd w:val="0"/>
        <w:spacing w:line="360" w:lineRule="auto"/>
        <w:ind w:firstLineChars="177" w:firstLine="425"/>
        <w:jc w:val="left"/>
        <w:rPr>
          <w:rFonts w:ascii="宋体" w:hAnsi="宋体" w:hint="eastAsia"/>
          <w:bCs/>
          <w:sz w:val="24"/>
        </w:rPr>
      </w:pPr>
      <w:r>
        <w:rPr>
          <w:rFonts w:ascii="宋体" w:hAnsi="宋体" w:hint="eastAsia"/>
          <w:bCs/>
          <w:sz w:val="24"/>
        </w:rPr>
        <w:t>（1）银行活期存款、清算备付金、交易保证金的剩余期限和剩余存续期限为0天；证券清算款的剩余期限和剩余存续期限以计算日</w:t>
      </w:r>
      <w:proofErr w:type="gramStart"/>
      <w:r>
        <w:rPr>
          <w:rFonts w:ascii="宋体" w:hAnsi="宋体" w:hint="eastAsia"/>
          <w:bCs/>
          <w:sz w:val="24"/>
        </w:rPr>
        <w:t>至交收日的</w:t>
      </w:r>
      <w:proofErr w:type="gramEnd"/>
      <w:r>
        <w:rPr>
          <w:rFonts w:ascii="宋体" w:hAnsi="宋体" w:hint="eastAsia"/>
          <w:bCs/>
          <w:sz w:val="24"/>
        </w:rPr>
        <w:t>剩余交易日天数计算；</w:t>
      </w:r>
    </w:p>
    <w:p w14:paraId="222EE6E0" w14:textId="77777777" w:rsidR="00566744" w:rsidRDefault="00000000">
      <w:pPr>
        <w:autoSpaceDE w:val="0"/>
        <w:autoSpaceDN w:val="0"/>
        <w:adjustRightInd w:val="0"/>
        <w:spacing w:line="360" w:lineRule="auto"/>
        <w:ind w:firstLineChars="177" w:firstLine="425"/>
        <w:jc w:val="left"/>
        <w:rPr>
          <w:rFonts w:ascii="宋体" w:hAnsi="宋体" w:hint="eastAsia"/>
          <w:bCs/>
          <w:sz w:val="24"/>
        </w:rPr>
      </w:pPr>
      <w:r>
        <w:rPr>
          <w:rFonts w:ascii="宋体" w:hAnsi="宋体" w:hint="eastAsia"/>
          <w:bCs/>
          <w:sz w:val="24"/>
        </w:rPr>
        <w:t>（2）回购（包括正回购和</w:t>
      </w:r>
      <w:proofErr w:type="gramStart"/>
      <w:r>
        <w:rPr>
          <w:rFonts w:ascii="宋体" w:hAnsi="宋体" w:hint="eastAsia"/>
          <w:bCs/>
          <w:sz w:val="24"/>
        </w:rPr>
        <w:t>逆回购</w:t>
      </w:r>
      <w:proofErr w:type="gramEnd"/>
      <w:r>
        <w:rPr>
          <w:rFonts w:ascii="宋体" w:hAnsi="宋体" w:hint="eastAsia"/>
          <w:bCs/>
          <w:sz w:val="24"/>
        </w:rPr>
        <w:t>）的剩余期限和剩余存续期限以计算日至回购协议到期日的实际剩余天数计算；买断式回购产生的待回购债券的剩余期限和剩余存续期限为</w:t>
      </w:r>
      <w:proofErr w:type="gramStart"/>
      <w:r>
        <w:rPr>
          <w:rFonts w:ascii="宋体" w:hAnsi="宋体" w:hint="eastAsia"/>
          <w:bCs/>
          <w:sz w:val="24"/>
        </w:rPr>
        <w:t>该基础</w:t>
      </w:r>
      <w:proofErr w:type="gramEnd"/>
      <w:r>
        <w:rPr>
          <w:rFonts w:ascii="宋体" w:hAnsi="宋体" w:hint="eastAsia"/>
          <w:bCs/>
          <w:sz w:val="24"/>
        </w:rPr>
        <w:t>债券的剩余期限，</w:t>
      </w:r>
      <w:proofErr w:type="gramStart"/>
      <w:r>
        <w:rPr>
          <w:rFonts w:ascii="宋体" w:hAnsi="宋体" w:hint="eastAsia"/>
          <w:bCs/>
          <w:sz w:val="24"/>
        </w:rPr>
        <w:t>待返售</w:t>
      </w:r>
      <w:proofErr w:type="gramEnd"/>
      <w:r>
        <w:rPr>
          <w:rFonts w:ascii="宋体" w:hAnsi="宋体" w:hint="eastAsia"/>
          <w:bCs/>
          <w:sz w:val="24"/>
        </w:rPr>
        <w:t>债券的剩余期限和剩余存续期限以计算日至回购协议到期日的实际剩余天数计算；</w:t>
      </w:r>
    </w:p>
    <w:p w14:paraId="7C5BE44E" w14:textId="77777777" w:rsidR="00566744" w:rsidRDefault="00000000">
      <w:pPr>
        <w:autoSpaceDE w:val="0"/>
        <w:autoSpaceDN w:val="0"/>
        <w:adjustRightInd w:val="0"/>
        <w:spacing w:line="360" w:lineRule="auto"/>
        <w:ind w:firstLineChars="177" w:firstLine="425"/>
        <w:jc w:val="left"/>
        <w:rPr>
          <w:rFonts w:ascii="宋体" w:hAnsi="宋体" w:hint="eastAsia"/>
          <w:bCs/>
          <w:sz w:val="24"/>
        </w:rPr>
      </w:pPr>
      <w:r>
        <w:rPr>
          <w:rFonts w:ascii="宋体" w:hAnsi="宋体" w:hint="eastAsia"/>
          <w:bCs/>
          <w:sz w:val="24"/>
        </w:rPr>
        <w:t>（3）银行定期存款、同业存单的剩余期限和剩余存续期限以计算日至协议到期日的实际剩余天数计算；有存款期限，根据协议可提前支取且没有利息损失的银行存款，剩余期限和剩余存续期限以计算日至协议到期日的实际剩余天数计算；银行通知存款的剩余期限和剩余存续期限以存款协议中约定的通知期计算；</w:t>
      </w:r>
    </w:p>
    <w:p w14:paraId="6C5288BB" w14:textId="77777777" w:rsidR="00566744" w:rsidRDefault="00000000">
      <w:pPr>
        <w:autoSpaceDE w:val="0"/>
        <w:autoSpaceDN w:val="0"/>
        <w:adjustRightInd w:val="0"/>
        <w:spacing w:line="360" w:lineRule="auto"/>
        <w:ind w:firstLineChars="177" w:firstLine="425"/>
        <w:jc w:val="left"/>
        <w:rPr>
          <w:rFonts w:ascii="宋体" w:hAnsi="宋体" w:hint="eastAsia"/>
          <w:bCs/>
          <w:sz w:val="24"/>
        </w:rPr>
      </w:pPr>
      <w:r>
        <w:rPr>
          <w:rFonts w:ascii="宋体" w:hAnsi="宋体" w:hint="eastAsia"/>
          <w:bCs/>
          <w:sz w:val="24"/>
        </w:rPr>
        <w:lastRenderedPageBreak/>
        <w:t>（4）中央银行票据的剩余期限和剩余存续期限以计算日至中央银行票据到期日的实际剩余天数计算；</w:t>
      </w:r>
    </w:p>
    <w:p w14:paraId="35546CA3" w14:textId="77777777" w:rsidR="00566744" w:rsidRDefault="00000000">
      <w:pPr>
        <w:autoSpaceDE w:val="0"/>
        <w:autoSpaceDN w:val="0"/>
        <w:adjustRightInd w:val="0"/>
        <w:spacing w:line="360" w:lineRule="auto"/>
        <w:ind w:firstLineChars="177" w:firstLine="425"/>
        <w:jc w:val="left"/>
        <w:rPr>
          <w:rFonts w:ascii="宋体" w:hAnsi="宋体" w:hint="eastAsia"/>
          <w:bCs/>
          <w:sz w:val="24"/>
        </w:rPr>
      </w:pPr>
      <w:r>
        <w:rPr>
          <w:rFonts w:ascii="宋体" w:hAnsi="宋体" w:hint="eastAsia"/>
          <w:bCs/>
          <w:sz w:val="24"/>
        </w:rPr>
        <w:t>（5）组合中债券的剩余期限和剩余存续期限是指计算日至债券到期日为止所剩余的天数，以下情况除外：允许投资的可变利率或浮动利率债券的剩余期限以计算日至下一个利率调整日的实际剩余天数计算。允许投资的可变利率或浮动利率债券的剩余存续期限以计算日至债券到期日的实际剩余天数计算；</w:t>
      </w:r>
    </w:p>
    <w:p w14:paraId="02D8890D" w14:textId="77777777" w:rsidR="00566744" w:rsidRDefault="00000000">
      <w:pPr>
        <w:autoSpaceDE w:val="0"/>
        <w:autoSpaceDN w:val="0"/>
        <w:adjustRightInd w:val="0"/>
        <w:spacing w:line="360" w:lineRule="auto"/>
        <w:ind w:firstLineChars="177" w:firstLine="425"/>
        <w:jc w:val="left"/>
        <w:rPr>
          <w:rFonts w:ascii="宋体" w:hAnsi="宋体" w:hint="eastAsia"/>
          <w:bCs/>
          <w:sz w:val="24"/>
        </w:rPr>
      </w:pPr>
      <w:r>
        <w:rPr>
          <w:rFonts w:ascii="宋体" w:hAnsi="宋体" w:hint="eastAsia"/>
          <w:bCs/>
          <w:sz w:val="24"/>
        </w:rPr>
        <w:t>（6）对其它金融工具，本基金管理人将基于审慎原则，根据法律法规或中国证监会的规定或参照行业内的方法计算其剩余期限和剩余存续期限。</w:t>
      </w:r>
    </w:p>
    <w:p w14:paraId="480E7769" w14:textId="77777777" w:rsidR="00566744" w:rsidRDefault="00000000">
      <w:pPr>
        <w:spacing w:line="360" w:lineRule="auto"/>
        <w:ind w:firstLineChars="177" w:firstLine="425"/>
        <w:rPr>
          <w:rFonts w:ascii="宋体" w:hAnsi="宋体" w:hint="eastAsia"/>
          <w:bCs/>
          <w:sz w:val="24"/>
        </w:rPr>
      </w:pPr>
      <w:r>
        <w:rPr>
          <w:rFonts w:ascii="宋体" w:hAnsi="宋体" w:hint="eastAsia"/>
          <w:bCs/>
          <w:sz w:val="24"/>
        </w:rPr>
        <w:t>平均剩余期限和平均剩余存续期限的计算结果保留至整数位，小数点后四舍五入。如法律法规或中国证监会对剩余期限和剩余存续期限计算方法另有规定的从其规定。</w:t>
      </w:r>
    </w:p>
    <w:p w14:paraId="6E07E01E" w14:textId="77777777" w:rsidR="00566744" w:rsidRDefault="00000000">
      <w:pPr>
        <w:spacing w:line="360" w:lineRule="auto"/>
        <w:ind w:firstLineChars="177" w:firstLine="425"/>
        <w:rPr>
          <w:rFonts w:ascii="宋体" w:hAnsi="宋体" w:hint="eastAsia"/>
          <w:bCs/>
          <w:sz w:val="24"/>
        </w:rPr>
      </w:pPr>
      <w:r>
        <w:rPr>
          <w:rFonts w:ascii="宋体" w:hAnsi="宋体" w:hint="eastAsia"/>
          <w:bCs/>
          <w:sz w:val="24"/>
        </w:rPr>
        <w:t>（八）基金投资组合报告</w:t>
      </w:r>
    </w:p>
    <w:p w14:paraId="3F2DE219" w14:textId="77777777" w:rsidR="00566744" w:rsidRDefault="00000000">
      <w:pPr>
        <w:spacing w:line="360" w:lineRule="auto"/>
        <w:ind w:firstLineChars="177" w:firstLine="425"/>
        <w:rPr>
          <w:rFonts w:ascii="宋体" w:hAnsi="宋体" w:hint="eastAsia"/>
          <w:bCs/>
          <w:sz w:val="24"/>
        </w:rPr>
      </w:pPr>
      <w:r>
        <w:rPr>
          <w:rFonts w:ascii="宋体" w:hAnsi="宋体" w:hint="eastAsia"/>
          <w:bCs/>
          <w:sz w:val="24"/>
        </w:rPr>
        <w:t>基金管理人的董事会及董事保证本报告所载资料不存在虚假记载、误导性陈述或重大遗漏，并对其内容的真实性、准确性和完整性承担个别及连带责任。</w:t>
      </w:r>
    </w:p>
    <w:p w14:paraId="5E47B504" w14:textId="77777777" w:rsidR="00566744" w:rsidRDefault="00000000">
      <w:pPr>
        <w:spacing w:line="360" w:lineRule="auto"/>
        <w:ind w:firstLineChars="177" w:firstLine="425"/>
        <w:rPr>
          <w:rFonts w:ascii="宋体" w:hAnsi="宋体" w:hint="eastAsia"/>
          <w:bCs/>
          <w:sz w:val="24"/>
        </w:rPr>
      </w:pPr>
      <w:r>
        <w:rPr>
          <w:rFonts w:ascii="宋体" w:hAnsi="宋体" w:hint="eastAsia"/>
          <w:bCs/>
          <w:sz w:val="24"/>
        </w:rPr>
        <w:t>基金托管人中国光大银行</w:t>
      </w:r>
      <w:r>
        <w:rPr>
          <w:rFonts w:ascii="宋体" w:hAnsi="宋体"/>
          <w:bCs/>
          <w:sz w:val="24"/>
        </w:rPr>
        <w:t>股份</w:t>
      </w:r>
      <w:r>
        <w:rPr>
          <w:rFonts w:ascii="宋体" w:hAnsi="宋体" w:hint="eastAsia"/>
          <w:bCs/>
          <w:sz w:val="24"/>
        </w:rPr>
        <w:t>有限</w:t>
      </w:r>
      <w:r>
        <w:rPr>
          <w:rFonts w:ascii="宋体" w:hAnsi="宋体"/>
          <w:bCs/>
          <w:sz w:val="24"/>
        </w:rPr>
        <w:t>公司</w:t>
      </w:r>
      <w:r>
        <w:rPr>
          <w:rFonts w:ascii="宋体" w:hAnsi="宋体" w:hint="eastAsia"/>
          <w:bCs/>
          <w:sz w:val="24"/>
        </w:rPr>
        <w:t>根据本基金合同规定，已复核了本报告中的净值表现和投资组合报告等内容，保证复核内容不存在虚假记载、误导性陈述或者重大遗漏。</w:t>
      </w:r>
    </w:p>
    <w:p w14:paraId="7FF855C8" w14:textId="231605DF" w:rsidR="00566744" w:rsidRDefault="00000000">
      <w:pPr>
        <w:spacing w:line="360" w:lineRule="auto"/>
        <w:ind w:firstLineChars="177" w:firstLine="425"/>
        <w:rPr>
          <w:rFonts w:ascii="宋体" w:hAnsi="宋体" w:hint="eastAsia"/>
          <w:bCs/>
          <w:sz w:val="24"/>
        </w:rPr>
      </w:pPr>
      <w:r>
        <w:rPr>
          <w:rFonts w:ascii="宋体" w:hAnsi="宋体" w:hint="eastAsia"/>
          <w:bCs/>
          <w:sz w:val="24"/>
        </w:rPr>
        <w:t>本投资组合报告所载数据自本基金2026年第2季度报告，本报告中所列财务数据未经审计。</w:t>
      </w:r>
    </w:p>
    <w:p w14:paraId="74FFD91B" w14:textId="77777777" w:rsidR="00566744" w:rsidRDefault="00000000">
      <w:pPr>
        <w:spacing w:line="360" w:lineRule="auto"/>
        <w:ind w:firstLineChars="177" w:firstLine="425"/>
        <w:rPr>
          <w:rFonts w:ascii="宋体" w:hAnsi="宋体" w:hint="eastAsia"/>
          <w:sz w:val="24"/>
        </w:rPr>
      </w:pPr>
      <w:r>
        <w:rPr>
          <w:rFonts w:ascii="宋体" w:hAnsi="宋体" w:hint="eastAsia"/>
          <w:sz w:val="24"/>
        </w:rPr>
        <w:t>1、报告期末基金资产组合情况（金额单位：人民币元）</w:t>
      </w:r>
    </w:p>
    <w:tbl>
      <w:tblPr>
        <w:tblW w:w="9198" w:type="dxa"/>
        <w:tblInd w:w="108" w:type="dxa"/>
        <w:tblLook w:val="04A0" w:firstRow="1" w:lastRow="0" w:firstColumn="1" w:lastColumn="0" w:noHBand="0" w:noVBand="1"/>
      </w:tblPr>
      <w:tblGrid>
        <w:gridCol w:w="992"/>
        <w:gridCol w:w="3568"/>
        <w:gridCol w:w="2496"/>
        <w:gridCol w:w="2142"/>
      </w:tblGrid>
      <w:tr w:rsidR="00566744" w14:paraId="37ACC02F" w14:textId="77777777">
        <w:tc>
          <w:tcPr>
            <w:tcW w:w="992" w:type="dxa"/>
            <w:tcBorders>
              <w:top w:val="single" w:sz="8" w:space="0" w:color="000000"/>
              <w:left w:val="single" w:sz="8" w:space="0" w:color="000000"/>
              <w:bottom w:val="single" w:sz="6" w:space="0" w:color="000000"/>
              <w:right w:val="single" w:sz="8" w:space="0" w:color="000000"/>
            </w:tcBorders>
            <w:vAlign w:val="center"/>
          </w:tcPr>
          <w:p w14:paraId="1638DFF7" w14:textId="77777777" w:rsidR="00566744" w:rsidRDefault="00000000">
            <w:pPr>
              <w:pStyle w:val="biaogecenter"/>
              <w:wordWrap w:val="0"/>
              <w:rPr>
                <w:rFonts w:hint="eastAsia"/>
              </w:rPr>
            </w:pPr>
            <w:r>
              <w:rPr>
                <w:rFonts w:hAnsi="Calibri" w:hint="eastAsia"/>
                <w:color w:val="000000"/>
              </w:rPr>
              <w:t>序号</w:t>
            </w:r>
          </w:p>
        </w:tc>
        <w:tc>
          <w:tcPr>
            <w:tcW w:w="3568" w:type="dxa"/>
            <w:tcBorders>
              <w:top w:val="single" w:sz="8" w:space="0" w:color="000000"/>
              <w:left w:val="single" w:sz="8" w:space="0" w:color="000000"/>
              <w:bottom w:val="single" w:sz="6" w:space="0" w:color="000000"/>
              <w:right w:val="single" w:sz="8" w:space="0" w:color="000000"/>
            </w:tcBorders>
            <w:vAlign w:val="center"/>
          </w:tcPr>
          <w:p w14:paraId="1EF4C3A6" w14:textId="77777777" w:rsidR="00566744" w:rsidRDefault="00000000">
            <w:pPr>
              <w:pStyle w:val="biaogecenter"/>
              <w:wordWrap w:val="0"/>
              <w:rPr>
                <w:rFonts w:hint="eastAsia"/>
              </w:rPr>
            </w:pPr>
            <w:r>
              <w:rPr>
                <w:rFonts w:hAnsi="Calibri" w:hint="eastAsia"/>
                <w:color w:val="000000"/>
              </w:rPr>
              <w:t>项目</w:t>
            </w:r>
          </w:p>
        </w:tc>
        <w:tc>
          <w:tcPr>
            <w:tcW w:w="2496" w:type="dxa"/>
            <w:tcBorders>
              <w:top w:val="single" w:sz="8" w:space="0" w:color="000000"/>
              <w:left w:val="single" w:sz="8" w:space="0" w:color="000000"/>
              <w:bottom w:val="single" w:sz="6" w:space="0" w:color="000000"/>
              <w:right w:val="single" w:sz="8" w:space="0" w:color="000000"/>
            </w:tcBorders>
            <w:vAlign w:val="center"/>
          </w:tcPr>
          <w:p w14:paraId="2F0284A2" w14:textId="77777777" w:rsidR="00566744" w:rsidRDefault="00000000">
            <w:pPr>
              <w:pStyle w:val="biaogecenter"/>
              <w:wordWrap w:val="0"/>
              <w:rPr>
                <w:rFonts w:hint="eastAsia"/>
              </w:rPr>
            </w:pPr>
            <w:r>
              <w:rPr>
                <w:rFonts w:hAnsi="Calibri" w:hint="eastAsia"/>
                <w:color w:val="000000"/>
              </w:rPr>
              <w:t>金额(元)</w:t>
            </w:r>
          </w:p>
        </w:tc>
        <w:tc>
          <w:tcPr>
            <w:tcW w:w="2142" w:type="dxa"/>
            <w:tcBorders>
              <w:top w:val="single" w:sz="8" w:space="0" w:color="000000"/>
              <w:left w:val="single" w:sz="8" w:space="0" w:color="000000"/>
              <w:bottom w:val="single" w:sz="6" w:space="0" w:color="000000"/>
              <w:right w:val="single" w:sz="8" w:space="0" w:color="000000"/>
            </w:tcBorders>
            <w:vAlign w:val="center"/>
          </w:tcPr>
          <w:p w14:paraId="0EA6FFB7" w14:textId="77777777" w:rsidR="00566744" w:rsidRDefault="00000000">
            <w:pPr>
              <w:pStyle w:val="biaogecenter"/>
              <w:wordWrap w:val="0"/>
              <w:rPr>
                <w:rFonts w:hint="eastAsia"/>
              </w:rPr>
            </w:pPr>
            <w:r>
              <w:rPr>
                <w:rFonts w:hAnsi="Calibri" w:hint="eastAsia"/>
                <w:color w:val="000000"/>
              </w:rPr>
              <w:t>占基金总资产的比例（%）</w:t>
            </w:r>
          </w:p>
        </w:tc>
      </w:tr>
      <w:tr w:rsidR="00566744" w14:paraId="0836B249" w14:textId="77777777">
        <w:tc>
          <w:tcPr>
            <w:tcW w:w="992" w:type="dxa"/>
            <w:tcBorders>
              <w:top w:val="single" w:sz="8" w:space="0" w:color="000000"/>
              <w:left w:val="single" w:sz="8" w:space="0" w:color="000000"/>
              <w:bottom w:val="single" w:sz="6" w:space="0" w:color="000000"/>
              <w:right w:val="single" w:sz="8" w:space="0" w:color="000000"/>
            </w:tcBorders>
            <w:vAlign w:val="center"/>
          </w:tcPr>
          <w:p w14:paraId="7955A775" w14:textId="77777777" w:rsidR="00566744" w:rsidRDefault="00000000">
            <w:pPr>
              <w:pStyle w:val="biaogecenter"/>
              <w:wordWrap w:val="0"/>
              <w:rPr>
                <w:rFonts w:hint="eastAsia"/>
              </w:rPr>
            </w:pPr>
            <w:r>
              <w:rPr>
                <w:rFonts w:hAnsi="Calibri" w:hint="eastAsia"/>
                <w:color w:val="000000"/>
              </w:rPr>
              <w:t>1</w:t>
            </w:r>
          </w:p>
        </w:tc>
        <w:tc>
          <w:tcPr>
            <w:tcW w:w="3568" w:type="dxa"/>
            <w:tcBorders>
              <w:top w:val="single" w:sz="8" w:space="0" w:color="000000"/>
              <w:left w:val="single" w:sz="8" w:space="0" w:color="000000"/>
              <w:bottom w:val="single" w:sz="6" w:space="0" w:color="000000"/>
              <w:right w:val="single" w:sz="8" w:space="0" w:color="000000"/>
            </w:tcBorders>
            <w:vAlign w:val="center"/>
          </w:tcPr>
          <w:p w14:paraId="66063248" w14:textId="77777777" w:rsidR="00566744" w:rsidRDefault="00000000">
            <w:pPr>
              <w:pStyle w:val="biaogeleft"/>
              <w:wordWrap w:val="0"/>
              <w:rPr>
                <w:rFonts w:hint="eastAsia"/>
              </w:rPr>
            </w:pPr>
            <w:r>
              <w:rPr>
                <w:rFonts w:hint="eastAsia"/>
              </w:rPr>
              <w:t>固定收益投资</w:t>
            </w:r>
          </w:p>
        </w:tc>
        <w:tc>
          <w:tcPr>
            <w:tcW w:w="2496" w:type="dxa"/>
            <w:tcBorders>
              <w:top w:val="single" w:sz="8" w:space="0" w:color="000000"/>
              <w:left w:val="single" w:sz="8" w:space="0" w:color="000000"/>
              <w:bottom w:val="single" w:sz="6" w:space="0" w:color="000000"/>
              <w:right w:val="single" w:sz="8" w:space="0" w:color="000000"/>
            </w:tcBorders>
            <w:vAlign w:val="center"/>
          </w:tcPr>
          <w:p w14:paraId="16C3DAE3" w14:textId="1EEC0F7C" w:rsidR="00566744" w:rsidRDefault="00000000">
            <w:pPr>
              <w:pStyle w:val="biaogeright"/>
              <w:wordWrap w:val="0"/>
              <w:rPr>
                <w:rFonts w:hint="eastAsia"/>
              </w:rPr>
            </w:pPr>
            <w:r>
              <w:rPr>
                <w:rFonts w:hAnsi="Calibri"/>
                <w:color w:val="000000"/>
              </w:rPr>
              <w:t>6,337,889,033.86</w:t>
            </w:r>
          </w:p>
        </w:tc>
        <w:tc>
          <w:tcPr>
            <w:tcW w:w="2142" w:type="dxa"/>
            <w:tcBorders>
              <w:top w:val="single" w:sz="8" w:space="0" w:color="000000"/>
              <w:left w:val="single" w:sz="8" w:space="0" w:color="000000"/>
              <w:bottom w:val="single" w:sz="6" w:space="0" w:color="000000"/>
              <w:right w:val="single" w:sz="8" w:space="0" w:color="000000"/>
            </w:tcBorders>
            <w:vAlign w:val="center"/>
          </w:tcPr>
          <w:p w14:paraId="72B0EB10" w14:textId="611AC8DC" w:rsidR="00566744" w:rsidRDefault="00000000">
            <w:pPr>
              <w:pStyle w:val="biaogeright"/>
              <w:wordWrap w:val="0"/>
              <w:rPr>
                <w:rFonts w:hint="eastAsia"/>
              </w:rPr>
            </w:pPr>
            <w:r>
              <w:rPr>
                <w:rFonts w:hAnsi="Calibri"/>
                <w:color w:val="000000"/>
              </w:rPr>
              <w:t>60.88</w:t>
            </w:r>
          </w:p>
        </w:tc>
      </w:tr>
      <w:tr w:rsidR="00566744" w14:paraId="703ACA77" w14:textId="77777777">
        <w:tc>
          <w:tcPr>
            <w:tcW w:w="992" w:type="dxa"/>
            <w:tcBorders>
              <w:top w:val="single" w:sz="8" w:space="0" w:color="000000"/>
              <w:left w:val="single" w:sz="8" w:space="0" w:color="000000"/>
              <w:bottom w:val="single" w:sz="6" w:space="0" w:color="000000"/>
              <w:right w:val="single" w:sz="8" w:space="0" w:color="000000"/>
            </w:tcBorders>
            <w:vAlign w:val="center"/>
          </w:tcPr>
          <w:p w14:paraId="35625C88" w14:textId="77777777" w:rsidR="00566744" w:rsidRDefault="00566744">
            <w:pPr>
              <w:rPr>
                <w:rFonts w:ascii="宋体" w:hAnsi="宋体" w:cs="宋体" w:hint="eastAsia"/>
                <w:kern w:val="0"/>
                <w:sz w:val="24"/>
              </w:rPr>
            </w:pPr>
          </w:p>
        </w:tc>
        <w:tc>
          <w:tcPr>
            <w:tcW w:w="3568" w:type="dxa"/>
            <w:tcBorders>
              <w:top w:val="single" w:sz="8" w:space="0" w:color="000000"/>
              <w:left w:val="single" w:sz="8" w:space="0" w:color="000000"/>
              <w:bottom w:val="single" w:sz="6" w:space="0" w:color="000000"/>
              <w:right w:val="single" w:sz="8" w:space="0" w:color="000000"/>
            </w:tcBorders>
            <w:vAlign w:val="center"/>
          </w:tcPr>
          <w:p w14:paraId="1984A839" w14:textId="77777777" w:rsidR="00566744" w:rsidRDefault="00000000">
            <w:pPr>
              <w:pStyle w:val="biaogeleft"/>
              <w:wordWrap w:val="0"/>
              <w:rPr>
                <w:rFonts w:hint="eastAsia"/>
              </w:rPr>
            </w:pPr>
            <w:r>
              <w:rPr>
                <w:rFonts w:hint="eastAsia"/>
              </w:rPr>
              <w:t>其中：债券</w:t>
            </w:r>
          </w:p>
        </w:tc>
        <w:tc>
          <w:tcPr>
            <w:tcW w:w="2496" w:type="dxa"/>
            <w:tcBorders>
              <w:top w:val="single" w:sz="8" w:space="0" w:color="000000"/>
              <w:left w:val="single" w:sz="8" w:space="0" w:color="000000"/>
              <w:bottom w:val="single" w:sz="6" w:space="0" w:color="000000"/>
              <w:right w:val="single" w:sz="8" w:space="0" w:color="000000"/>
            </w:tcBorders>
            <w:vAlign w:val="center"/>
          </w:tcPr>
          <w:p w14:paraId="11364BE1" w14:textId="5B987E55" w:rsidR="00566744" w:rsidRDefault="00000000">
            <w:pPr>
              <w:pStyle w:val="biaogeright"/>
              <w:wordWrap w:val="0"/>
              <w:rPr>
                <w:rFonts w:hint="eastAsia"/>
              </w:rPr>
            </w:pPr>
            <w:r>
              <w:rPr>
                <w:rFonts w:hAnsi="Calibri"/>
                <w:color w:val="000000"/>
              </w:rPr>
              <w:t>6,337,889,033.86</w:t>
            </w:r>
          </w:p>
        </w:tc>
        <w:tc>
          <w:tcPr>
            <w:tcW w:w="2142" w:type="dxa"/>
            <w:tcBorders>
              <w:top w:val="single" w:sz="8" w:space="0" w:color="000000"/>
              <w:left w:val="single" w:sz="8" w:space="0" w:color="000000"/>
              <w:bottom w:val="single" w:sz="6" w:space="0" w:color="000000"/>
              <w:right w:val="single" w:sz="8" w:space="0" w:color="000000"/>
            </w:tcBorders>
            <w:vAlign w:val="center"/>
          </w:tcPr>
          <w:p w14:paraId="6B09C0EA" w14:textId="043357A0" w:rsidR="00566744" w:rsidRDefault="00000000">
            <w:pPr>
              <w:pStyle w:val="biaogeright"/>
              <w:wordWrap w:val="0"/>
              <w:rPr>
                <w:rFonts w:hint="eastAsia"/>
              </w:rPr>
            </w:pPr>
            <w:r>
              <w:rPr>
                <w:rFonts w:hAnsi="Calibri"/>
                <w:color w:val="000000"/>
              </w:rPr>
              <w:t>60.88</w:t>
            </w:r>
          </w:p>
        </w:tc>
      </w:tr>
      <w:tr w:rsidR="00566744" w14:paraId="7420EDFC" w14:textId="77777777">
        <w:tc>
          <w:tcPr>
            <w:tcW w:w="992" w:type="dxa"/>
            <w:tcBorders>
              <w:top w:val="single" w:sz="8" w:space="0" w:color="000000"/>
              <w:left w:val="single" w:sz="8" w:space="0" w:color="000000"/>
              <w:bottom w:val="single" w:sz="6" w:space="0" w:color="000000"/>
              <w:right w:val="single" w:sz="8" w:space="0" w:color="000000"/>
            </w:tcBorders>
            <w:vAlign w:val="center"/>
          </w:tcPr>
          <w:p w14:paraId="1A762202" w14:textId="77777777" w:rsidR="00566744" w:rsidRDefault="00566744">
            <w:pPr>
              <w:rPr>
                <w:rFonts w:ascii="宋体" w:hAnsi="宋体" w:cs="宋体" w:hint="eastAsia"/>
                <w:kern w:val="0"/>
                <w:sz w:val="24"/>
              </w:rPr>
            </w:pPr>
          </w:p>
        </w:tc>
        <w:tc>
          <w:tcPr>
            <w:tcW w:w="3568" w:type="dxa"/>
            <w:tcBorders>
              <w:top w:val="single" w:sz="8" w:space="0" w:color="000000"/>
              <w:left w:val="single" w:sz="8" w:space="0" w:color="000000"/>
              <w:bottom w:val="single" w:sz="6" w:space="0" w:color="000000"/>
              <w:right w:val="single" w:sz="8" w:space="0" w:color="000000"/>
            </w:tcBorders>
            <w:vAlign w:val="center"/>
          </w:tcPr>
          <w:p w14:paraId="4103540F" w14:textId="77777777" w:rsidR="00566744" w:rsidRDefault="00000000">
            <w:pPr>
              <w:pStyle w:val="biaogeleft"/>
              <w:wordWrap w:val="0"/>
              <w:ind w:left="750"/>
              <w:rPr>
                <w:rFonts w:hint="eastAsia"/>
              </w:rPr>
            </w:pPr>
            <w:r>
              <w:rPr>
                <w:rFonts w:hint="eastAsia"/>
              </w:rPr>
              <w:t>资产支持证券</w:t>
            </w:r>
          </w:p>
        </w:tc>
        <w:tc>
          <w:tcPr>
            <w:tcW w:w="2496" w:type="dxa"/>
            <w:tcBorders>
              <w:top w:val="single" w:sz="8" w:space="0" w:color="000000"/>
              <w:left w:val="single" w:sz="8" w:space="0" w:color="000000"/>
              <w:bottom w:val="single" w:sz="6" w:space="0" w:color="000000"/>
              <w:right w:val="single" w:sz="8" w:space="0" w:color="000000"/>
            </w:tcBorders>
            <w:vAlign w:val="center"/>
          </w:tcPr>
          <w:p w14:paraId="37BC992B" w14:textId="40B5594F" w:rsidR="00566744" w:rsidRDefault="00000000">
            <w:pPr>
              <w:pStyle w:val="biaogeright"/>
              <w:wordWrap w:val="0"/>
              <w:rPr>
                <w:rFonts w:hint="eastAsia"/>
              </w:rPr>
            </w:pPr>
            <w:r>
              <w:rPr>
                <w:rFonts w:hAnsi="Calibri"/>
                <w:color w:val="000000"/>
              </w:rPr>
              <w:t>-</w:t>
            </w:r>
          </w:p>
        </w:tc>
        <w:tc>
          <w:tcPr>
            <w:tcW w:w="2142" w:type="dxa"/>
            <w:tcBorders>
              <w:top w:val="single" w:sz="8" w:space="0" w:color="000000"/>
              <w:left w:val="single" w:sz="8" w:space="0" w:color="000000"/>
              <w:bottom w:val="single" w:sz="6" w:space="0" w:color="000000"/>
              <w:right w:val="single" w:sz="8" w:space="0" w:color="000000"/>
            </w:tcBorders>
            <w:vAlign w:val="center"/>
          </w:tcPr>
          <w:p w14:paraId="594CD8AB" w14:textId="083010C8" w:rsidR="00566744" w:rsidRDefault="00000000">
            <w:pPr>
              <w:pStyle w:val="biaogeright"/>
              <w:wordWrap w:val="0"/>
              <w:rPr>
                <w:rFonts w:hint="eastAsia"/>
              </w:rPr>
            </w:pPr>
            <w:r>
              <w:rPr>
                <w:rFonts w:hAnsi="Calibri"/>
                <w:color w:val="000000"/>
              </w:rPr>
              <w:t>-</w:t>
            </w:r>
          </w:p>
        </w:tc>
      </w:tr>
      <w:tr w:rsidR="00566744" w14:paraId="02E113EA" w14:textId="77777777">
        <w:tc>
          <w:tcPr>
            <w:tcW w:w="992" w:type="dxa"/>
            <w:tcBorders>
              <w:top w:val="single" w:sz="8" w:space="0" w:color="000000"/>
              <w:left w:val="single" w:sz="8" w:space="0" w:color="000000"/>
              <w:bottom w:val="single" w:sz="6" w:space="0" w:color="000000"/>
              <w:right w:val="single" w:sz="8" w:space="0" w:color="000000"/>
            </w:tcBorders>
            <w:vAlign w:val="center"/>
          </w:tcPr>
          <w:p w14:paraId="2E56E2E5" w14:textId="77777777" w:rsidR="00566744" w:rsidRDefault="00000000">
            <w:pPr>
              <w:pStyle w:val="biaogecenter"/>
              <w:wordWrap w:val="0"/>
              <w:rPr>
                <w:rFonts w:hint="eastAsia"/>
              </w:rPr>
            </w:pPr>
            <w:r>
              <w:rPr>
                <w:rFonts w:hAnsi="Calibri" w:hint="eastAsia"/>
                <w:color w:val="000000"/>
              </w:rPr>
              <w:t>2</w:t>
            </w:r>
          </w:p>
        </w:tc>
        <w:tc>
          <w:tcPr>
            <w:tcW w:w="3568" w:type="dxa"/>
            <w:tcBorders>
              <w:top w:val="single" w:sz="8" w:space="0" w:color="000000"/>
              <w:left w:val="single" w:sz="8" w:space="0" w:color="000000"/>
              <w:bottom w:val="single" w:sz="6" w:space="0" w:color="000000"/>
              <w:right w:val="single" w:sz="8" w:space="0" w:color="000000"/>
            </w:tcBorders>
            <w:vAlign w:val="center"/>
          </w:tcPr>
          <w:p w14:paraId="564B38E4" w14:textId="77777777" w:rsidR="00566744" w:rsidRDefault="00000000">
            <w:pPr>
              <w:pStyle w:val="biaogeleft"/>
              <w:wordWrap w:val="0"/>
              <w:rPr>
                <w:rFonts w:hint="eastAsia"/>
              </w:rPr>
            </w:pPr>
            <w:r>
              <w:rPr>
                <w:rFonts w:hint="eastAsia"/>
              </w:rPr>
              <w:t>买入返售金融资产</w:t>
            </w:r>
          </w:p>
        </w:tc>
        <w:tc>
          <w:tcPr>
            <w:tcW w:w="2496" w:type="dxa"/>
            <w:tcBorders>
              <w:top w:val="single" w:sz="8" w:space="0" w:color="000000"/>
              <w:left w:val="single" w:sz="8" w:space="0" w:color="000000"/>
              <w:bottom w:val="single" w:sz="6" w:space="0" w:color="000000"/>
              <w:right w:val="single" w:sz="8" w:space="0" w:color="000000"/>
            </w:tcBorders>
            <w:vAlign w:val="center"/>
          </w:tcPr>
          <w:p w14:paraId="1ED26A88" w14:textId="37007D68" w:rsidR="00566744" w:rsidRDefault="00000000">
            <w:pPr>
              <w:pStyle w:val="biaogeright"/>
              <w:wordWrap w:val="0"/>
              <w:rPr>
                <w:rFonts w:hint="eastAsia"/>
              </w:rPr>
            </w:pPr>
            <w:r>
              <w:rPr>
                <w:rFonts w:hAnsi="Calibri"/>
                <w:color w:val="000000"/>
              </w:rPr>
              <w:t>3,148,082,858.00</w:t>
            </w:r>
          </w:p>
        </w:tc>
        <w:tc>
          <w:tcPr>
            <w:tcW w:w="2142" w:type="dxa"/>
            <w:tcBorders>
              <w:top w:val="single" w:sz="8" w:space="0" w:color="000000"/>
              <w:left w:val="single" w:sz="8" w:space="0" w:color="000000"/>
              <w:bottom w:val="single" w:sz="6" w:space="0" w:color="000000"/>
              <w:right w:val="single" w:sz="8" w:space="0" w:color="000000"/>
            </w:tcBorders>
            <w:vAlign w:val="center"/>
          </w:tcPr>
          <w:p w14:paraId="094DA5DF" w14:textId="28D7D3D4" w:rsidR="00566744" w:rsidRDefault="00000000">
            <w:pPr>
              <w:pStyle w:val="biaogeright"/>
              <w:wordWrap w:val="0"/>
              <w:rPr>
                <w:rFonts w:hint="eastAsia"/>
              </w:rPr>
            </w:pPr>
            <w:r>
              <w:rPr>
                <w:rFonts w:hAnsi="Calibri"/>
                <w:color w:val="000000"/>
              </w:rPr>
              <w:t>30.24</w:t>
            </w:r>
          </w:p>
        </w:tc>
      </w:tr>
      <w:tr w:rsidR="00566744" w14:paraId="010F7FA5" w14:textId="77777777">
        <w:tc>
          <w:tcPr>
            <w:tcW w:w="992" w:type="dxa"/>
            <w:tcBorders>
              <w:top w:val="single" w:sz="8" w:space="0" w:color="000000"/>
              <w:left w:val="single" w:sz="8" w:space="0" w:color="000000"/>
              <w:bottom w:val="single" w:sz="6" w:space="0" w:color="000000"/>
              <w:right w:val="single" w:sz="8" w:space="0" w:color="000000"/>
            </w:tcBorders>
            <w:vAlign w:val="center"/>
          </w:tcPr>
          <w:p w14:paraId="0FC59874" w14:textId="77777777" w:rsidR="00566744" w:rsidRDefault="00566744">
            <w:pPr>
              <w:rPr>
                <w:rFonts w:ascii="宋体" w:hAnsi="宋体" w:cs="宋体" w:hint="eastAsia"/>
                <w:kern w:val="0"/>
                <w:sz w:val="24"/>
              </w:rPr>
            </w:pPr>
          </w:p>
        </w:tc>
        <w:tc>
          <w:tcPr>
            <w:tcW w:w="3568" w:type="dxa"/>
            <w:tcBorders>
              <w:top w:val="single" w:sz="8" w:space="0" w:color="000000"/>
              <w:left w:val="single" w:sz="8" w:space="0" w:color="000000"/>
              <w:bottom w:val="single" w:sz="6" w:space="0" w:color="000000"/>
              <w:right w:val="single" w:sz="8" w:space="0" w:color="000000"/>
            </w:tcBorders>
            <w:vAlign w:val="center"/>
          </w:tcPr>
          <w:p w14:paraId="2A766692" w14:textId="77777777" w:rsidR="00566744" w:rsidRDefault="00000000">
            <w:pPr>
              <w:pStyle w:val="biaogeleft"/>
              <w:wordWrap w:val="0"/>
              <w:rPr>
                <w:rFonts w:hint="eastAsia"/>
              </w:rPr>
            </w:pPr>
            <w:r>
              <w:rPr>
                <w:rFonts w:hint="eastAsia"/>
              </w:rPr>
              <w:t>其中：买断式回购的买入返售金融资产</w:t>
            </w:r>
          </w:p>
        </w:tc>
        <w:tc>
          <w:tcPr>
            <w:tcW w:w="2496" w:type="dxa"/>
            <w:tcBorders>
              <w:top w:val="single" w:sz="8" w:space="0" w:color="000000"/>
              <w:left w:val="single" w:sz="8" w:space="0" w:color="000000"/>
              <w:bottom w:val="single" w:sz="6" w:space="0" w:color="000000"/>
              <w:right w:val="single" w:sz="8" w:space="0" w:color="000000"/>
            </w:tcBorders>
            <w:vAlign w:val="center"/>
          </w:tcPr>
          <w:p w14:paraId="1B49C403" w14:textId="7AE625B5" w:rsidR="00566744" w:rsidRDefault="00000000">
            <w:pPr>
              <w:pStyle w:val="biaogeright"/>
              <w:wordWrap w:val="0"/>
              <w:rPr>
                <w:rFonts w:hint="eastAsia"/>
              </w:rPr>
            </w:pPr>
            <w:r>
              <w:rPr>
                <w:rFonts w:hAnsi="Calibri"/>
                <w:color w:val="000000"/>
              </w:rPr>
              <w:t>-</w:t>
            </w:r>
          </w:p>
        </w:tc>
        <w:tc>
          <w:tcPr>
            <w:tcW w:w="2142" w:type="dxa"/>
            <w:tcBorders>
              <w:top w:val="single" w:sz="8" w:space="0" w:color="000000"/>
              <w:left w:val="single" w:sz="8" w:space="0" w:color="000000"/>
              <w:bottom w:val="single" w:sz="6" w:space="0" w:color="000000"/>
              <w:right w:val="single" w:sz="8" w:space="0" w:color="000000"/>
            </w:tcBorders>
            <w:vAlign w:val="center"/>
          </w:tcPr>
          <w:p w14:paraId="77F159D0" w14:textId="6A418BB5" w:rsidR="00566744" w:rsidRDefault="00000000">
            <w:pPr>
              <w:pStyle w:val="biaogeright"/>
              <w:wordWrap w:val="0"/>
              <w:rPr>
                <w:rFonts w:hint="eastAsia"/>
              </w:rPr>
            </w:pPr>
            <w:r>
              <w:rPr>
                <w:rFonts w:hAnsi="Calibri"/>
                <w:color w:val="000000"/>
              </w:rPr>
              <w:t>-</w:t>
            </w:r>
          </w:p>
        </w:tc>
      </w:tr>
      <w:tr w:rsidR="00566744" w14:paraId="2E957822" w14:textId="77777777">
        <w:tc>
          <w:tcPr>
            <w:tcW w:w="992" w:type="dxa"/>
            <w:tcBorders>
              <w:top w:val="single" w:sz="8" w:space="0" w:color="000000"/>
              <w:left w:val="single" w:sz="8" w:space="0" w:color="000000"/>
              <w:bottom w:val="single" w:sz="6" w:space="0" w:color="000000"/>
              <w:right w:val="single" w:sz="8" w:space="0" w:color="000000"/>
            </w:tcBorders>
            <w:vAlign w:val="center"/>
          </w:tcPr>
          <w:p w14:paraId="4AA092D1" w14:textId="77777777" w:rsidR="00566744" w:rsidRDefault="00000000">
            <w:pPr>
              <w:pStyle w:val="biaogecenter"/>
              <w:wordWrap w:val="0"/>
              <w:rPr>
                <w:rFonts w:hint="eastAsia"/>
              </w:rPr>
            </w:pPr>
            <w:r>
              <w:rPr>
                <w:rFonts w:hAnsi="Calibri" w:hint="eastAsia"/>
                <w:color w:val="000000"/>
              </w:rPr>
              <w:lastRenderedPageBreak/>
              <w:t>3</w:t>
            </w:r>
          </w:p>
        </w:tc>
        <w:tc>
          <w:tcPr>
            <w:tcW w:w="3568" w:type="dxa"/>
            <w:tcBorders>
              <w:top w:val="single" w:sz="8" w:space="0" w:color="000000"/>
              <w:left w:val="single" w:sz="8" w:space="0" w:color="000000"/>
              <w:bottom w:val="single" w:sz="6" w:space="0" w:color="000000"/>
              <w:right w:val="single" w:sz="8" w:space="0" w:color="000000"/>
            </w:tcBorders>
            <w:vAlign w:val="center"/>
          </w:tcPr>
          <w:p w14:paraId="0D2D2669" w14:textId="77777777" w:rsidR="00566744" w:rsidRDefault="00000000">
            <w:pPr>
              <w:pStyle w:val="biaogeleft"/>
              <w:wordWrap w:val="0"/>
              <w:rPr>
                <w:rFonts w:hint="eastAsia"/>
              </w:rPr>
            </w:pPr>
            <w:r>
              <w:rPr>
                <w:rFonts w:hint="eastAsia"/>
              </w:rPr>
              <w:t>银行存款和结算备付金合计</w:t>
            </w:r>
          </w:p>
        </w:tc>
        <w:tc>
          <w:tcPr>
            <w:tcW w:w="2496" w:type="dxa"/>
            <w:tcBorders>
              <w:top w:val="single" w:sz="8" w:space="0" w:color="000000"/>
              <w:left w:val="single" w:sz="8" w:space="0" w:color="000000"/>
              <w:bottom w:val="single" w:sz="6" w:space="0" w:color="000000"/>
              <w:right w:val="single" w:sz="8" w:space="0" w:color="000000"/>
            </w:tcBorders>
            <w:vAlign w:val="center"/>
          </w:tcPr>
          <w:p w14:paraId="182737DB" w14:textId="6F99A1CD" w:rsidR="00566744" w:rsidRDefault="00000000">
            <w:pPr>
              <w:pStyle w:val="biaogeright"/>
              <w:wordWrap w:val="0"/>
              <w:rPr>
                <w:rFonts w:hint="eastAsia"/>
              </w:rPr>
            </w:pPr>
            <w:r>
              <w:rPr>
                <w:rFonts w:hAnsi="Calibri"/>
                <w:color w:val="000000"/>
              </w:rPr>
              <w:t>924,729,278.23</w:t>
            </w:r>
          </w:p>
        </w:tc>
        <w:tc>
          <w:tcPr>
            <w:tcW w:w="2142" w:type="dxa"/>
            <w:tcBorders>
              <w:top w:val="single" w:sz="8" w:space="0" w:color="000000"/>
              <w:left w:val="single" w:sz="8" w:space="0" w:color="000000"/>
              <w:bottom w:val="single" w:sz="6" w:space="0" w:color="000000"/>
              <w:right w:val="single" w:sz="8" w:space="0" w:color="000000"/>
            </w:tcBorders>
            <w:vAlign w:val="center"/>
          </w:tcPr>
          <w:p w14:paraId="33967865" w14:textId="73E129C2" w:rsidR="00566744" w:rsidRDefault="00000000">
            <w:pPr>
              <w:pStyle w:val="biaogeright"/>
              <w:wordWrap w:val="0"/>
              <w:rPr>
                <w:rFonts w:hint="eastAsia"/>
              </w:rPr>
            </w:pPr>
            <w:r>
              <w:rPr>
                <w:rFonts w:hAnsi="Calibri"/>
                <w:color w:val="000000"/>
              </w:rPr>
              <w:t>8.88</w:t>
            </w:r>
          </w:p>
        </w:tc>
      </w:tr>
      <w:tr w:rsidR="00566744" w14:paraId="23F5495F" w14:textId="77777777">
        <w:tc>
          <w:tcPr>
            <w:tcW w:w="992" w:type="dxa"/>
            <w:tcBorders>
              <w:top w:val="single" w:sz="8" w:space="0" w:color="000000"/>
              <w:left w:val="single" w:sz="8" w:space="0" w:color="000000"/>
              <w:bottom w:val="single" w:sz="6" w:space="0" w:color="000000"/>
              <w:right w:val="single" w:sz="8" w:space="0" w:color="000000"/>
            </w:tcBorders>
            <w:vAlign w:val="center"/>
          </w:tcPr>
          <w:p w14:paraId="372E8818" w14:textId="77777777" w:rsidR="00566744" w:rsidRDefault="00000000">
            <w:pPr>
              <w:pStyle w:val="biaogecenter"/>
              <w:wordWrap w:val="0"/>
              <w:rPr>
                <w:rFonts w:hint="eastAsia"/>
              </w:rPr>
            </w:pPr>
            <w:r>
              <w:rPr>
                <w:rFonts w:hint="eastAsia"/>
              </w:rPr>
              <w:t>4</w:t>
            </w:r>
          </w:p>
        </w:tc>
        <w:tc>
          <w:tcPr>
            <w:tcW w:w="3568" w:type="dxa"/>
            <w:tcBorders>
              <w:top w:val="single" w:sz="8" w:space="0" w:color="000000"/>
              <w:left w:val="single" w:sz="8" w:space="0" w:color="000000"/>
              <w:bottom w:val="single" w:sz="6" w:space="0" w:color="000000"/>
              <w:right w:val="single" w:sz="8" w:space="0" w:color="000000"/>
            </w:tcBorders>
            <w:vAlign w:val="center"/>
          </w:tcPr>
          <w:p w14:paraId="0F27CF19" w14:textId="77777777" w:rsidR="00566744" w:rsidRDefault="00000000">
            <w:pPr>
              <w:pStyle w:val="biaogeleft"/>
              <w:wordWrap w:val="0"/>
              <w:rPr>
                <w:rFonts w:hint="eastAsia"/>
              </w:rPr>
            </w:pPr>
            <w:r>
              <w:rPr>
                <w:rFonts w:hint="eastAsia"/>
              </w:rPr>
              <w:t>其他资产</w:t>
            </w:r>
          </w:p>
        </w:tc>
        <w:tc>
          <w:tcPr>
            <w:tcW w:w="2496" w:type="dxa"/>
            <w:tcBorders>
              <w:top w:val="single" w:sz="8" w:space="0" w:color="000000"/>
              <w:left w:val="single" w:sz="8" w:space="0" w:color="000000"/>
              <w:bottom w:val="single" w:sz="6" w:space="0" w:color="000000"/>
              <w:right w:val="single" w:sz="8" w:space="0" w:color="000000"/>
            </w:tcBorders>
            <w:vAlign w:val="center"/>
          </w:tcPr>
          <w:p w14:paraId="0540A569" w14:textId="200BF416" w:rsidR="00566744" w:rsidRDefault="00000000">
            <w:pPr>
              <w:pStyle w:val="biaogeright"/>
              <w:wordWrap w:val="0"/>
              <w:rPr>
                <w:rFonts w:hint="eastAsia"/>
              </w:rPr>
            </w:pPr>
            <w:r>
              <w:rPr>
                <w:rFonts w:hAnsi="Calibri"/>
                <w:color w:val="000000"/>
              </w:rPr>
              <w:t>7,834.39</w:t>
            </w:r>
          </w:p>
        </w:tc>
        <w:tc>
          <w:tcPr>
            <w:tcW w:w="2142" w:type="dxa"/>
            <w:tcBorders>
              <w:top w:val="single" w:sz="8" w:space="0" w:color="000000"/>
              <w:left w:val="single" w:sz="8" w:space="0" w:color="000000"/>
              <w:bottom w:val="single" w:sz="6" w:space="0" w:color="000000"/>
              <w:right w:val="single" w:sz="8" w:space="0" w:color="000000"/>
            </w:tcBorders>
            <w:vAlign w:val="center"/>
          </w:tcPr>
          <w:p w14:paraId="1C1670E2" w14:textId="059FA62B" w:rsidR="00566744" w:rsidRDefault="00000000">
            <w:pPr>
              <w:pStyle w:val="biaogeright"/>
              <w:wordWrap w:val="0"/>
              <w:rPr>
                <w:rFonts w:hint="eastAsia"/>
              </w:rPr>
            </w:pPr>
            <w:r>
              <w:rPr>
                <w:rFonts w:hAnsi="Calibri"/>
                <w:color w:val="000000"/>
              </w:rPr>
              <w:t>0.00</w:t>
            </w:r>
          </w:p>
        </w:tc>
      </w:tr>
      <w:tr w:rsidR="00566744" w14:paraId="53B5895D" w14:textId="77777777">
        <w:tc>
          <w:tcPr>
            <w:tcW w:w="992" w:type="dxa"/>
            <w:tcBorders>
              <w:top w:val="single" w:sz="8" w:space="0" w:color="000000"/>
              <w:left w:val="single" w:sz="8" w:space="0" w:color="000000"/>
              <w:bottom w:val="single" w:sz="6" w:space="0" w:color="000000"/>
              <w:right w:val="single" w:sz="8" w:space="0" w:color="000000"/>
            </w:tcBorders>
            <w:vAlign w:val="center"/>
          </w:tcPr>
          <w:p w14:paraId="140C8EFE" w14:textId="77777777" w:rsidR="00566744" w:rsidRDefault="00000000">
            <w:pPr>
              <w:pStyle w:val="biaogecenter"/>
              <w:wordWrap w:val="0"/>
              <w:rPr>
                <w:rFonts w:hint="eastAsia"/>
              </w:rPr>
            </w:pPr>
            <w:r>
              <w:rPr>
                <w:rFonts w:hint="eastAsia"/>
              </w:rPr>
              <w:t>5</w:t>
            </w:r>
          </w:p>
        </w:tc>
        <w:tc>
          <w:tcPr>
            <w:tcW w:w="3568" w:type="dxa"/>
            <w:tcBorders>
              <w:top w:val="single" w:sz="8" w:space="0" w:color="000000"/>
              <w:left w:val="single" w:sz="8" w:space="0" w:color="000000"/>
              <w:bottom w:val="single" w:sz="6" w:space="0" w:color="000000"/>
              <w:right w:val="single" w:sz="8" w:space="0" w:color="000000"/>
            </w:tcBorders>
            <w:vAlign w:val="center"/>
          </w:tcPr>
          <w:p w14:paraId="40D652B5" w14:textId="77777777" w:rsidR="00566744" w:rsidRDefault="00000000">
            <w:pPr>
              <w:pStyle w:val="biaogecenter"/>
              <w:wordWrap w:val="0"/>
              <w:rPr>
                <w:rFonts w:hint="eastAsia"/>
              </w:rPr>
            </w:pPr>
            <w:r>
              <w:rPr>
                <w:rFonts w:hint="eastAsia"/>
              </w:rPr>
              <w:t>合计</w:t>
            </w:r>
          </w:p>
        </w:tc>
        <w:tc>
          <w:tcPr>
            <w:tcW w:w="2496" w:type="dxa"/>
            <w:tcBorders>
              <w:top w:val="single" w:sz="8" w:space="0" w:color="000000"/>
              <w:left w:val="single" w:sz="8" w:space="0" w:color="000000"/>
              <w:bottom w:val="single" w:sz="6" w:space="0" w:color="000000"/>
              <w:right w:val="single" w:sz="8" w:space="0" w:color="000000"/>
            </w:tcBorders>
            <w:vAlign w:val="center"/>
          </w:tcPr>
          <w:p w14:paraId="792FB893" w14:textId="58B67F9C" w:rsidR="00566744" w:rsidRDefault="00000000">
            <w:pPr>
              <w:pStyle w:val="biaogeright"/>
              <w:wordWrap w:val="0"/>
              <w:rPr>
                <w:rFonts w:hint="eastAsia"/>
              </w:rPr>
            </w:pPr>
            <w:r>
              <w:rPr>
                <w:rFonts w:hAnsi="Calibri"/>
                <w:color w:val="000000"/>
              </w:rPr>
              <w:t>10,410,709,004.48</w:t>
            </w:r>
          </w:p>
        </w:tc>
        <w:tc>
          <w:tcPr>
            <w:tcW w:w="2142" w:type="dxa"/>
            <w:tcBorders>
              <w:top w:val="single" w:sz="8" w:space="0" w:color="000000"/>
              <w:left w:val="single" w:sz="8" w:space="0" w:color="000000"/>
              <w:bottom w:val="single" w:sz="6" w:space="0" w:color="000000"/>
              <w:right w:val="single" w:sz="8" w:space="0" w:color="000000"/>
            </w:tcBorders>
            <w:vAlign w:val="center"/>
          </w:tcPr>
          <w:p w14:paraId="36C8E2E7" w14:textId="6C4A6227" w:rsidR="00566744" w:rsidRDefault="00000000">
            <w:pPr>
              <w:pStyle w:val="biaogeright"/>
              <w:wordWrap w:val="0"/>
              <w:rPr>
                <w:rFonts w:hint="eastAsia"/>
              </w:rPr>
            </w:pPr>
            <w:r>
              <w:rPr>
                <w:rFonts w:hAnsi="Calibri"/>
                <w:color w:val="000000"/>
              </w:rPr>
              <w:t>100.00</w:t>
            </w:r>
          </w:p>
        </w:tc>
      </w:tr>
    </w:tbl>
    <w:p w14:paraId="76639FA1" w14:textId="77777777" w:rsidR="00566744" w:rsidRDefault="00566744">
      <w:pPr>
        <w:spacing w:line="360" w:lineRule="auto"/>
        <w:ind w:firstLineChars="177" w:firstLine="425"/>
        <w:rPr>
          <w:rFonts w:ascii="宋体" w:hAnsi="宋体" w:hint="eastAsia"/>
          <w:sz w:val="24"/>
        </w:rPr>
      </w:pPr>
    </w:p>
    <w:p w14:paraId="66EFE470" w14:textId="77777777" w:rsidR="00566744" w:rsidRDefault="00000000">
      <w:pPr>
        <w:spacing w:line="360" w:lineRule="auto"/>
        <w:ind w:firstLineChars="177" w:firstLine="425"/>
        <w:rPr>
          <w:rFonts w:asciiTheme="minorEastAsia" w:eastAsiaTheme="minorEastAsia" w:hAnsiTheme="minorEastAsia" w:hint="eastAsia"/>
          <w:sz w:val="24"/>
        </w:rPr>
      </w:pPr>
      <w:r>
        <w:rPr>
          <w:rFonts w:asciiTheme="minorEastAsia" w:eastAsiaTheme="minorEastAsia" w:hAnsiTheme="minorEastAsia"/>
          <w:sz w:val="24"/>
        </w:rPr>
        <w:t>2</w:t>
      </w:r>
      <w:r>
        <w:rPr>
          <w:rFonts w:asciiTheme="minorEastAsia" w:eastAsiaTheme="minorEastAsia" w:hAnsiTheme="minorEastAsia" w:hint="eastAsia"/>
          <w:sz w:val="24"/>
        </w:rPr>
        <w:t>、报告期债券回购融资情况</w:t>
      </w:r>
    </w:p>
    <w:tbl>
      <w:tblPr>
        <w:tblW w:w="9777" w:type="dxa"/>
        <w:tblInd w:w="-34" w:type="dxa"/>
        <w:tblLook w:val="04A0" w:firstRow="1" w:lastRow="0" w:firstColumn="1" w:lastColumn="0" w:noHBand="0" w:noVBand="1"/>
      </w:tblPr>
      <w:tblGrid>
        <w:gridCol w:w="723"/>
        <w:gridCol w:w="3162"/>
        <w:gridCol w:w="4056"/>
        <w:gridCol w:w="1836"/>
      </w:tblGrid>
      <w:tr w:rsidR="00566744" w14:paraId="6295304D" w14:textId="77777777">
        <w:tc>
          <w:tcPr>
            <w:tcW w:w="723" w:type="dxa"/>
            <w:tcBorders>
              <w:top w:val="single" w:sz="8" w:space="0" w:color="000000"/>
              <w:left w:val="single" w:sz="8" w:space="0" w:color="000000"/>
              <w:bottom w:val="single" w:sz="6" w:space="0" w:color="000000"/>
              <w:right w:val="single" w:sz="8" w:space="0" w:color="000000"/>
            </w:tcBorders>
            <w:vAlign w:val="center"/>
          </w:tcPr>
          <w:p w14:paraId="1C1B8DC2" w14:textId="77777777" w:rsidR="00566744" w:rsidRDefault="00000000">
            <w:pPr>
              <w:pStyle w:val="biaogecenter"/>
              <w:wordWrap w:val="0"/>
              <w:rPr>
                <w:rFonts w:hint="eastAsia"/>
              </w:rPr>
            </w:pPr>
            <w:r>
              <w:rPr>
                <w:rFonts w:hint="eastAsia"/>
              </w:rPr>
              <w:t>序号</w:t>
            </w:r>
          </w:p>
        </w:tc>
        <w:tc>
          <w:tcPr>
            <w:tcW w:w="3162" w:type="dxa"/>
            <w:tcBorders>
              <w:top w:val="single" w:sz="8" w:space="0" w:color="000000"/>
              <w:left w:val="single" w:sz="8" w:space="0" w:color="000000"/>
              <w:bottom w:val="single" w:sz="6" w:space="0" w:color="000000"/>
              <w:right w:val="single" w:sz="8" w:space="0" w:color="000000"/>
            </w:tcBorders>
            <w:vAlign w:val="center"/>
          </w:tcPr>
          <w:p w14:paraId="681A029F" w14:textId="77777777" w:rsidR="00566744" w:rsidRDefault="00000000">
            <w:pPr>
              <w:pStyle w:val="biaogecenter"/>
              <w:wordWrap w:val="0"/>
              <w:rPr>
                <w:rFonts w:hint="eastAsia"/>
              </w:rPr>
            </w:pPr>
            <w:r>
              <w:rPr>
                <w:rFonts w:hint="eastAsia"/>
              </w:rPr>
              <w:t>项目</w:t>
            </w:r>
          </w:p>
        </w:tc>
        <w:tc>
          <w:tcPr>
            <w:tcW w:w="4056" w:type="dxa"/>
            <w:tcBorders>
              <w:top w:val="single" w:sz="8" w:space="0" w:color="000000"/>
              <w:left w:val="single" w:sz="8" w:space="0" w:color="000000"/>
              <w:bottom w:val="single" w:sz="6" w:space="0" w:color="000000"/>
              <w:right w:val="single" w:sz="8" w:space="0" w:color="000000"/>
            </w:tcBorders>
            <w:vAlign w:val="center"/>
          </w:tcPr>
          <w:p w14:paraId="48E381FA" w14:textId="77777777" w:rsidR="00566744" w:rsidRDefault="00000000">
            <w:pPr>
              <w:pStyle w:val="biaogecenter"/>
              <w:wordWrap w:val="0"/>
              <w:rPr>
                <w:rFonts w:hAnsi="Calibri"/>
                <w:color w:val="000000"/>
              </w:rPr>
            </w:pPr>
            <w:r>
              <w:rPr>
                <w:rFonts w:hAnsi="Calibri" w:hint="eastAsia"/>
                <w:color w:val="000000"/>
              </w:rPr>
              <w:t>金额(元)</w:t>
            </w:r>
          </w:p>
        </w:tc>
        <w:tc>
          <w:tcPr>
            <w:tcW w:w="1836" w:type="dxa"/>
            <w:tcBorders>
              <w:top w:val="single" w:sz="8" w:space="0" w:color="000000"/>
              <w:left w:val="single" w:sz="8" w:space="0" w:color="000000"/>
              <w:bottom w:val="single" w:sz="6" w:space="0" w:color="000000"/>
              <w:right w:val="single" w:sz="8" w:space="0" w:color="000000"/>
            </w:tcBorders>
            <w:vAlign w:val="center"/>
          </w:tcPr>
          <w:p w14:paraId="5AFE2318" w14:textId="77777777" w:rsidR="00566744" w:rsidRDefault="00000000">
            <w:pPr>
              <w:pStyle w:val="biaogecenter"/>
              <w:wordWrap w:val="0"/>
              <w:rPr>
                <w:rFonts w:hAnsi="Calibri"/>
                <w:color w:val="000000"/>
              </w:rPr>
            </w:pPr>
            <w:r>
              <w:rPr>
                <w:rFonts w:hAnsi="Calibri" w:hint="eastAsia"/>
                <w:color w:val="000000"/>
              </w:rPr>
              <w:t>占基金资产净值比例（％）</w:t>
            </w:r>
          </w:p>
        </w:tc>
      </w:tr>
      <w:tr w:rsidR="00566744" w14:paraId="2E23B7B7" w14:textId="77777777">
        <w:tc>
          <w:tcPr>
            <w:tcW w:w="723" w:type="dxa"/>
            <w:tcBorders>
              <w:top w:val="single" w:sz="8" w:space="0" w:color="000000"/>
              <w:left w:val="single" w:sz="8" w:space="0" w:color="000000"/>
              <w:bottom w:val="single" w:sz="6" w:space="0" w:color="000000"/>
              <w:right w:val="single" w:sz="8" w:space="0" w:color="000000"/>
            </w:tcBorders>
            <w:vAlign w:val="center"/>
          </w:tcPr>
          <w:p w14:paraId="106AD8FC" w14:textId="77777777" w:rsidR="00566744" w:rsidRDefault="00000000">
            <w:pPr>
              <w:pStyle w:val="biaogecenter"/>
              <w:wordWrap w:val="0"/>
              <w:rPr>
                <w:rFonts w:hint="eastAsia"/>
              </w:rPr>
            </w:pPr>
            <w:r>
              <w:rPr>
                <w:rFonts w:hint="eastAsia"/>
              </w:rPr>
              <w:t>1</w:t>
            </w:r>
          </w:p>
        </w:tc>
        <w:tc>
          <w:tcPr>
            <w:tcW w:w="3162" w:type="dxa"/>
            <w:tcBorders>
              <w:top w:val="single" w:sz="8" w:space="0" w:color="000000"/>
              <w:left w:val="single" w:sz="8" w:space="0" w:color="000000"/>
              <w:bottom w:val="single" w:sz="6" w:space="0" w:color="000000"/>
              <w:right w:val="single" w:sz="8" w:space="0" w:color="000000"/>
            </w:tcBorders>
            <w:vAlign w:val="center"/>
          </w:tcPr>
          <w:p w14:paraId="6E12FB4F" w14:textId="77777777" w:rsidR="00566744" w:rsidRDefault="00000000">
            <w:pPr>
              <w:pStyle w:val="biaogecenter"/>
              <w:jc w:val="both"/>
              <w:rPr>
                <w:rFonts w:hint="eastAsia"/>
              </w:rPr>
            </w:pPr>
            <w:r>
              <w:rPr>
                <w:rFonts w:hint="eastAsia"/>
              </w:rPr>
              <w:t>报告期内债券回购融资余额</w:t>
            </w:r>
          </w:p>
        </w:tc>
        <w:tc>
          <w:tcPr>
            <w:tcW w:w="4056" w:type="dxa"/>
            <w:tcBorders>
              <w:top w:val="single" w:sz="8" w:space="0" w:color="000000"/>
              <w:left w:val="single" w:sz="8" w:space="0" w:color="000000"/>
              <w:bottom w:val="single" w:sz="6" w:space="0" w:color="000000"/>
              <w:right w:val="single" w:sz="8" w:space="0" w:color="000000"/>
            </w:tcBorders>
            <w:vAlign w:val="center"/>
          </w:tcPr>
          <w:p w14:paraId="693FF5A4" w14:textId="7CA4743D" w:rsidR="00566744" w:rsidRDefault="00000000">
            <w:pPr>
              <w:pStyle w:val="biaogecenter"/>
              <w:rPr>
                <w:rFonts w:hAnsi="Calibri"/>
                <w:color w:val="000000"/>
              </w:rPr>
            </w:pPr>
            <w:r>
              <w:rPr>
                <w:rFonts w:hAnsi="Calibri"/>
                <w:color w:val="000000"/>
              </w:rPr>
              <w:t>-</w:t>
            </w:r>
          </w:p>
        </w:tc>
        <w:tc>
          <w:tcPr>
            <w:tcW w:w="1836" w:type="dxa"/>
            <w:tcBorders>
              <w:top w:val="single" w:sz="8" w:space="0" w:color="000000"/>
              <w:left w:val="single" w:sz="8" w:space="0" w:color="000000"/>
              <w:bottom w:val="single" w:sz="6" w:space="0" w:color="000000"/>
              <w:right w:val="single" w:sz="8" w:space="0" w:color="000000"/>
            </w:tcBorders>
            <w:vAlign w:val="center"/>
          </w:tcPr>
          <w:p w14:paraId="55BF7CCD" w14:textId="4C0C54F3" w:rsidR="00566744" w:rsidRDefault="00000000">
            <w:pPr>
              <w:pStyle w:val="biaogecenter"/>
              <w:rPr>
                <w:rFonts w:hAnsi="Calibri"/>
                <w:color w:val="000000"/>
              </w:rPr>
            </w:pPr>
            <w:r>
              <w:rPr>
                <w:rFonts w:hAnsi="Calibri"/>
                <w:color w:val="000000"/>
              </w:rPr>
              <w:t>1.31</w:t>
            </w:r>
          </w:p>
        </w:tc>
      </w:tr>
      <w:tr w:rsidR="00566744" w14:paraId="0662DE5B" w14:textId="77777777">
        <w:tc>
          <w:tcPr>
            <w:tcW w:w="723" w:type="dxa"/>
            <w:tcBorders>
              <w:top w:val="single" w:sz="8" w:space="0" w:color="000000"/>
              <w:left w:val="single" w:sz="8" w:space="0" w:color="000000"/>
              <w:bottom w:val="single" w:sz="6" w:space="0" w:color="000000"/>
              <w:right w:val="single" w:sz="8" w:space="0" w:color="000000"/>
            </w:tcBorders>
            <w:vAlign w:val="center"/>
          </w:tcPr>
          <w:p w14:paraId="2B4BA8E5" w14:textId="77777777" w:rsidR="00566744" w:rsidRDefault="00566744">
            <w:pPr>
              <w:pStyle w:val="biaogecenter"/>
              <w:wordWrap w:val="0"/>
              <w:rPr>
                <w:rFonts w:hint="eastAsia"/>
              </w:rPr>
            </w:pPr>
          </w:p>
        </w:tc>
        <w:tc>
          <w:tcPr>
            <w:tcW w:w="3162" w:type="dxa"/>
            <w:tcBorders>
              <w:top w:val="single" w:sz="8" w:space="0" w:color="000000"/>
              <w:left w:val="single" w:sz="8" w:space="0" w:color="000000"/>
              <w:bottom w:val="single" w:sz="6" w:space="0" w:color="000000"/>
              <w:right w:val="single" w:sz="8" w:space="0" w:color="000000"/>
            </w:tcBorders>
            <w:vAlign w:val="center"/>
          </w:tcPr>
          <w:p w14:paraId="109B22A0" w14:textId="77777777" w:rsidR="00566744" w:rsidRDefault="00000000">
            <w:pPr>
              <w:pStyle w:val="biaogecenter"/>
              <w:jc w:val="both"/>
              <w:rPr>
                <w:rFonts w:hint="eastAsia"/>
              </w:rPr>
            </w:pPr>
            <w:r>
              <w:rPr>
                <w:rFonts w:hint="eastAsia"/>
              </w:rPr>
              <w:t>其中：买断式回购融资</w:t>
            </w:r>
          </w:p>
        </w:tc>
        <w:tc>
          <w:tcPr>
            <w:tcW w:w="4056" w:type="dxa"/>
            <w:tcBorders>
              <w:top w:val="single" w:sz="8" w:space="0" w:color="000000"/>
              <w:left w:val="single" w:sz="8" w:space="0" w:color="000000"/>
              <w:bottom w:val="single" w:sz="6" w:space="0" w:color="000000"/>
              <w:right w:val="single" w:sz="8" w:space="0" w:color="000000"/>
            </w:tcBorders>
            <w:vAlign w:val="center"/>
          </w:tcPr>
          <w:p w14:paraId="2A8C07E7" w14:textId="1023D3CF" w:rsidR="00566744" w:rsidRDefault="00000000">
            <w:pPr>
              <w:pStyle w:val="biaogecenter"/>
              <w:rPr>
                <w:rFonts w:hAnsi="Calibri"/>
                <w:color w:val="000000"/>
              </w:rPr>
            </w:pPr>
            <w:r>
              <w:rPr>
                <w:rFonts w:hAnsi="Calibri"/>
                <w:color w:val="000000"/>
              </w:rPr>
              <w:t>-</w:t>
            </w:r>
          </w:p>
        </w:tc>
        <w:tc>
          <w:tcPr>
            <w:tcW w:w="1836" w:type="dxa"/>
            <w:tcBorders>
              <w:top w:val="single" w:sz="8" w:space="0" w:color="000000"/>
              <w:left w:val="single" w:sz="8" w:space="0" w:color="000000"/>
              <w:bottom w:val="single" w:sz="6" w:space="0" w:color="000000"/>
              <w:right w:val="single" w:sz="8" w:space="0" w:color="000000"/>
            </w:tcBorders>
            <w:vAlign w:val="center"/>
          </w:tcPr>
          <w:p w14:paraId="5917F019" w14:textId="49816465" w:rsidR="00566744" w:rsidRDefault="00000000">
            <w:pPr>
              <w:pStyle w:val="biaogecenter"/>
              <w:rPr>
                <w:rFonts w:hAnsi="Calibri"/>
                <w:color w:val="000000"/>
              </w:rPr>
            </w:pPr>
            <w:r>
              <w:rPr>
                <w:rFonts w:hAnsi="Calibri"/>
                <w:color w:val="000000"/>
              </w:rPr>
              <w:t>-</w:t>
            </w:r>
          </w:p>
        </w:tc>
      </w:tr>
      <w:tr w:rsidR="00566744" w14:paraId="3109C68C" w14:textId="77777777">
        <w:tc>
          <w:tcPr>
            <w:tcW w:w="723" w:type="dxa"/>
            <w:tcBorders>
              <w:top w:val="single" w:sz="8" w:space="0" w:color="000000"/>
              <w:left w:val="single" w:sz="8" w:space="0" w:color="000000"/>
              <w:bottom w:val="single" w:sz="6" w:space="0" w:color="000000"/>
              <w:right w:val="single" w:sz="8" w:space="0" w:color="000000"/>
            </w:tcBorders>
            <w:vAlign w:val="center"/>
          </w:tcPr>
          <w:p w14:paraId="19F8F26C" w14:textId="77777777" w:rsidR="00566744" w:rsidRDefault="00000000">
            <w:pPr>
              <w:pStyle w:val="biaogecenter"/>
              <w:wordWrap w:val="0"/>
              <w:rPr>
                <w:rFonts w:hint="eastAsia"/>
              </w:rPr>
            </w:pPr>
            <w:r>
              <w:rPr>
                <w:rFonts w:hint="eastAsia"/>
              </w:rPr>
              <w:t>2</w:t>
            </w:r>
          </w:p>
        </w:tc>
        <w:tc>
          <w:tcPr>
            <w:tcW w:w="3162" w:type="dxa"/>
            <w:tcBorders>
              <w:top w:val="single" w:sz="8" w:space="0" w:color="000000"/>
              <w:left w:val="single" w:sz="8" w:space="0" w:color="000000"/>
              <w:bottom w:val="single" w:sz="6" w:space="0" w:color="000000"/>
              <w:right w:val="single" w:sz="8" w:space="0" w:color="000000"/>
            </w:tcBorders>
            <w:vAlign w:val="center"/>
          </w:tcPr>
          <w:p w14:paraId="7E78D6E6" w14:textId="77777777" w:rsidR="00566744" w:rsidRDefault="00000000">
            <w:pPr>
              <w:pStyle w:val="biaogecenter"/>
              <w:jc w:val="both"/>
              <w:rPr>
                <w:rFonts w:hint="eastAsia"/>
              </w:rPr>
            </w:pPr>
            <w:r>
              <w:rPr>
                <w:rFonts w:hint="eastAsia"/>
              </w:rPr>
              <w:t>报告期末债券回购融资余额</w:t>
            </w:r>
          </w:p>
        </w:tc>
        <w:tc>
          <w:tcPr>
            <w:tcW w:w="4056" w:type="dxa"/>
            <w:tcBorders>
              <w:top w:val="single" w:sz="8" w:space="0" w:color="000000"/>
              <w:left w:val="single" w:sz="8" w:space="0" w:color="000000"/>
              <w:bottom w:val="single" w:sz="6" w:space="0" w:color="000000"/>
              <w:right w:val="single" w:sz="8" w:space="0" w:color="000000"/>
            </w:tcBorders>
            <w:vAlign w:val="center"/>
          </w:tcPr>
          <w:p w14:paraId="7CD92233" w14:textId="03F55960" w:rsidR="00566744" w:rsidRDefault="00000000">
            <w:pPr>
              <w:pStyle w:val="biaogecenter"/>
              <w:ind w:left="0"/>
              <w:rPr>
                <w:rFonts w:hAnsi="Calibri"/>
                <w:color w:val="000000"/>
              </w:rPr>
            </w:pPr>
            <w:r>
              <w:rPr>
                <w:rFonts w:hAnsi="Calibri"/>
                <w:color w:val="000000"/>
              </w:rPr>
              <w:t>233,009,575.34</w:t>
            </w:r>
          </w:p>
        </w:tc>
        <w:tc>
          <w:tcPr>
            <w:tcW w:w="1836" w:type="dxa"/>
            <w:tcBorders>
              <w:top w:val="single" w:sz="8" w:space="0" w:color="000000"/>
              <w:left w:val="single" w:sz="8" w:space="0" w:color="000000"/>
              <w:bottom w:val="single" w:sz="6" w:space="0" w:color="000000"/>
              <w:right w:val="single" w:sz="8" w:space="0" w:color="000000"/>
            </w:tcBorders>
            <w:vAlign w:val="center"/>
          </w:tcPr>
          <w:p w14:paraId="3101E70E" w14:textId="767273D1" w:rsidR="00566744" w:rsidRDefault="00000000">
            <w:pPr>
              <w:pStyle w:val="biaogecenter"/>
              <w:rPr>
                <w:rFonts w:hAnsi="Calibri"/>
                <w:color w:val="000000"/>
              </w:rPr>
            </w:pPr>
            <w:r>
              <w:rPr>
                <w:rFonts w:hAnsi="Calibri"/>
                <w:color w:val="000000"/>
              </w:rPr>
              <w:t>2.29</w:t>
            </w:r>
          </w:p>
        </w:tc>
      </w:tr>
      <w:tr w:rsidR="00566744" w14:paraId="49ECEA9B" w14:textId="77777777">
        <w:tc>
          <w:tcPr>
            <w:tcW w:w="723" w:type="dxa"/>
            <w:tcBorders>
              <w:top w:val="single" w:sz="8" w:space="0" w:color="000000"/>
              <w:left w:val="single" w:sz="8" w:space="0" w:color="000000"/>
              <w:bottom w:val="single" w:sz="6" w:space="0" w:color="000000"/>
              <w:right w:val="single" w:sz="8" w:space="0" w:color="000000"/>
            </w:tcBorders>
            <w:vAlign w:val="center"/>
          </w:tcPr>
          <w:p w14:paraId="5F12C71E" w14:textId="77777777" w:rsidR="00566744" w:rsidRDefault="00566744">
            <w:pPr>
              <w:pStyle w:val="biaogecenter"/>
              <w:wordWrap w:val="0"/>
              <w:rPr>
                <w:rFonts w:hint="eastAsia"/>
              </w:rPr>
            </w:pPr>
          </w:p>
        </w:tc>
        <w:tc>
          <w:tcPr>
            <w:tcW w:w="3162" w:type="dxa"/>
            <w:tcBorders>
              <w:top w:val="single" w:sz="8" w:space="0" w:color="000000"/>
              <w:left w:val="single" w:sz="8" w:space="0" w:color="000000"/>
              <w:bottom w:val="single" w:sz="6" w:space="0" w:color="000000"/>
              <w:right w:val="single" w:sz="8" w:space="0" w:color="000000"/>
            </w:tcBorders>
            <w:vAlign w:val="center"/>
          </w:tcPr>
          <w:p w14:paraId="6E6DB711" w14:textId="77777777" w:rsidR="00566744" w:rsidRDefault="00000000">
            <w:pPr>
              <w:pStyle w:val="biaogecenter"/>
              <w:jc w:val="both"/>
              <w:rPr>
                <w:rFonts w:hint="eastAsia"/>
              </w:rPr>
            </w:pPr>
            <w:r>
              <w:rPr>
                <w:rFonts w:hint="eastAsia"/>
              </w:rPr>
              <w:t>其中：买断式回购融资</w:t>
            </w:r>
          </w:p>
        </w:tc>
        <w:tc>
          <w:tcPr>
            <w:tcW w:w="4056" w:type="dxa"/>
            <w:tcBorders>
              <w:top w:val="single" w:sz="8" w:space="0" w:color="000000"/>
              <w:left w:val="single" w:sz="8" w:space="0" w:color="000000"/>
              <w:bottom w:val="single" w:sz="6" w:space="0" w:color="000000"/>
              <w:right w:val="single" w:sz="8" w:space="0" w:color="000000"/>
            </w:tcBorders>
            <w:vAlign w:val="center"/>
          </w:tcPr>
          <w:p w14:paraId="0214F9F8" w14:textId="1FD1FEC1" w:rsidR="00566744" w:rsidRDefault="00000000">
            <w:pPr>
              <w:pStyle w:val="biaogecenter"/>
              <w:rPr>
                <w:rFonts w:hAnsi="Calibri"/>
                <w:color w:val="000000"/>
              </w:rPr>
            </w:pPr>
            <w:r>
              <w:rPr>
                <w:rFonts w:hAnsi="Calibri"/>
                <w:color w:val="000000"/>
              </w:rPr>
              <w:t>-</w:t>
            </w:r>
          </w:p>
        </w:tc>
        <w:tc>
          <w:tcPr>
            <w:tcW w:w="1836" w:type="dxa"/>
            <w:tcBorders>
              <w:top w:val="single" w:sz="8" w:space="0" w:color="000000"/>
              <w:left w:val="single" w:sz="8" w:space="0" w:color="000000"/>
              <w:bottom w:val="single" w:sz="6" w:space="0" w:color="000000"/>
              <w:right w:val="single" w:sz="8" w:space="0" w:color="000000"/>
            </w:tcBorders>
            <w:vAlign w:val="center"/>
          </w:tcPr>
          <w:p w14:paraId="79C65D0E" w14:textId="56270642" w:rsidR="00566744" w:rsidRDefault="00000000">
            <w:pPr>
              <w:pStyle w:val="biaogecenter"/>
              <w:rPr>
                <w:rFonts w:hAnsi="Calibri"/>
                <w:color w:val="000000"/>
              </w:rPr>
            </w:pPr>
            <w:r>
              <w:rPr>
                <w:rFonts w:hAnsi="Calibri"/>
                <w:color w:val="000000"/>
              </w:rPr>
              <w:t>-</w:t>
            </w:r>
          </w:p>
        </w:tc>
      </w:tr>
    </w:tbl>
    <w:p w14:paraId="20F12B48" w14:textId="77777777" w:rsidR="00566744" w:rsidRDefault="00000000">
      <w:pPr>
        <w:pStyle w:val="neirong"/>
        <w:spacing w:line="360" w:lineRule="auto"/>
        <w:rPr>
          <w:rFonts w:hint="eastAsia"/>
        </w:rPr>
      </w:pPr>
      <w:r>
        <w:rPr>
          <w:rFonts w:hint="eastAsia"/>
        </w:rPr>
        <w:t>注：本报告期内债券回购融资余额占基金资产净值的比例为报告期内每个交易日融资余额占资产净值比例的简单平均值。</w:t>
      </w:r>
    </w:p>
    <w:p w14:paraId="5F161D01" w14:textId="77777777" w:rsidR="00566744" w:rsidRDefault="00566744">
      <w:pPr>
        <w:spacing w:line="360" w:lineRule="auto"/>
        <w:ind w:firstLineChars="177" w:firstLine="425"/>
        <w:rPr>
          <w:rFonts w:asciiTheme="minorEastAsia" w:eastAsiaTheme="minorEastAsia" w:hAnsiTheme="minorEastAsia" w:hint="eastAsia"/>
          <w:sz w:val="24"/>
        </w:rPr>
      </w:pPr>
    </w:p>
    <w:p w14:paraId="6E63A3E0" w14:textId="77777777" w:rsidR="00566744" w:rsidRDefault="00000000">
      <w:pPr>
        <w:spacing w:line="360" w:lineRule="auto"/>
        <w:rPr>
          <w:rFonts w:asciiTheme="minorEastAsia" w:eastAsiaTheme="minorEastAsia" w:hAnsiTheme="minorEastAsia" w:hint="eastAsia"/>
          <w:sz w:val="24"/>
        </w:rPr>
      </w:pPr>
      <w:r>
        <w:rPr>
          <w:rFonts w:asciiTheme="minorEastAsia" w:eastAsiaTheme="minorEastAsia" w:hAnsiTheme="minorEastAsia" w:hint="eastAsia"/>
          <w:sz w:val="24"/>
        </w:rPr>
        <w:t>债券正回购的资金余额超过基金资产净值的</w:t>
      </w:r>
      <w:r>
        <w:rPr>
          <w:rFonts w:asciiTheme="minorEastAsia" w:eastAsiaTheme="minorEastAsia" w:hAnsiTheme="minorEastAsia"/>
          <w:sz w:val="24"/>
        </w:rPr>
        <w:t>20%的说明:</w:t>
      </w:r>
    </w:p>
    <w:p w14:paraId="7F92B385" w14:textId="77777777" w:rsidR="00566744" w:rsidRDefault="00000000">
      <w:pPr>
        <w:pStyle w:val="neirong"/>
        <w:ind w:leftChars="7" w:firstLineChars="200" w:firstLine="480"/>
        <w:rPr>
          <w:rFonts w:hint="eastAsia"/>
        </w:rPr>
      </w:pPr>
      <w:r>
        <w:rPr>
          <w:rFonts w:hint="eastAsia"/>
        </w:rPr>
        <w:t>本基金本报告期内债券正回购的资金余额未超过基金资产净值的20%。</w:t>
      </w:r>
    </w:p>
    <w:p w14:paraId="39FDEBEE" w14:textId="77777777" w:rsidR="00566744" w:rsidRDefault="00566744">
      <w:pPr>
        <w:spacing w:line="360" w:lineRule="auto"/>
        <w:rPr>
          <w:rFonts w:asciiTheme="minorEastAsia" w:eastAsiaTheme="minorEastAsia" w:hAnsiTheme="minorEastAsia" w:hint="eastAsia"/>
          <w:sz w:val="24"/>
        </w:rPr>
      </w:pPr>
    </w:p>
    <w:p w14:paraId="5D50D19E" w14:textId="77777777" w:rsidR="00566744" w:rsidRDefault="00000000">
      <w:pPr>
        <w:spacing w:line="360" w:lineRule="auto"/>
        <w:ind w:firstLineChars="177" w:firstLine="425"/>
        <w:rPr>
          <w:rFonts w:asciiTheme="minorEastAsia" w:eastAsiaTheme="minorEastAsia" w:hAnsiTheme="minorEastAsia" w:hint="eastAsia"/>
          <w:sz w:val="24"/>
        </w:rPr>
      </w:pPr>
      <w:r>
        <w:rPr>
          <w:rFonts w:asciiTheme="minorEastAsia" w:eastAsiaTheme="minorEastAsia" w:hAnsiTheme="minorEastAsia"/>
          <w:sz w:val="24"/>
        </w:rPr>
        <w:t>3、</w:t>
      </w:r>
      <w:r>
        <w:rPr>
          <w:rFonts w:asciiTheme="minorEastAsia" w:eastAsiaTheme="minorEastAsia" w:hAnsiTheme="minorEastAsia" w:hint="eastAsia"/>
          <w:sz w:val="24"/>
        </w:rPr>
        <w:t>基金投资组合平均剩余期限</w:t>
      </w:r>
    </w:p>
    <w:p w14:paraId="0086712B" w14:textId="77777777" w:rsidR="00566744" w:rsidRDefault="00000000">
      <w:pPr>
        <w:spacing w:line="360" w:lineRule="auto"/>
        <w:ind w:firstLineChars="177" w:firstLine="425"/>
        <w:rPr>
          <w:rFonts w:asciiTheme="minorEastAsia" w:eastAsiaTheme="minorEastAsia" w:hAnsiTheme="minorEastAsia" w:hint="eastAsia"/>
          <w:sz w:val="24"/>
        </w:rPr>
      </w:pPr>
      <w:r>
        <w:rPr>
          <w:rFonts w:asciiTheme="minorEastAsia" w:eastAsiaTheme="minorEastAsia" w:hAnsiTheme="minorEastAsia" w:hint="eastAsia"/>
          <w:sz w:val="24"/>
        </w:rPr>
        <w:t>（</w:t>
      </w:r>
      <w:r>
        <w:rPr>
          <w:rFonts w:asciiTheme="minorEastAsia" w:eastAsiaTheme="minorEastAsia" w:hAnsiTheme="minorEastAsia"/>
          <w:sz w:val="24"/>
        </w:rPr>
        <w:t>1）投资组合平均剩余期限基本情况</w:t>
      </w:r>
    </w:p>
    <w:tbl>
      <w:tblPr>
        <w:tblW w:w="9030" w:type="dxa"/>
        <w:tblInd w:w="108" w:type="dxa"/>
        <w:tblLook w:val="04A0" w:firstRow="1" w:lastRow="0" w:firstColumn="1" w:lastColumn="0" w:noHBand="0" w:noVBand="1"/>
      </w:tblPr>
      <w:tblGrid>
        <w:gridCol w:w="6140"/>
        <w:gridCol w:w="2890"/>
      </w:tblGrid>
      <w:tr w:rsidR="00566744" w14:paraId="06AB5BF2" w14:textId="77777777">
        <w:tc>
          <w:tcPr>
            <w:tcW w:w="6140" w:type="dxa"/>
            <w:tcBorders>
              <w:top w:val="single" w:sz="8" w:space="0" w:color="000000"/>
              <w:left w:val="single" w:sz="8" w:space="0" w:color="000000"/>
              <w:bottom w:val="single" w:sz="6" w:space="0" w:color="000000"/>
              <w:right w:val="single" w:sz="8" w:space="0" w:color="000000"/>
            </w:tcBorders>
            <w:vAlign w:val="center"/>
          </w:tcPr>
          <w:p w14:paraId="40B03F22" w14:textId="77777777" w:rsidR="00566744" w:rsidRDefault="00000000">
            <w:pPr>
              <w:pStyle w:val="biaogecenter"/>
              <w:wordWrap w:val="0"/>
              <w:rPr>
                <w:rFonts w:hint="eastAsia"/>
              </w:rPr>
            </w:pPr>
            <w:r>
              <w:rPr>
                <w:rFonts w:hAnsi="Calibri" w:hint="eastAsia"/>
                <w:color w:val="000000"/>
              </w:rPr>
              <w:t>项目</w:t>
            </w:r>
          </w:p>
        </w:tc>
        <w:tc>
          <w:tcPr>
            <w:tcW w:w="2890" w:type="dxa"/>
            <w:tcBorders>
              <w:top w:val="single" w:sz="8" w:space="0" w:color="000000"/>
              <w:left w:val="single" w:sz="8" w:space="0" w:color="000000"/>
              <w:bottom w:val="single" w:sz="6" w:space="0" w:color="000000"/>
              <w:right w:val="single" w:sz="8" w:space="0" w:color="000000"/>
            </w:tcBorders>
            <w:vAlign w:val="center"/>
          </w:tcPr>
          <w:p w14:paraId="4472E441" w14:textId="77777777" w:rsidR="00566744" w:rsidRDefault="00000000">
            <w:pPr>
              <w:pStyle w:val="biaogecenter"/>
              <w:wordWrap w:val="0"/>
              <w:rPr>
                <w:rFonts w:hint="eastAsia"/>
              </w:rPr>
            </w:pPr>
            <w:r>
              <w:rPr>
                <w:rFonts w:hAnsi="Calibri" w:hint="eastAsia"/>
                <w:color w:val="000000"/>
              </w:rPr>
              <w:t>天数</w:t>
            </w:r>
          </w:p>
        </w:tc>
      </w:tr>
      <w:tr w:rsidR="00566744" w14:paraId="39601B0B" w14:textId="77777777">
        <w:tc>
          <w:tcPr>
            <w:tcW w:w="6140" w:type="dxa"/>
            <w:tcBorders>
              <w:top w:val="single" w:sz="8" w:space="0" w:color="000000"/>
              <w:left w:val="single" w:sz="8" w:space="0" w:color="000000"/>
              <w:bottom w:val="single" w:sz="6" w:space="0" w:color="000000"/>
              <w:right w:val="single" w:sz="8" w:space="0" w:color="000000"/>
            </w:tcBorders>
            <w:vAlign w:val="center"/>
          </w:tcPr>
          <w:p w14:paraId="76F30D94" w14:textId="77777777" w:rsidR="00566744" w:rsidRDefault="00000000">
            <w:pPr>
              <w:pStyle w:val="biaogeleft"/>
              <w:wordWrap w:val="0"/>
              <w:rPr>
                <w:rFonts w:hint="eastAsia"/>
              </w:rPr>
            </w:pPr>
            <w:r>
              <w:rPr>
                <w:rFonts w:hint="eastAsia"/>
              </w:rPr>
              <w:t>报告期末投资组合平均剩余期限</w:t>
            </w:r>
          </w:p>
        </w:tc>
        <w:tc>
          <w:tcPr>
            <w:tcW w:w="2890" w:type="dxa"/>
            <w:tcBorders>
              <w:top w:val="single" w:sz="8" w:space="0" w:color="000000"/>
              <w:left w:val="single" w:sz="8" w:space="0" w:color="000000"/>
              <w:bottom w:val="single" w:sz="6" w:space="0" w:color="000000"/>
              <w:right w:val="single" w:sz="8" w:space="0" w:color="000000"/>
            </w:tcBorders>
            <w:vAlign w:val="center"/>
          </w:tcPr>
          <w:p w14:paraId="655CEF95" w14:textId="3227EB24" w:rsidR="00566744" w:rsidRDefault="00000000">
            <w:pPr>
              <w:pStyle w:val="biaogeright"/>
              <w:wordWrap w:val="0"/>
              <w:rPr>
                <w:rFonts w:hint="eastAsia"/>
              </w:rPr>
            </w:pPr>
            <w:r>
              <w:rPr>
                <w:rFonts w:hAnsi="Calibri"/>
                <w:color w:val="000000"/>
              </w:rPr>
              <w:t>87</w:t>
            </w:r>
          </w:p>
        </w:tc>
      </w:tr>
      <w:tr w:rsidR="00566744" w14:paraId="5DF40701" w14:textId="77777777">
        <w:tc>
          <w:tcPr>
            <w:tcW w:w="6140" w:type="dxa"/>
            <w:tcBorders>
              <w:top w:val="single" w:sz="8" w:space="0" w:color="000000"/>
              <w:left w:val="single" w:sz="8" w:space="0" w:color="000000"/>
              <w:bottom w:val="single" w:sz="6" w:space="0" w:color="000000"/>
              <w:right w:val="single" w:sz="8" w:space="0" w:color="000000"/>
            </w:tcBorders>
            <w:vAlign w:val="center"/>
          </w:tcPr>
          <w:p w14:paraId="36FA4EC3" w14:textId="77777777" w:rsidR="00566744" w:rsidRDefault="00000000">
            <w:pPr>
              <w:pStyle w:val="biaogeleft"/>
              <w:wordWrap w:val="0"/>
              <w:rPr>
                <w:rFonts w:hint="eastAsia"/>
              </w:rPr>
            </w:pPr>
            <w:r>
              <w:rPr>
                <w:rFonts w:hint="eastAsia"/>
              </w:rPr>
              <w:t>报告期内投资组合平均剩余期限最高值</w:t>
            </w:r>
          </w:p>
        </w:tc>
        <w:tc>
          <w:tcPr>
            <w:tcW w:w="2890" w:type="dxa"/>
            <w:tcBorders>
              <w:top w:val="single" w:sz="8" w:space="0" w:color="000000"/>
              <w:left w:val="single" w:sz="8" w:space="0" w:color="000000"/>
              <w:bottom w:val="single" w:sz="6" w:space="0" w:color="000000"/>
              <w:right w:val="single" w:sz="8" w:space="0" w:color="000000"/>
            </w:tcBorders>
            <w:vAlign w:val="center"/>
          </w:tcPr>
          <w:p w14:paraId="3BAC598B" w14:textId="4074A3C3" w:rsidR="00566744" w:rsidRDefault="00000000">
            <w:pPr>
              <w:pStyle w:val="biaogeright"/>
              <w:wordWrap w:val="0"/>
              <w:rPr>
                <w:rFonts w:hint="eastAsia"/>
              </w:rPr>
            </w:pPr>
            <w:r>
              <w:rPr>
                <w:rFonts w:hAnsi="Calibri"/>
                <w:color w:val="000000"/>
              </w:rPr>
              <w:t>95</w:t>
            </w:r>
          </w:p>
        </w:tc>
      </w:tr>
      <w:tr w:rsidR="00566744" w14:paraId="3809D65E" w14:textId="77777777">
        <w:tc>
          <w:tcPr>
            <w:tcW w:w="6140" w:type="dxa"/>
            <w:tcBorders>
              <w:top w:val="single" w:sz="8" w:space="0" w:color="000000"/>
              <w:left w:val="single" w:sz="8" w:space="0" w:color="000000"/>
              <w:bottom w:val="single" w:sz="6" w:space="0" w:color="000000"/>
              <w:right w:val="single" w:sz="8" w:space="0" w:color="000000"/>
            </w:tcBorders>
            <w:vAlign w:val="center"/>
          </w:tcPr>
          <w:p w14:paraId="75BDA593" w14:textId="77777777" w:rsidR="00566744" w:rsidRDefault="00000000">
            <w:pPr>
              <w:pStyle w:val="biaogeleft"/>
              <w:wordWrap w:val="0"/>
              <w:rPr>
                <w:rFonts w:hint="eastAsia"/>
              </w:rPr>
            </w:pPr>
            <w:r>
              <w:rPr>
                <w:rFonts w:hint="eastAsia"/>
              </w:rPr>
              <w:t>报告期内投资组合平均剩余期限最低值</w:t>
            </w:r>
          </w:p>
        </w:tc>
        <w:tc>
          <w:tcPr>
            <w:tcW w:w="2890" w:type="dxa"/>
            <w:tcBorders>
              <w:top w:val="single" w:sz="8" w:space="0" w:color="000000"/>
              <w:left w:val="single" w:sz="8" w:space="0" w:color="000000"/>
              <w:bottom w:val="single" w:sz="6" w:space="0" w:color="000000"/>
              <w:right w:val="single" w:sz="8" w:space="0" w:color="000000"/>
            </w:tcBorders>
            <w:vAlign w:val="center"/>
          </w:tcPr>
          <w:p w14:paraId="0785EE0B" w14:textId="55BB47F4" w:rsidR="00566744" w:rsidRDefault="00000000">
            <w:pPr>
              <w:pStyle w:val="biaogeright"/>
              <w:wordWrap w:val="0"/>
              <w:rPr>
                <w:rFonts w:hint="eastAsia"/>
              </w:rPr>
            </w:pPr>
            <w:r>
              <w:rPr>
                <w:rFonts w:hAnsi="Calibri"/>
                <w:color w:val="000000"/>
              </w:rPr>
              <w:t>69</w:t>
            </w:r>
          </w:p>
        </w:tc>
      </w:tr>
    </w:tbl>
    <w:p w14:paraId="6C719ABA" w14:textId="77777777" w:rsidR="00566744" w:rsidRDefault="00566744">
      <w:pPr>
        <w:spacing w:line="360" w:lineRule="auto"/>
        <w:rPr>
          <w:rFonts w:asciiTheme="minorEastAsia" w:eastAsiaTheme="minorEastAsia" w:hAnsiTheme="minorEastAsia" w:hint="eastAsia"/>
          <w:sz w:val="24"/>
        </w:rPr>
      </w:pPr>
    </w:p>
    <w:p w14:paraId="5D49D5D1" w14:textId="77777777" w:rsidR="00566744" w:rsidRDefault="00000000">
      <w:pPr>
        <w:spacing w:line="360" w:lineRule="auto"/>
        <w:rPr>
          <w:rFonts w:asciiTheme="minorEastAsia" w:eastAsiaTheme="minorEastAsia" w:hAnsiTheme="minorEastAsia" w:hint="eastAsia"/>
          <w:sz w:val="24"/>
        </w:rPr>
      </w:pPr>
      <w:r>
        <w:rPr>
          <w:rFonts w:asciiTheme="minorEastAsia" w:eastAsiaTheme="minorEastAsia" w:hAnsiTheme="minorEastAsia" w:hint="eastAsia"/>
          <w:sz w:val="24"/>
        </w:rPr>
        <w:t>报告期内投资组合平均剩余期限超过</w:t>
      </w:r>
      <w:r>
        <w:rPr>
          <w:rFonts w:asciiTheme="minorEastAsia" w:eastAsiaTheme="minorEastAsia" w:hAnsiTheme="minorEastAsia"/>
          <w:sz w:val="24"/>
        </w:rPr>
        <w:t>120天情况说明:</w:t>
      </w:r>
    </w:p>
    <w:p w14:paraId="749CA3B1" w14:textId="77777777" w:rsidR="00566744" w:rsidRDefault="00000000">
      <w:pPr>
        <w:pStyle w:val="neirong"/>
        <w:spacing w:line="360" w:lineRule="auto"/>
        <w:ind w:leftChars="7" w:firstLineChars="200" w:firstLine="480"/>
        <w:rPr>
          <w:rFonts w:hint="eastAsia"/>
        </w:rPr>
      </w:pPr>
      <w:r>
        <w:rPr>
          <w:rFonts w:hint="eastAsia"/>
        </w:rPr>
        <w:t>本基金本报告期内投资组合平均剩余期限</w:t>
      </w:r>
      <w:proofErr w:type="gramStart"/>
      <w:r>
        <w:rPr>
          <w:rFonts w:hint="eastAsia"/>
        </w:rPr>
        <w:t>无超过</w:t>
      </w:r>
      <w:proofErr w:type="gramEnd"/>
      <w:r>
        <w:rPr>
          <w:rFonts w:hint="eastAsia"/>
        </w:rPr>
        <w:t>120天的情况。</w:t>
      </w:r>
    </w:p>
    <w:p w14:paraId="3840A54D" w14:textId="77777777" w:rsidR="00566744" w:rsidRDefault="00566744">
      <w:pPr>
        <w:pStyle w:val="neirong"/>
        <w:spacing w:line="360" w:lineRule="auto"/>
        <w:ind w:leftChars="7" w:firstLineChars="200" w:firstLine="480"/>
        <w:rPr>
          <w:rFonts w:hint="eastAsia"/>
        </w:rPr>
      </w:pPr>
    </w:p>
    <w:p w14:paraId="2312594F" w14:textId="77777777" w:rsidR="00566744" w:rsidRDefault="00000000">
      <w:pPr>
        <w:spacing w:line="360" w:lineRule="auto"/>
        <w:ind w:firstLineChars="177" w:firstLine="425"/>
        <w:rPr>
          <w:rFonts w:asciiTheme="minorEastAsia" w:eastAsiaTheme="minorEastAsia" w:hAnsiTheme="minorEastAsia" w:hint="eastAsia"/>
          <w:sz w:val="24"/>
        </w:rPr>
      </w:pPr>
      <w:r>
        <w:rPr>
          <w:rFonts w:asciiTheme="minorEastAsia" w:eastAsiaTheme="minorEastAsia" w:hAnsiTheme="minorEastAsia" w:hint="eastAsia"/>
          <w:sz w:val="24"/>
        </w:rPr>
        <w:t>（</w:t>
      </w:r>
      <w:r>
        <w:rPr>
          <w:rFonts w:asciiTheme="minorEastAsia" w:eastAsiaTheme="minorEastAsia" w:hAnsiTheme="minorEastAsia"/>
          <w:sz w:val="24"/>
        </w:rPr>
        <w:t>2）报告期末投资组合平均剩余期限分布比例</w:t>
      </w:r>
    </w:p>
    <w:tbl>
      <w:tblPr>
        <w:tblW w:w="9198" w:type="dxa"/>
        <w:tblInd w:w="108" w:type="dxa"/>
        <w:tblLook w:val="04A0" w:firstRow="1" w:lastRow="0" w:firstColumn="1" w:lastColumn="0" w:noHBand="0" w:noVBand="1"/>
      </w:tblPr>
      <w:tblGrid>
        <w:gridCol w:w="851"/>
        <w:gridCol w:w="3352"/>
        <w:gridCol w:w="2498"/>
        <w:gridCol w:w="2497"/>
      </w:tblGrid>
      <w:tr w:rsidR="00566744" w14:paraId="38F4E7F4" w14:textId="77777777">
        <w:tc>
          <w:tcPr>
            <w:tcW w:w="851" w:type="dxa"/>
            <w:tcBorders>
              <w:top w:val="single" w:sz="8" w:space="0" w:color="000000"/>
              <w:left w:val="single" w:sz="8" w:space="0" w:color="000000"/>
              <w:bottom w:val="single" w:sz="6" w:space="0" w:color="000000"/>
              <w:right w:val="single" w:sz="8" w:space="0" w:color="000000"/>
            </w:tcBorders>
            <w:vAlign w:val="center"/>
          </w:tcPr>
          <w:p w14:paraId="11F8F97A" w14:textId="77777777" w:rsidR="00566744" w:rsidRDefault="00000000">
            <w:pPr>
              <w:pStyle w:val="biaogecenter"/>
              <w:wordWrap w:val="0"/>
              <w:rPr>
                <w:rFonts w:hint="eastAsia"/>
              </w:rPr>
            </w:pPr>
            <w:r>
              <w:rPr>
                <w:rFonts w:hAnsi="Calibri" w:hint="eastAsia"/>
                <w:color w:val="000000"/>
              </w:rPr>
              <w:t>序号</w:t>
            </w:r>
          </w:p>
        </w:tc>
        <w:tc>
          <w:tcPr>
            <w:tcW w:w="3352" w:type="dxa"/>
            <w:tcBorders>
              <w:top w:val="single" w:sz="8" w:space="0" w:color="000000"/>
              <w:left w:val="single" w:sz="8" w:space="0" w:color="000000"/>
              <w:bottom w:val="single" w:sz="6" w:space="0" w:color="000000"/>
              <w:right w:val="single" w:sz="8" w:space="0" w:color="000000"/>
            </w:tcBorders>
            <w:vAlign w:val="center"/>
          </w:tcPr>
          <w:p w14:paraId="178785A1" w14:textId="77777777" w:rsidR="00566744" w:rsidRDefault="00000000">
            <w:pPr>
              <w:pStyle w:val="biaogecenter"/>
              <w:wordWrap w:val="0"/>
              <w:rPr>
                <w:rFonts w:hint="eastAsia"/>
              </w:rPr>
            </w:pPr>
            <w:r>
              <w:rPr>
                <w:rFonts w:hAnsi="Calibri" w:hint="eastAsia"/>
                <w:color w:val="000000"/>
              </w:rPr>
              <w:t>平均剩余期限</w:t>
            </w:r>
          </w:p>
        </w:tc>
        <w:tc>
          <w:tcPr>
            <w:tcW w:w="2498" w:type="dxa"/>
            <w:tcBorders>
              <w:top w:val="single" w:sz="8" w:space="0" w:color="000000"/>
              <w:left w:val="single" w:sz="8" w:space="0" w:color="000000"/>
              <w:bottom w:val="single" w:sz="6" w:space="0" w:color="000000"/>
              <w:right w:val="single" w:sz="8" w:space="0" w:color="000000"/>
            </w:tcBorders>
            <w:vAlign w:val="center"/>
          </w:tcPr>
          <w:p w14:paraId="451E2FD4" w14:textId="77777777" w:rsidR="00566744" w:rsidRDefault="00000000">
            <w:pPr>
              <w:pStyle w:val="biaogecenter"/>
              <w:wordWrap w:val="0"/>
              <w:rPr>
                <w:rFonts w:hint="eastAsia"/>
              </w:rPr>
            </w:pPr>
            <w:r>
              <w:rPr>
                <w:rFonts w:hAnsi="Calibri" w:hint="eastAsia"/>
                <w:color w:val="000000"/>
              </w:rPr>
              <w:t>各期限资产占基金资</w:t>
            </w:r>
            <w:r>
              <w:rPr>
                <w:rFonts w:hAnsi="Calibri" w:hint="eastAsia"/>
                <w:color w:val="000000"/>
              </w:rPr>
              <w:lastRenderedPageBreak/>
              <w:t>产净值的比例（%）</w:t>
            </w:r>
          </w:p>
        </w:tc>
        <w:tc>
          <w:tcPr>
            <w:tcW w:w="2497" w:type="dxa"/>
            <w:tcBorders>
              <w:top w:val="single" w:sz="8" w:space="0" w:color="000000"/>
              <w:left w:val="single" w:sz="8" w:space="0" w:color="000000"/>
              <w:bottom w:val="single" w:sz="6" w:space="0" w:color="000000"/>
              <w:right w:val="single" w:sz="8" w:space="0" w:color="000000"/>
            </w:tcBorders>
            <w:vAlign w:val="center"/>
          </w:tcPr>
          <w:p w14:paraId="321DB6A7" w14:textId="77777777" w:rsidR="00566744" w:rsidRDefault="00000000">
            <w:pPr>
              <w:pStyle w:val="biaogecenter"/>
              <w:wordWrap w:val="0"/>
              <w:rPr>
                <w:rFonts w:hint="eastAsia"/>
              </w:rPr>
            </w:pPr>
            <w:r>
              <w:rPr>
                <w:rFonts w:hAnsi="Calibri" w:hint="eastAsia"/>
                <w:color w:val="000000"/>
              </w:rPr>
              <w:lastRenderedPageBreak/>
              <w:t>各期限负债占基金资</w:t>
            </w:r>
            <w:r>
              <w:rPr>
                <w:rFonts w:hAnsi="Calibri" w:hint="eastAsia"/>
                <w:color w:val="000000"/>
              </w:rPr>
              <w:lastRenderedPageBreak/>
              <w:t>产净值的比例（%）</w:t>
            </w:r>
          </w:p>
        </w:tc>
      </w:tr>
      <w:tr w:rsidR="00566744" w14:paraId="61326084" w14:textId="77777777">
        <w:tc>
          <w:tcPr>
            <w:tcW w:w="851" w:type="dxa"/>
            <w:tcBorders>
              <w:top w:val="single" w:sz="8" w:space="0" w:color="000000"/>
              <w:left w:val="single" w:sz="8" w:space="0" w:color="000000"/>
              <w:bottom w:val="single" w:sz="6" w:space="0" w:color="000000"/>
              <w:right w:val="single" w:sz="8" w:space="0" w:color="000000"/>
            </w:tcBorders>
            <w:vAlign w:val="center"/>
          </w:tcPr>
          <w:p w14:paraId="267359D4" w14:textId="77777777" w:rsidR="00566744" w:rsidRDefault="00000000">
            <w:pPr>
              <w:pStyle w:val="biaogecenter"/>
              <w:wordWrap w:val="0"/>
              <w:rPr>
                <w:rFonts w:hint="eastAsia"/>
              </w:rPr>
            </w:pPr>
            <w:r>
              <w:rPr>
                <w:rFonts w:hint="eastAsia"/>
              </w:rPr>
              <w:lastRenderedPageBreak/>
              <w:t>1</w:t>
            </w:r>
          </w:p>
        </w:tc>
        <w:tc>
          <w:tcPr>
            <w:tcW w:w="3352" w:type="dxa"/>
            <w:tcBorders>
              <w:top w:val="single" w:sz="8" w:space="0" w:color="000000"/>
              <w:left w:val="single" w:sz="8" w:space="0" w:color="000000"/>
              <w:bottom w:val="single" w:sz="6" w:space="0" w:color="000000"/>
              <w:right w:val="single" w:sz="8" w:space="0" w:color="000000"/>
            </w:tcBorders>
            <w:vAlign w:val="center"/>
          </w:tcPr>
          <w:p w14:paraId="3249D9DB" w14:textId="77777777" w:rsidR="00566744" w:rsidRDefault="00000000">
            <w:pPr>
              <w:pStyle w:val="biaogeleft"/>
              <w:wordWrap w:val="0"/>
              <w:rPr>
                <w:rFonts w:hint="eastAsia"/>
              </w:rPr>
            </w:pPr>
            <w:r>
              <w:rPr>
                <w:rFonts w:hint="eastAsia"/>
              </w:rPr>
              <w:t>30天以内</w:t>
            </w:r>
          </w:p>
        </w:tc>
        <w:tc>
          <w:tcPr>
            <w:tcW w:w="2498" w:type="dxa"/>
            <w:tcBorders>
              <w:top w:val="single" w:sz="8" w:space="0" w:color="000000"/>
              <w:left w:val="single" w:sz="8" w:space="0" w:color="000000"/>
              <w:bottom w:val="single" w:sz="6" w:space="0" w:color="000000"/>
              <w:right w:val="single" w:sz="8" w:space="0" w:color="000000"/>
            </w:tcBorders>
            <w:vAlign w:val="center"/>
          </w:tcPr>
          <w:p w14:paraId="5637771B" w14:textId="0CC44CDC" w:rsidR="00566744" w:rsidRDefault="00000000">
            <w:pPr>
              <w:pStyle w:val="biaogeright"/>
              <w:wordWrap w:val="0"/>
              <w:rPr>
                <w:rFonts w:hint="eastAsia"/>
              </w:rPr>
            </w:pPr>
            <w:r>
              <w:rPr>
                <w:rFonts w:hAnsi="Calibri"/>
                <w:color w:val="000000"/>
              </w:rPr>
              <w:t>41.41</w:t>
            </w:r>
          </w:p>
        </w:tc>
        <w:tc>
          <w:tcPr>
            <w:tcW w:w="2497" w:type="dxa"/>
            <w:tcBorders>
              <w:top w:val="single" w:sz="8" w:space="0" w:color="000000"/>
              <w:left w:val="single" w:sz="8" w:space="0" w:color="000000"/>
              <w:bottom w:val="single" w:sz="6" w:space="0" w:color="000000"/>
              <w:right w:val="single" w:sz="8" w:space="0" w:color="000000"/>
            </w:tcBorders>
            <w:vAlign w:val="center"/>
          </w:tcPr>
          <w:p w14:paraId="28E12AC4" w14:textId="61C55901" w:rsidR="00566744" w:rsidRDefault="00000000">
            <w:pPr>
              <w:pStyle w:val="biaogeright"/>
              <w:wordWrap w:val="0"/>
              <w:rPr>
                <w:rFonts w:hint="eastAsia"/>
              </w:rPr>
            </w:pPr>
            <w:r>
              <w:rPr>
                <w:rFonts w:hAnsi="Calibri"/>
                <w:color w:val="000000"/>
              </w:rPr>
              <w:t>2.29</w:t>
            </w:r>
          </w:p>
        </w:tc>
      </w:tr>
      <w:tr w:rsidR="00566744" w14:paraId="3A8B2D0D" w14:textId="77777777">
        <w:tc>
          <w:tcPr>
            <w:tcW w:w="851" w:type="dxa"/>
            <w:tcBorders>
              <w:top w:val="single" w:sz="8" w:space="0" w:color="000000"/>
              <w:left w:val="single" w:sz="8" w:space="0" w:color="000000"/>
              <w:bottom w:val="single" w:sz="6" w:space="0" w:color="000000"/>
              <w:right w:val="single" w:sz="8" w:space="0" w:color="000000"/>
            </w:tcBorders>
            <w:vAlign w:val="center"/>
          </w:tcPr>
          <w:p w14:paraId="64AD9473" w14:textId="77777777" w:rsidR="00566744" w:rsidRDefault="00566744">
            <w:pPr>
              <w:rPr>
                <w:rFonts w:ascii="宋体" w:hAnsi="宋体" w:cs="宋体" w:hint="eastAsia"/>
                <w:kern w:val="0"/>
                <w:sz w:val="24"/>
              </w:rPr>
            </w:pPr>
          </w:p>
        </w:tc>
        <w:tc>
          <w:tcPr>
            <w:tcW w:w="3352" w:type="dxa"/>
            <w:tcBorders>
              <w:top w:val="single" w:sz="8" w:space="0" w:color="000000"/>
              <w:left w:val="single" w:sz="8" w:space="0" w:color="000000"/>
              <w:bottom w:val="single" w:sz="6" w:space="0" w:color="000000"/>
              <w:right w:val="single" w:sz="8" w:space="0" w:color="000000"/>
            </w:tcBorders>
            <w:vAlign w:val="center"/>
          </w:tcPr>
          <w:p w14:paraId="7224DA37" w14:textId="77777777" w:rsidR="00566744" w:rsidRDefault="00000000">
            <w:pPr>
              <w:pStyle w:val="biaogeleft"/>
              <w:wordWrap w:val="0"/>
              <w:rPr>
                <w:rFonts w:hint="eastAsia"/>
              </w:rPr>
            </w:pPr>
            <w:r>
              <w:rPr>
                <w:rFonts w:hint="eastAsia"/>
              </w:rPr>
              <w:t>其中：剩余存续期超过397天的浮动利率债</w:t>
            </w:r>
          </w:p>
        </w:tc>
        <w:tc>
          <w:tcPr>
            <w:tcW w:w="2498" w:type="dxa"/>
            <w:tcBorders>
              <w:top w:val="single" w:sz="8" w:space="0" w:color="000000"/>
              <w:left w:val="single" w:sz="8" w:space="0" w:color="000000"/>
              <w:bottom w:val="single" w:sz="6" w:space="0" w:color="000000"/>
              <w:right w:val="single" w:sz="8" w:space="0" w:color="000000"/>
            </w:tcBorders>
            <w:vAlign w:val="center"/>
          </w:tcPr>
          <w:p w14:paraId="0AD4530A" w14:textId="6AF46755" w:rsidR="00566744" w:rsidRDefault="00000000">
            <w:pPr>
              <w:pStyle w:val="biaogeright"/>
              <w:wordWrap w:val="0"/>
              <w:rPr>
                <w:rFonts w:hint="eastAsia"/>
              </w:rPr>
            </w:pPr>
            <w:r>
              <w:rPr>
                <w:rFonts w:hAnsi="Calibri"/>
                <w:color w:val="000000"/>
              </w:rPr>
              <w:t>-</w:t>
            </w:r>
          </w:p>
        </w:tc>
        <w:tc>
          <w:tcPr>
            <w:tcW w:w="2497" w:type="dxa"/>
            <w:tcBorders>
              <w:top w:val="single" w:sz="8" w:space="0" w:color="000000"/>
              <w:left w:val="single" w:sz="8" w:space="0" w:color="000000"/>
              <w:bottom w:val="single" w:sz="6" w:space="0" w:color="000000"/>
              <w:right w:val="single" w:sz="8" w:space="0" w:color="000000"/>
            </w:tcBorders>
            <w:vAlign w:val="center"/>
          </w:tcPr>
          <w:p w14:paraId="0E825F35" w14:textId="3D2D1E44" w:rsidR="00566744" w:rsidRDefault="00000000">
            <w:pPr>
              <w:pStyle w:val="biaogeright"/>
              <w:wordWrap w:val="0"/>
              <w:rPr>
                <w:rFonts w:hint="eastAsia"/>
              </w:rPr>
            </w:pPr>
            <w:r>
              <w:rPr>
                <w:rFonts w:hAnsi="Calibri"/>
                <w:color w:val="000000"/>
              </w:rPr>
              <w:t>-</w:t>
            </w:r>
          </w:p>
        </w:tc>
      </w:tr>
      <w:tr w:rsidR="00566744" w14:paraId="51D39F7B" w14:textId="77777777">
        <w:tc>
          <w:tcPr>
            <w:tcW w:w="851" w:type="dxa"/>
            <w:tcBorders>
              <w:top w:val="single" w:sz="8" w:space="0" w:color="000000"/>
              <w:left w:val="single" w:sz="8" w:space="0" w:color="000000"/>
              <w:bottom w:val="single" w:sz="6" w:space="0" w:color="000000"/>
              <w:right w:val="single" w:sz="8" w:space="0" w:color="000000"/>
            </w:tcBorders>
            <w:vAlign w:val="center"/>
          </w:tcPr>
          <w:p w14:paraId="084C196D" w14:textId="77777777" w:rsidR="00566744" w:rsidRDefault="00000000">
            <w:pPr>
              <w:pStyle w:val="biaogecenter"/>
              <w:wordWrap w:val="0"/>
              <w:rPr>
                <w:rFonts w:hint="eastAsia"/>
              </w:rPr>
            </w:pPr>
            <w:r>
              <w:rPr>
                <w:rFonts w:hAnsi="Calibri" w:hint="eastAsia"/>
                <w:color w:val="000000"/>
              </w:rPr>
              <w:t>2</w:t>
            </w:r>
          </w:p>
        </w:tc>
        <w:tc>
          <w:tcPr>
            <w:tcW w:w="3352" w:type="dxa"/>
            <w:tcBorders>
              <w:top w:val="single" w:sz="8" w:space="0" w:color="000000"/>
              <w:left w:val="single" w:sz="8" w:space="0" w:color="000000"/>
              <w:bottom w:val="single" w:sz="6" w:space="0" w:color="000000"/>
              <w:right w:val="single" w:sz="8" w:space="0" w:color="000000"/>
            </w:tcBorders>
            <w:vAlign w:val="center"/>
          </w:tcPr>
          <w:p w14:paraId="6A782BEF" w14:textId="77777777" w:rsidR="00566744" w:rsidRDefault="00000000">
            <w:pPr>
              <w:pStyle w:val="biaogeleft"/>
              <w:wordWrap w:val="0"/>
              <w:rPr>
                <w:rFonts w:hint="eastAsia"/>
              </w:rPr>
            </w:pPr>
            <w:r>
              <w:rPr>
                <w:rFonts w:hint="eastAsia"/>
              </w:rPr>
              <w:t>30天(含)—60天</w:t>
            </w:r>
          </w:p>
        </w:tc>
        <w:tc>
          <w:tcPr>
            <w:tcW w:w="2498" w:type="dxa"/>
            <w:tcBorders>
              <w:top w:val="single" w:sz="8" w:space="0" w:color="000000"/>
              <w:left w:val="single" w:sz="8" w:space="0" w:color="000000"/>
              <w:bottom w:val="single" w:sz="6" w:space="0" w:color="000000"/>
              <w:right w:val="single" w:sz="8" w:space="0" w:color="000000"/>
            </w:tcBorders>
            <w:vAlign w:val="center"/>
          </w:tcPr>
          <w:p w14:paraId="1F3A58A7" w14:textId="06EEF03F" w:rsidR="00566744" w:rsidRDefault="00000000">
            <w:pPr>
              <w:pStyle w:val="biaogeright"/>
              <w:wordWrap w:val="0"/>
              <w:rPr>
                <w:rFonts w:hint="eastAsia"/>
              </w:rPr>
            </w:pPr>
            <w:r>
              <w:rPr>
                <w:rFonts w:hAnsi="Calibri"/>
                <w:color w:val="000000"/>
              </w:rPr>
              <w:t>14.17</w:t>
            </w:r>
          </w:p>
        </w:tc>
        <w:tc>
          <w:tcPr>
            <w:tcW w:w="2497" w:type="dxa"/>
            <w:tcBorders>
              <w:top w:val="single" w:sz="8" w:space="0" w:color="000000"/>
              <w:left w:val="single" w:sz="8" w:space="0" w:color="000000"/>
              <w:bottom w:val="single" w:sz="6" w:space="0" w:color="000000"/>
              <w:right w:val="single" w:sz="8" w:space="0" w:color="000000"/>
            </w:tcBorders>
            <w:vAlign w:val="center"/>
          </w:tcPr>
          <w:p w14:paraId="1C67B691" w14:textId="178356B0" w:rsidR="00566744" w:rsidRDefault="00000000">
            <w:pPr>
              <w:pStyle w:val="biaogeright"/>
              <w:wordWrap w:val="0"/>
              <w:rPr>
                <w:rFonts w:hint="eastAsia"/>
              </w:rPr>
            </w:pPr>
            <w:r>
              <w:rPr>
                <w:rFonts w:hAnsi="Calibri"/>
                <w:color w:val="000000"/>
              </w:rPr>
              <w:t>-</w:t>
            </w:r>
          </w:p>
        </w:tc>
      </w:tr>
      <w:tr w:rsidR="00566744" w14:paraId="19B2C6F9" w14:textId="77777777">
        <w:tc>
          <w:tcPr>
            <w:tcW w:w="851" w:type="dxa"/>
            <w:tcBorders>
              <w:top w:val="single" w:sz="8" w:space="0" w:color="000000"/>
              <w:left w:val="single" w:sz="8" w:space="0" w:color="000000"/>
              <w:bottom w:val="single" w:sz="6" w:space="0" w:color="000000"/>
              <w:right w:val="single" w:sz="8" w:space="0" w:color="000000"/>
            </w:tcBorders>
            <w:vAlign w:val="center"/>
          </w:tcPr>
          <w:p w14:paraId="3E9A2479" w14:textId="77777777" w:rsidR="00566744" w:rsidRDefault="00566744">
            <w:pPr>
              <w:rPr>
                <w:rFonts w:ascii="宋体" w:hAnsi="宋体" w:cs="宋体" w:hint="eastAsia"/>
                <w:kern w:val="0"/>
                <w:sz w:val="24"/>
              </w:rPr>
            </w:pPr>
          </w:p>
        </w:tc>
        <w:tc>
          <w:tcPr>
            <w:tcW w:w="3352" w:type="dxa"/>
            <w:tcBorders>
              <w:top w:val="single" w:sz="8" w:space="0" w:color="000000"/>
              <w:left w:val="single" w:sz="8" w:space="0" w:color="000000"/>
              <w:bottom w:val="single" w:sz="6" w:space="0" w:color="000000"/>
              <w:right w:val="single" w:sz="8" w:space="0" w:color="000000"/>
            </w:tcBorders>
            <w:vAlign w:val="center"/>
          </w:tcPr>
          <w:p w14:paraId="3A761A49" w14:textId="77777777" w:rsidR="00566744" w:rsidRDefault="00000000">
            <w:pPr>
              <w:pStyle w:val="biaogeleft"/>
              <w:wordWrap w:val="0"/>
              <w:rPr>
                <w:rFonts w:hint="eastAsia"/>
              </w:rPr>
            </w:pPr>
            <w:r>
              <w:rPr>
                <w:rFonts w:hint="eastAsia"/>
              </w:rPr>
              <w:t>其中：剩余存续期超过397天的浮动利率债</w:t>
            </w:r>
          </w:p>
        </w:tc>
        <w:tc>
          <w:tcPr>
            <w:tcW w:w="2498" w:type="dxa"/>
            <w:tcBorders>
              <w:top w:val="single" w:sz="8" w:space="0" w:color="000000"/>
              <w:left w:val="single" w:sz="8" w:space="0" w:color="000000"/>
              <w:bottom w:val="single" w:sz="6" w:space="0" w:color="000000"/>
              <w:right w:val="single" w:sz="8" w:space="0" w:color="000000"/>
            </w:tcBorders>
            <w:vAlign w:val="center"/>
          </w:tcPr>
          <w:p w14:paraId="5FDB44AD" w14:textId="24A16173" w:rsidR="00566744" w:rsidRDefault="00000000">
            <w:pPr>
              <w:pStyle w:val="biaogeright"/>
              <w:wordWrap w:val="0"/>
              <w:rPr>
                <w:rFonts w:hint="eastAsia"/>
              </w:rPr>
            </w:pPr>
            <w:r>
              <w:rPr>
                <w:rFonts w:hAnsi="Calibri"/>
                <w:color w:val="000000"/>
              </w:rPr>
              <w:t>-</w:t>
            </w:r>
          </w:p>
        </w:tc>
        <w:tc>
          <w:tcPr>
            <w:tcW w:w="2497" w:type="dxa"/>
            <w:tcBorders>
              <w:top w:val="single" w:sz="8" w:space="0" w:color="000000"/>
              <w:left w:val="single" w:sz="8" w:space="0" w:color="000000"/>
              <w:bottom w:val="single" w:sz="6" w:space="0" w:color="000000"/>
              <w:right w:val="single" w:sz="8" w:space="0" w:color="000000"/>
            </w:tcBorders>
            <w:vAlign w:val="center"/>
          </w:tcPr>
          <w:p w14:paraId="79E678BC" w14:textId="5E244581" w:rsidR="00566744" w:rsidRDefault="00000000">
            <w:pPr>
              <w:pStyle w:val="biaogeright"/>
              <w:wordWrap w:val="0"/>
              <w:rPr>
                <w:rFonts w:hint="eastAsia"/>
              </w:rPr>
            </w:pPr>
            <w:r>
              <w:rPr>
                <w:rFonts w:hAnsi="Calibri"/>
                <w:color w:val="000000"/>
              </w:rPr>
              <w:t>-</w:t>
            </w:r>
          </w:p>
        </w:tc>
      </w:tr>
      <w:tr w:rsidR="00566744" w14:paraId="30E55333" w14:textId="77777777">
        <w:tc>
          <w:tcPr>
            <w:tcW w:w="851" w:type="dxa"/>
            <w:tcBorders>
              <w:top w:val="single" w:sz="8" w:space="0" w:color="000000"/>
              <w:left w:val="single" w:sz="8" w:space="0" w:color="000000"/>
              <w:bottom w:val="single" w:sz="6" w:space="0" w:color="000000"/>
              <w:right w:val="single" w:sz="8" w:space="0" w:color="000000"/>
            </w:tcBorders>
            <w:vAlign w:val="center"/>
          </w:tcPr>
          <w:p w14:paraId="7A880FE7" w14:textId="77777777" w:rsidR="00566744" w:rsidRDefault="00000000">
            <w:pPr>
              <w:pStyle w:val="biaogecenter"/>
              <w:wordWrap w:val="0"/>
              <w:rPr>
                <w:rFonts w:hint="eastAsia"/>
              </w:rPr>
            </w:pPr>
            <w:r>
              <w:rPr>
                <w:rFonts w:hAnsi="Calibri" w:hint="eastAsia"/>
                <w:color w:val="000000"/>
              </w:rPr>
              <w:t>3</w:t>
            </w:r>
          </w:p>
        </w:tc>
        <w:tc>
          <w:tcPr>
            <w:tcW w:w="3352" w:type="dxa"/>
            <w:tcBorders>
              <w:top w:val="single" w:sz="8" w:space="0" w:color="000000"/>
              <w:left w:val="single" w:sz="8" w:space="0" w:color="000000"/>
              <w:bottom w:val="single" w:sz="6" w:space="0" w:color="000000"/>
              <w:right w:val="single" w:sz="8" w:space="0" w:color="000000"/>
            </w:tcBorders>
            <w:vAlign w:val="center"/>
          </w:tcPr>
          <w:p w14:paraId="50D6FBC4" w14:textId="77777777" w:rsidR="00566744" w:rsidRDefault="00000000">
            <w:pPr>
              <w:pStyle w:val="biaogeleft"/>
              <w:wordWrap w:val="0"/>
              <w:rPr>
                <w:rFonts w:hint="eastAsia"/>
              </w:rPr>
            </w:pPr>
            <w:r>
              <w:rPr>
                <w:rFonts w:hint="eastAsia"/>
              </w:rPr>
              <w:t>60天（含）—90天</w:t>
            </w:r>
          </w:p>
        </w:tc>
        <w:tc>
          <w:tcPr>
            <w:tcW w:w="2498" w:type="dxa"/>
            <w:tcBorders>
              <w:top w:val="single" w:sz="8" w:space="0" w:color="000000"/>
              <w:left w:val="single" w:sz="8" w:space="0" w:color="000000"/>
              <w:bottom w:val="single" w:sz="6" w:space="0" w:color="000000"/>
              <w:right w:val="single" w:sz="8" w:space="0" w:color="000000"/>
            </w:tcBorders>
            <w:vAlign w:val="center"/>
          </w:tcPr>
          <w:p w14:paraId="628568F1" w14:textId="308B3FB4" w:rsidR="00566744" w:rsidRDefault="00000000">
            <w:pPr>
              <w:pStyle w:val="biaogeright"/>
              <w:wordWrap w:val="0"/>
              <w:rPr>
                <w:rFonts w:hint="eastAsia"/>
              </w:rPr>
            </w:pPr>
            <w:r>
              <w:rPr>
                <w:rFonts w:hAnsi="Calibri"/>
                <w:color w:val="000000"/>
              </w:rPr>
              <w:t>11.38</w:t>
            </w:r>
          </w:p>
        </w:tc>
        <w:tc>
          <w:tcPr>
            <w:tcW w:w="2497" w:type="dxa"/>
            <w:tcBorders>
              <w:top w:val="single" w:sz="8" w:space="0" w:color="000000"/>
              <w:left w:val="single" w:sz="8" w:space="0" w:color="000000"/>
              <w:bottom w:val="single" w:sz="6" w:space="0" w:color="000000"/>
              <w:right w:val="single" w:sz="8" w:space="0" w:color="000000"/>
            </w:tcBorders>
            <w:vAlign w:val="center"/>
          </w:tcPr>
          <w:p w14:paraId="3317BE1E" w14:textId="6917AE0F" w:rsidR="00566744" w:rsidRDefault="00000000">
            <w:pPr>
              <w:pStyle w:val="biaogeright"/>
              <w:wordWrap w:val="0"/>
              <w:rPr>
                <w:rFonts w:hint="eastAsia"/>
              </w:rPr>
            </w:pPr>
            <w:r>
              <w:rPr>
                <w:rFonts w:hAnsi="Calibri"/>
                <w:color w:val="000000"/>
              </w:rPr>
              <w:t>-</w:t>
            </w:r>
          </w:p>
        </w:tc>
      </w:tr>
      <w:tr w:rsidR="00566744" w14:paraId="67393675" w14:textId="77777777">
        <w:tc>
          <w:tcPr>
            <w:tcW w:w="851" w:type="dxa"/>
            <w:tcBorders>
              <w:top w:val="single" w:sz="8" w:space="0" w:color="000000"/>
              <w:left w:val="single" w:sz="8" w:space="0" w:color="000000"/>
              <w:bottom w:val="single" w:sz="6" w:space="0" w:color="000000"/>
              <w:right w:val="single" w:sz="8" w:space="0" w:color="000000"/>
            </w:tcBorders>
            <w:vAlign w:val="center"/>
          </w:tcPr>
          <w:p w14:paraId="68B59E3F" w14:textId="77777777" w:rsidR="00566744" w:rsidRDefault="00566744">
            <w:pPr>
              <w:rPr>
                <w:rFonts w:ascii="宋体" w:hAnsi="宋体" w:cs="宋体" w:hint="eastAsia"/>
                <w:kern w:val="0"/>
                <w:sz w:val="24"/>
              </w:rPr>
            </w:pPr>
          </w:p>
        </w:tc>
        <w:tc>
          <w:tcPr>
            <w:tcW w:w="3352" w:type="dxa"/>
            <w:tcBorders>
              <w:top w:val="single" w:sz="8" w:space="0" w:color="000000"/>
              <w:left w:val="single" w:sz="8" w:space="0" w:color="000000"/>
              <w:bottom w:val="single" w:sz="6" w:space="0" w:color="000000"/>
              <w:right w:val="single" w:sz="8" w:space="0" w:color="000000"/>
            </w:tcBorders>
            <w:vAlign w:val="center"/>
          </w:tcPr>
          <w:p w14:paraId="1A84C51C" w14:textId="77777777" w:rsidR="00566744" w:rsidRDefault="00000000">
            <w:pPr>
              <w:pStyle w:val="biaogeleft"/>
              <w:wordWrap w:val="0"/>
              <w:rPr>
                <w:rFonts w:hint="eastAsia"/>
              </w:rPr>
            </w:pPr>
            <w:r>
              <w:rPr>
                <w:rFonts w:hint="eastAsia"/>
              </w:rPr>
              <w:t>其中：剩余存续期超过397天的浮动利率债</w:t>
            </w:r>
          </w:p>
        </w:tc>
        <w:tc>
          <w:tcPr>
            <w:tcW w:w="2498" w:type="dxa"/>
            <w:tcBorders>
              <w:top w:val="single" w:sz="8" w:space="0" w:color="000000"/>
              <w:left w:val="single" w:sz="8" w:space="0" w:color="000000"/>
              <w:bottom w:val="single" w:sz="6" w:space="0" w:color="000000"/>
              <w:right w:val="single" w:sz="8" w:space="0" w:color="000000"/>
            </w:tcBorders>
            <w:vAlign w:val="center"/>
          </w:tcPr>
          <w:p w14:paraId="728A7E10" w14:textId="4C7D7534" w:rsidR="00566744" w:rsidRDefault="00000000">
            <w:pPr>
              <w:pStyle w:val="biaogeright"/>
              <w:wordWrap w:val="0"/>
              <w:rPr>
                <w:rFonts w:hint="eastAsia"/>
              </w:rPr>
            </w:pPr>
            <w:r>
              <w:rPr>
                <w:rFonts w:hAnsi="Calibri"/>
                <w:color w:val="000000"/>
              </w:rPr>
              <w:t>-</w:t>
            </w:r>
          </w:p>
        </w:tc>
        <w:tc>
          <w:tcPr>
            <w:tcW w:w="2497" w:type="dxa"/>
            <w:tcBorders>
              <w:top w:val="single" w:sz="8" w:space="0" w:color="000000"/>
              <w:left w:val="single" w:sz="8" w:space="0" w:color="000000"/>
              <w:bottom w:val="single" w:sz="6" w:space="0" w:color="000000"/>
              <w:right w:val="single" w:sz="8" w:space="0" w:color="000000"/>
            </w:tcBorders>
            <w:vAlign w:val="center"/>
          </w:tcPr>
          <w:p w14:paraId="4613232C" w14:textId="04061A1F" w:rsidR="00566744" w:rsidRDefault="00000000">
            <w:pPr>
              <w:pStyle w:val="biaogeright"/>
              <w:wordWrap w:val="0"/>
              <w:rPr>
                <w:rFonts w:hint="eastAsia"/>
              </w:rPr>
            </w:pPr>
            <w:r>
              <w:rPr>
                <w:rFonts w:hAnsi="Calibri"/>
                <w:color w:val="000000"/>
              </w:rPr>
              <w:t>-</w:t>
            </w:r>
          </w:p>
        </w:tc>
      </w:tr>
      <w:tr w:rsidR="00566744" w14:paraId="325F4551" w14:textId="77777777">
        <w:tc>
          <w:tcPr>
            <w:tcW w:w="851" w:type="dxa"/>
            <w:tcBorders>
              <w:top w:val="single" w:sz="8" w:space="0" w:color="000000"/>
              <w:left w:val="single" w:sz="8" w:space="0" w:color="000000"/>
              <w:bottom w:val="single" w:sz="6" w:space="0" w:color="000000"/>
              <w:right w:val="single" w:sz="8" w:space="0" w:color="000000"/>
            </w:tcBorders>
            <w:vAlign w:val="center"/>
          </w:tcPr>
          <w:p w14:paraId="18EB20CA" w14:textId="77777777" w:rsidR="00566744" w:rsidRDefault="00000000">
            <w:pPr>
              <w:pStyle w:val="biaogecenter"/>
              <w:wordWrap w:val="0"/>
              <w:rPr>
                <w:rFonts w:hint="eastAsia"/>
              </w:rPr>
            </w:pPr>
            <w:r>
              <w:rPr>
                <w:rFonts w:hAnsi="Calibri" w:hint="eastAsia"/>
                <w:color w:val="000000"/>
              </w:rPr>
              <w:t>4</w:t>
            </w:r>
          </w:p>
        </w:tc>
        <w:tc>
          <w:tcPr>
            <w:tcW w:w="3352" w:type="dxa"/>
            <w:tcBorders>
              <w:top w:val="single" w:sz="8" w:space="0" w:color="000000"/>
              <w:left w:val="single" w:sz="8" w:space="0" w:color="000000"/>
              <w:bottom w:val="single" w:sz="6" w:space="0" w:color="000000"/>
              <w:right w:val="single" w:sz="8" w:space="0" w:color="000000"/>
            </w:tcBorders>
            <w:vAlign w:val="center"/>
          </w:tcPr>
          <w:p w14:paraId="0F55A9A5" w14:textId="77777777" w:rsidR="00566744" w:rsidRDefault="00000000">
            <w:pPr>
              <w:pStyle w:val="biaogeleft"/>
              <w:wordWrap w:val="0"/>
              <w:rPr>
                <w:rFonts w:hint="eastAsia"/>
              </w:rPr>
            </w:pPr>
            <w:r>
              <w:rPr>
                <w:rFonts w:hint="eastAsia"/>
              </w:rPr>
              <w:t>90天(含)—120天</w:t>
            </w:r>
          </w:p>
        </w:tc>
        <w:tc>
          <w:tcPr>
            <w:tcW w:w="2498" w:type="dxa"/>
            <w:tcBorders>
              <w:top w:val="single" w:sz="8" w:space="0" w:color="000000"/>
              <w:left w:val="single" w:sz="8" w:space="0" w:color="000000"/>
              <w:bottom w:val="single" w:sz="6" w:space="0" w:color="000000"/>
              <w:right w:val="single" w:sz="8" w:space="0" w:color="000000"/>
            </w:tcBorders>
            <w:vAlign w:val="center"/>
          </w:tcPr>
          <w:p w14:paraId="6459E49F" w14:textId="7924BCA6" w:rsidR="00566744" w:rsidRDefault="00000000">
            <w:pPr>
              <w:pStyle w:val="biaogeright"/>
              <w:wordWrap w:val="0"/>
              <w:rPr>
                <w:rFonts w:hint="eastAsia"/>
              </w:rPr>
            </w:pPr>
            <w:r>
              <w:rPr>
                <w:rFonts w:hAnsi="Calibri"/>
                <w:color w:val="000000"/>
              </w:rPr>
              <w:t>3.05</w:t>
            </w:r>
          </w:p>
        </w:tc>
        <w:tc>
          <w:tcPr>
            <w:tcW w:w="2497" w:type="dxa"/>
            <w:tcBorders>
              <w:top w:val="single" w:sz="8" w:space="0" w:color="000000"/>
              <w:left w:val="single" w:sz="8" w:space="0" w:color="000000"/>
              <w:bottom w:val="single" w:sz="6" w:space="0" w:color="000000"/>
              <w:right w:val="single" w:sz="8" w:space="0" w:color="000000"/>
            </w:tcBorders>
            <w:vAlign w:val="center"/>
          </w:tcPr>
          <w:p w14:paraId="67A4A51D" w14:textId="11661EA6" w:rsidR="00566744" w:rsidRDefault="00000000">
            <w:pPr>
              <w:pStyle w:val="biaogeright"/>
              <w:wordWrap w:val="0"/>
              <w:rPr>
                <w:rFonts w:hint="eastAsia"/>
              </w:rPr>
            </w:pPr>
            <w:r>
              <w:rPr>
                <w:rFonts w:hAnsi="Calibri"/>
                <w:color w:val="000000"/>
              </w:rPr>
              <w:t>-</w:t>
            </w:r>
          </w:p>
        </w:tc>
      </w:tr>
      <w:tr w:rsidR="00566744" w14:paraId="659E997F" w14:textId="77777777">
        <w:tc>
          <w:tcPr>
            <w:tcW w:w="851" w:type="dxa"/>
            <w:tcBorders>
              <w:top w:val="single" w:sz="8" w:space="0" w:color="000000"/>
              <w:left w:val="single" w:sz="8" w:space="0" w:color="000000"/>
              <w:bottom w:val="single" w:sz="6" w:space="0" w:color="000000"/>
              <w:right w:val="single" w:sz="8" w:space="0" w:color="000000"/>
            </w:tcBorders>
            <w:vAlign w:val="center"/>
          </w:tcPr>
          <w:p w14:paraId="0BF310F7" w14:textId="77777777" w:rsidR="00566744" w:rsidRDefault="00566744">
            <w:pPr>
              <w:rPr>
                <w:rFonts w:ascii="宋体" w:hAnsi="宋体" w:cs="宋体" w:hint="eastAsia"/>
                <w:kern w:val="0"/>
                <w:sz w:val="24"/>
              </w:rPr>
            </w:pPr>
          </w:p>
        </w:tc>
        <w:tc>
          <w:tcPr>
            <w:tcW w:w="3352" w:type="dxa"/>
            <w:tcBorders>
              <w:top w:val="single" w:sz="8" w:space="0" w:color="000000"/>
              <w:left w:val="single" w:sz="8" w:space="0" w:color="000000"/>
              <w:bottom w:val="single" w:sz="6" w:space="0" w:color="000000"/>
              <w:right w:val="single" w:sz="8" w:space="0" w:color="000000"/>
            </w:tcBorders>
            <w:vAlign w:val="center"/>
          </w:tcPr>
          <w:p w14:paraId="06DE93B9" w14:textId="77777777" w:rsidR="00566744" w:rsidRDefault="00000000">
            <w:pPr>
              <w:pStyle w:val="biaogeleft"/>
              <w:wordWrap w:val="0"/>
              <w:rPr>
                <w:rFonts w:hint="eastAsia"/>
              </w:rPr>
            </w:pPr>
            <w:r>
              <w:rPr>
                <w:rFonts w:hint="eastAsia"/>
              </w:rPr>
              <w:t>其中：剩余存续期超过397天的浮动利率债</w:t>
            </w:r>
          </w:p>
        </w:tc>
        <w:tc>
          <w:tcPr>
            <w:tcW w:w="2498" w:type="dxa"/>
            <w:tcBorders>
              <w:top w:val="single" w:sz="8" w:space="0" w:color="000000"/>
              <w:left w:val="single" w:sz="8" w:space="0" w:color="000000"/>
              <w:bottom w:val="single" w:sz="6" w:space="0" w:color="000000"/>
              <w:right w:val="single" w:sz="8" w:space="0" w:color="000000"/>
            </w:tcBorders>
            <w:vAlign w:val="center"/>
          </w:tcPr>
          <w:p w14:paraId="23D5D855" w14:textId="15B280FA" w:rsidR="00566744" w:rsidRDefault="00000000">
            <w:pPr>
              <w:pStyle w:val="biaogeright"/>
              <w:wordWrap w:val="0"/>
              <w:rPr>
                <w:rFonts w:hint="eastAsia"/>
              </w:rPr>
            </w:pPr>
            <w:r>
              <w:rPr>
                <w:rFonts w:hAnsi="Calibri"/>
                <w:color w:val="000000"/>
              </w:rPr>
              <w:t>-</w:t>
            </w:r>
          </w:p>
        </w:tc>
        <w:tc>
          <w:tcPr>
            <w:tcW w:w="2497" w:type="dxa"/>
            <w:tcBorders>
              <w:top w:val="single" w:sz="8" w:space="0" w:color="000000"/>
              <w:left w:val="single" w:sz="8" w:space="0" w:color="000000"/>
              <w:bottom w:val="single" w:sz="6" w:space="0" w:color="000000"/>
              <w:right w:val="single" w:sz="8" w:space="0" w:color="000000"/>
            </w:tcBorders>
            <w:vAlign w:val="center"/>
          </w:tcPr>
          <w:p w14:paraId="5DD8EA3A" w14:textId="7C0AB2E9" w:rsidR="00566744" w:rsidRDefault="00000000">
            <w:pPr>
              <w:pStyle w:val="biaogeright"/>
              <w:wordWrap w:val="0"/>
              <w:rPr>
                <w:rFonts w:hint="eastAsia"/>
              </w:rPr>
            </w:pPr>
            <w:r>
              <w:rPr>
                <w:rFonts w:hAnsi="Calibri"/>
                <w:color w:val="000000"/>
              </w:rPr>
              <w:t>-</w:t>
            </w:r>
          </w:p>
        </w:tc>
      </w:tr>
      <w:tr w:rsidR="00566744" w14:paraId="53196CFE" w14:textId="77777777">
        <w:tc>
          <w:tcPr>
            <w:tcW w:w="851" w:type="dxa"/>
            <w:tcBorders>
              <w:top w:val="single" w:sz="8" w:space="0" w:color="000000"/>
              <w:left w:val="single" w:sz="8" w:space="0" w:color="000000"/>
              <w:bottom w:val="single" w:sz="6" w:space="0" w:color="000000"/>
              <w:right w:val="single" w:sz="8" w:space="0" w:color="000000"/>
            </w:tcBorders>
            <w:vAlign w:val="center"/>
          </w:tcPr>
          <w:p w14:paraId="10738298" w14:textId="77777777" w:rsidR="00566744" w:rsidRDefault="00000000">
            <w:pPr>
              <w:pStyle w:val="biaogecenter"/>
              <w:wordWrap w:val="0"/>
              <w:rPr>
                <w:rFonts w:hint="eastAsia"/>
              </w:rPr>
            </w:pPr>
            <w:r>
              <w:rPr>
                <w:rFonts w:hAnsi="Calibri" w:hint="eastAsia"/>
                <w:color w:val="000000"/>
              </w:rPr>
              <w:t>5</w:t>
            </w:r>
          </w:p>
        </w:tc>
        <w:tc>
          <w:tcPr>
            <w:tcW w:w="3352" w:type="dxa"/>
            <w:tcBorders>
              <w:top w:val="single" w:sz="8" w:space="0" w:color="000000"/>
              <w:left w:val="single" w:sz="8" w:space="0" w:color="000000"/>
              <w:bottom w:val="single" w:sz="6" w:space="0" w:color="000000"/>
              <w:right w:val="single" w:sz="8" w:space="0" w:color="000000"/>
            </w:tcBorders>
            <w:vAlign w:val="center"/>
          </w:tcPr>
          <w:p w14:paraId="3A65B273" w14:textId="77777777" w:rsidR="00566744" w:rsidRDefault="00000000">
            <w:pPr>
              <w:pStyle w:val="biaogeleft"/>
              <w:wordWrap w:val="0"/>
              <w:rPr>
                <w:rFonts w:hint="eastAsia"/>
              </w:rPr>
            </w:pPr>
            <w:r>
              <w:rPr>
                <w:rFonts w:hint="eastAsia"/>
              </w:rPr>
              <w:t>120天(含)—397天（含）</w:t>
            </w:r>
          </w:p>
        </w:tc>
        <w:tc>
          <w:tcPr>
            <w:tcW w:w="2498" w:type="dxa"/>
            <w:tcBorders>
              <w:top w:val="single" w:sz="8" w:space="0" w:color="000000"/>
              <w:left w:val="single" w:sz="8" w:space="0" w:color="000000"/>
              <w:bottom w:val="single" w:sz="6" w:space="0" w:color="000000"/>
              <w:right w:val="single" w:sz="8" w:space="0" w:color="000000"/>
            </w:tcBorders>
            <w:vAlign w:val="center"/>
          </w:tcPr>
          <w:p w14:paraId="6A7BA637" w14:textId="417E8869" w:rsidR="00566744" w:rsidRDefault="00000000">
            <w:pPr>
              <w:pStyle w:val="biaogeright"/>
              <w:wordWrap w:val="0"/>
              <w:rPr>
                <w:rFonts w:hint="eastAsia"/>
              </w:rPr>
            </w:pPr>
            <w:r>
              <w:rPr>
                <w:rFonts w:hAnsi="Calibri"/>
                <w:color w:val="000000"/>
              </w:rPr>
              <w:t>32.32</w:t>
            </w:r>
          </w:p>
        </w:tc>
        <w:tc>
          <w:tcPr>
            <w:tcW w:w="2497" w:type="dxa"/>
            <w:tcBorders>
              <w:top w:val="single" w:sz="8" w:space="0" w:color="000000"/>
              <w:left w:val="single" w:sz="8" w:space="0" w:color="000000"/>
              <w:bottom w:val="single" w:sz="6" w:space="0" w:color="000000"/>
              <w:right w:val="single" w:sz="8" w:space="0" w:color="000000"/>
            </w:tcBorders>
            <w:vAlign w:val="center"/>
          </w:tcPr>
          <w:p w14:paraId="24A46DEA" w14:textId="2E43F00C" w:rsidR="00566744" w:rsidRDefault="00000000">
            <w:pPr>
              <w:pStyle w:val="biaogeright"/>
              <w:wordWrap w:val="0"/>
              <w:rPr>
                <w:rFonts w:hint="eastAsia"/>
              </w:rPr>
            </w:pPr>
            <w:r>
              <w:rPr>
                <w:rFonts w:hAnsi="Calibri"/>
                <w:color w:val="000000"/>
              </w:rPr>
              <w:t>-</w:t>
            </w:r>
          </w:p>
        </w:tc>
      </w:tr>
      <w:tr w:rsidR="00566744" w14:paraId="7D76AA6E" w14:textId="77777777">
        <w:tc>
          <w:tcPr>
            <w:tcW w:w="851" w:type="dxa"/>
            <w:tcBorders>
              <w:top w:val="single" w:sz="8" w:space="0" w:color="000000"/>
              <w:left w:val="single" w:sz="8" w:space="0" w:color="000000"/>
              <w:bottom w:val="single" w:sz="6" w:space="0" w:color="000000"/>
              <w:right w:val="single" w:sz="8" w:space="0" w:color="000000"/>
            </w:tcBorders>
            <w:vAlign w:val="center"/>
          </w:tcPr>
          <w:p w14:paraId="117734F4" w14:textId="77777777" w:rsidR="00566744" w:rsidRDefault="00566744">
            <w:pPr>
              <w:rPr>
                <w:rFonts w:ascii="宋体" w:hAnsi="宋体" w:cs="宋体" w:hint="eastAsia"/>
                <w:kern w:val="0"/>
                <w:sz w:val="24"/>
              </w:rPr>
            </w:pPr>
          </w:p>
        </w:tc>
        <w:tc>
          <w:tcPr>
            <w:tcW w:w="3352" w:type="dxa"/>
            <w:tcBorders>
              <w:top w:val="single" w:sz="8" w:space="0" w:color="000000"/>
              <w:left w:val="single" w:sz="8" w:space="0" w:color="000000"/>
              <w:bottom w:val="single" w:sz="6" w:space="0" w:color="000000"/>
              <w:right w:val="single" w:sz="8" w:space="0" w:color="000000"/>
            </w:tcBorders>
            <w:vAlign w:val="center"/>
          </w:tcPr>
          <w:p w14:paraId="25371E9A" w14:textId="77777777" w:rsidR="00566744" w:rsidRDefault="00000000">
            <w:pPr>
              <w:pStyle w:val="biaogeleft"/>
              <w:wordWrap w:val="0"/>
              <w:rPr>
                <w:rFonts w:hint="eastAsia"/>
              </w:rPr>
            </w:pPr>
            <w:r>
              <w:rPr>
                <w:rFonts w:hint="eastAsia"/>
              </w:rPr>
              <w:t>其中：剩余存续期超过397天的浮动利率债</w:t>
            </w:r>
          </w:p>
        </w:tc>
        <w:tc>
          <w:tcPr>
            <w:tcW w:w="2498" w:type="dxa"/>
            <w:tcBorders>
              <w:top w:val="single" w:sz="8" w:space="0" w:color="000000"/>
              <w:left w:val="single" w:sz="8" w:space="0" w:color="000000"/>
              <w:bottom w:val="single" w:sz="6" w:space="0" w:color="000000"/>
              <w:right w:val="single" w:sz="8" w:space="0" w:color="000000"/>
            </w:tcBorders>
            <w:vAlign w:val="center"/>
          </w:tcPr>
          <w:p w14:paraId="4E9DC8FE" w14:textId="7F5CD645" w:rsidR="00566744" w:rsidRDefault="00000000">
            <w:pPr>
              <w:pStyle w:val="biaogeright"/>
              <w:wordWrap w:val="0"/>
              <w:rPr>
                <w:rFonts w:hint="eastAsia"/>
              </w:rPr>
            </w:pPr>
            <w:r>
              <w:rPr>
                <w:rFonts w:hAnsi="Calibri"/>
                <w:color w:val="000000"/>
              </w:rPr>
              <w:t>-</w:t>
            </w:r>
          </w:p>
        </w:tc>
        <w:tc>
          <w:tcPr>
            <w:tcW w:w="2497" w:type="dxa"/>
            <w:tcBorders>
              <w:top w:val="single" w:sz="8" w:space="0" w:color="000000"/>
              <w:left w:val="single" w:sz="8" w:space="0" w:color="000000"/>
              <w:bottom w:val="single" w:sz="6" w:space="0" w:color="000000"/>
              <w:right w:val="single" w:sz="8" w:space="0" w:color="000000"/>
            </w:tcBorders>
            <w:vAlign w:val="center"/>
          </w:tcPr>
          <w:p w14:paraId="1634AA51" w14:textId="27951412" w:rsidR="00566744" w:rsidRDefault="00000000">
            <w:pPr>
              <w:pStyle w:val="biaogeright"/>
              <w:wordWrap w:val="0"/>
              <w:rPr>
                <w:rFonts w:hint="eastAsia"/>
              </w:rPr>
            </w:pPr>
            <w:r>
              <w:rPr>
                <w:rFonts w:hAnsi="Calibri"/>
                <w:color w:val="000000"/>
              </w:rPr>
              <w:t>-</w:t>
            </w:r>
          </w:p>
        </w:tc>
      </w:tr>
      <w:tr w:rsidR="00566744" w14:paraId="0D10F0A3" w14:textId="77777777">
        <w:tc>
          <w:tcPr>
            <w:tcW w:w="4203" w:type="dxa"/>
            <w:gridSpan w:val="2"/>
            <w:tcBorders>
              <w:top w:val="single" w:sz="8" w:space="0" w:color="000000"/>
              <w:left w:val="single" w:sz="8" w:space="0" w:color="000000"/>
              <w:bottom w:val="single" w:sz="6" w:space="0" w:color="000000"/>
              <w:right w:val="single" w:sz="8" w:space="0" w:color="000000"/>
            </w:tcBorders>
            <w:vAlign w:val="center"/>
          </w:tcPr>
          <w:p w14:paraId="4C754954" w14:textId="77777777" w:rsidR="00566744" w:rsidRDefault="00000000">
            <w:pPr>
              <w:pStyle w:val="biaogecenter"/>
              <w:wordWrap w:val="0"/>
              <w:rPr>
                <w:rFonts w:hint="eastAsia"/>
              </w:rPr>
            </w:pPr>
            <w:r>
              <w:rPr>
                <w:rFonts w:hint="eastAsia"/>
              </w:rPr>
              <w:t>合计</w:t>
            </w:r>
          </w:p>
        </w:tc>
        <w:tc>
          <w:tcPr>
            <w:tcW w:w="2498" w:type="dxa"/>
            <w:tcBorders>
              <w:top w:val="single" w:sz="8" w:space="0" w:color="000000"/>
              <w:left w:val="single" w:sz="8" w:space="0" w:color="000000"/>
              <w:bottom w:val="single" w:sz="6" w:space="0" w:color="000000"/>
              <w:right w:val="single" w:sz="8" w:space="0" w:color="000000"/>
            </w:tcBorders>
            <w:vAlign w:val="center"/>
          </w:tcPr>
          <w:p w14:paraId="4A8AEFA9" w14:textId="1D2FCBE3" w:rsidR="00566744" w:rsidRDefault="00000000">
            <w:pPr>
              <w:pStyle w:val="biaogeright"/>
              <w:wordWrap w:val="0"/>
              <w:rPr>
                <w:rFonts w:hint="eastAsia"/>
              </w:rPr>
            </w:pPr>
            <w:r>
              <w:rPr>
                <w:rFonts w:hAnsi="Calibri"/>
                <w:color w:val="000000"/>
              </w:rPr>
              <w:t>102.33</w:t>
            </w:r>
          </w:p>
        </w:tc>
        <w:tc>
          <w:tcPr>
            <w:tcW w:w="2497" w:type="dxa"/>
            <w:tcBorders>
              <w:top w:val="single" w:sz="8" w:space="0" w:color="000000"/>
              <w:left w:val="single" w:sz="8" w:space="0" w:color="000000"/>
              <w:bottom w:val="single" w:sz="6" w:space="0" w:color="000000"/>
              <w:right w:val="single" w:sz="8" w:space="0" w:color="000000"/>
            </w:tcBorders>
            <w:vAlign w:val="center"/>
          </w:tcPr>
          <w:p w14:paraId="4F18FF8F" w14:textId="4DAD72AB" w:rsidR="00566744" w:rsidRDefault="00000000">
            <w:pPr>
              <w:pStyle w:val="biaogeright"/>
              <w:wordWrap w:val="0"/>
              <w:rPr>
                <w:rFonts w:hint="eastAsia"/>
              </w:rPr>
            </w:pPr>
            <w:r>
              <w:rPr>
                <w:rFonts w:hAnsi="Calibri"/>
                <w:color w:val="000000"/>
              </w:rPr>
              <w:t>2.29</w:t>
            </w:r>
          </w:p>
        </w:tc>
      </w:tr>
    </w:tbl>
    <w:p w14:paraId="5DEC4EF7" w14:textId="77777777" w:rsidR="00566744" w:rsidRDefault="00566744">
      <w:pPr>
        <w:spacing w:line="360" w:lineRule="auto"/>
        <w:rPr>
          <w:rFonts w:asciiTheme="minorEastAsia" w:eastAsiaTheme="minorEastAsia" w:hAnsiTheme="minorEastAsia" w:hint="eastAsia"/>
          <w:sz w:val="24"/>
        </w:rPr>
      </w:pPr>
    </w:p>
    <w:p w14:paraId="4D9E4AF2" w14:textId="77777777" w:rsidR="00566744" w:rsidRDefault="00000000">
      <w:pPr>
        <w:spacing w:line="360" w:lineRule="auto"/>
        <w:ind w:firstLineChars="177" w:firstLine="425"/>
        <w:rPr>
          <w:rFonts w:ascii="宋体" w:hAnsi="宋体" w:hint="eastAsia"/>
          <w:sz w:val="24"/>
        </w:rPr>
      </w:pPr>
      <w:r>
        <w:rPr>
          <w:rFonts w:ascii="宋体" w:hAnsi="宋体" w:hint="eastAsia"/>
          <w:sz w:val="24"/>
        </w:rPr>
        <w:t>4、报告期内投资组合平均剩余存续期超过240天情况说明</w:t>
      </w:r>
    </w:p>
    <w:p w14:paraId="4CAE115C" w14:textId="77777777" w:rsidR="00566744" w:rsidRDefault="00000000">
      <w:pPr>
        <w:pStyle w:val="neirong"/>
        <w:spacing w:line="360" w:lineRule="auto"/>
        <w:ind w:leftChars="7" w:firstLineChars="200" w:firstLine="480"/>
        <w:rPr>
          <w:rFonts w:hint="eastAsia"/>
        </w:rPr>
      </w:pPr>
      <w:r>
        <w:rPr>
          <w:rFonts w:hint="eastAsia"/>
        </w:rPr>
        <w:t>本基金本报告期内投资组合平均剩余存续期</w:t>
      </w:r>
      <w:proofErr w:type="gramStart"/>
      <w:r>
        <w:rPr>
          <w:rFonts w:hint="eastAsia"/>
        </w:rPr>
        <w:t>无超过</w:t>
      </w:r>
      <w:proofErr w:type="gramEnd"/>
      <w:r>
        <w:rPr>
          <w:rFonts w:hint="eastAsia"/>
        </w:rPr>
        <w:t>240天的情况。</w:t>
      </w:r>
    </w:p>
    <w:p w14:paraId="4CDCE265" w14:textId="77777777" w:rsidR="00566744" w:rsidRDefault="00566744">
      <w:pPr>
        <w:spacing w:line="360" w:lineRule="auto"/>
        <w:ind w:firstLineChars="177" w:firstLine="425"/>
        <w:rPr>
          <w:rFonts w:ascii="宋体" w:hAnsi="宋体" w:hint="eastAsia"/>
          <w:sz w:val="24"/>
        </w:rPr>
      </w:pPr>
    </w:p>
    <w:p w14:paraId="50E60CB7" w14:textId="77777777" w:rsidR="00566744" w:rsidRDefault="00000000">
      <w:pPr>
        <w:spacing w:line="360" w:lineRule="auto"/>
        <w:ind w:firstLineChars="177" w:firstLine="425"/>
        <w:rPr>
          <w:rFonts w:ascii="宋体" w:hAnsi="宋体" w:hint="eastAsia"/>
          <w:sz w:val="24"/>
        </w:rPr>
      </w:pPr>
      <w:r>
        <w:rPr>
          <w:rFonts w:ascii="宋体" w:hAnsi="宋体" w:hint="eastAsia"/>
          <w:sz w:val="24"/>
        </w:rPr>
        <w:t>5、报告期末按债券品种分类的债券投资组合</w:t>
      </w:r>
    </w:p>
    <w:tbl>
      <w:tblPr>
        <w:tblW w:w="9030" w:type="dxa"/>
        <w:tblInd w:w="108" w:type="dxa"/>
        <w:tblLook w:val="04A0" w:firstRow="1" w:lastRow="0" w:firstColumn="1" w:lastColumn="0" w:noHBand="0" w:noVBand="1"/>
      </w:tblPr>
      <w:tblGrid>
        <w:gridCol w:w="722"/>
        <w:gridCol w:w="3251"/>
        <w:gridCol w:w="2529"/>
        <w:gridCol w:w="2528"/>
      </w:tblGrid>
      <w:tr w:rsidR="00566744" w14:paraId="0706742C" w14:textId="77777777">
        <w:tc>
          <w:tcPr>
            <w:tcW w:w="722" w:type="dxa"/>
            <w:tcBorders>
              <w:top w:val="single" w:sz="8" w:space="0" w:color="000000"/>
              <w:left w:val="single" w:sz="8" w:space="0" w:color="000000"/>
              <w:bottom w:val="single" w:sz="6" w:space="0" w:color="000000"/>
              <w:right w:val="single" w:sz="8" w:space="0" w:color="000000"/>
            </w:tcBorders>
            <w:vAlign w:val="center"/>
          </w:tcPr>
          <w:p w14:paraId="2482A206" w14:textId="77777777" w:rsidR="00566744" w:rsidRDefault="00000000">
            <w:pPr>
              <w:pStyle w:val="biaogecenter"/>
              <w:wordWrap w:val="0"/>
              <w:rPr>
                <w:rFonts w:hint="eastAsia"/>
              </w:rPr>
            </w:pPr>
            <w:r>
              <w:rPr>
                <w:rFonts w:hAnsi="Calibri" w:hint="eastAsia"/>
                <w:color w:val="000000"/>
              </w:rPr>
              <w:t>序号</w:t>
            </w:r>
          </w:p>
        </w:tc>
        <w:tc>
          <w:tcPr>
            <w:tcW w:w="3251" w:type="dxa"/>
            <w:tcBorders>
              <w:top w:val="single" w:sz="8" w:space="0" w:color="000000"/>
              <w:left w:val="single" w:sz="8" w:space="0" w:color="000000"/>
              <w:bottom w:val="single" w:sz="6" w:space="0" w:color="000000"/>
              <w:right w:val="single" w:sz="8" w:space="0" w:color="000000"/>
            </w:tcBorders>
            <w:vAlign w:val="center"/>
          </w:tcPr>
          <w:p w14:paraId="428E75FA" w14:textId="77777777" w:rsidR="00566744" w:rsidRDefault="00000000">
            <w:pPr>
              <w:pStyle w:val="biaogecenter"/>
              <w:wordWrap w:val="0"/>
              <w:rPr>
                <w:rFonts w:hint="eastAsia"/>
              </w:rPr>
            </w:pPr>
            <w:r>
              <w:rPr>
                <w:rFonts w:hAnsi="Calibri" w:hint="eastAsia"/>
                <w:color w:val="000000"/>
              </w:rPr>
              <w:t>债券品种</w:t>
            </w:r>
          </w:p>
        </w:tc>
        <w:tc>
          <w:tcPr>
            <w:tcW w:w="2529" w:type="dxa"/>
            <w:tcBorders>
              <w:top w:val="single" w:sz="8" w:space="0" w:color="000000"/>
              <w:left w:val="single" w:sz="8" w:space="0" w:color="000000"/>
              <w:bottom w:val="single" w:sz="6" w:space="0" w:color="000000"/>
              <w:right w:val="single" w:sz="8" w:space="0" w:color="000000"/>
            </w:tcBorders>
            <w:vAlign w:val="center"/>
          </w:tcPr>
          <w:p w14:paraId="6E50E1B1" w14:textId="77777777" w:rsidR="00566744" w:rsidRDefault="00000000">
            <w:pPr>
              <w:pStyle w:val="biaogecenter"/>
              <w:wordWrap w:val="0"/>
              <w:rPr>
                <w:rFonts w:hint="eastAsia"/>
              </w:rPr>
            </w:pPr>
            <w:r>
              <w:rPr>
                <w:rFonts w:hAnsi="Calibri" w:hint="eastAsia"/>
                <w:color w:val="000000"/>
              </w:rPr>
              <w:t>摊</w:t>
            </w:r>
            <w:proofErr w:type="gramStart"/>
            <w:r>
              <w:rPr>
                <w:rFonts w:hAnsi="Calibri" w:hint="eastAsia"/>
                <w:color w:val="000000"/>
              </w:rPr>
              <w:t>余成本</w:t>
            </w:r>
            <w:proofErr w:type="gramEnd"/>
            <w:r>
              <w:rPr>
                <w:rFonts w:hAnsi="Calibri" w:hint="eastAsia"/>
                <w:color w:val="000000"/>
              </w:rPr>
              <w:t>(元)</w:t>
            </w:r>
          </w:p>
        </w:tc>
        <w:tc>
          <w:tcPr>
            <w:tcW w:w="2528" w:type="dxa"/>
            <w:tcBorders>
              <w:top w:val="single" w:sz="8" w:space="0" w:color="000000"/>
              <w:left w:val="single" w:sz="8" w:space="0" w:color="000000"/>
              <w:bottom w:val="single" w:sz="6" w:space="0" w:color="000000"/>
              <w:right w:val="single" w:sz="8" w:space="0" w:color="000000"/>
            </w:tcBorders>
            <w:vAlign w:val="center"/>
          </w:tcPr>
          <w:p w14:paraId="2FEF3664" w14:textId="77777777" w:rsidR="00566744" w:rsidRDefault="00000000">
            <w:pPr>
              <w:pStyle w:val="biaogecenter"/>
              <w:wordWrap w:val="0"/>
              <w:rPr>
                <w:rFonts w:hint="eastAsia"/>
              </w:rPr>
            </w:pPr>
            <w:r>
              <w:rPr>
                <w:rFonts w:hAnsi="Calibri" w:hint="eastAsia"/>
                <w:color w:val="000000"/>
              </w:rPr>
              <w:t>占基金资产净值比例（％）</w:t>
            </w:r>
          </w:p>
        </w:tc>
      </w:tr>
      <w:tr w:rsidR="00566744" w14:paraId="7BDF14CF" w14:textId="77777777">
        <w:tc>
          <w:tcPr>
            <w:tcW w:w="722" w:type="dxa"/>
            <w:tcBorders>
              <w:top w:val="single" w:sz="8" w:space="0" w:color="000000"/>
              <w:left w:val="single" w:sz="8" w:space="0" w:color="000000"/>
              <w:bottom w:val="single" w:sz="6" w:space="0" w:color="000000"/>
              <w:right w:val="single" w:sz="8" w:space="0" w:color="000000"/>
            </w:tcBorders>
            <w:vAlign w:val="center"/>
          </w:tcPr>
          <w:p w14:paraId="1DA3674C" w14:textId="77777777" w:rsidR="00566744" w:rsidRDefault="00000000">
            <w:pPr>
              <w:pStyle w:val="biaogecenter"/>
              <w:wordWrap w:val="0"/>
              <w:rPr>
                <w:rFonts w:hint="eastAsia"/>
              </w:rPr>
            </w:pPr>
            <w:r>
              <w:rPr>
                <w:rFonts w:hAnsi="Calibri" w:hint="eastAsia"/>
                <w:color w:val="000000"/>
              </w:rPr>
              <w:t>1</w:t>
            </w:r>
          </w:p>
        </w:tc>
        <w:tc>
          <w:tcPr>
            <w:tcW w:w="3251" w:type="dxa"/>
            <w:tcBorders>
              <w:top w:val="single" w:sz="8" w:space="0" w:color="000000"/>
              <w:left w:val="single" w:sz="8" w:space="0" w:color="000000"/>
              <w:bottom w:val="single" w:sz="6" w:space="0" w:color="000000"/>
              <w:right w:val="single" w:sz="8" w:space="0" w:color="000000"/>
            </w:tcBorders>
            <w:vAlign w:val="center"/>
          </w:tcPr>
          <w:p w14:paraId="20BE81A3" w14:textId="77777777" w:rsidR="00566744" w:rsidRDefault="00000000">
            <w:pPr>
              <w:pStyle w:val="biaogeleft"/>
              <w:wordWrap w:val="0"/>
              <w:rPr>
                <w:rFonts w:hint="eastAsia"/>
              </w:rPr>
            </w:pPr>
            <w:r>
              <w:rPr>
                <w:rFonts w:hint="eastAsia"/>
              </w:rPr>
              <w:t>国家债券</w:t>
            </w:r>
          </w:p>
        </w:tc>
        <w:tc>
          <w:tcPr>
            <w:tcW w:w="2529" w:type="dxa"/>
            <w:tcBorders>
              <w:top w:val="single" w:sz="8" w:space="0" w:color="000000"/>
              <w:left w:val="single" w:sz="8" w:space="0" w:color="000000"/>
              <w:bottom w:val="single" w:sz="6" w:space="0" w:color="000000"/>
              <w:right w:val="single" w:sz="8" w:space="0" w:color="000000"/>
            </w:tcBorders>
            <w:vAlign w:val="center"/>
          </w:tcPr>
          <w:p w14:paraId="47801871" w14:textId="1214F499" w:rsidR="00566744" w:rsidRDefault="00000000">
            <w:pPr>
              <w:pStyle w:val="biaogeright"/>
              <w:wordWrap w:val="0"/>
              <w:rPr>
                <w:rFonts w:hint="eastAsia"/>
              </w:rPr>
            </w:pPr>
            <w:r>
              <w:rPr>
                <w:rFonts w:hAnsi="Calibri"/>
                <w:color w:val="000000"/>
              </w:rPr>
              <w:t>-</w:t>
            </w:r>
          </w:p>
        </w:tc>
        <w:tc>
          <w:tcPr>
            <w:tcW w:w="2528" w:type="dxa"/>
            <w:tcBorders>
              <w:top w:val="single" w:sz="8" w:space="0" w:color="000000"/>
              <w:left w:val="single" w:sz="8" w:space="0" w:color="000000"/>
              <w:bottom w:val="single" w:sz="6" w:space="0" w:color="000000"/>
              <w:right w:val="single" w:sz="8" w:space="0" w:color="000000"/>
            </w:tcBorders>
            <w:vAlign w:val="center"/>
          </w:tcPr>
          <w:p w14:paraId="183672CE" w14:textId="48F84954" w:rsidR="00566744" w:rsidRDefault="00000000">
            <w:pPr>
              <w:pStyle w:val="biaogeright"/>
              <w:wordWrap w:val="0"/>
              <w:rPr>
                <w:rFonts w:hint="eastAsia"/>
              </w:rPr>
            </w:pPr>
            <w:r>
              <w:rPr>
                <w:rFonts w:hAnsi="Calibri"/>
                <w:color w:val="000000"/>
              </w:rPr>
              <w:t>-</w:t>
            </w:r>
          </w:p>
        </w:tc>
      </w:tr>
      <w:tr w:rsidR="00566744" w14:paraId="186211AE" w14:textId="77777777">
        <w:tc>
          <w:tcPr>
            <w:tcW w:w="722" w:type="dxa"/>
            <w:tcBorders>
              <w:top w:val="single" w:sz="8" w:space="0" w:color="000000"/>
              <w:left w:val="single" w:sz="8" w:space="0" w:color="000000"/>
              <w:bottom w:val="single" w:sz="6" w:space="0" w:color="000000"/>
              <w:right w:val="single" w:sz="8" w:space="0" w:color="000000"/>
            </w:tcBorders>
            <w:vAlign w:val="center"/>
          </w:tcPr>
          <w:p w14:paraId="382E5072" w14:textId="77777777" w:rsidR="00566744" w:rsidRDefault="00000000">
            <w:pPr>
              <w:pStyle w:val="biaogecenter"/>
              <w:wordWrap w:val="0"/>
              <w:rPr>
                <w:rFonts w:hint="eastAsia"/>
              </w:rPr>
            </w:pPr>
            <w:r>
              <w:rPr>
                <w:rFonts w:hAnsi="Calibri" w:hint="eastAsia"/>
                <w:color w:val="000000"/>
              </w:rPr>
              <w:t>2</w:t>
            </w:r>
          </w:p>
        </w:tc>
        <w:tc>
          <w:tcPr>
            <w:tcW w:w="3251" w:type="dxa"/>
            <w:tcBorders>
              <w:top w:val="single" w:sz="8" w:space="0" w:color="000000"/>
              <w:left w:val="single" w:sz="8" w:space="0" w:color="000000"/>
              <w:bottom w:val="single" w:sz="6" w:space="0" w:color="000000"/>
              <w:right w:val="single" w:sz="8" w:space="0" w:color="000000"/>
            </w:tcBorders>
            <w:vAlign w:val="center"/>
          </w:tcPr>
          <w:p w14:paraId="63D0FA02" w14:textId="77777777" w:rsidR="00566744" w:rsidRDefault="00000000">
            <w:pPr>
              <w:pStyle w:val="biaogeleft"/>
              <w:wordWrap w:val="0"/>
              <w:rPr>
                <w:rFonts w:hint="eastAsia"/>
              </w:rPr>
            </w:pPr>
            <w:r>
              <w:rPr>
                <w:rFonts w:hint="eastAsia"/>
              </w:rPr>
              <w:t>央行票据</w:t>
            </w:r>
          </w:p>
        </w:tc>
        <w:tc>
          <w:tcPr>
            <w:tcW w:w="2529" w:type="dxa"/>
            <w:tcBorders>
              <w:top w:val="single" w:sz="8" w:space="0" w:color="000000"/>
              <w:left w:val="single" w:sz="8" w:space="0" w:color="000000"/>
              <w:bottom w:val="single" w:sz="6" w:space="0" w:color="000000"/>
              <w:right w:val="single" w:sz="8" w:space="0" w:color="000000"/>
            </w:tcBorders>
            <w:vAlign w:val="center"/>
          </w:tcPr>
          <w:p w14:paraId="6313FB56" w14:textId="7821FABF" w:rsidR="00566744" w:rsidRDefault="00000000">
            <w:pPr>
              <w:pStyle w:val="biaogeright"/>
              <w:wordWrap w:val="0"/>
              <w:rPr>
                <w:rFonts w:hint="eastAsia"/>
              </w:rPr>
            </w:pPr>
            <w:r>
              <w:rPr>
                <w:rFonts w:hAnsi="Calibri"/>
                <w:color w:val="000000"/>
              </w:rPr>
              <w:t>-</w:t>
            </w:r>
          </w:p>
        </w:tc>
        <w:tc>
          <w:tcPr>
            <w:tcW w:w="2528" w:type="dxa"/>
            <w:tcBorders>
              <w:top w:val="single" w:sz="8" w:space="0" w:color="000000"/>
              <w:left w:val="single" w:sz="8" w:space="0" w:color="000000"/>
              <w:bottom w:val="single" w:sz="6" w:space="0" w:color="000000"/>
              <w:right w:val="single" w:sz="8" w:space="0" w:color="000000"/>
            </w:tcBorders>
            <w:vAlign w:val="center"/>
          </w:tcPr>
          <w:p w14:paraId="109DFF91" w14:textId="4A9D6C6B" w:rsidR="00566744" w:rsidRDefault="00000000">
            <w:pPr>
              <w:pStyle w:val="biaogeright"/>
              <w:wordWrap w:val="0"/>
              <w:rPr>
                <w:rFonts w:hint="eastAsia"/>
              </w:rPr>
            </w:pPr>
            <w:r>
              <w:rPr>
                <w:rFonts w:hAnsi="Calibri"/>
                <w:color w:val="000000"/>
              </w:rPr>
              <w:t>-</w:t>
            </w:r>
          </w:p>
        </w:tc>
      </w:tr>
      <w:tr w:rsidR="00566744" w14:paraId="7F0F2E66" w14:textId="77777777">
        <w:tc>
          <w:tcPr>
            <w:tcW w:w="722" w:type="dxa"/>
            <w:tcBorders>
              <w:top w:val="single" w:sz="8" w:space="0" w:color="000000"/>
              <w:left w:val="single" w:sz="8" w:space="0" w:color="000000"/>
              <w:bottom w:val="single" w:sz="6" w:space="0" w:color="000000"/>
              <w:right w:val="single" w:sz="8" w:space="0" w:color="000000"/>
            </w:tcBorders>
            <w:vAlign w:val="center"/>
          </w:tcPr>
          <w:p w14:paraId="054CF5F0" w14:textId="77777777" w:rsidR="00566744" w:rsidRDefault="00000000">
            <w:pPr>
              <w:pStyle w:val="biaogecenter"/>
              <w:wordWrap w:val="0"/>
              <w:rPr>
                <w:rFonts w:hint="eastAsia"/>
              </w:rPr>
            </w:pPr>
            <w:r>
              <w:rPr>
                <w:rFonts w:hAnsi="Calibri" w:hint="eastAsia"/>
                <w:color w:val="000000"/>
              </w:rPr>
              <w:t>3</w:t>
            </w:r>
          </w:p>
        </w:tc>
        <w:tc>
          <w:tcPr>
            <w:tcW w:w="3251" w:type="dxa"/>
            <w:tcBorders>
              <w:top w:val="single" w:sz="8" w:space="0" w:color="000000"/>
              <w:left w:val="single" w:sz="8" w:space="0" w:color="000000"/>
              <w:bottom w:val="single" w:sz="6" w:space="0" w:color="000000"/>
              <w:right w:val="single" w:sz="8" w:space="0" w:color="000000"/>
            </w:tcBorders>
            <w:vAlign w:val="center"/>
          </w:tcPr>
          <w:p w14:paraId="7483B4BA" w14:textId="77777777" w:rsidR="00566744" w:rsidRDefault="00000000">
            <w:pPr>
              <w:pStyle w:val="biaogeleft"/>
              <w:wordWrap w:val="0"/>
              <w:rPr>
                <w:rFonts w:hint="eastAsia"/>
              </w:rPr>
            </w:pPr>
            <w:r>
              <w:rPr>
                <w:rFonts w:hint="eastAsia"/>
              </w:rPr>
              <w:t>金融债券</w:t>
            </w:r>
          </w:p>
        </w:tc>
        <w:tc>
          <w:tcPr>
            <w:tcW w:w="2529" w:type="dxa"/>
            <w:tcBorders>
              <w:top w:val="single" w:sz="8" w:space="0" w:color="000000"/>
              <w:left w:val="single" w:sz="8" w:space="0" w:color="000000"/>
              <w:bottom w:val="single" w:sz="6" w:space="0" w:color="000000"/>
              <w:right w:val="single" w:sz="8" w:space="0" w:color="000000"/>
            </w:tcBorders>
            <w:vAlign w:val="center"/>
          </w:tcPr>
          <w:p w14:paraId="7BB93AC7" w14:textId="1455289B" w:rsidR="00566744" w:rsidRDefault="00000000">
            <w:pPr>
              <w:pStyle w:val="biaogeright"/>
              <w:wordWrap w:val="0"/>
              <w:rPr>
                <w:rFonts w:hint="eastAsia"/>
              </w:rPr>
            </w:pPr>
            <w:r>
              <w:rPr>
                <w:rFonts w:hAnsi="Calibri"/>
                <w:color w:val="000000"/>
              </w:rPr>
              <w:t>516,647,868.81</w:t>
            </w:r>
          </w:p>
        </w:tc>
        <w:tc>
          <w:tcPr>
            <w:tcW w:w="2528" w:type="dxa"/>
            <w:tcBorders>
              <w:top w:val="single" w:sz="8" w:space="0" w:color="000000"/>
              <w:left w:val="single" w:sz="8" w:space="0" w:color="000000"/>
              <w:bottom w:val="single" w:sz="6" w:space="0" w:color="000000"/>
              <w:right w:val="single" w:sz="8" w:space="0" w:color="000000"/>
            </w:tcBorders>
            <w:vAlign w:val="center"/>
          </w:tcPr>
          <w:p w14:paraId="0C10E433" w14:textId="22036CB8" w:rsidR="00566744" w:rsidRDefault="00000000">
            <w:pPr>
              <w:pStyle w:val="biaogeright"/>
              <w:wordWrap w:val="0"/>
              <w:rPr>
                <w:rFonts w:hint="eastAsia"/>
              </w:rPr>
            </w:pPr>
            <w:r>
              <w:rPr>
                <w:rFonts w:hAnsi="Calibri"/>
                <w:color w:val="000000"/>
              </w:rPr>
              <w:t>5.08</w:t>
            </w:r>
          </w:p>
        </w:tc>
      </w:tr>
      <w:tr w:rsidR="00566744" w14:paraId="5FCD2B15" w14:textId="77777777">
        <w:tc>
          <w:tcPr>
            <w:tcW w:w="722" w:type="dxa"/>
            <w:tcBorders>
              <w:top w:val="single" w:sz="8" w:space="0" w:color="000000"/>
              <w:left w:val="single" w:sz="8" w:space="0" w:color="000000"/>
              <w:bottom w:val="single" w:sz="6" w:space="0" w:color="000000"/>
              <w:right w:val="single" w:sz="8" w:space="0" w:color="000000"/>
            </w:tcBorders>
            <w:vAlign w:val="center"/>
          </w:tcPr>
          <w:p w14:paraId="0473EFE7" w14:textId="77777777" w:rsidR="00566744" w:rsidRDefault="00566744">
            <w:pPr>
              <w:rPr>
                <w:rFonts w:ascii="宋体" w:hAnsi="宋体" w:cs="宋体" w:hint="eastAsia"/>
                <w:kern w:val="0"/>
                <w:sz w:val="24"/>
              </w:rPr>
            </w:pPr>
          </w:p>
        </w:tc>
        <w:tc>
          <w:tcPr>
            <w:tcW w:w="3251" w:type="dxa"/>
            <w:tcBorders>
              <w:top w:val="single" w:sz="8" w:space="0" w:color="000000"/>
              <w:left w:val="single" w:sz="8" w:space="0" w:color="000000"/>
              <w:bottom w:val="single" w:sz="6" w:space="0" w:color="000000"/>
              <w:right w:val="single" w:sz="8" w:space="0" w:color="000000"/>
            </w:tcBorders>
            <w:vAlign w:val="center"/>
          </w:tcPr>
          <w:p w14:paraId="6EC7134F" w14:textId="77777777" w:rsidR="00566744" w:rsidRDefault="00000000">
            <w:pPr>
              <w:pStyle w:val="biaogeleft"/>
              <w:wordWrap w:val="0"/>
              <w:rPr>
                <w:rFonts w:hint="eastAsia"/>
              </w:rPr>
            </w:pPr>
            <w:r>
              <w:rPr>
                <w:rFonts w:hint="eastAsia"/>
              </w:rPr>
              <w:t>其中：政策性金融债</w:t>
            </w:r>
          </w:p>
        </w:tc>
        <w:tc>
          <w:tcPr>
            <w:tcW w:w="2529" w:type="dxa"/>
            <w:tcBorders>
              <w:top w:val="single" w:sz="8" w:space="0" w:color="000000"/>
              <w:left w:val="single" w:sz="8" w:space="0" w:color="000000"/>
              <w:bottom w:val="single" w:sz="6" w:space="0" w:color="000000"/>
              <w:right w:val="single" w:sz="8" w:space="0" w:color="000000"/>
            </w:tcBorders>
            <w:vAlign w:val="center"/>
          </w:tcPr>
          <w:p w14:paraId="663CA5D9" w14:textId="786EA156" w:rsidR="00566744" w:rsidRDefault="00000000">
            <w:pPr>
              <w:pStyle w:val="biaogeright"/>
              <w:wordWrap w:val="0"/>
              <w:rPr>
                <w:rFonts w:hint="eastAsia"/>
              </w:rPr>
            </w:pPr>
            <w:r>
              <w:rPr>
                <w:rFonts w:hAnsi="Calibri"/>
                <w:color w:val="000000"/>
              </w:rPr>
              <w:t>516,647,868.81</w:t>
            </w:r>
          </w:p>
        </w:tc>
        <w:tc>
          <w:tcPr>
            <w:tcW w:w="2528" w:type="dxa"/>
            <w:tcBorders>
              <w:top w:val="single" w:sz="8" w:space="0" w:color="000000"/>
              <w:left w:val="single" w:sz="8" w:space="0" w:color="000000"/>
              <w:bottom w:val="single" w:sz="6" w:space="0" w:color="000000"/>
              <w:right w:val="single" w:sz="8" w:space="0" w:color="000000"/>
            </w:tcBorders>
            <w:vAlign w:val="center"/>
          </w:tcPr>
          <w:p w14:paraId="3FB36241" w14:textId="47305FEB" w:rsidR="00566744" w:rsidRDefault="00000000">
            <w:pPr>
              <w:pStyle w:val="biaogeright"/>
              <w:wordWrap w:val="0"/>
              <w:rPr>
                <w:rFonts w:hint="eastAsia"/>
              </w:rPr>
            </w:pPr>
            <w:r>
              <w:rPr>
                <w:rFonts w:hAnsi="Calibri"/>
                <w:color w:val="000000"/>
              </w:rPr>
              <w:t>5.08</w:t>
            </w:r>
          </w:p>
        </w:tc>
      </w:tr>
      <w:tr w:rsidR="00566744" w14:paraId="4587B659" w14:textId="77777777">
        <w:tc>
          <w:tcPr>
            <w:tcW w:w="722" w:type="dxa"/>
            <w:tcBorders>
              <w:top w:val="single" w:sz="8" w:space="0" w:color="000000"/>
              <w:left w:val="single" w:sz="8" w:space="0" w:color="000000"/>
              <w:bottom w:val="single" w:sz="6" w:space="0" w:color="000000"/>
              <w:right w:val="single" w:sz="8" w:space="0" w:color="000000"/>
            </w:tcBorders>
            <w:vAlign w:val="center"/>
          </w:tcPr>
          <w:p w14:paraId="5CFAABCE" w14:textId="77777777" w:rsidR="00566744" w:rsidRDefault="00000000">
            <w:pPr>
              <w:pStyle w:val="biaogecenter"/>
              <w:wordWrap w:val="0"/>
              <w:rPr>
                <w:rFonts w:hint="eastAsia"/>
              </w:rPr>
            </w:pPr>
            <w:r>
              <w:rPr>
                <w:rFonts w:hAnsi="Calibri" w:hint="eastAsia"/>
                <w:color w:val="000000"/>
              </w:rPr>
              <w:t>4</w:t>
            </w:r>
          </w:p>
        </w:tc>
        <w:tc>
          <w:tcPr>
            <w:tcW w:w="3251" w:type="dxa"/>
            <w:tcBorders>
              <w:top w:val="single" w:sz="8" w:space="0" w:color="000000"/>
              <w:left w:val="single" w:sz="8" w:space="0" w:color="000000"/>
              <w:bottom w:val="single" w:sz="6" w:space="0" w:color="000000"/>
              <w:right w:val="single" w:sz="8" w:space="0" w:color="000000"/>
            </w:tcBorders>
            <w:vAlign w:val="center"/>
          </w:tcPr>
          <w:p w14:paraId="179DDC40" w14:textId="77777777" w:rsidR="00566744" w:rsidRDefault="00000000">
            <w:pPr>
              <w:pStyle w:val="biaogeleft"/>
              <w:wordWrap w:val="0"/>
              <w:rPr>
                <w:rFonts w:hint="eastAsia"/>
              </w:rPr>
            </w:pPr>
            <w:r>
              <w:rPr>
                <w:rFonts w:hint="eastAsia"/>
              </w:rPr>
              <w:t>企业债券</w:t>
            </w:r>
          </w:p>
        </w:tc>
        <w:tc>
          <w:tcPr>
            <w:tcW w:w="2529" w:type="dxa"/>
            <w:tcBorders>
              <w:top w:val="single" w:sz="8" w:space="0" w:color="000000"/>
              <w:left w:val="single" w:sz="8" w:space="0" w:color="000000"/>
              <w:bottom w:val="single" w:sz="6" w:space="0" w:color="000000"/>
              <w:right w:val="single" w:sz="8" w:space="0" w:color="000000"/>
            </w:tcBorders>
            <w:vAlign w:val="center"/>
          </w:tcPr>
          <w:p w14:paraId="1E1731A2" w14:textId="25DCA7FE" w:rsidR="00566744" w:rsidRDefault="00000000">
            <w:pPr>
              <w:pStyle w:val="biaogeright"/>
              <w:wordWrap w:val="0"/>
              <w:rPr>
                <w:rFonts w:hint="eastAsia"/>
              </w:rPr>
            </w:pPr>
            <w:r>
              <w:rPr>
                <w:rFonts w:hAnsi="Calibri"/>
                <w:color w:val="000000"/>
              </w:rPr>
              <w:t>-</w:t>
            </w:r>
          </w:p>
        </w:tc>
        <w:tc>
          <w:tcPr>
            <w:tcW w:w="2528" w:type="dxa"/>
            <w:tcBorders>
              <w:top w:val="single" w:sz="8" w:space="0" w:color="000000"/>
              <w:left w:val="single" w:sz="8" w:space="0" w:color="000000"/>
              <w:bottom w:val="single" w:sz="6" w:space="0" w:color="000000"/>
              <w:right w:val="single" w:sz="8" w:space="0" w:color="000000"/>
            </w:tcBorders>
            <w:vAlign w:val="center"/>
          </w:tcPr>
          <w:p w14:paraId="7AD7D808" w14:textId="1D258B26" w:rsidR="00566744" w:rsidRDefault="00000000">
            <w:pPr>
              <w:pStyle w:val="biaogeright"/>
              <w:wordWrap w:val="0"/>
              <w:rPr>
                <w:rFonts w:hint="eastAsia"/>
              </w:rPr>
            </w:pPr>
            <w:r>
              <w:rPr>
                <w:rFonts w:hAnsi="Calibri"/>
                <w:color w:val="000000"/>
              </w:rPr>
              <w:t>-</w:t>
            </w:r>
          </w:p>
        </w:tc>
      </w:tr>
      <w:tr w:rsidR="00566744" w14:paraId="3CA4718F" w14:textId="77777777">
        <w:tc>
          <w:tcPr>
            <w:tcW w:w="722" w:type="dxa"/>
            <w:tcBorders>
              <w:top w:val="single" w:sz="8" w:space="0" w:color="000000"/>
              <w:left w:val="single" w:sz="8" w:space="0" w:color="000000"/>
              <w:bottom w:val="single" w:sz="6" w:space="0" w:color="000000"/>
              <w:right w:val="single" w:sz="8" w:space="0" w:color="000000"/>
            </w:tcBorders>
            <w:vAlign w:val="center"/>
          </w:tcPr>
          <w:p w14:paraId="026B4F86" w14:textId="77777777" w:rsidR="00566744" w:rsidRDefault="00000000">
            <w:pPr>
              <w:pStyle w:val="biaogecenter"/>
              <w:wordWrap w:val="0"/>
              <w:rPr>
                <w:rFonts w:hint="eastAsia"/>
              </w:rPr>
            </w:pPr>
            <w:r>
              <w:rPr>
                <w:rFonts w:hAnsi="Calibri" w:hint="eastAsia"/>
                <w:color w:val="000000"/>
              </w:rPr>
              <w:t>5</w:t>
            </w:r>
          </w:p>
        </w:tc>
        <w:tc>
          <w:tcPr>
            <w:tcW w:w="3251" w:type="dxa"/>
            <w:tcBorders>
              <w:top w:val="single" w:sz="8" w:space="0" w:color="000000"/>
              <w:left w:val="single" w:sz="8" w:space="0" w:color="000000"/>
              <w:bottom w:val="single" w:sz="6" w:space="0" w:color="000000"/>
              <w:right w:val="single" w:sz="8" w:space="0" w:color="000000"/>
            </w:tcBorders>
            <w:vAlign w:val="center"/>
          </w:tcPr>
          <w:p w14:paraId="69D67D53" w14:textId="77777777" w:rsidR="00566744" w:rsidRDefault="00000000">
            <w:pPr>
              <w:pStyle w:val="biaogeleft"/>
              <w:wordWrap w:val="0"/>
              <w:rPr>
                <w:rFonts w:hint="eastAsia"/>
              </w:rPr>
            </w:pPr>
            <w:r>
              <w:rPr>
                <w:rFonts w:hint="eastAsia"/>
              </w:rPr>
              <w:t>企业短期融资</w:t>
            </w:r>
            <w:proofErr w:type="gramStart"/>
            <w:r>
              <w:rPr>
                <w:rFonts w:hint="eastAsia"/>
              </w:rPr>
              <w:t>券</w:t>
            </w:r>
            <w:proofErr w:type="gramEnd"/>
          </w:p>
        </w:tc>
        <w:tc>
          <w:tcPr>
            <w:tcW w:w="2529" w:type="dxa"/>
            <w:tcBorders>
              <w:top w:val="single" w:sz="8" w:space="0" w:color="000000"/>
              <w:left w:val="single" w:sz="8" w:space="0" w:color="000000"/>
              <w:bottom w:val="single" w:sz="6" w:space="0" w:color="000000"/>
              <w:right w:val="single" w:sz="8" w:space="0" w:color="000000"/>
            </w:tcBorders>
            <w:vAlign w:val="center"/>
          </w:tcPr>
          <w:p w14:paraId="6492DB74" w14:textId="4457FC68" w:rsidR="00566744" w:rsidRDefault="00000000">
            <w:pPr>
              <w:pStyle w:val="biaogeright"/>
              <w:wordWrap w:val="0"/>
              <w:rPr>
                <w:rFonts w:hint="eastAsia"/>
              </w:rPr>
            </w:pPr>
            <w:r>
              <w:rPr>
                <w:rFonts w:hAnsi="Calibri"/>
                <w:color w:val="000000"/>
              </w:rPr>
              <w:t>1,982,201,002.68</w:t>
            </w:r>
          </w:p>
        </w:tc>
        <w:tc>
          <w:tcPr>
            <w:tcW w:w="2528" w:type="dxa"/>
            <w:tcBorders>
              <w:top w:val="single" w:sz="8" w:space="0" w:color="000000"/>
              <w:left w:val="single" w:sz="8" w:space="0" w:color="000000"/>
              <w:bottom w:val="single" w:sz="6" w:space="0" w:color="000000"/>
              <w:right w:val="single" w:sz="8" w:space="0" w:color="000000"/>
            </w:tcBorders>
            <w:vAlign w:val="center"/>
          </w:tcPr>
          <w:p w14:paraId="70F9DD1C" w14:textId="7E7B062F" w:rsidR="00566744" w:rsidRDefault="00000000">
            <w:pPr>
              <w:pStyle w:val="biaogeright"/>
              <w:wordWrap w:val="0"/>
              <w:rPr>
                <w:rFonts w:hint="eastAsia"/>
              </w:rPr>
            </w:pPr>
            <w:r>
              <w:rPr>
                <w:rFonts w:hAnsi="Calibri"/>
                <w:color w:val="000000"/>
              </w:rPr>
              <w:t>19.50</w:t>
            </w:r>
          </w:p>
        </w:tc>
      </w:tr>
      <w:tr w:rsidR="00566744" w14:paraId="7B287022" w14:textId="77777777">
        <w:tc>
          <w:tcPr>
            <w:tcW w:w="722" w:type="dxa"/>
            <w:tcBorders>
              <w:top w:val="single" w:sz="8" w:space="0" w:color="000000"/>
              <w:left w:val="single" w:sz="8" w:space="0" w:color="000000"/>
              <w:bottom w:val="single" w:sz="6" w:space="0" w:color="000000"/>
              <w:right w:val="single" w:sz="8" w:space="0" w:color="000000"/>
            </w:tcBorders>
            <w:vAlign w:val="center"/>
          </w:tcPr>
          <w:p w14:paraId="0BA5547E" w14:textId="77777777" w:rsidR="00566744" w:rsidRDefault="00000000">
            <w:pPr>
              <w:pStyle w:val="biaogecenter"/>
              <w:wordWrap w:val="0"/>
              <w:rPr>
                <w:rFonts w:hint="eastAsia"/>
              </w:rPr>
            </w:pPr>
            <w:r>
              <w:rPr>
                <w:rFonts w:hint="eastAsia"/>
              </w:rPr>
              <w:lastRenderedPageBreak/>
              <w:t>6</w:t>
            </w:r>
          </w:p>
        </w:tc>
        <w:tc>
          <w:tcPr>
            <w:tcW w:w="3251" w:type="dxa"/>
            <w:tcBorders>
              <w:top w:val="single" w:sz="8" w:space="0" w:color="000000"/>
              <w:left w:val="single" w:sz="8" w:space="0" w:color="000000"/>
              <w:bottom w:val="single" w:sz="6" w:space="0" w:color="000000"/>
              <w:right w:val="single" w:sz="8" w:space="0" w:color="000000"/>
            </w:tcBorders>
            <w:vAlign w:val="center"/>
          </w:tcPr>
          <w:p w14:paraId="60A71B92" w14:textId="77777777" w:rsidR="00566744" w:rsidRDefault="00000000">
            <w:pPr>
              <w:pStyle w:val="biaogeleft"/>
              <w:wordWrap w:val="0"/>
              <w:rPr>
                <w:rFonts w:hint="eastAsia"/>
              </w:rPr>
            </w:pPr>
            <w:r>
              <w:rPr>
                <w:rFonts w:hint="eastAsia"/>
              </w:rPr>
              <w:t>中期票据</w:t>
            </w:r>
          </w:p>
        </w:tc>
        <w:tc>
          <w:tcPr>
            <w:tcW w:w="2529" w:type="dxa"/>
            <w:tcBorders>
              <w:top w:val="single" w:sz="8" w:space="0" w:color="000000"/>
              <w:left w:val="single" w:sz="8" w:space="0" w:color="000000"/>
              <w:bottom w:val="single" w:sz="6" w:space="0" w:color="000000"/>
              <w:right w:val="single" w:sz="8" w:space="0" w:color="000000"/>
            </w:tcBorders>
            <w:vAlign w:val="center"/>
          </w:tcPr>
          <w:p w14:paraId="05D999EB" w14:textId="50A92233" w:rsidR="00566744" w:rsidRDefault="00000000">
            <w:pPr>
              <w:pStyle w:val="biaogeright"/>
              <w:wordWrap w:val="0"/>
              <w:rPr>
                <w:rFonts w:hint="eastAsia"/>
              </w:rPr>
            </w:pPr>
            <w:r>
              <w:rPr>
                <w:rFonts w:hAnsi="Calibri"/>
                <w:color w:val="000000"/>
              </w:rPr>
              <w:t>20,108,389.62</w:t>
            </w:r>
          </w:p>
        </w:tc>
        <w:tc>
          <w:tcPr>
            <w:tcW w:w="2528" w:type="dxa"/>
            <w:tcBorders>
              <w:top w:val="single" w:sz="8" w:space="0" w:color="000000"/>
              <w:left w:val="single" w:sz="8" w:space="0" w:color="000000"/>
              <w:bottom w:val="single" w:sz="6" w:space="0" w:color="000000"/>
              <w:right w:val="single" w:sz="8" w:space="0" w:color="000000"/>
            </w:tcBorders>
            <w:vAlign w:val="center"/>
          </w:tcPr>
          <w:p w14:paraId="07F272BD" w14:textId="0391D260" w:rsidR="00566744" w:rsidRDefault="00000000">
            <w:pPr>
              <w:pStyle w:val="biaogeright"/>
              <w:wordWrap w:val="0"/>
              <w:rPr>
                <w:rFonts w:hint="eastAsia"/>
              </w:rPr>
            </w:pPr>
            <w:r>
              <w:rPr>
                <w:rFonts w:hAnsi="Calibri"/>
                <w:color w:val="000000"/>
              </w:rPr>
              <w:t>0.20</w:t>
            </w:r>
          </w:p>
        </w:tc>
      </w:tr>
      <w:tr w:rsidR="00566744" w14:paraId="358819D0" w14:textId="77777777">
        <w:tc>
          <w:tcPr>
            <w:tcW w:w="722" w:type="dxa"/>
            <w:tcBorders>
              <w:top w:val="single" w:sz="8" w:space="0" w:color="000000"/>
              <w:left w:val="single" w:sz="8" w:space="0" w:color="000000"/>
              <w:bottom w:val="single" w:sz="6" w:space="0" w:color="000000"/>
              <w:right w:val="single" w:sz="8" w:space="0" w:color="000000"/>
            </w:tcBorders>
            <w:vAlign w:val="center"/>
          </w:tcPr>
          <w:p w14:paraId="5962C063" w14:textId="77777777" w:rsidR="00566744" w:rsidRDefault="00000000">
            <w:pPr>
              <w:pStyle w:val="biaogecenter"/>
              <w:wordWrap w:val="0"/>
              <w:rPr>
                <w:rFonts w:hint="eastAsia"/>
              </w:rPr>
            </w:pPr>
            <w:r>
              <w:rPr>
                <w:rFonts w:hint="eastAsia"/>
              </w:rPr>
              <w:t>7</w:t>
            </w:r>
          </w:p>
        </w:tc>
        <w:tc>
          <w:tcPr>
            <w:tcW w:w="3251" w:type="dxa"/>
            <w:tcBorders>
              <w:top w:val="single" w:sz="8" w:space="0" w:color="000000"/>
              <w:left w:val="single" w:sz="8" w:space="0" w:color="000000"/>
              <w:bottom w:val="single" w:sz="6" w:space="0" w:color="000000"/>
              <w:right w:val="single" w:sz="8" w:space="0" w:color="000000"/>
            </w:tcBorders>
            <w:vAlign w:val="center"/>
          </w:tcPr>
          <w:p w14:paraId="3C7B6F81" w14:textId="77777777" w:rsidR="00566744" w:rsidRDefault="00000000">
            <w:pPr>
              <w:pStyle w:val="biaogeleft"/>
              <w:wordWrap w:val="0"/>
              <w:rPr>
                <w:rFonts w:hint="eastAsia"/>
              </w:rPr>
            </w:pPr>
            <w:r>
              <w:rPr>
                <w:rFonts w:hint="eastAsia"/>
              </w:rPr>
              <w:t>同业存单</w:t>
            </w:r>
          </w:p>
        </w:tc>
        <w:tc>
          <w:tcPr>
            <w:tcW w:w="2529" w:type="dxa"/>
            <w:tcBorders>
              <w:top w:val="single" w:sz="8" w:space="0" w:color="000000"/>
              <w:left w:val="single" w:sz="8" w:space="0" w:color="000000"/>
              <w:bottom w:val="single" w:sz="6" w:space="0" w:color="000000"/>
              <w:right w:val="single" w:sz="8" w:space="0" w:color="000000"/>
            </w:tcBorders>
            <w:vAlign w:val="center"/>
          </w:tcPr>
          <w:p w14:paraId="66718406" w14:textId="0C406A2B" w:rsidR="00566744" w:rsidRDefault="00000000">
            <w:pPr>
              <w:pStyle w:val="biaogeright"/>
              <w:wordWrap w:val="0"/>
              <w:rPr>
                <w:rFonts w:hint="eastAsia"/>
              </w:rPr>
            </w:pPr>
            <w:r>
              <w:rPr>
                <w:rFonts w:hAnsi="Calibri"/>
                <w:color w:val="000000"/>
              </w:rPr>
              <w:t>3,818,931,772.75</w:t>
            </w:r>
          </w:p>
        </w:tc>
        <w:tc>
          <w:tcPr>
            <w:tcW w:w="2528" w:type="dxa"/>
            <w:tcBorders>
              <w:top w:val="single" w:sz="8" w:space="0" w:color="000000"/>
              <w:left w:val="single" w:sz="8" w:space="0" w:color="000000"/>
              <w:bottom w:val="single" w:sz="6" w:space="0" w:color="000000"/>
              <w:right w:val="single" w:sz="8" w:space="0" w:color="000000"/>
            </w:tcBorders>
            <w:vAlign w:val="center"/>
          </w:tcPr>
          <w:p w14:paraId="2BE2C40E" w14:textId="1E35BD6E" w:rsidR="00566744" w:rsidRDefault="00000000">
            <w:pPr>
              <w:pStyle w:val="biaogeright"/>
              <w:wordWrap w:val="0"/>
              <w:rPr>
                <w:rFonts w:hint="eastAsia"/>
              </w:rPr>
            </w:pPr>
            <w:r>
              <w:rPr>
                <w:rFonts w:hAnsi="Calibri"/>
                <w:color w:val="000000"/>
              </w:rPr>
              <w:t>37.57</w:t>
            </w:r>
          </w:p>
        </w:tc>
      </w:tr>
      <w:tr w:rsidR="00566744" w14:paraId="0D2C4DCB" w14:textId="77777777">
        <w:tc>
          <w:tcPr>
            <w:tcW w:w="722" w:type="dxa"/>
            <w:tcBorders>
              <w:top w:val="single" w:sz="8" w:space="0" w:color="000000"/>
              <w:left w:val="single" w:sz="8" w:space="0" w:color="000000"/>
              <w:bottom w:val="single" w:sz="6" w:space="0" w:color="000000"/>
              <w:right w:val="single" w:sz="8" w:space="0" w:color="000000"/>
            </w:tcBorders>
            <w:vAlign w:val="center"/>
          </w:tcPr>
          <w:p w14:paraId="41531A67" w14:textId="77777777" w:rsidR="00566744" w:rsidRDefault="00000000">
            <w:pPr>
              <w:pStyle w:val="biaogecenter"/>
              <w:wordWrap w:val="0"/>
              <w:rPr>
                <w:rFonts w:hint="eastAsia"/>
              </w:rPr>
            </w:pPr>
            <w:r>
              <w:rPr>
                <w:rFonts w:hint="eastAsia"/>
              </w:rPr>
              <w:t>8</w:t>
            </w:r>
          </w:p>
        </w:tc>
        <w:tc>
          <w:tcPr>
            <w:tcW w:w="3251" w:type="dxa"/>
            <w:tcBorders>
              <w:top w:val="single" w:sz="8" w:space="0" w:color="000000"/>
              <w:left w:val="single" w:sz="8" w:space="0" w:color="000000"/>
              <w:bottom w:val="single" w:sz="6" w:space="0" w:color="000000"/>
              <w:right w:val="single" w:sz="8" w:space="0" w:color="000000"/>
            </w:tcBorders>
            <w:vAlign w:val="center"/>
          </w:tcPr>
          <w:p w14:paraId="2C28B317" w14:textId="77777777" w:rsidR="00566744" w:rsidRDefault="00000000">
            <w:pPr>
              <w:pStyle w:val="biaogeleft"/>
              <w:wordWrap w:val="0"/>
              <w:rPr>
                <w:rFonts w:hint="eastAsia"/>
              </w:rPr>
            </w:pPr>
            <w:r>
              <w:rPr>
                <w:rFonts w:hint="eastAsia"/>
              </w:rPr>
              <w:t>其他</w:t>
            </w:r>
          </w:p>
        </w:tc>
        <w:tc>
          <w:tcPr>
            <w:tcW w:w="2529" w:type="dxa"/>
            <w:tcBorders>
              <w:top w:val="single" w:sz="8" w:space="0" w:color="000000"/>
              <w:left w:val="single" w:sz="8" w:space="0" w:color="000000"/>
              <w:bottom w:val="single" w:sz="6" w:space="0" w:color="000000"/>
              <w:right w:val="single" w:sz="8" w:space="0" w:color="000000"/>
            </w:tcBorders>
            <w:vAlign w:val="center"/>
          </w:tcPr>
          <w:p w14:paraId="306B52BF" w14:textId="0EB0D538" w:rsidR="00566744" w:rsidRDefault="00000000">
            <w:pPr>
              <w:pStyle w:val="biaogeright"/>
              <w:wordWrap w:val="0"/>
              <w:rPr>
                <w:rFonts w:hint="eastAsia"/>
              </w:rPr>
            </w:pPr>
            <w:r>
              <w:rPr>
                <w:rFonts w:hAnsi="Calibri"/>
                <w:color w:val="000000"/>
              </w:rPr>
              <w:t>-</w:t>
            </w:r>
          </w:p>
        </w:tc>
        <w:tc>
          <w:tcPr>
            <w:tcW w:w="2528" w:type="dxa"/>
            <w:tcBorders>
              <w:top w:val="single" w:sz="8" w:space="0" w:color="000000"/>
              <w:left w:val="single" w:sz="8" w:space="0" w:color="000000"/>
              <w:bottom w:val="single" w:sz="6" w:space="0" w:color="000000"/>
              <w:right w:val="single" w:sz="8" w:space="0" w:color="000000"/>
            </w:tcBorders>
            <w:vAlign w:val="center"/>
          </w:tcPr>
          <w:p w14:paraId="2052379D" w14:textId="30F077EC" w:rsidR="00566744" w:rsidRDefault="00000000">
            <w:pPr>
              <w:pStyle w:val="biaogeright"/>
              <w:wordWrap w:val="0"/>
              <w:rPr>
                <w:rFonts w:hint="eastAsia"/>
              </w:rPr>
            </w:pPr>
            <w:r>
              <w:rPr>
                <w:rFonts w:hAnsi="Calibri"/>
                <w:color w:val="000000"/>
              </w:rPr>
              <w:t>-</w:t>
            </w:r>
          </w:p>
        </w:tc>
      </w:tr>
      <w:tr w:rsidR="00566744" w14:paraId="3852CADC" w14:textId="77777777">
        <w:tc>
          <w:tcPr>
            <w:tcW w:w="722" w:type="dxa"/>
            <w:tcBorders>
              <w:top w:val="single" w:sz="8" w:space="0" w:color="000000"/>
              <w:left w:val="single" w:sz="8" w:space="0" w:color="000000"/>
              <w:bottom w:val="single" w:sz="6" w:space="0" w:color="000000"/>
              <w:right w:val="single" w:sz="8" w:space="0" w:color="000000"/>
            </w:tcBorders>
            <w:vAlign w:val="center"/>
          </w:tcPr>
          <w:p w14:paraId="77B10A5B" w14:textId="77777777" w:rsidR="00566744" w:rsidRDefault="00000000">
            <w:pPr>
              <w:pStyle w:val="biaogecenter"/>
              <w:wordWrap w:val="0"/>
              <w:rPr>
                <w:rFonts w:hint="eastAsia"/>
              </w:rPr>
            </w:pPr>
            <w:r>
              <w:rPr>
                <w:rFonts w:hint="eastAsia"/>
              </w:rPr>
              <w:t>9</w:t>
            </w:r>
          </w:p>
        </w:tc>
        <w:tc>
          <w:tcPr>
            <w:tcW w:w="3251" w:type="dxa"/>
            <w:tcBorders>
              <w:top w:val="single" w:sz="8" w:space="0" w:color="000000"/>
              <w:left w:val="single" w:sz="8" w:space="0" w:color="000000"/>
              <w:bottom w:val="single" w:sz="6" w:space="0" w:color="000000"/>
              <w:right w:val="single" w:sz="8" w:space="0" w:color="000000"/>
            </w:tcBorders>
            <w:vAlign w:val="center"/>
          </w:tcPr>
          <w:p w14:paraId="5DE74C4D" w14:textId="77777777" w:rsidR="00566744" w:rsidRDefault="00000000">
            <w:pPr>
              <w:pStyle w:val="biaogecenter"/>
              <w:wordWrap w:val="0"/>
              <w:rPr>
                <w:rFonts w:hint="eastAsia"/>
              </w:rPr>
            </w:pPr>
            <w:r>
              <w:rPr>
                <w:rFonts w:hint="eastAsia"/>
              </w:rPr>
              <w:t>合计</w:t>
            </w:r>
          </w:p>
        </w:tc>
        <w:tc>
          <w:tcPr>
            <w:tcW w:w="2529" w:type="dxa"/>
            <w:tcBorders>
              <w:top w:val="single" w:sz="8" w:space="0" w:color="000000"/>
              <w:left w:val="single" w:sz="8" w:space="0" w:color="000000"/>
              <w:bottom w:val="single" w:sz="6" w:space="0" w:color="000000"/>
              <w:right w:val="single" w:sz="8" w:space="0" w:color="000000"/>
            </w:tcBorders>
            <w:vAlign w:val="center"/>
          </w:tcPr>
          <w:p w14:paraId="0D6720EF" w14:textId="14356384" w:rsidR="00566744" w:rsidRDefault="00000000">
            <w:pPr>
              <w:pStyle w:val="biaogeright"/>
              <w:wordWrap w:val="0"/>
              <w:rPr>
                <w:rFonts w:hint="eastAsia"/>
              </w:rPr>
            </w:pPr>
            <w:r>
              <w:rPr>
                <w:rFonts w:hAnsi="Calibri"/>
                <w:color w:val="000000"/>
              </w:rPr>
              <w:t>6,337,889,033.86</w:t>
            </w:r>
          </w:p>
        </w:tc>
        <w:tc>
          <w:tcPr>
            <w:tcW w:w="2528" w:type="dxa"/>
            <w:tcBorders>
              <w:top w:val="single" w:sz="8" w:space="0" w:color="000000"/>
              <w:left w:val="single" w:sz="8" w:space="0" w:color="000000"/>
              <w:bottom w:val="single" w:sz="6" w:space="0" w:color="000000"/>
              <w:right w:val="single" w:sz="8" w:space="0" w:color="000000"/>
            </w:tcBorders>
            <w:vAlign w:val="center"/>
          </w:tcPr>
          <w:p w14:paraId="48672712" w14:textId="5F377D11" w:rsidR="00566744" w:rsidRDefault="00000000">
            <w:pPr>
              <w:pStyle w:val="biaogeright"/>
              <w:wordWrap w:val="0"/>
              <w:rPr>
                <w:rFonts w:hint="eastAsia"/>
              </w:rPr>
            </w:pPr>
            <w:r>
              <w:rPr>
                <w:rFonts w:hAnsi="Calibri"/>
                <w:color w:val="000000"/>
              </w:rPr>
              <w:t>62.36</w:t>
            </w:r>
          </w:p>
        </w:tc>
      </w:tr>
      <w:tr w:rsidR="00566744" w14:paraId="0D64E97C" w14:textId="77777777">
        <w:tc>
          <w:tcPr>
            <w:tcW w:w="722" w:type="dxa"/>
            <w:tcBorders>
              <w:top w:val="single" w:sz="8" w:space="0" w:color="000000"/>
              <w:left w:val="single" w:sz="8" w:space="0" w:color="000000"/>
              <w:bottom w:val="single" w:sz="6" w:space="0" w:color="000000"/>
              <w:right w:val="single" w:sz="8" w:space="0" w:color="000000"/>
            </w:tcBorders>
            <w:vAlign w:val="center"/>
          </w:tcPr>
          <w:p w14:paraId="5B3D3449" w14:textId="77777777" w:rsidR="00566744" w:rsidRDefault="00000000">
            <w:pPr>
              <w:pStyle w:val="biaogecenter"/>
              <w:wordWrap w:val="0"/>
              <w:rPr>
                <w:rFonts w:hint="eastAsia"/>
              </w:rPr>
            </w:pPr>
            <w:r>
              <w:rPr>
                <w:rFonts w:hint="eastAsia"/>
              </w:rPr>
              <w:t>10</w:t>
            </w:r>
          </w:p>
        </w:tc>
        <w:tc>
          <w:tcPr>
            <w:tcW w:w="3251" w:type="dxa"/>
            <w:tcBorders>
              <w:top w:val="single" w:sz="8" w:space="0" w:color="000000"/>
              <w:left w:val="single" w:sz="8" w:space="0" w:color="000000"/>
              <w:bottom w:val="single" w:sz="6" w:space="0" w:color="000000"/>
              <w:right w:val="single" w:sz="8" w:space="0" w:color="000000"/>
            </w:tcBorders>
            <w:vAlign w:val="center"/>
          </w:tcPr>
          <w:p w14:paraId="560BB09B" w14:textId="77777777" w:rsidR="00566744" w:rsidRDefault="00000000">
            <w:pPr>
              <w:pStyle w:val="biaogeleft"/>
              <w:wordWrap w:val="0"/>
              <w:rPr>
                <w:rFonts w:hint="eastAsia"/>
              </w:rPr>
            </w:pPr>
            <w:r>
              <w:rPr>
                <w:rFonts w:hint="eastAsia"/>
              </w:rPr>
              <w:t>剩余存续期超过397天的浮动利率债券</w:t>
            </w:r>
          </w:p>
        </w:tc>
        <w:tc>
          <w:tcPr>
            <w:tcW w:w="2529" w:type="dxa"/>
            <w:tcBorders>
              <w:top w:val="single" w:sz="8" w:space="0" w:color="000000"/>
              <w:left w:val="single" w:sz="8" w:space="0" w:color="000000"/>
              <w:bottom w:val="single" w:sz="6" w:space="0" w:color="000000"/>
              <w:right w:val="single" w:sz="8" w:space="0" w:color="000000"/>
            </w:tcBorders>
            <w:vAlign w:val="center"/>
          </w:tcPr>
          <w:p w14:paraId="19830D37" w14:textId="6EC5E544" w:rsidR="00566744" w:rsidRDefault="00000000">
            <w:pPr>
              <w:pStyle w:val="biaogeright"/>
              <w:wordWrap w:val="0"/>
              <w:rPr>
                <w:rFonts w:hint="eastAsia"/>
              </w:rPr>
            </w:pPr>
            <w:r>
              <w:rPr>
                <w:rFonts w:hAnsi="Calibri"/>
                <w:color w:val="000000"/>
              </w:rPr>
              <w:t>-</w:t>
            </w:r>
          </w:p>
        </w:tc>
        <w:tc>
          <w:tcPr>
            <w:tcW w:w="2528" w:type="dxa"/>
            <w:tcBorders>
              <w:top w:val="single" w:sz="8" w:space="0" w:color="000000"/>
              <w:left w:val="single" w:sz="8" w:space="0" w:color="000000"/>
              <w:bottom w:val="single" w:sz="6" w:space="0" w:color="000000"/>
              <w:right w:val="single" w:sz="8" w:space="0" w:color="000000"/>
            </w:tcBorders>
            <w:vAlign w:val="center"/>
          </w:tcPr>
          <w:p w14:paraId="539EC7D4" w14:textId="38F957B7" w:rsidR="00566744" w:rsidRDefault="00000000">
            <w:pPr>
              <w:pStyle w:val="biaogeright"/>
              <w:wordWrap w:val="0"/>
              <w:rPr>
                <w:rFonts w:hint="eastAsia"/>
              </w:rPr>
            </w:pPr>
            <w:r>
              <w:rPr>
                <w:rFonts w:hAnsi="Calibri"/>
                <w:color w:val="000000"/>
              </w:rPr>
              <w:t>-</w:t>
            </w:r>
          </w:p>
        </w:tc>
      </w:tr>
    </w:tbl>
    <w:p w14:paraId="735DE8E0" w14:textId="77777777" w:rsidR="00566744" w:rsidRDefault="00566744">
      <w:pPr>
        <w:spacing w:line="360" w:lineRule="auto"/>
        <w:ind w:firstLineChars="177" w:firstLine="425"/>
        <w:rPr>
          <w:rFonts w:ascii="宋体" w:hAnsi="宋体" w:hint="eastAsia"/>
          <w:sz w:val="24"/>
        </w:rPr>
      </w:pPr>
    </w:p>
    <w:p w14:paraId="74BBC75E" w14:textId="77777777" w:rsidR="00566744" w:rsidRDefault="00000000">
      <w:pPr>
        <w:spacing w:line="360" w:lineRule="auto"/>
        <w:ind w:firstLineChars="177" w:firstLine="425"/>
        <w:rPr>
          <w:rFonts w:ascii="宋体" w:hAnsi="宋体" w:hint="eastAsia"/>
          <w:sz w:val="24"/>
        </w:rPr>
      </w:pPr>
      <w:r>
        <w:rPr>
          <w:rFonts w:ascii="宋体" w:hAnsi="宋体"/>
          <w:sz w:val="24"/>
        </w:rPr>
        <w:t>6</w:t>
      </w:r>
      <w:r>
        <w:rPr>
          <w:rFonts w:ascii="宋体" w:hAnsi="宋体" w:hint="eastAsia"/>
          <w:sz w:val="24"/>
        </w:rPr>
        <w:t>、报告期末</w:t>
      </w:r>
      <w:proofErr w:type="gramStart"/>
      <w:r>
        <w:rPr>
          <w:rFonts w:ascii="宋体" w:hAnsi="宋体" w:hint="eastAsia"/>
          <w:sz w:val="24"/>
        </w:rPr>
        <w:t>按摊余成本</w:t>
      </w:r>
      <w:proofErr w:type="gramEnd"/>
      <w:r>
        <w:rPr>
          <w:rFonts w:ascii="宋体" w:hAnsi="宋体" w:hint="eastAsia"/>
          <w:sz w:val="24"/>
        </w:rPr>
        <w:t>占基金资产净值比例大小排名的前十名债券投资明细</w:t>
      </w:r>
    </w:p>
    <w:tbl>
      <w:tblPr>
        <w:tblW w:w="9782" w:type="dxa"/>
        <w:tblInd w:w="-176" w:type="dxa"/>
        <w:tblLook w:val="04A0" w:firstRow="1" w:lastRow="0" w:firstColumn="1" w:lastColumn="0" w:noHBand="0" w:noVBand="1"/>
      </w:tblPr>
      <w:tblGrid>
        <w:gridCol w:w="568"/>
        <w:gridCol w:w="1532"/>
        <w:gridCol w:w="2720"/>
        <w:gridCol w:w="1418"/>
        <w:gridCol w:w="1984"/>
        <w:gridCol w:w="1560"/>
      </w:tblGrid>
      <w:tr w:rsidR="00566744" w14:paraId="6C02E824" w14:textId="77777777">
        <w:tc>
          <w:tcPr>
            <w:tcW w:w="568" w:type="dxa"/>
            <w:tcBorders>
              <w:top w:val="single" w:sz="8" w:space="0" w:color="000000"/>
              <w:left w:val="single" w:sz="8" w:space="0" w:color="000000"/>
              <w:bottom w:val="single" w:sz="6" w:space="0" w:color="000000"/>
              <w:right w:val="single" w:sz="8" w:space="0" w:color="000000"/>
            </w:tcBorders>
            <w:vAlign w:val="center"/>
          </w:tcPr>
          <w:p w14:paraId="62DC53DD" w14:textId="77777777" w:rsidR="00566744" w:rsidRDefault="00000000">
            <w:pPr>
              <w:pStyle w:val="biaogecenter"/>
              <w:wordWrap w:val="0"/>
              <w:rPr>
                <w:rFonts w:hint="eastAsia"/>
              </w:rPr>
            </w:pPr>
            <w:r>
              <w:rPr>
                <w:rFonts w:hAnsi="等线" w:hint="eastAsia"/>
                <w:color w:val="000000"/>
              </w:rPr>
              <w:t>序号</w:t>
            </w:r>
          </w:p>
        </w:tc>
        <w:tc>
          <w:tcPr>
            <w:tcW w:w="1532" w:type="dxa"/>
            <w:tcBorders>
              <w:top w:val="single" w:sz="8" w:space="0" w:color="000000"/>
              <w:left w:val="single" w:sz="8" w:space="0" w:color="000000"/>
              <w:bottom w:val="single" w:sz="6" w:space="0" w:color="000000"/>
              <w:right w:val="single" w:sz="8" w:space="0" w:color="000000"/>
            </w:tcBorders>
            <w:vAlign w:val="center"/>
          </w:tcPr>
          <w:p w14:paraId="398A22B9" w14:textId="77777777" w:rsidR="00566744" w:rsidRDefault="00000000">
            <w:pPr>
              <w:pStyle w:val="biaogeleft"/>
              <w:wordWrap w:val="0"/>
              <w:rPr>
                <w:rFonts w:hint="eastAsia"/>
              </w:rPr>
            </w:pPr>
            <w:r>
              <w:rPr>
                <w:rFonts w:hAnsi="等线" w:hint="eastAsia"/>
                <w:color w:val="000000"/>
              </w:rPr>
              <w:t>债券代码</w:t>
            </w:r>
          </w:p>
        </w:tc>
        <w:tc>
          <w:tcPr>
            <w:tcW w:w="2720" w:type="dxa"/>
            <w:tcBorders>
              <w:top w:val="single" w:sz="8" w:space="0" w:color="000000"/>
              <w:left w:val="single" w:sz="8" w:space="0" w:color="000000"/>
              <w:bottom w:val="single" w:sz="6" w:space="0" w:color="000000"/>
              <w:right w:val="single" w:sz="8" w:space="0" w:color="000000"/>
            </w:tcBorders>
            <w:vAlign w:val="center"/>
          </w:tcPr>
          <w:p w14:paraId="0362DA18" w14:textId="77777777" w:rsidR="00566744" w:rsidRDefault="00000000">
            <w:pPr>
              <w:pStyle w:val="biaogecenter"/>
              <w:wordWrap w:val="0"/>
              <w:rPr>
                <w:rFonts w:hint="eastAsia"/>
              </w:rPr>
            </w:pPr>
            <w:r>
              <w:rPr>
                <w:rFonts w:hAnsi="等线" w:hint="eastAsia"/>
                <w:color w:val="000000"/>
              </w:rPr>
              <w:t>债券名称</w:t>
            </w:r>
          </w:p>
        </w:tc>
        <w:tc>
          <w:tcPr>
            <w:tcW w:w="1418" w:type="dxa"/>
            <w:tcBorders>
              <w:top w:val="single" w:sz="8" w:space="0" w:color="000000"/>
              <w:left w:val="single" w:sz="8" w:space="0" w:color="000000"/>
              <w:bottom w:val="single" w:sz="6" w:space="0" w:color="000000"/>
              <w:right w:val="single" w:sz="8" w:space="0" w:color="000000"/>
            </w:tcBorders>
            <w:vAlign w:val="center"/>
          </w:tcPr>
          <w:p w14:paraId="025577C1" w14:textId="77777777" w:rsidR="00566744" w:rsidRDefault="00000000">
            <w:pPr>
              <w:pStyle w:val="biaogeleft"/>
              <w:wordWrap w:val="0"/>
              <w:rPr>
                <w:rFonts w:hint="eastAsia"/>
              </w:rPr>
            </w:pPr>
            <w:r>
              <w:rPr>
                <w:rFonts w:hAnsi="等线" w:hint="eastAsia"/>
                <w:color w:val="000000"/>
              </w:rPr>
              <w:t>债券数量(张)</w:t>
            </w:r>
          </w:p>
        </w:tc>
        <w:tc>
          <w:tcPr>
            <w:tcW w:w="1984" w:type="dxa"/>
            <w:tcBorders>
              <w:top w:val="single" w:sz="8" w:space="0" w:color="000000"/>
              <w:left w:val="single" w:sz="8" w:space="0" w:color="000000"/>
              <w:bottom w:val="single" w:sz="6" w:space="0" w:color="000000"/>
              <w:right w:val="single" w:sz="8" w:space="0" w:color="000000"/>
            </w:tcBorders>
            <w:vAlign w:val="center"/>
          </w:tcPr>
          <w:p w14:paraId="23DFE0F6" w14:textId="77777777" w:rsidR="00566744" w:rsidRDefault="00000000">
            <w:pPr>
              <w:pStyle w:val="biaogeleft"/>
              <w:wordWrap w:val="0"/>
              <w:rPr>
                <w:rFonts w:hint="eastAsia"/>
              </w:rPr>
            </w:pPr>
            <w:r>
              <w:rPr>
                <w:rFonts w:hAnsi="等线" w:hint="eastAsia"/>
                <w:color w:val="000000"/>
              </w:rPr>
              <w:t>摊</w:t>
            </w:r>
            <w:proofErr w:type="gramStart"/>
            <w:r>
              <w:rPr>
                <w:rFonts w:hAnsi="等线" w:hint="eastAsia"/>
                <w:color w:val="000000"/>
              </w:rPr>
              <w:t>余成本</w:t>
            </w:r>
            <w:proofErr w:type="gramEnd"/>
            <w:r>
              <w:rPr>
                <w:rFonts w:hAnsi="等线" w:hint="eastAsia"/>
                <w:color w:val="000000"/>
              </w:rPr>
              <w:t>(元)</w:t>
            </w:r>
          </w:p>
        </w:tc>
        <w:tc>
          <w:tcPr>
            <w:tcW w:w="1560" w:type="dxa"/>
            <w:tcBorders>
              <w:top w:val="single" w:sz="8" w:space="0" w:color="000000"/>
              <w:left w:val="single" w:sz="8" w:space="0" w:color="000000"/>
              <w:bottom w:val="single" w:sz="6" w:space="0" w:color="000000"/>
              <w:right w:val="single" w:sz="8" w:space="0" w:color="000000"/>
            </w:tcBorders>
            <w:vAlign w:val="center"/>
          </w:tcPr>
          <w:p w14:paraId="5EC5F989" w14:textId="77777777" w:rsidR="00566744" w:rsidRDefault="00000000">
            <w:pPr>
              <w:pStyle w:val="biaogecenter"/>
              <w:wordWrap w:val="0"/>
              <w:rPr>
                <w:rFonts w:hint="eastAsia"/>
              </w:rPr>
            </w:pPr>
            <w:r>
              <w:rPr>
                <w:rFonts w:hAnsi="等线" w:hint="eastAsia"/>
                <w:color w:val="000000"/>
              </w:rPr>
              <w:t>占基金资产净值比例(%)</w:t>
            </w:r>
          </w:p>
        </w:tc>
      </w:tr>
      <w:tr w:rsidR="00566744" w14:paraId="7CB9FC35" w14:textId="77777777">
        <w:tc>
          <w:tcPr>
            <w:tcW w:w="568" w:type="dxa"/>
            <w:tcBorders>
              <w:top w:val="single" w:sz="8" w:space="0" w:color="000000"/>
              <w:left w:val="single" w:sz="8" w:space="0" w:color="000000"/>
              <w:bottom w:val="single" w:sz="6" w:space="0" w:color="000000"/>
              <w:right w:val="single" w:sz="8" w:space="0" w:color="000000"/>
            </w:tcBorders>
            <w:vAlign w:val="center"/>
          </w:tcPr>
          <w:p w14:paraId="46909215" w14:textId="77777777" w:rsidR="00566744" w:rsidRDefault="00000000">
            <w:pPr>
              <w:pStyle w:val="biaogecenter"/>
              <w:wordWrap w:val="0"/>
              <w:rPr>
                <w:rFonts w:hint="eastAsia"/>
              </w:rPr>
            </w:pPr>
            <w:r>
              <w:rPr>
                <w:rFonts w:hAnsi="等线" w:hint="eastAsia"/>
                <w:color w:val="000000"/>
              </w:rPr>
              <w:t>1</w:t>
            </w:r>
          </w:p>
        </w:tc>
        <w:tc>
          <w:tcPr>
            <w:tcW w:w="1532" w:type="dxa"/>
            <w:tcBorders>
              <w:top w:val="single" w:sz="8" w:space="0" w:color="000000"/>
              <w:left w:val="single" w:sz="8" w:space="0" w:color="000000"/>
              <w:bottom w:val="single" w:sz="6" w:space="0" w:color="000000"/>
              <w:right w:val="single" w:sz="8" w:space="0" w:color="000000"/>
            </w:tcBorders>
            <w:vAlign w:val="center"/>
          </w:tcPr>
          <w:p w14:paraId="334103C6" w14:textId="50A6E49E" w:rsidR="00566744" w:rsidRDefault="00000000">
            <w:pPr>
              <w:pStyle w:val="biaogeleft"/>
              <w:wordWrap w:val="0"/>
              <w:rPr>
                <w:rFonts w:hint="eastAsia"/>
              </w:rPr>
            </w:pPr>
            <w:r>
              <w:rPr>
                <w:rFonts w:hAnsi="Calibri"/>
                <w:color w:val="000000"/>
              </w:rPr>
              <w:t>250431</w:t>
            </w:r>
          </w:p>
        </w:tc>
        <w:tc>
          <w:tcPr>
            <w:tcW w:w="2720" w:type="dxa"/>
            <w:tcBorders>
              <w:top w:val="single" w:sz="8" w:space="0" w:color="000000"/>
              <w:left w:val="single" w:sz="8" w:space="0" w:color="000000"/>
              <w:bottom w:val="single" w:sz="6" w:space="0" w:color="000000"/>
              <w:right w:val="single" w:sz="8" w:space="0" w:color="000000"/>
            </w:tcBorders>
            <w:vAlign w:val="center"/>
          </w:tcPr>
          <w:p w14:paraId="603A9C18" w14:textId="692B7B1F" w:rsidR="00566744" w:rsidRDefault="00000000">
            <w:pPr>
              <w:pStyle w:val="biaogeleft"/>
              <w:wordWrap w:val="0"/>
              <w:rPr>
                <w:rFonts w:hint="eastAsia"/>
              </w:rPr>
            </w:pPr>
            <w:r>
              <w:rPr>
                <w:rFonts w:hAnsi="Calibri"/>
                <w:color w:val="000000"/>
              </w:rPr>
              <w:t>25农发31</w:t>
            </w:r>
          </w:p>
        </w:tc>
        <w:tc>
          <w:tcPr>
            <w:tcW w:w="1418" w:type="dxa"/>
            <w:tcBorders>
              <w:top w:val="single" w:sz="8" w:space="0" w:color="000000"/>
              <w:left w:val="single" w:sz="8" w:space="0" w:color="000000"/>
              <w:bottom w:val="single" w:sz="6" w:space="0" w:color="000000"/>
              <w:right w:val="single" w:sz="8" w:space="0" w:color="000000"/>
            </w:tcBorders>
            <w:vAlign w:val="center"/>
          </w:tcPr>
          <w:p w14:paraId="43832467" w14:textId="441F44E1" w:rsidR="00566744" w:rsidRDefault="00000000">
            <w:pPr>
              <w:pStyle w:val="biaogeright"/>
              <w:wordWrap w:val="0"/>
              <w:rPr>
                <w:rFonts w:hint="eastAsia"/>
              </w:rPr>
            </w:pPr>
            <w:r>
              <w:rPr>
                <w:rFonts w:hAnsi="Calibri"/>
                <w:color w:val="000000"/>
              </w:rPr>
              <w:t>2,400,000</w:t>
            </w:r>
          </w:p>
        </w:tc>
        <w:tc>
          <w:tcPr>
            <w:tcW w:w="1984" w:type="dxa"/>
            <w:tcBorders>
              <w:top w:val="single" w:sz="8" w:space="0" w:color="000000"/>
              <w:left w:val="single" w:sz="8" w:space="0" w:color="000000"/>
              <w:bottom w:val="single" w:sz="6" w:space="0" w:color="000000"/>
              <w:right w:val="single" w:sz="8" w:space="0" w:color="000000"/>
            </w:tcBorders>
            <w:vAlign w:val="center"/>
          </w:tcPr>
          <w:p w14:paraId="19185B89" w14:textId="7EA245CC" w:rsidR="00566744" w:rsidRDefault="00000000">
            <w:pPr>
              <w:pStyle w:val="biaogeright"/>
              <w:wordWrap w:val="0"/>
              <w:rPr>
                <w:rFonts w:hint="eastAsia"/>
              </w:rPr>
            </w:pPr>
            <w:r>
              <w:rPr>
                <w:rFonts w:hAnsi="Calibri"/>
                <w:color w:val="000000"/>
              </w:rPr>
              <w:t>242,973,537.14</w:t>
            </w:r>
          </w:p>
        </w:tc>
        <w:tc>
          <w:tcPr>
            <w:tcW w:w="1560" w:type="dxa"/>
            <w:tcBorders>
              <w:top w:val="single" w:sz="8" w:space="0" w:color="000000"/>
              <w:left w:val="single" w:sz="8" w:space="0" w:color="000000"/>
              <w:bottom w:val="single" w:sz="6" w:space="0" w:color="000000"/>
              <w:right w:val="single" w:sz="8" w:space="0" w:color="000000"/>
            </w:tcBorders>
            <w:vAlign w:val="center"/>
          </w:tcPr>
          <w:p w14:paraId="567C619F" w14:textId="325CB00D" w:rsidR="00566744" w:rsidRDefault="00000000">
            <w:pPr>
              <w:pStyle w:val="biaogeright"/>
              <w:wordWrap w:val="0"/>
              <w:rPr>
                <w:rFonts w:hint="eastAsia"/>
              </w:rPr>
            </w:pPr>
            <w:r>
              <w:rPr>
                <w:rFonts w:hAnsi="Calibri"/>
                <w:color w:val="000000"/>
              </w:rPr>
              <w:t>2.39</w:t>
            </w:r>
          </w:p>
        </w:tc>
      </w:tr>
      <w:tr w:rsidR="00566744" w14:paraId="1B5FF1E0" w14:textId="77777777">
        <w:tc>
          <w:tcPr>
            <w:tcW w:w="568" w:type="dxa"/>
            <w:tcBorders>
              <w:top w:val="single" w:sz="8" w:space="0" w:color="000000"/>
              <w:left w:val="single" w:sz="8" w:space="0" w:color="000000"/>
              <w:bottom w:val="single" w:sz="6" w:space="0" w:color="000000"/>
              <w:right w:val="single" w:sz="8" w:space="0" w:color="000000"/>
            </w:tcBorders>
            <w:vAlign w:val="center"/>
          </w:tcPr>
          <w:p w14:paraId="060D693B" w14:textId="77777777" w:rsidR="00566744" w:rsidRDefault="00000000">
            <w:pPr>
              <w:pStyle w:val="biaogecenter"/>
              <w:wordWrap w:val="0"/>
              <w:rPr>
                <w:rFonts w:hint="eastAsia"/>
              </w:rPr>
            </w:pPr>
            <w:r>
              <w:rPr>
                <w:rFonts w:hAnsi="等线" w:hint="eastAsia"/>
                <w:color w:val="000000"/>
              </w:rPr>
              <w:t>2</w:t>
            </w:r>
          </w:p>
        </w:tc>
        <w:tc>
          <w:tcPr>
            <w:tcW w:w="1532" w:type="dxa"/>
            <w:tcBorders>
              <w:top w:val="single" w:sz="8" w:space="0" w:color="000000"/>
              <w:left w:val="single" w:sz="8" w:space="0" w:color="000000"/>
              <w:bottom w:val="single" w:sz="6" w:space="0" w:color="000000"/>
              <w:right w:val="single" w:sz="8" w:space="0" w:color="000000"/>
            </w:tcBorders>
            <w:vAlign w:val="center"/>
          </w:tcPr>
          <w:p w14:paraId="4B8AA62B" w14:textId="28DAAFD3" w:rsidR="00566744" w:rsidRDefault="00000000">
            <w:pPr>
              <w:pStyle w:val="biaogeleft"/>
              <w:wordWrap w:val="0"/>
              <w:rPr>
                <w:rFonts w:hint="eastAsia"/>
              </w:rPr>
            </w:pPr>
            <w:r>
              <w:rPr>
                <w:rFonts w:hAnsi="Calibri"/>
                <w:color w:val="000000"/>
              </w:rPr>
              <w:t>240322</w:t>
            </w:r>
          </w:p>
        </w:tc>
        <w:tc>
          <w:tcPr>
            <w:tcW w:w="2720" w:type="dxa"/>
            <w:tcBorders>
              <w:top w:val="single" w:sz="8" w:space="0" w:color="000000"/>
              <w:left w:val="single" w:sz="8" w:space="0" w:color="000000"/>
              <w:bottom w:val="single" w:sz="6" w:space="0" w:color="000000"/>
              <w:right w:val="single" w:sz="8" w:space="0" w:color="000000"/>
            </w:tcBorders>
            <w:vAlign w:val="center"/>
          </w:tcPr>
          <w:p w14:paraId="2115A022" w14:textId="7FC627F0" w:rsidR="00566744" w:rsidRDefault="00000000">
            <w:pPr>
              <w:pStyle w:val="biaogeleft"/>
              <w:wordWrap w:val="0"/>
              <w:rPr>
                <w:rFonts w:hint="eastAsia"/>
              </w:rPr>
            </w:pPr>
            <w:r>
              <w:rPr>
                <w:rFonts w:hAnsi="Calibri"/>
                <w:color w:val="000000"/>
              </w:rPr>
              <w:t>24进出22</w:t>
            </w:r>
          </w:p>
        </w:tc>
        <w:tc>
          <w:tcPr>
            <w:tcW w:w="1418" w:type="dxa"/>
            <w:tcBorders>
              <w:top w:val="single" w:sz="8" w:space="0" w:color="000000"/>
              <w:left w:val="single" w:sz="8" w:space="0" w:color="000000"/>
              <w:bottom w:val="single" w:sz="6" w:space="0" w:color="000000"/>
              <w:right w:val="single" w:sz="8" w:space="0" w:color="000000"/>
            </w:tcBorders>
            <w:vAlign w:val="center"/>
          </w:tcPr>
          <w:p w14:paraId="55ACEA07" w14:textId="6FF72B87" w:rsidR="00566744" w:rsidRDefault="00000000">
            <w:pPr>
              <w:pStyle w:val="biaogeright"/>
              <w:wordWrap w:val="0"/>
              <w:rPr>
                <w:rFonts w:hint="eastAsia"/>
              </w:rPr>
            </w:pPr>
            <w:r>
              <w:rPr>
                <w:rFonts w:hAnsi="Calibri"/>
                <w:color w:val="000000"/>
              </w:rPr>
              <w:t>1,600,000</w:t>
            </w:r>
          </w:p>
        </w:tc>
        <w:tc>
          <w:tcPr>
            <w:tcW w:w="1984" w:type="dxa"/>
            <w:tcBorders>
              <w:top w:val="single" w:sz="8" w:space="0" w:color="000000"/>
              <w:left w:val="single" w:sz="8" w:space="0" w:color="000000"/>
              <w:bottom w:val="single" w:sz="6" w:space="0" w:color="000000"/>
              <w:right w:val="single" w:sz="8" w:space="0" w:color="000000"/>
            </w:tcBorders>
            <w:vAlign w:val="center"/>
          </w:tcPr>
          <w:p w14:paraId="659AF8CA" w14:textId="784DD84B" w:rsidR="00566744" w:rsidRDefault="00000000">
            <w:pPr>
              <w:pStyle w:val="biaogeright"/>
              <w:wordWrap w:val="0"/>
              <w:rPr>
                <w:rFonts w:hint="eastAsia"/>
              </w:rPr>
            </w:pPr>
            <w:r>
              <w:rPr>
                <w:rFonts w:hAnsi="Calibri"/>
                <w:color w:val="000000"/>
              </w:rPr>
              <w:t>161,306,804.15</w:t>
            </w:r>
          </w:p>
        </w:tc>
        <w:tc>
          <w:tcPr>
            <w:tcW w:w="1560" w:type="dxa"/>
            <w:tcBorders>
              <w:top w:val="single" w:sz="8" w:space="0" w:color="000000"/>
              <w:left w:val="single" w:sz="8" w:space="0" w:color="000000"/>
              <w:bottom w:val="single" w:sz="6" w:space="0" w:color="000000"/>
              <w:right w:val="single" w:sz="8" w:space="0" w:color="000000"/>
            </w:tcBorders>
            <w:vAlign w:val="center"/>
          </w:tcPr>
          <w:p w14:paraId="05474CF4" w14:textId="5D6FB7FF" w:rsidR="00566744" w:rsidRDefault="00000000">
            <w:pPr>
              <w:pStyle w:val="biaogeright"/>
              <w:wordWrap w:val="0"/>
              <w:rPr>
                <w:rFonts w:hint="eastAsia"/>
              </w:rPr>
            </w:pPr>
            <w:r>
              <w:rPr>
                <w:rFonts w:hAnsi="Calibri"/>
                <w:color w:val="000000"/>
              </w:rPr>
              <w:t>1.59</w:t>
            </w:r>
          </w:p>
        </w:tc>
      </w:tr>
      <w:tr w:rsidR="00566744" w14:paraId="3E4953A6" w14:textId="77777777">
        <w:tc>
          <w:tcPr>
            <w:tcW w:w="568" w:type="dxa"/>
            <w:tcBorders>
              <w:top w:val="single" w:sz="8" w:space="0" w:color="000000"/>
              <w:left w:val="single" w:sz="8" w:space="0" w:color="000000"/>
              <w:bottom w:val="single" w:sz="6" w:space="0" w:color="000000"/>
              <w:right w:val="single" w:sz="8" w:space="0" w:color="000000"/>
            </w:tcBorders>
            <w:vAlign w:val="center"/>
          </w:tcPr>
          <w:p w14:paraId="4ACEF1EB" w14:textId="77777777" w:rsidR="00566744" w:rsidRDefault="00000000">
            <w:pPr>
              <w:pStyle w:val="biaogecenter"/>
              <w:wordWrap w:val="0"/>
              <w:rPr>
                <w:rFonts w:hint="eastAsia"/>
              </w:rPr>
            </w:pPr>
            <w:r>
              <w:rPr>
                <w:rFonts w:hAnsi="等线" w:hint="eastAsia"/>
                <w:color w:val="000000"/>
              </w:rPr>
              <w:t>3</w:t>
            </w:r>
          </w:p>
        </w:tc>
        <w:tc>
          <w:tcPr>
            <w:tcW w:w="1532" w:type="dxa"/>
            <w:tcBorders>
              <w:top w:val="single" w:sz="8" w:space="0" w:color="000000"/>
              <w:left w:val="single" w:sz="8" w:space="0" w:color="000000"/>
              <w:bottom w:val="single" w:sz="6" w:space="0" w:color="000000"/>
              <w:right w:val="single" w:sz="8" w:space="0" w:color="000000"/>
            </w:tcBorders>
            <w:vAlign w:val="center"/>
          </w:tcPr>
          <w:p w14:paraId="0023B285" w14:textId="21F28A21" w:rsidR="00566744" w:rsidRDefault="00000000">
            <w:pPr>
              <w:pStyle w:val="biaogeleft"/>
              <w:wordWrap w:val="0"/>
              <w:rPr>
                <w:rFonts w:hint="eastAsia"/>
              </w:rPr>
            </w:pPr>
            <w:r>
              <w:rPr>
                <w:rFonts w:hAnsi="Calibri"/>
                <w:color w:val="000000"/>
              </w:rPr>
              <w:t>012681506</w:t>
            </w:r>
          </w:p>
        </w:tc>
        <w:tc>
          <w:tcPr>
            <w:tcW w:w="2720" w:type="dxa"/>
            <w:tcBorders>
              <w:top w:val="single" w:sz="8" w:space="0" w:color="000000"/>
              <w:left w:val="single" w:sz="8" w:space="0" w:color="000000"/>
              <w:bottom w:val="single" w:sz="6" w:space="0" w:color="000000"/>
              <w:right w:val="single" w:sz="8" w:space="0" w:color="000000"/>
            </w:tcBorders>
            <w:vAlign w:val="center"/>
          </w:tcPr>
          <w:p w14:paraId="74844C3D" w14:textId="6F11A168" w:rsidR="00566744" w:rsidRDefault="00000000">
            <w:pPr>
              <w:pStyle w:val="biaogeleft"/>
              <w:wordWrap w:val="0"/>
              <w:rPr>
                <w:rFonts w:hint="eastAsia"/>
              </w:rPr>
            </w:pPr>
            <w:r>
              <w:rPr>
                <w:rFonts w:hAnsi="Calibri"/>
                <w:color w:val="000000"/>
              </w:rPr>
              <w:t>26华电SCP002</w:t>
            </w:r>
          </w:p>
        </w:tc>
        <w:tc>
          <w:tcPr>
            <w:tcW w:w="1418" w:type="dxa"/>
            <w:tcBorders>
              <w:top w:val="single" w:sz="8" w:space="0" w:color="000000"/>
              <w:left w:val="single" w:sz="8" w:space="0" w:color="000000"/>
              <w:bottom w:val="single" w:sz="6" w:space="0" w:color="000000"/>
              <w:right w:val="single" w:sz="8" w:space="0" w:color="000000"/>
            </w:tcBorders>
            <w:vAlign w:val="center"/>
          </w:tcPr>
          <w:p w14:paraId="126DBBA6" w14:textId="1269FE88" w:rsidR="00566744" w:rsidRDefault="00000000">
            <w:pPr>
              <w:pStyle w:val="biaogeright"/>
              <w:wordWrap w:val="0"/>
              <w:rPr>
                <w:rFonts w:hint="eastAsia"/>
              </w:rPr>
            </w:pPr>
            <w:r>
              <w:rPr>
                <w:rFonts w:hAnsi="Calibri"/>
                <w:color w:val="000000"/>
              </w:rPr>
              <w:t>1,200,000</w:t>
            </w:r>
          </w:p>
        </w:tc>
        <w:tc>
          <w:tcPr>
            <w:tcW w:w="1984" w:type="dxa"/>
            <w:tcBorders>
              <w:top w:val="single" w:sz="8" w:space="0" w:color="000000"/>
              <w:left w:val="single" w:sz="8" w:space="0" w:color="000000"/>
              <w:bottom w:val="single" w:sz="6" w:space="0" w:color="000000"/>
              <w:right w:val="single" w:sz="8" w:space="0" w:color="000000"/>
            </w:tcBorders>
            <w:vAlign w:val="center"/>
          </w:tcPr>
          <w:p w14:paraId="16C477FE" w14:textId="075662AE" w:rsidR="00566744" w:rsidRDefault="00000000">
            <w:pPr>
              <w:pStyle w:val="biaogeright"/>
              <w:wordWrap w:val="0"/>
              <w:rPr>
                <w:rFonts w:hint="eastAsia"/>
              </w:rPr>
            </w:pPr>
            <w:r>
              <w:rPr>
                <w:rFonts w:hAnsi="Calibri"/>
                <w:color w:val="000000"/>
              </w:rPr>
              <w:t>120,029,068.37</w:t>
            </w:r>
          </w:p>
        </w:tc>
        <w:tc>
          <w:tcPr>
            <w:tcW w:w="1560" w:type="dxa"/>
            <w:tcBorders>
              <w:top w:val="single" w:sz="8" w:space="0" w:color="000000"/>
              <w:left w:val="single" w:sz="8" w:space="0" w:color="000000"/>
              <w:bottom w:val="single" w:sz="6" w:space="0" w:color="000000"/>
              <w:right w:val="single" w:sz="8" w:space="0" w:color="000000"/>
            </w:tcBorders>
            <w:vAlign w:val="center"/>
          </w:tcPr>
          <w:p w14:paraId="0A3C16F4" w14:textId="18145454" w:rsidR="00566744" w:rsidRDefault="00000000">
            <w:pPr>
              <w:pStyle w:val="biaogeright"/>
              <w:wordWrap w:val="0"/>
              <w:rPr>
                <w:rFonts w:hint="eastAsia"/>
              </w:rPr>
            </w:pPr>
            <w:r>
              <w:rPr>
                <w:rFonts w:hAnsi="Calibri"/>
                <w:color w:val="000000"/>
              </w:rPr>
              <w:t>1.18</w:t>
            </w:r>
          </w:p>
        </w:tc>
      </w:tr>
      <w:tr w:rsidR="00566744" w14:paraId="0AADEBE0" w14:textId="77777777">
        <w:tc>
          <w:tcPr>
            <w:tcW w:w="568" w:type="dxa"/>
            <w:tcBorders>
              <w:top w:val="single" w:sz="8" w:space="0" w:color="000000"/>
              <w:left w:val="single" w:sz="8" w:space="0" w:color="000000"/>
              <w:bottom w:val="single" w:sz="6" w:space="0" w:color="000000"/>
              <w:right w:val="single" w:sz="8" w:space="0" w:color="000000"/>
            </w:tcBorders>
            <w:vAlign w:val="center"/>
          </w:tcPr>
          <w:p w14:paraId="1E1AEC4F" w14:textId="77777777" w:rsidR="00566744" w:rsidRDefault="00000000">
            <w:pPr>
              <w:pStyle w:val="biaogecenter"/>
              <w:wordWrap w:val="0"/>
              <w:rPr>
                <w:rFonts w:hint="eastAsia"/>
              </w:rPr>
            </w:pPr>
            <w:r>
              <w:rPr>
                <w:rFonts w:hAnsi="等线" w:hint="eastAsia"/>
                <w:color w:val="000000"/>
              </w:rPr>
              <w:t>4</w:t>
            </w:r>
          </w:p>
        </w:tc>
        <w:tc>
          <w:tcPr>
            <w:tcW w:w="1532" w:type="dxa"/>
            <w:tcBorders>
              <w:top w:val="single" w:sz="8" w:space="0" w:color="000000"/>
              <w:left w:val="single" w:sz="8" w:space="0" w:color="000000"/>
              <w:bottom w:val="single" w:sz="6" w:space="0" w:color="000000"/>
              <w:right w:val="single" w:sz="8" w:space="0" w:color="000000"/>
            </w:tcBorders>
            <w:vAlign w:val="center"/>
          </w:tcPr>
          <w:p w14:paraId="09E866D9" w14:textId="5EF3C6F2" w:rsidR="00566744" w:rsidRDefault="00000000">
            <w:pPr>
              <w:pStyle w:val="biaogeleft"/>
              <w:wordWrap w:val="0"/>
              <w:rPr>
                <w:rFonts w:hint="eastAsia"/>
              </w:rPr>
            </w:pPr>
            <w:r>
              <w:rPr>
                <w:rFonts w:hAnsi="Calibri"/>
                <w:color w:val="000000"/>
              </w:rPr>
              <w:t>012681626</w:t>
            </w:r>
          </w:p>
        </w:tc>
        <w:tc>
          <w:tcPr>
            <w:tcW w:w="2720" w:type="dxa"/>
            <w:tcBorders>
              <w:top w:val="single" w:sz="8" w:space="0" w:color="000000"/>
              <w:left w:val="single" w:sz="8" w:space="0" w:color="000000"/>
              <w:bottom w:val="single" w:sz="6" w:space="0" w:color="000000"/>
              <w:right w:val="single" w:sz="8" w:space="0" w:color="000000"/>
            </w:tcBorders>
            <w:vAlign w:val="center"/>
          </w:tcPr>
          <w:p w14:paraId="33BE45A2" w14:textId="24333E81" w:rsidR="00566744" w:rsidRDefault="00000000">
            <w:pPr>
              <w:pStyle w:val="biaogeleft"/>
              <w:wordWrap w:val="0"/>
              <w:rPr>
                <w:rFonts w:hint="eastAsia"/>
              </w:rPr>
            </w:pPr>
            <w:r>
              <w:rPr>
                <w:rFonts w:hAnsi="Calibri"/>
                <w:color w:val="000000"/>
              </w:rPr>
              <w:t>26龙源电力SCP011</w:t>
            </w:r>
          </w:p>
        </w:tc>
        <w:tc>
          <w:tcPr>
            <w:tcW w:w="1418" w:type="dxa"/>
            <w:tcBorders>
              <w:top w:val="single" w:sz="8" w:space="0" w:color="000000"/>
              <w:left w:val="single" w:sz="8" w:space="0" w:color="000000"/>
              <w:bottom w:val="single" w:sz="6" w:space="0" w:color="000000"/>
              <w:right w:val="single" w:sz="8" w:space="0" w:color="000000"/>
            </w:tcBorders>
            <w:vAlign w:val="center"/>
          </w:tcPr>
          <w:p w14:paraId="25823789" w14:textId="5CF19861" w:rsidR="00566744" w:rsidRDefault="00000000">
            <w:pPr>
              <w:pStyle w:val="biaogeright"/>
              <w:wordWrap w:val="0"/>
              <w:rPr>
                <w:rFonts w:hint="eastAsia"/>
              </w:rPr>
            </w:pPr>
            <w:r>
              <w:rPr>
                <w:rFonts w:hAnsi="Calibri"/>
                <w:color w:val="000000"/>
              </w:rPr>
              <w:t>1,000,000</w:t>
            </w:r>
          </w:p>
        </w:tc>
        <w:tc>
          <w:tcPr>
            <w:tcW w:w="1984" w:type="dxa"/>
            <w:tcBorders>
              <w:top w:val="single" w:sz="8" w:space="0" w:color="000000"/>
              <w:left w:val="single" w:sz="8" w:space="0" w:color="000000"/>
              <w:bottom w:val="single" w:sz="6" w:space="0" w:color="000000"/>
              <w:right w:val="single" w:sz="8" w:space="0" w:color="000000"/>
            </w:tcBorders>
            <w:vAlign w:val="center"/>
          </w:tcPr>
          <w:p w14:paraId="0F995AE3" w14:textId="3B6F9FF3" w:rsidR="00566744" w:rsidRDefault="00000000">
            <w:pPr>
              <w:pStyle w:val="biaogeright"/>
              <w:wordWrap w:val="0"/>
              <w:rPr>
                <w:rFonts w:hint="eastAsia"/>
              </w:rPr>
            </w:pPr>
            <w:r>
              <w:rPr>
                <w:rFonts w:hAnsi="Calibri"/>
                <w:color w:val="000000"/>
              </w:rPr>
              <w:t>100,003,410.40</w:t>
            </w:r>
          </w:p>
        </w:tc>
        <w:tc>
          <w:tcPr>
            <w:tcW w:w="1560" w:type="dxa"/>
            <w:tcBorders>
              <w:top w:val="single" w:sz="8" w:space="0" w:color="000000"/>
              <w:left w:val="single" w:sz="8" w:space="0" w:color="000000"/>
              <w:bottom w:val="single" w:sz="6" w:space="0" w:color="000000"/>
              <w:right w:val="single" w:sz="8" w:space="0" w:color="000000"/>
            </w:tcBorders>
            <w:vAlign w:val="center"/>
          </w:tcPr>
          <w:p w14:paraId="09408152" w14:textId="4457F788" w:rsidR="00566744" w:rsidRDefault="00000000">
            <w:pPr>
              <w:pStyle w:val="biaogeright"/>
              <w:wordWrap w:val="0"/>
              <w:rPr>
                <w:rFonts w:hint="eastAsia"/>
              </w:rPr>
            </w:pPr>
            <w:r>
              <w:rPr>
                <w:rFonts w:hAnsi="Calibri"/>
                <w:color w:val="000000"/>
              </w:rPr>
              <w:t>0.98</w:t>
            </w:r>
          </w:p>
        </w:tc>
      </w:tr>
      <w:tr w:rsidR="00566744" w14:paraId="3F848802" w14:textId="77777777">
        <w:tc>
          <w:tcPr>
            <w:tcW w:w="568" w:type="dxa"/>
            <w:tcBorders>
              <w:top w:val="single" w:sz="8" w:space="0" w:color="000000"/>
              <w:left w:val="single" w:sz="8" w:space="0" w:color="000000"/>
              <w:bottom w:val="single" w:sz="6" w:space="0" w:color="000000"/>
              <w:right w:val="single" w:sz="8" w:space="0" w:color="000000"/>
            </w:tcBorders>
            <w:vAlign w:val="center"/>
          </w:tcPr>
          <w:p w14:paraId="4D3EB5FC" w14:textId="77777777" w:rsidR="00566744" w:rsidRDefault="00000000">
            <w:pPr>
              <w:pStyle w:val="biaogecenter"/>
              <w:wordWrap w:val="0"/>
              <w:rPr>
                <w:rFonts w:hint="eastAsia"/>
              </w:rPr>
            </w:pPr>
            <w:r>
              <w:rPr>
                <w:rFonts w:hAnsi="等线" w:hint="eastAsia"/>
                <w:color w:val="000000"/>
              </w:rPr>
              <w:t>5</w:t>
            </w:r>
          </w:p>
        </w:tc>
        <w:tc>
          <w:tcPr>
            <w:tcW w:w="1532" w:type="dxa"/>
            <w:tcBorders>
              <w:top w:val="single" w:sz="8" w:space="0" w:color="000000"/>
              <w:left w:val="single" w:sz="8" w:space="0" w:color="000000"/>
              <w:bottom w:val="single" w:sz="6" w:space="0" w:color="000000"/>
              <w:right w:val="single" w:sz="8" w:space="0" w:color="000000"/>
            </w:tcBorders>
            <w:vAlign w:val="center"/>
          </w:tcPr>
          <w:p w14:paraId="79D85491" w14:textId="7DBFF677" w:rsidR="00566744" w:rsidRDefault="00000000">
            <w:pPr>
              <w:pStyle w:val="biaogeleft"/>
              <w:wordWrap w:val="0"/>
              <w:rPr>
                <w:rFonts w:hint="eastAsia"/>
              </w:rPr>
            </w:pPr>
            <w:r>
              <w:rPr>
                <w:rFonts w:hAnsi="Calibri"/>
                <w:color w:val="000000"/>
              </w:rPr>
              <w:t>112599164</w:t>
            </w:r>
          </w:p>
        </w:tc>
        <w:tc>
          <w:tcPr>
            <w:tcW w:w="2720" w:type="dxa"/>
            <w:tcBorders>
              <w:top w:val="single" w:sz="8" w:space="0" w:color="000000"/>
              <w:left w:val="single" w:sz="8" w:space="0" w:color="000000"/>
              <w:bottom w:val="single" w:sz="6" w:space="0" w:color="000000"/>
              <w:right w:val="single" w:sz="8" w:space="0" w:color="000000"/>
            </w:tcBorders>
            <w:vAlign w:val="center"/>
          </w:tcPr>
          <w:p w14:paraId="7B313E93" w14:textId="3723134F" w:rsidR="00566744" w:rsidRDefault="00000000">
            <w:pPr>
              <w:pStyle w:val="biaogeleft"/>
              <w:wordWrap w:val="0"/>
              <w:rPr>
                <w:rFonts w:hint="eastAsia"/>
              </w:rPr>
            </w:pPr>
            <w:r>
              <w:rPr>
                <w:rFonts w:hAnsi="Calibri"/>
                <w:color w:val="000000"/>
              </w:rPr>
              <w:t>25哈尔滨银行CD141</w:t>
            </w:r>
          </w:p>
        </w:tc>
        <w:tc>
          <w:tcPr>
            <w:tcW w:w="1418" w:type="dxa"/>
            <w:tcBorders>
              <w:top w:val="single" w:sz="8" w:space="0" w:color="000000"/>
              <w:left w:val="single" w:sz="8" w:space="0" w:color="000000"/>
              <w:bottom w:val="single" w:sz="6" w:space="0" w:color="000000"/>
              <w:right w:val="single" w:sz="8" w:space="0" w:color="000000"/>
            </w:tcBorders>
            <w:vAlign w:val="center"/>
          </w:tcPr>
          <w:p w14:paraId="2B3A9001" w14:textId="57A8A121" w:rsidR="00566744" w:rsidRDefault="00000000">
            <w:pPr>
              <w:pStyle w:val="biaogeright"/>
              <w:wordWrap w:val="0"/>
              <w:rPr>
                <w:rFonts w:hint="eastAsia"/>
              </w:rPr>
            </w:pPr>
            <w:r>
              <w:rPr>
                <w:rFonts w:hAnsi="Calibri"/>
                <w:color w:val="000000"/>
              </w:rPr>
              <w:t>1,000,000</w:t>
            </w:r>
          </w:p>
        </w:tc>
        <w:tc>
          <w:tcPr>
            <w:tcW w:w="1984" w:type="dxa"/>
            <w:tcBorders>
              <w:top w:val="single" w:sz="8" w:space="0" w:color="000000"/>
              <w:left w:val="single" w:sz="8" w:space="0" w:color="000000"/>
              <w:bottom w:val="single" w:sz="6" w:space="0" w:color="000000"/>
              <w:right w:val="single" w:sz="8" w:space="0" w:color="000000"/>
            </w:tcBorders>
            <w:vAlign w:val="center"/>
          </w:tcPr>
          <w:p w14:paraId="00B340EC" w14:textId="7B3A4A3F" w:rsidR="00566744" w:rsidRDefault="00000000">
            <w:pPr>
              <w:pStyle w:val="biaogeright"/>
              <w:wordWrap w:val="0"/>
              <w:rPr>
                <w:rFonts w:hint="eastAsia"/>
              </w:rPr>
            </w:pPr>
            <w:r>
              <w:rPr>
                <w:rFonts w:hAnsi="Calibri"/>
                <w:color w:val="000000"/>
              </w:rPr>
              <w:t>99,971,485.87</w:t>
            </w:r>
          </w:p>
        </w:tc>
        <w:tc>
          <w:tcPr>
            <w:tcW w:w="1560" w:type="dxa"/>
            <w:tcBorders>
              <w:top w:val="single" w:sz="8" w:space="0" w:color="000000"/>
              <w:left w:val="single" w:sz="8" w:space="0" w:color="000000"/>
              <w:bottom w:val="single" w:sz="6" w:space="0" w:color="000000"/>
              <w:right w:val="single" w:sz="8" w:space="0" w:color="000000"/>
            </w:tcBorders>
            <w:vAlign w:val="center"/>
          </w:tcPr>
          <w:p w14:paraId="77CE46F1" w14:textId="063F5C3C" w:rsidR="00566744" w:rsidRDefault="00000000">
            <w:pPr>
              <w:pStyle w:val="biaogeright"/>
              <w:wordWrap w:val="0"/>
              <w:rPr>
                <w:rFonts w:hint="eastAsia"/>
              </w:rPr>
            </w:pPr>
            <w:r>
              <w:rPr>
                <w:rFonts w:hAnsi="Calibri"/>
                <w:color w:val="000000"/>
              </w:rPr>
              <w:t>0.98</w:t>
            </w:r>
          </w:p>
        </w:tc>
      </w:tr>
      <w:tr w:rsidR="00566744" w14:paraId="1CF3A4E6" w14:textId="77777777">
        <w:tc>
          <w:tcPr>
            <w:tcW w:w="568" w:type="dxa"/>
            <w:tcBorders>
              <w:top w:val="single" w:sz="8" w:space="0" w:color="000000"/>
              <w:left w:val="single" w:sz="8" w:space="0" w:color="000000"/>
              <w:bottom w:val="single" w:sz="6" w:space="0" w:color="000000"/>
              <w:right w:val="single" w:sz="8" w:space="0" w:color="000000"/>
            </w:tcBorders>
            <w:vAlign w:val="center"/>
          </w:tcPr>
          <w:p w14:paraId="5A628EDD" w14:textId="77777777" w:rsidR="00566744" w:rsidRDefault="00000000">
            <w:pPr>
              <w:pStyle w:val="biaogecenter"/>
              <w:wordWrap w:val="0"/>
              <w:rPr>
                <w:rFonts w:hint="eastAsia"/>
              </w:rPr>
            </w:pPr>
            <w:r>
              <w:rPr>
                <w:rFonts w:hAnsi="等线" w:hint="eastAsia"/>
                <w:color w:val="000000"/>
              </w:rPr>
              <w:t>6</w:t>
            </w:r>
          </w:p>
        </w:tc>
        <w:tc>
          <w:tcPr>
            <w:tcW w:w="1532" w:type="dxa"/>
            <w:tcBorders>
              <w:top w:val="single" w:sz="8" w:space="0" w:color="000000"/>
              <w:left w:val="single" w:sz="8" w:space="0" w:color="000000"/>
              <w:bottom w:val="single" w:sz="6" w:space="0" w:color="000000"/>
              <w:right w:val="single" w:sz="8" w:space="0" w:color="000000"/>
            </w:tcBorders>
            <w:vAlign w:val="center"/>
          </w:tcPr>
          <w:p w14:paraId="120FA1D5" w14:textId="47C21B53" w:rsidR="00566744" w:rsidRDefault="00000000">
            <w:pPr>
              <w:pStyle w:val="biaogeleft"/>
              <w:wordWrap w:val="0"/>
              <w:rPr>
                <w:rFonts w:hint="eastAsia"/>
              </w:rPr>
            </w:pPr>
            <w:r>
              <w:rPr>
                <w:rFonts w:hAnsi="Calibri"/>
                <w:color w:val="000000"/>
              </w:rPr>
              <w:t>112599228</w:t>
            </w:r>
          </w:p>
        </w:tc>
        <w:tc>
          <w:tcPr>
            <w:tcW w:w="2720" w:type="dxa"/>
            <w:tcBorders>
              <w:top w:val="single" w:sz="8" w:space="0" w:color="000000"/>
              <w:left w:val="single" w:sz="8" w:space="0" w:color="000000"/>
              <w:bottom w:val="single" w:sz="6" w:space="0" w:color="000000"/>
              <w:right w:val="single" w:sz="8" w:space="0" w:color="000000"/>
            </w:tcBorders>
            <w:vAlign w:val="center"/>
          </w:tcPr>
          <w:p w14:paraId="7CC03148" w14:textId="76C858C4" w:rsidR="00566744" w:rsidRDefault="00000000">
            <w:pPr>
              <w:pStyle w:val="biaogeleft"/>
              <w:wordWrap w:val="0"/>
              <w:rPr>
                <w:rFonts w:hint="eastAsia"/>
              </w:rPr>
            </w:pPr>
            <w:r>
              <w:rPr>
                <w:rFonts w:hAnsi="Calibri"/>
                <w:color w:val="000000"/>
              </w:rPr>
              <w:t>25富</w:t>
            </w:r>
            <w:proofErr w:type="gramStart"/>
            <w:r>
              <w:rPr>
                <w:rFonts w:hAnsi="Calibri"/>
                <w:color w:val="000000"/>
              </w:rPr>
              <w:t>滇银行</w:t>
            </w:r>
            <w:proofErr w:type="gramEnd"/>
            <w:r>
              <w:rPr>
                <w:rFonts w:hAnsi="Calibri"/>
                <w:color w:val="000000"/>
              </w:rPr>
              <w:t>CD098</w:t>
            </w:r>
          </w:p>
        </w:tc>
        <w:tc>
          <w:tcPr>
            <w:tcW w:w="1418" w:type="dxa"/>
            <w:tcBorders>
              <w:top w:val="single" w:sz="8" w:space="0" w:color="000000"/>
              <w:left w:val="single" w:sz="8" w:space="0" w:color="000000"/>
              <w:bottom w:val="single" w:sz="6" w:space="0" w:color="000000"/>
              <w:right w:val="single" w:sz="8" w:space="0" w:color="000000"/>
            </w:tcBorders>
            <w:vAlign w:val="center"/>
          </w:tcPr>
          <w:p w14:paraId="742F8D3E" w14:textId="7F025F32" w:rsidR="00566744" w:rsidRDefault="00000000">
            <w:pPr>
              <w:pStyle w:val="biaogeright"/>
              <w:wordWrap w:val="0"/>
              <w:rPr>
                <w:rFonts w:hint="eastAsia"/>
              </w:rPr>
            </w:pPr>
            <w:r>
              <w:rPr>
                <w:rFonts w:hAnsi="Calibri"/>
                <w:color w:val="000000"/>
              </w:rPr>
              <w:t>1,000,000</w:t>
            </w:r>
          </w:p>
        </w:tc>
        <w:tc>
          <w:tcPr>
            <w:tcW w:w="1984" w:type="dxa"/>
            <w:tcBorders>
              <w:top w:val="single" w:sz="8" w:space="0" w:color="000000"/>
              <w:left w:val="single" w:sz="8" w:space="0" w:color="000000"/>
              <w:bottom w:val="single" w:sz="6" w:space="0" w:color="000000"/>
              <w:right w:val="single" w:sz="8" w:space="0" w:color="000000"/>
            </w:tcBorders>
            <w:vAlign w:val="center"/>
          </w:tcPr>
          <w:p w14:paraId="5F4A678D" w14:textId="190AF515" w:rsidR="00566744" w:rsidRDefault="00000000">
            <w:pPr>
              <w:pStyle w:val="biaogeright"/>
              <w:wordWrap w:val="0"/>
              <w:rPr>
                <w:rFonts w:hint="eastAsia"/>
              </w:rPr>
            </w:pPr>
            <w:r>
              <w:rPr>
                <w:rFonts w:hAnsi="Calibri"/>
                <w:color w:val="000000"/>
              </w:rPr>
              <w:t>99,970,155.40</w:t>
            </w:r>
          </w:p>
        </w:tc>
        <w:tc>
          <w:tcPr>
            <w:tcW w:w="1560" w:type="dxa"/>
            <w:tcBorders>
              <w:top w:val="single" w:sz="8" w:space="0" w:color="000000"/>
              <w:left w:val="single" w:sz="8" w:space="0" w:color="000000"/>
              <w:bottom w:val="single" w:sz="6" w:space="0" w:color="000000"/>
              <w:right w:val="single" w:sz="8" w:space="0" w:color="000000"/>
            </w:tcBorders>
            <w:vAlign w:val="center"/>
          </w:tcPr>
          <w:p w14:paraId="447378F2" w14:textId="5468DA1B" w:rsidR="00566744" w:rsidRDefault="00000000">
            <w:pPr>
              <w:pStyle w:val="biaogeright"/>
              <w:wordWrap w:val="0"/>
              <w:rPr>
                <w:rFonts w:hint="eastAsia"/>
              </w:rPr>
            </w:pPr>
            <w:r>
              <w:rPr>
                <w:rFonts w:hAnsi="Calibri"/>
                <w:color w:val="000000"/>
              </w:rPr>
              <w:t>0.98</w:t>
            </w:r>
          </w:p>
        </w:tc>
      </w:tr>
      <w:tr w:rsidR="00566744" w14:paraId="4309F9BE" w14:textId="77777777">
        <w:tc>
          <w:tcPr>
            <w:tcW w:w="568" w:type="dxa"/>
            <w:tcBorders>
              <w:top w:val="single" w:sz="8" w:space="0" w:color="000000"/>
              <w:left w:val="single" w:sz="8" w:space="0" w:color="000000"/>
              <w:bottom w:val="single" w:sz="6" w:space="0" w:color="000000"/>
              <w:right w:val="single" w:sz="8" w:space="0" w:color="000000"/>
            </w:tcBorders>
            <w:vAlign w:val="center"/>
          </w:tcPr>
          <w:p w14:paraId="4A09BBE2" w14:textId="77777777" w:rsidR="00566744" w:rsidRDefault="00000000">
            <w:pPr>
              <w:pStyle w:val="biaogecenter"/>
              <w:wordWrap w:val="0"/>
              <w:rPr>
                <w:rFonts w:hint="eastAsia"/>
              </w:rPr>
            </w:pPr>
            <w:r>
              <w:rPr>
                <w:rFonts w:hAnsi="等线" w:hint="eastAsia"/>
                <w:color w:val="000000"/>
              </w:rPr>
              <w:t>7</w:t>
            </w:r>
          </w:p>
        </w:tc>
        <w:tc>
          <w:tcPr>
            <w:tcW w:w="1532" w:type="dxa"/>
            <w:tcBorders>
              <w:top w:val="single" w:sz="8" w:space="0" w:color="000000"/>
              <w:left w:val="single" w:sz="8" w:space="0" w:color="000000"/>
              <w:bottom w:val="single" w:sz="6" w:space="0" w:color="000000"/>
              <w:right w:val="single" w:sz="8" w:space="0" w:color="000000"/>
            </w:tcBorders>
            <w:vAlign w:val="center"/>
          </w:tcPr>
          <w:p w14:paraId="7279AD02" w14:textId="55840F7B" w:rsidR="00566744" w:rsidRDefault="00000000">
            <w:pPr>
              <w:pStyle w:val="biaogeleft"/>
              <w:wordWrap w:val="0"/>
              <w:rPr>
                <w:rFonts w:hint="eastAsia"/>
              </w:rPr>
            </w:pPr>
            <w:r>
              <w:rPr>
                <w:rFonts w:hAnsi="Calibri"/>
                <w:color w:val="000000"/>
              </w:rPr>
              <w:t>112599713</w:t>
            </w:r>
          </w:p>
        </w:tc>
        <w:tc>
          <w:tcPr>
            <w:tcW w:w="2720" w:type="dxa"/>
            <w:tcBorders>
              <w:top w:val="single" w:sz="8" w:space="0" w:color="000000"/>
              <w:left w:val="single" w:sz="8" w:space="0" w:color="000000"/>
              <w:bottom w:val="single" w:sz="6" w:space="0" w:color="000000"/>
              <w:right w:val="single" w:sz="8" w:space="0" w:color="000000"/>
            </w:tcBorders>
            <w:vAlign w:val="center"/>
          </w:tcPr>
          <w:p w14:paraId="40EF12BF" w14:textId="128F3BBE" w:rsidR="00566744" w:rsidRDefault="00000000">
            <w:pPr>
              <w:pStyle w:val="biaogeleft"/>
              <w:wordWrap w:val="0"/>
              <w:rPr>
                <w:rFonts w:hint="eastAsia"/>
              </w:rPr>
            </w:pPr>
            <w:r>
              <w:rPr>
                <w:rFonts w:hAnsi="Calibri"/>
                <w:color w:val="000000"/>
              </w:rPr>
              <w:t>25甘肃银行CD080</w:t>
            </w:r>
          </w:p>
        </w:tc>
        <w:tc>
          <w:tcPr>
            <w:tcW w:w="1418" w:type="dxa"/>
            <w:tcBorders>
              <w:top w:val="single" w:sz="8" w:space="0" w:color="000000"/>
              <w:left w:val="single" w:sz="8" w:space="0" w:color="000000"/>
              <w:bottom w:val="single" w:sz="6" w:space="0" w:color="000000"/>
              <w:right w:val="single" w:sz="8" w:space="0" w:color="000000"/>
            </w:tcBorders>
            <w:vAlign w:val="center"/>
          </w:tcPr>
          <w:p w14:paraId="2EAF0E51" w14:textId="1BF3B414" w:rsidR="00566744" w:rsidRDefault="00000000">
            <w:pPr>
              <w:pStyle w:val="biaogeright"/>
              <w:wordWrap w:val="0"/>
              <w:rPr>
                <w:rFonts w:hint="eastAsia"/>
              </w:rPr>
            </w:pPr>
            <w:r>
              <w:rPr>
                <w:rFonts w:hAnsi="Calibri"/>
                <w:color w:val="000000"/>
              </w:rPr>
              <w:t>1,000,000</w:t>
            </w:r>
          </w:p>
        </w:tc>
        <w:tc>
          <w:tcPr>
            <w:tcW w:w="1984" w:type="dxa"/>
            <w:tcBorders>
              <w:top w:val="single" w:sz="8" w:space="0" w:color="000000"/>
              <w:left w:val="single" w:sz="8" w:space="0" w:color="000000"/>
              <w:bottom w:val="single" w:sz="6" w:space="0" w:color="000000"/>
              <w:right w:val="single" w:sz="8" w:space="0" w:color="000000"/>
            </w:tcBorders>
            <w:vAlign w:val="center"/>
          </w:tcPr>
          <w:p w14:paraId="0CC5069B" w14:textId="6F5024C0" w:rsidR="00566744" w:rsidRDefault="00000000">
            <w:pPr>
              <w:pStyle w:val="biaogeright"/>
              <w:wordWrap w:val="0"/>
              <w:rPr>
                <w:rFonts w:hint="eastAsia"/>
              </w:rPr>
            </w:pPr>
            <w:r>
              <w:rPr>
                <w:rFonts w:hAnsi="Calibri"/>
                <w:color w:val="000000"/>
              </w:rPr>
              <w:t>99,926,303.81</w:t>
            </w:r>
          </w:p>
        </w:tc>
        <w:tc>
          <w:tcPr>
            <w:tcW w:w="1560" w:type="dxa"/>
            <w:tcBorders>
              <w:top w:val="single" w:sz="8" w:space="0" w:color="000000"/>
              <w:left w:val="single" w:sz="8" w:space="0" w:color="000000"/>
              <w:bottom w:val="single" w:sz="6" w:space="0" w:color="000000"/>
              <w:right w:val="single" w:sz="8" w:space="0" w:color="000000"/>
            </w:tcBorders>
            <w:vAlign w:val="center"/>
          </w:tcPr>
          <w:p w14:paraId="7D9B1F3A" w14:textId="709ED082" w:rsidR="00566744" w:rsidRDefault="00000000">
            <w:pPr>
              <w:pStyle w:val="biaogeright"/>
              <w:wordWrap w:val="0"/>
              <w:rPr>
                <w:rFonts w:hint="eastAsia"/>
              </w:rPr>
            </w:pPr>
            <w:r>
              <w:rPr>
                <w:rFonts w:hAnsi="Calibri"/>
                <w:color w:val="000000"/>
              </w:rPr>
              <w:t>0.98</w:t>
            </w:r>
          </w:p>
        </w:tc>
      </w:tr>
      <w:tr w:rsidR="00566744" w14:paraId="166C82ED" w14:textId="77777777">
        <w:tc>
          <w:tcPr>
            <w:tcW w:w="568" w:type="dxa"/>
            <w:tcBorders>
              <w:top w:val="single" w:sz="8" w:space="0" w:color="000000"/>
              <w:left w:val="single" w:sz="8" w:space="0" w:color="000000"/>
              <w:bottom w:val="single" w:sz="6" w:space="0" w:color="000000"/>
              <w:right w:val="single" w:sz="8" w:space="0" w:color="000000"/>
            </w:tcBorders>
            <w:vAlign w:val="center"/>
          </w:tcPr>
          <w:p w14:paraId="70BEC9A8" w14:textId="77777777" w:rsidR="00566744" w:rsidRDefault="00000000">
            <w:pPr>
              <w:pStyle w:val="biaogecenter"/>
              <w:wordWrap w:val="0"/>
              <w:rPr>
                <w:rFonts w:hint="eastAsia"/>
              </w:rPr>
            </w:pPr>
            <w:r>
              <w:rPr>
                <w:rFonts w:hAnsi="等线" w:hint="eastAsia"/>
                <w:color w:val="000000"/>
              </w:rPr>
              <w:t>8</w:t>
            </w:r>
          </w:p>
        </w:tc>
        <w:tc>
          <w:tcPr>
            <w:tcW w:w="1532" w:type="dxa"/>
            <w:tcBorders>
              <w:top w:val="single" w:sz="8" w:space="0" w:color="000000"/>
              <w:left w:val="single" w:sz="8" w:space="0" w:color="000000"/>
              <w:bottom w:val="single" w:sz="6" w:space="0" w:color="000000"/>
              <w:right w:val="single" w:sz="8" w:space="0" w:color="000000"/>
            </w:tcBorders>
            <w:vAlign w:val="center"/>
          </w:tcPr>
          <w:p w14:paraId="624B37DA" w14:textId="17B207AF" w:rsidR="00566744" w:rsidRDefault="00000000">
            <w:pPr>
              <w:pStyle w:val="biaogeleft"/>
              <w:wordWrap w:val="0"/>
              <w:rPr>
                <w:rFonts w:hint="eastAsia"/>
              </w:rPr>
            </w:pPr>
            <w:r>
              <w:rPr>
                <w:rFonts w:hAnsi="Calibri"/>
                <w:color w:val="000000"/>
              </w:rPr>
              <w:t>112584133</w:t>
            </w:r>
          </w:p>
        </w:tc>
        <w:tc>
          <w:tcPr>
            <w:tcW w:w="2720" w:type="dxa"/>
            <w:tcBorders>
              <w:top w:val="single" w:sz="8" w:space="0" w:color="000000"/>
              <w:left w:val="single" w:sz="8" w:space="0" w:color="000000"/>
              <w:bottom w:val="single" w:sz="6" w:space="0" w:color="000000"/>
              <w:right w:val="single" w:sz="8" w:space="0" w:color="000000"/>
            </w:tcBorders>
            <w:vAlign w:val="center"/>
          </w:tcPr>
          <w:p w14:paraId="7AAA8FEA" w14:textId="429E2480" w:rsidR="00566744" w:rsidRDefault="00000000">
            <w:pPr>
              <w:pStyle w:val="biaogeleft"/>
              <w:wordWrap w:val="0"/>
              <w:rPr>
                <w:rFonts w:hint="eastAsia"/>
              </w:rPr>
            </w:pPr>
            <w:r>
              <w:rPr>
                <w:rFonts w:hAnsi="Calibri"/>
                <w:color w:val="000000"/>
              </w:rPr>
              <w:t>25兰州银行CD074</w:t>
            </w:r>
          </w:p>
        </w:tc>
        <w:tc>
          <w:tcPr>
            <w:tcW w:w="1418" w:type="dxa"/>
            <w:tcBorders>
              <w:top w:val="single" w:sz="8" w:space="0" w:color="000000"/>
              <w:left w:val="single" w:sz="8" w:space="0" w:color="000000"/>
              <w:bottom w:val="single" w:sz="6" w:space="0" w:color="000000"/>
              <w:right w:val="single" w:sz="8" w:space="0" w:color="000000"/>
            </w:tcBorders>
            <w:vAlign w:val="center"/>
          </w:tcPr>
          <w:p w14:paraId="7C600F85" w14:textId="47EB2541" w:rsidR="00566744" w:rsidRDefault="00000000">
            <w:pPr>
              <w:pStyle w:val="biaogeright"/>
              <w:wordWrap w:val="0"/>
              <w:rPr>
                <w:rFonts w:hint="eastAsia"/>
              </w:rPr>
            </w:pPr>
            <w:r>
              <w:rPr>
                <w:rFonts w:hAnsi="Calibri"/>
                <w:color w:val="000000"/>
              </w:rPr>
              <w:t>1,000,000</w:t>
            </w:r>
          </w:p>
        </w:tc>
        <w:tc>
          <w:tcPr>
            <w:tcW w:w="1984" w:type="dxa"/>
            <w:tcBorders>
              <w:top w:val="single" w:sz="8" w:space="0" w:color="000000"/>
              <w:left w:val="single" w:sz="8" w:space="0" w:color="000000"/>
              <w:bottom w:val="single" w:sz="6" w:space="0" w:color="000000"/>
              <w:right w:val="single" w:sz="8" w:space="0" w:color="000000"/>
            </w:tcBorders>
            <w:vAlign w:val="center"/>
          </w:tcPr>
          <w:p w14:paraId="0C4069EA" w14:textId="230117E4" w:rsidR="00566744" w:rsidRDefault="00000000">
            <w:pPr>
              <w:pStyle w:val="biaogeright"/>
              <w:wordWrap w:val="0"/>
              <w:rPr>
                <w:rFonts w:hint="eastAsia"/>
              </w:rPr>
            </w:pPr>
            <w:r>
              <w:rPr>
                <w:rFonts w:hAnsi="Calibri"/>
                <w:color w:val="000000"/>
              </w:rPr>
              <w:t>99,905,886.24</w:t>
            </w:r>
          </w:p>
        </w:tc>
        <w:tc>
          <w:tcPr>
            <w:tcW w:w="1560" w:type="dxa"/>
            <w:tcBorders>
              <w:top w:val="single" w:sz="8" w:space="0" w:color="000000"/>
              <w:left w:val="single" w:sz="8" w:space="0" w:color="000000"/>
              <w:bottom w:val="single" w:sz="6" w:space="0" w:color="000000"/>
              <w:right w:val="single" w:sz="8" w:space="0" w:color="000000"/>
            </w:tcBorders>
            <w:vAlign w:val="center"/>
          </w:tcPr>
          <w:p w14:paraId="1E2BEE95" w14:textId="7BFE412B" w:rsidR="00566744" w:rsidRDefault="00000000">
            <w:pPr>
              <w:pStyle w:val="biaogeright"/>
              <w:wordWrap w:val="0"/>
              <w:rPr>
                <w:rFonts w:hint="eastAsia"/>
              </w:rPr>
            </w:pPr>
            <w:r>
              <w:rPr>
                <w:rFonts w:hAnsi="Calibri"/>
                <w:color w:val="000000"/>
              </w:rPr>
              <w:t>0.98</w:t>
            </w:r>
          </w:p>
        </w:tc>
      </w:tr>
      <w:tr w:rsidR="00566744" w14:paraId="1D752589" w14:textId="77777777">
        <w:tc>
          <w:tcPr>
            <w:tcW w:w="568" w:type="dxa"/>
            <w:tcBorders>
              <w:top w:val="single" w:sz="8" w:space="0" w:color="000000"/>
              <w:left w:val="single" w:sz="8" w:space="0" w:color="000000"/>
              <w:bottom w:val="single" w:sz="6" w:space="0" w:color="000000"/>
              <w:right w:val="single" w:sz="8" w:space="0" w:color="000000"/>
            </w:tcBorders>
            <w:vAlign w:val="center"/>
          </w:tcPr>
          <w:p w14:paraId="5BE78BCC" w14:textId="77777777" w:rsidR="00566744" w:rsidRDefault="00000000">
            <w:pPr>
              <w:pStyle w:val="biaogecenter"/>
              <w:wordWrap w:val="0"/>
              <w:rPr>
                <w:rFonts w:hint="eastAsia"/>
              </w:rPr>
            </w:pPr>
            <w:r>
              <w:rPr>
                <w:rFonts w:hAnsi="等线" w:hint="eastAsia"/>
                <w:color w:val="000000"/>
              </w:rPr>
              <w:t>9</w:t>
            </w:r>
          </w:p>
        </w:tc>
        <w:tc>
          <w:tcPr>
            <w:tcW w:w="1532" w:type="dxa"/>
            <w:tcBorders>
              <w:top w:val="single" w:sz="8" w:space="0" w:color="000000"/>
              <w:left w:val="single" w:sz="8" w:space="0" w:color="000000"/>
              <w:bottom w:val="single" w:sz="6" w:space="0" w:color="000000"/>
              <w:right w:val="single" w:sz="8" w:space="0" w:color="000000"/>
            </w:tcBorders>
            <w:vAlign w:val="center"/>
          </w:tcPr>
          <w:p w14:paraId="5CEAF8CF" w14:textId="6417096D" w:rsidR="00566744" w:rsidRDefault="00000000">
            <w:pPr>
              <w:pStyle w:val="biaogeleft"/>
              <w:wordWrap w:val="0"/>
              <w:rPr>
                <w:rFonts w:hint="eastAsia"/>
              </w:rPr>
            </w:pPr>
            <w:r>
              <w:rPr>
                <w:rFonts w:hAnsi="Calibri"/>
                <w:color w:val="000000"/>
              </w:rPr>
              <w:t>112690856</w:t>
            </w:r>
          </w:p>
        </w:tc>
        <w:tc>
          <w:tcPr>
            <w:tcW w:w="2720" w:type="dxa"/>
            <w:tcBorders>
              <w:top w:val="single" w:sz="8" w:space="0" w:color="000000"/>
              <w:left w:val="single" w:sz="8" w:space="0" w:color="000000"/>
              <w:bottom w:val="single" w:sz="6" w:space="0" w:color="000000"/>
              <w:right w:val="single" w:sz="8" w:space="0" w:color="000000"/>
            </w:tcBorders>
            <w:vAlign w:val="center"/>
          </w:tcPr>
          <w:p w14:paraId="3D580606" w14:textId="6AEE3903" w:rsidR="00566744" w:rsidRDefault="00000000">
            <w:pPr>
              <w:pStyle w:val="biaogeleft"/>
              <w:wordWrap w:val="0"/>
              <w:rPr>
                <w:rFonts w:hint="eastAsia"/>
              </w:rPr>
            </w:pPr>
            <w:r>
              <w:rPr>
                <w:rFonts w:hAnsi="Calibri"/>
                <w:color w:val="000000"/>
              </w:rPr>
              <w:t>26广西北部湾银行CD008</w:t>
            </w:r>
          </w:p>
        </w:tc>
        <w:tc>
          <w:tcPr>
            <w:tcW w:w="1418" w:type="dxa"/>
            <w:tcBorders>
              <w:top w:val="single" w:sz="8" w:space="0" w:color="000000"/>
              <w:left w:val="single" w:sz="8" w:space="0" w:color="000000"/>
              <w:bottom w:val="single" w:sz="6" w:space="0" w:color="000000"/>
              <w:right w:val="single" w:sz="8" w:space="0" w:color="000000"/>
            </w:tcBorders>
            <w:vAlign w:val="center"/>
          </w:tcPr>
          <w:p w14:paraId="74EBF270" w14:textId="500E0B98" w:rsidR="00566744" w:rsidRDefault="00000000">
            <w:pPr>
              <w:pStyle w:val="biaogeright"/>
              <w:wordWrap w:val="0"/>
              <w:rPr>
                <w:rFonts w:hint="eastAsia"/>
              </w:rPr>
            </w:pPr>
            <w:r>
              <w:rPr>
                <w:rFonts w:hAnsi="Calibri"/>
                <w:color w:val="000000"/>
              </w:rPr>
              <w:t>1,000,000</w:t>
            </w:r>
          </w:p>
        </w:tc>
        <w:tc>
          <w:tcPr>
            <w:tcW w:w="1984" w:type="dxa"/>
            <w:tcBorders>
              <w:top w:val="single" w:sz="8" w:space="0" w:color="000000"/>
              <w:left w:val="single" w:sz="8" w:space="0" w:color="000000"/>
              <w:bottom w:val="single" w:sz="6" w:space="0" w:color="000000"/>
              <w:right w:val="single" w:sz="8" w:space="0" w:color="000000"/>
            </w:tcBorders>
            <w:vAlign w:val="center"/>
          </w:tcPr>
          <w:p w14:paraId="1AC09FDC" w14:textId="45DFA873" w:rsidR="00566744" w:rsidRDefault="00000000">
            <w:pPr>
              <w:pStyle w:val="biaogeright"/>
              <w:wordWrap w:val="0"/>
              <w:rPr>
                <w:rFonts w:hint="eastAsia"/>
              </w:rPr>
            </w:pPr>
            <w:r>
              <w:rPr>
                <w:rFonts w:hAnsi="Calibri"/>
                <w:color w:val="000000"/>
              </w:rPr>
              <w:t>99,904,363.34</w:t>
            </w:r>
          </w:p>
        </w:tc>
        <w:tc>
          <w:tcPr>
            <w:tcW w:w="1560" w:type="dxa"/>
            <w:tcBorders>
              <w:top w:val="single" w:sz="8" w:space="0" w:color="000000"/>
              <w:left w:val="single" w:sz="8" w:space="0" w:color="000000"/>
              <w:bottom w:val="single" w:sz="6" w:space="0" w:color="000000"/>
              <w:right w:val="single" w:sz="8" w:space="0" w:color="000000"/>
            </w:tcBorders>
            <w:vAlign w:val="center"/>
          </w:tcPr>
          <w:p w14:paraId="6AC1876C" w14:textId="304E22A3" w:rsidR="00566744" w:rsidRDefault="00000000">
            <w:pPr>
              <w:pStyle w:val="biaogeright"/>
              <w:wordWrap w:val="0"/>
              <w:rPr>
                <w:rFonts w:hint="eastAsia"/>
              </w:rPr>
            </w:pPr>
            <w:r>
              <w:rPr>
                <w:rFonts w:hAnsi="Calibri"/>
                <w:color w:val="000000"/>
              </w:rPr>
              <w:t>0.98</w:t>
            </w:r>
          </w:p>
        </w:tc>
      </w:tr>
      <w:tr w:rsidR="00566744" w14:paraId="4B811332" w14:textId="77777777">
        <w:tc>
          <w:tcPr>
            <w:tcW w:w="568" w:type="dxa"/>
            <w:tcBorders>
              <w:top w:val="single" w:sz="8" w:space="0" w:color="000000"/>
              <w:left w:val="single" w:sz="8" w:space="0" w:color="000000"/>
              <w:bottom w:val="single" w:sz="6" w:space="0" w:color="000000"/>
              <w:right w:val="single" w:sz="8" w:space="0" w:color="000000"/>
            </w:tcBorders>
            <w:vAlign w:val="center"/>
          </w:tcPr>
          <w:p w14:paraId="322DB071" w14:textId="77777777" w:rsidR="00566744" w:rsidRDefault="00000000">
            <w:pPr>
              <w:pStyle w:val="biaogecenter"/>
              <w:wordWrap w:val="0"/>
              <w:rPr>
                <w:rFonts w:hint="eastAsia"/>
              </w:rPr>
            </w:pPr>
            <w:r>
              <w:rPr>
                <w:rFonts w:hAnsi="等线" w:hint="eastAsia"/>
                <w:color w:val="000000"/>
              </w:rPr>
              <w:t>10</w:t>
            </w:r>
          </w:p>
        </w:tc>
        <w:tc>
          <w:tcPr>
            <w:tcW w:w="1532" w:type="dxa"/>
            <w:tcBorders>
              <w:top w:val="single" w:sz="8" w:space="0" w:color="000000"/>
              <w:left w:val="single" w:sz="8" w:space="0" w:color="000000"/>
              <w:bottom w:val="single" w:sz="6" w:space="0" w:color="000000"/>
              <w:right w:val="single" w:sz="8" w:space="0" w:color="000000"/>
            </w:tcBorders>
            <w:vAlign w:val="center"/>
          </w:tcPr>
          <w:p w14:paraId="1DD6B752" w14:textId="40939F68" w:rsidR="00566744" w:rsidRDefault="00000000">
            <w:pPr>
              <w:pStyle w:val="biaogeleft"/>
              <w:wordWrap w:val="0"/>
              <w:rPr>
                <w:rFonts w:hint="eastAsia"/>
              </w:rPr>
            </w:pPr>
            <w:r>
              <w:rPr>
                <w:rFonts w:hAnsi="Calibri"/>
                <w:color w:val="000000"/>
              </w:rPr>
              <w:t>112599787</w:t>
            </w:r>
          </w:p>
        </w:tc>
        <w:tc>
          <w:tcPr>
            <w:tcW w:w="2720" w:type="dxa"/>
            <w:tcBorders>
              <w:top w:val="single" w:sz="8" w:space="0" w:color="000000"/>
              <w:left w:val="single" w:sz="8" w:space="0" w:color="000000"/>
              <w:bottom w:val="single" w:sz="6" w:space="0" w:color="000000"/>
              <w:right w:val="single" w:sz="8" w:space="0" w:color="000000"/>
            </w:tcBorders>
            <w:vAlign w:val="center"/>
          </w:tcPr>
          <w:p w14:paraId="51437737" w14:textId="0CDD6C7E" w:rsidR="00566744" w:rsidRDefault="00000000">
            <w:pPr>
              <w:pStyle w:val="biaogeleft"/>
              <w:wordWrap w:val="0"/>
              <w:rPr>
                <w:rFonts w:hint="eastAsia"/>
              </w:rPr>
            </w:pPr>
            <w:r>
              <w:rPr>
                <w:rFonts w:hAnsi="Calibri"/>
                <w:color w:val="000000"/>
              </w:rPr>
              <w:t>25长城华西银行CD036</w:t>
            </w:r>
          </w:p>
        </w:tc>
        <w:tc>
          <w:tcPr>
            <w:tcW w:w="1418" w:type="dxa"/>
            <w:tcBorders>
              <w:top w:val="single" w:sz="8" w:space="0" w:color="000000"/>
              <w:left w:val="single" w:sz="8" w:space="0" w:color="000000"/>
              <w:bottom w:val="single" w:sz="6" w:space="0" w:color="000000"/>
              <w:right w:val="single" w:sz="8" w:space="0" w:color="000000"/>
            </w:tcBorders>
            <w:vAlign w:val="center"/>
          </w:tcPr>
          <w:p w14:paraId="24415C30" w14:textId="2597CAF5" w:rsidR="00566744" w:rsidRDefault="00000000">
            <w:pPr>
              <w:pStyle w:val="biaogeright"/>
              <w:wordWrap w:val="0"/>
              <w:rPr>
                <w:rFonts w:hint="eastAsia"/>
              </w:rPr>
            </w:pPr>
            <w:r>
              <w:rPr>
                <w:rFonts w:hAnsi="Calibri"/>
                <w:color w:val="000000"/>
              </w:rPr>
              <w:t>1,000,000</w:t>
            </w:r>
          </w:p>
        </w:tc>
        <w:tc>
          <w:tcPr>
            <w:tcW w:w="1984" w:type="dxa"/>
            <w:tcBorders>
              <w:top w:val="single" w:sz="8" w:space="0" w:color="000000"/>
              <w:left w:val="single" w:sz="8" w:space="0" w:color="000000"/>
              <w:bottom w:val="single" w:sz="6" w:space="0" w:color="000000"/>
              <w:right w:val="single" w:sz="8" w:space="0" w:color="000000"/>
            </w:tcBorders>
            <w:vAlign w:val="center"/>
          </w:tcPr>
          <w:p w14:paraId="7A7A63CB" w14:textId="4B51E0C9" w:rsidR="00566744" w:rsidRDefault="00000000">
            <w:pPr>
              <w:pStyle w:val="biaogeright"/>
              <w:wordWrap w:val="0"/>
              <w:rPr>
                <w:rFonts w:hint="eastAsia"/>
              </w:rPr>
            </w:pPr>
            <w:r>
              <w:rPr>
                <w:rFonts w:hAnsi="Calibri"/>
                <w:color w:val="000000"/>
              </w:rPr>
              <w:t>99,890,160.89</w:t>
            </w:r>
          </w:p>
        </w:tc>
        <w:tc>
          <w:tcPr>
            <w:tcW w:w="1560" w:type="dxa"/>
            <w:tcBorders>
              <w:top w:val="single" w:sz="8" w:space="0" w:color="000000"/>
              <w:left w:val="single" w:sz="8" w:space="0" w:color="000000"/>
              <w:bottom w:val="single" w:sz="6" w:space="0" w:color="000000"/>
              <w:right w:val="single" w:sz="8" w:space="0" w:color="000000"/>
            </w:tcBorders>
            <w:vAlign w:val="center"/>
          </w:tcPr>
          <w:p w14:paraId="44535217" w14:textId="1F29594F" w:rsidR="00566744" w:rsidRDefault="00000000">
            <w:pPr>
              <w:pStyle w:val="biaogeright"/>
              <w:wordWrap w:val="0"/>
              <w:rPr>
                <w:rFonts w:hint="eastAsia"/>
              </w:rPr>
            </w:pPr>
            <w:r>
              <w:rPr>
                <w:rFonts w:hAnsi="Calibri"/>
                <w:color w:val="000000"/>
              </w:rPr>
              <w:t>0.98</w:t>
            </w:r>
          </w:p>
        </w:tc>
      </w:tr>
    </w:tbl>
    <w:p w14:paraId="31CA5303" w14:textId="77777777" w:rsidR="00566744" w:rsidRDefault="00566744">
      <w:pPr>
        <w:spacing w:line="360" w:lineRule="auto"/>
        <w:ind w:firstLineChars="177" w:firstLine="372"/>
      </w:pPr>
    </w:p>
    <w:p w14:paraId="39DF5881" w14:textId="77777777" w:rsidR="00566744" w:rsidRDefault="00000000">
      <w:pPr>
        <w:widowControl/>
        <w:spacing w:before="30" w:line="360" w:lineRule="auto"/>
        <w:ind w:left="17" w:firstLine="425"/>
        <w:jc w:val="left"/>
        <w:rPr>
          <w:rFonts w:ascii="宋体" w:hAnsi="宋体" w:hint="eastAsia"/>
          <w:sz w:val="24"/>
        </w:rPr>
      </w:pPr>
      <w:r>
        <w:rPr>
          <w:rFonts w:ascii="宋体" w:hAnsi="宋体" w:hint="eastAsia"/>
          <w:sz w:val="24"/>
        </w:rPr>
        <w:t>7、“影子定价”与“摊余成本法”确定的基金资产净值的偏离</w:t>
      </w:r>
    </w:p>
    <w:tbl>
      <w:tblPr>
        <w:tblW w:w="9030" w:type="dxa"/>
        <w:tblInd w:w="108" w:type="dxa"/>
        <w:tblLook w:val="04A0" w:firstRow="1" w:lastRow="0" w:firstColumn="1" w:lastColumn="0" w:noHBand="0" w:noVBand="1"/>
      </w:tblPr>
      <w:tblGrid>
        <w:gridCol w:w="5779"/>
        <w:gridCol w:w="3251"/>
      </w:tblGrid>
      <w:tr w:rsidR="00566744" w14:paraId="082BC50A" w14:textId="77777777">
        <w:tc>
          <w:tcPr>
            <w:tcW w:w="5779" w:type="dxa"/>
            <w:tcBorders>
              <w:top w:val="single" w:sz="8" w:space="0" w:color="000000"/>
              <w:left w:val="single" w:sz="8" w:space="0" w:color="000000"/>
              <w:bottom w:val="single" w:sz="6" w:space="0" w:color="000000"/>
              <w:right w:val="single" w:sz="8" w:space="0" w:color="000000"/>
            </w:tcBorders>
            <w:vAlign w:val="center"/>
          </w:tcPr>
          <w:p w14:paraId="48533277" w14:textId="77777777" w:rsidR="00566744" w:rsidRDefault="00000000">
            <w:pPr>
              <w:pStyle w:val="biaogecenter"/>
              <w:wordWrap w:val="0"/>
              <w:rPr>
                <w:rFonts w:hint="eastAsia"/>
              </w:rPr>
            </w:pPr>
            <w:r>
              <w:rPr>
                <w:rFonts w:hAnsi="Calibri" w:hint="eastAsia"/>
                <w:color w:val="000000"/>
              </w:rPr>
              <w:t>项目</w:t>
            </w:r>
          </w:p>
        </w:tc>
        <w:tc>
          <w:tcPr>
            <w:tcW w:w="3251" w:type="dxa"/>
            <w:tcBorders>
              <w:top w:val="single" w:sz="8" w:space="0" w:color="000000"/>
              <w:left w:val="single" w:sz="8" w:space="0" w:color="000000"/>
              <w:bottom w:val="single" w:sz="6" w:space="0" w:color="000000"/>
              <w:right w:val="single" w:sz="8" w:space="0" w:color="000000"/>
            </w:tcBorders>
            <w:vAlign w:val="center"/>
          </w:tcPr>
          <w:p w14:paraId="3AC3E4C2" w14:textId="77777777" w:rsidR="00566744" w:rsidRDefault="00000000">
            <w:pPr>
              <w:pStyle w:val="biaogecenter"/>
              <w:wordWrap w:val="0"/>
              <w:rPr>
                <w:rFonts w:hint="eastAsia"/>
              </w:rPr>
            </w:pPr>
            <w:r>
              <w:rPr>
                <w:rFonts w:hAnsi="Calibri" w:hint="eastAsia"/>
                <w:color w:val="000000"/>
              </w:rPr>
              <w:t>偏离情况</w:t>
            </w:r>
          </w:p>
        </w:tc>
      </w:tr>
      <w:tr w:rsidR="00566744" w14:paraId="4BD201F5" w14:textId="77777777">
        <w:tc>
          <w:tcPr>
            <w:tcW w:w="5779" w:type="dxa"/>
            <w:tcBorders>
              <w:top w:val="single" w:sz="8" w:space="0" w:color="000000"/>
              <w:left w:val="single" w:sz="8" w:space="0" w:color="000000"/>
              <w:bottom w:val="single" w:sz="6" w:space="0" w:color="000000"/>
              <w:right w:val="single" w:sz="8" w:space="0" w:color="000000"/>
            </w:tcBorders>
            <w:vAlign w:val="center"/>
          </w:tcPr>
          <w:p w14:paraId="1232CCF4" w14:textId="77777777" w:rsidR="00566744" w:rsidRDefault="00000000">
            <w:pPr>
              <w:pStyle w:val="biaogeleft"/>
              <w:wordWrap w:val="0"/>
              <w:rPr>
                <w:rFonts w:hint="eastAsia"/>
              </w:rPr>
            </w:pPr>
            <w:r>
              <w:rPr>
                <w:rFonts w:hint="eastAsia"/>
              </w:rPr>
              <w:t>报告期内偏离度的绝对值在0.25(含)-0.5%间的次数</w:t>
            </w:r>
          </w:p>
        </w:tc>
        <w:tc>
          <w:tcPr>
            <w:tcW w:w="3251" w:type="dxa"/>
            <w:tcBorders>
              <w:top w:val="single" w:sz="8" w:space="0" w:color="000000"/>
              <w:left w:val="single" w:sz="8" w:space="0" w:color="000000"/>
              <w:bottom w:val="single" w:sz="6" w:space="0" w:color="000000"/>
              <w:right w:val="single" w:sz="8" w:space="0" w:color="000000"/>
            </w:tcBorders>
            <w:vAlign w:val="center"/>
          </w:tcPr>
          <w:p w14:paraId="41ED6895" w14:textId="105400D2" w:rsidR="00566744" w:rsidRDefault="00000000">
            <w:pPr>
              <w:pStyle w:val="biaogeright"/>
              <w:wordWrap w:val="0"/>
              <w:rPr>
                <w:rFonts w:hint="eastAsia"/>
              </w:rPr>
            </w:pPr>
            <w:r>
              <w:rPr>
                <w:rFonts w:hAnsi="Calibri"/>
                <w:color w:val="000000"/>
              </w:rPr>
              <w:t>0</w:t>
            </w:r>
          </w:p>
        </w:tc>
      </w:tr>
      <w:tr w:rsidR="00566744" w14:paraId="448AE9E3" w14:textId="77777777">
        <w:tc>
          <w:tcPr>
            <w:tcW w:w="5779" w:type="dxa"/>
            <w:tcBorders>
              <w:top w:val="single" w:sz="8" w:space="0" w:color="000000"/>
              <w:left w:val="single" w:sz="8" w:space="0" w:color="000000"/>
              <w:bottom w:val="single" w:sz="6" w:space="0" w:color="000000"/>
              <w:right w:val="single" w:sz="8" w:space="0" w:color="000000"/>
            </w:tcBorders>
            <w:vAlign w:val="center"/>
          </w:tcPr>
          <w:p w14:paraId="52A1E813" w14:textId="77777777" w:rsidR="00566744" w:rsidRDefault="00000000">
            <w:pPr>
              <w:pStyle w:val="biaogeleft"/>
              <w:wordWrap w:val="0"/>
              <w:rPr>
                <w:rFonts w:hint="eastAsia"/>
              </w:rPr>
            </w:pPr>
            <w:r>
              <w:rPr>
                <w:rFonts w:hint="eastAsia"/>
              </w:rPr>
              <w:t>报告期内偏离度的最高值</w:t>
            </w:r>
          </w:p>
        </w:tc>
        <w:tc>
          <w:tcPr>
            <w:tcW w:w="3251" w:type="dxa"/>
            <w:tcBorders>
              <w:top w:val="single" w:sz="8" w:space="0" w:color="000000"/>
              <w:left w:val="single" w:sz="8" w:space="0" w:color="000000"/>
              <w:bottom w:val="single" w:sz="6" w:space="0" w:color="000000"/>
              <w:right w:val="single" w:sz="8" w:space="0" w:color="000000"/>
            </w:tcBorders>
            <w:vAlign w:val="center"/>
          </w:tcPr>
          <w:p w14:paraId="2850F31A" w14:textId="01B038F5" w:rsidR="00566744" w:rsidRDefault="00000000">
            <w:pPr>
              <w:pStyle w:val="biaogeright"/>
              <w:wordWrap w:val="0"/>
              <w:rPr>
                <w:rFonts w:hint="eastAsia"/>
              </w:rPr>
            </w:pPr>
            <w:r>
              <w:rPr>
                <w:rFonts w:hAnsi="Calibri"/>
                <w:color w:val="000000"/>
              </w:rPr>
              <w:t>0.0504%</w:t>
            </w:r>
          </w:p>
        </w:tc>
      </w:tr>
      <w:tr w:rsidR="00566744" w14:paraId="01FDA62E" w14:textId="77777777">
        <w:tc>
          <w:tcPr>
            <w:tcW w:w="5779" w:type="dxa"/>
            <w:tcBorders>
              <w:top w:val="single" w:sz="8" w:space="0" w:color="000000"/>
              <w:left w:val="single" w:sz="8" w:space="0" w:color="000000"/>
              <w:bottom w:val="single" w:sz="6" w:space="0" w:color="000000"/>
              <w:right w:val="single" w:sz="8" w:space="0" w:color="000000"/>
            </w:tcBorders>
            <w:vAlign w:val="center"/>
          </w:tcPr>
          <w:p w14:paraId="203B8135" w14:textId="77777777" w:rsidR="00566744" w:rsidRDefault="00000000">
            <w:pPr>
              <w:pStyle w:val="biaogeleft"/>
              <w:wordWrap w:val="0"/>
              <w:rPr>
                <w:rFonts w:hint="eastAsia"/>
              </w:rPr>
            </w:pPr>
            <w:r>
              <w:rPr>
                <w:rFonts w:hint="eastAsia"/>
              </w:rPr>
              <w:t>报告期内偏离度的最低值</w:t>
            </w:r>
          </w:p>
        </w:tc>
        <w:tc>
          <w:tcPr>
            <w:tcW w:w="3251" w:type="dxa"/>
            <w:tcBorders>
              <w:top w:val="single" w:sz="8" w:space="0" w:color="000000"/>
              <w:left w:val="single" w:sz="8" w:space="0" w:color="000000"/>
              <w:bottom w:val="single" w:sz="6" w:space="0" w:color="000000"/>
              <w:right w:val="single" w:sz="8" w:space="0" w:color="000000"/>
            </w:tcBorders>
            <w:vAlign w:val="center"/>
          </w:tcPr>
          <w:p w14:paraId="25D89CA1" w14:textId="6085B91D" w:rsidR="00566744" w:rsidRDefault="00000000">
            <w:pPr>
              <w:pStyle w:val="biaogeright"/>
              <w:wordWrap w:val="0"/>
              <w:rPr>
                <w:rFonts w:hint="eastAsia"/>
              </w:rPr>
            </w:pPr>
            <w:r>
              <w:rPr>
                <w:rFonts w:hAnsi="Calibri"/>
                <w:color w:val="000000"/>
              </w:rPr>
              <w:t>0.0274%</w:t>
            </w:r>
          </w:p>
        </w:tc>
      </w:tr>
      <w:tr w:rsidR="00566744" w14:paraId="0AB691D7" w14:textId="77777777">
        <w:tc>
          <w:tcPr>
            <w:tcW w:w="5779" w:type="dxa"/>
            <w:tcBorders>
              <w:top w:val="single" w:sz="8" w:space="0" w:color="000000"/>
              <w:left w:val="single" w:sz="8" w:space="0" w:color="000000"/>
              <w:bottom w:val="single" w:sz="6" w:space="0" w:color="000000"/>
              <w:right w:val="single" w:sz="8" w:space="0" w:color="000000"/>
            </w:tcBorders>
            <w:vAlign w:val="center"/>
          </w:tcPr>
          <w:p w14:paraId="7ADCF671" w14:textId="77777777" w:rsidR="00566744" w:rsidRDefault="00000000">
            <w:pPr>
              <w:pStyle w:val="biaogeleft"/>
              <w:wordWrap w:val="0"/>
              <w:rPr>
                <w:rFonts w:hint="eastAsia"/>
              </w:rPr>
            </w:pPr>
            <w:r>
              <w:rPr>
                <w:rFonts w:hint="eastAsia"/>
              </w:rPr>
              <w:t>报告期内每个工作日偏离度的绝对值的简单平均值</w:t>
            </w:r>
          </w:p>
        </w:tc>
        <w:tc>
          <w:tcPr>
            <w:tcW w:w="3251" w:type="dxa"/>
            <w:tcBorders>
              <w:top w:val="single" w:sz="8" w:space="0" w:color="000000"/>
              <w:left w:val="single" w:sz="8" w:space="0" w:color="000000"/>
              <w:bottom w:val="single" w:sz="6" w:space="0" w:color="000000"/>
              <w:right w:val="single" w:sz="8" w:space="0" w:color="000000"/>
            </w:tcBorders>
            <w:vAlign w:val="center"/>
          </w:tcPr>
          <w:p w14:paraId="09E7550D" w14:textId="051B6A87" w:rsidR="00566744" w:rsidRDefault="00000000">
            <w:pPr>
              <w:pStyle w:val="biaogeright"/>
              <w:wordWrap w:val="0"/>
              <w:rPr>
                <w:rFonts w:hint="eastAsia"/>
              </w:rPr>
            </w:pPr>
            <w:r>
              <w:rPr>
                <w:rFonts w:hAnsi="Calibri"/>
                <w:color w:val="000000"/>
              </w:rPr>
              <w:t>0.0398%</w:t>
            </w:r>
          </w:p>
        </w:tc>
      </w:tr>
    </w:tbl>
    <w:p w14:paraId="1905AED6" w14:textId="77777777" w:rsidR="00566744" w:rsidRDefault="00566744">
      <w:pPr>
        <w:widowControl/>
        <w:spacing w:before="30" w:line="360" w:lineRule="auto"/>
        <w:ind w:left="17" w:firstLine="425"/>
        <w:jc w:val="left"/>
        <w:rPr>
          <w:rFonts w:ascii="宋体" w:hAnsi="宋体" w:hint="eastAsia"/>
          <w:sz w:val="24"/>
        </w:rPr>
      </w:pPr>
    </w:p>
    <w:p w14:paraId="0A111765" w14:textId="77777777" w:rsidR="00566744" w:rsidRDefault="00000000">
      <w:pPr>
        <w:widowControl/>
        <w:spacing w:line="360" w:lineRule="auto"/>
        <w:ind w:leftChars="7" w:left="15" w:firstLineChars="200" w:firstLine="480"/>
        <w:jc w:val="left"/>
        <w:rPr>
          <w:rFonts w:ascii="宋体" w:hAnsi="宋体" w:hint="eastAsia"/>
          <w:sz w:val="24"/>
        </w:rPr>
      </w:pPr>
      <w:r>
        <w:rPr>
          <w:rFonts w:ascii="宋体" w:hAnsi="宋体" w:hint="eastAsia"/>
          <w:sz w:val="24"/>
        </w:rPr>
        <w:t>报告期内负偏离度的绝对值达到0.25%情况说明:</w:t>
      </w:r>
    </w:p>
    <w:p w14:paraId="4CBB3463" w14:textId="77777777" w:rsidR="00566744" w:rsidRDefault="00000000">
      <w:pPr>
        <w:widowControl/>
        <w:spacing w:line="360" w:lineRule="auto"/>
        <w:ind w:left="7"/>
        <w:jc w:val="left"/>
      </w:pPr>
      <w:r>
        <w:rPr>
          <w:rFonts w:ascii="宋体" w:hAnsi="宋体" w:hint="eastAsia"/>
          <w:sz w:val="24"/>
        </w:rPr>
        <w:lastRenderedPageBreak/>
        <w:t>  本基金本报告期内负偏离度的绝对值无达到0.25%的情况。</w:t>
      </w:r>
    </w:p>
    <w:p w14:paraId="44D5AABB" w14:textId="77777777" w:rsidR="00566744" w:rsidRDefault="00566744">
      <w:pPr>
        <w:widowControl/>
        <w:spacing w:line="360" w:lineRule="auto"/>
        <w:ind w:left="7"/>
        <w:jc w:val="left"/>
        <w:rPr>
          <w:rFonts w:ascii="宋体" w:hAnsi="宋体" w:hint="eastAsia"/>
          <w:sz w:val="24"/>
        </w:rPr>
      </w:pPr>
    </w:p>
    <w:p w14:paraId="5403AFEF" w14:textId="77777777" w:rsidR="00566744" w:rsidRDefault="00000000">
      <w:pPr>
        <w:widowControl/>
        <w:spacing w:line="360" w:lineRule="auto"/>
        <w:ind w:leftChars="7" w:left="15" w:firstLineChars="200" w:firstLine="480"/>
        <w:jc w:val="left"/>
        <w:rPr>
          <w:rFonts w:ascii="宋体" w:hAnsi="宋体" w:hint="eastAsia"/>
          <w:sz w:val="24"/>
        </w:rPr>
      </w:pPr>
      <w:r>
        <w:rPr>
          <w:rFonts w:ascii="宋体" w:hAnsi="宋体" w:hint="eastAsia"/>
          <w:sz w:val="24"/>
        </w:rPr>
        <w:t>报告期内正偏离度的绝对值达到0.5%情况说明:</w:t>
      </w:r>
    </w:p>
    <w:p w14:paraId="2C814229" w14:textId="77777777" w:rsidR="00566744" w:rsidRDefault="00000000">
      <w:pPr>
        <w:pStyle w:val="neirong"/>
        <w:spacing w:line="360" w:lineRule="auto"/>
        <w:ind w:leftChars="7" w:firstLineChars="200" w:firstLine="480"/>
        <w:rPr>
          <w:rFonts w:hint="eastAsia"/>
        </w:rPr>
      </w:pPr>
      <w:r>
        <w:rPr>
          <w:rFonts w:hint="eastAsia"/>
        </w:rPr>
        <w:t>本基金本报告期内正偏离度的绝对值无达到0.5%的情况。</w:t>
      </w:r>
    </w:p>
    <w:p w14:paraId="75D3ECAB" w14:textId="77777777" w:rsidR="00566744" w:rsidRDefault="00566744">
      <w:pPr>
        <w:widowControl/>
        <w:spacing w:line="360" w:lineRule="auto"/>
        <w:ind w:left="7"/>
        <w:jc w:val="left"/>
        <w:rPr>
          <w:rFonts w:ascii="微软雅黑" w:eastAsia="微软雅黑" w:hAnsi="微软雅黑" w:cs="宋体" w:hint="eastAsia"/>
          <w:color w:val="555555"/>
          <w:kern w:val="0"/>
          <w:szCs w:val="21"/>
        </w:rPr>
      </w:pPr>
    </w:p>
    <w:p w14:paraId="5E2B4ACA" w14:textId="77777777" w:rsidR="00566744" w:rsidRDefault="00000000">
      <w:pPr>
        <w:widowControl/>
        <w:spacing w:line="360" w:lineRule="auto"/>
        <w:ind w:left="7" w:firstLine="425"/>
        <w:jc w:val="left"/>
        <w:rPr>
          <w:rFonts w:ascii="宋体" w:hAnsi="宋体" w:hint="eastAsia"/>
          <w:sz w:val="24"/>
        </w:rPr>
      </w:pPr>
      <w:r>
        <w:rPr>
          <w:rFonts w:ascii="宋体" w:hAnsi="宋体" w:hint="eastAsia"/>
          <w:bCs/>
          <w:sz w:val="24"/>
        </w:rPr>
        <w:t>8、</w:t>
      </w:r>
      <w:r>
        <w:rPr>
          <w:rFonts w:ascii="宋体" w:hAnsi="宋体" w:hint="eastAsia"/>
          <w:sz w:val="24"/>
        </w:rPr>
        <w:t>报告期末按公允价值占基金资产净值比例大小排名的前十名资产支持证券投资明细</w:t>
      </w:r>
    </w:p>
    <w:p w14:paraId="3DE10C29" w14:textId="77777777" w:rsidR="00566744" w:rsidRDefault="00000000">
      <w:pPr>
        <w:widowControl/>
        <w:spacing w:line="360" w:lineRule="auto"/>
        <w:ind w:left="7" w:firstLine="425"/>
        <w:jc w:val="left"/>
        <w:rPr>
          <w:rFonts w:ascii="宋体" w:hAnsi="宋体" w:hint="eastAsia"/>
          <w:sz w:val="24"/>
        </w:rPr>
      </w:pPr>
      <w:r>
        <w:rPr>
          <w:rFonts w:ascii="宋体" w:hAnsi="宋体" w:hint="eastAsia"/>
          <w:sz w:val="24"/>
        </w:rPr>
        <w:t>本基金本报告期末未持有资产支持证券。</w:t>
      </w:r>
    </w:p>
    <w:p w14:paraId="7D9C667E" w14:textId="77777777" w:rsidR="00566744" w:rsidRDefault="00566744">
      <w:pPr>
        <w:widowControl/>
        <w:spacing w:line="360" w:lineRule="auto"/>
        <w:ind w:left="7" w:firstLine="372"/>
        <w:jc w:val="left"/>
        <w:rPr>
          <w:rFonts w:ascii="宋体" w:hAnsi="宋体" w:hint="eastAsia"/>
          <w:sz w:val="24"/>
        </w:rPr>
      </w:pPr>
    </w:p>
    <w:p w14:paraId="7414FBA9" w14:textId="77777777" w:rsidR="00566744" w:rsidRDefault="00000000">
      <w:pPr>
        <w:widowControl/>
        <w:spacing w:line="360" w:lineRule="auto"/>
        <w:ind w:left="17" w:firstLine="425"/>
        <w:jc w:val="left"/>
        <w:rPr>
          <w:rFonts w:ascii="宋体" w:hAnsi="宋体" w:hint="eastAsia"/>
          <w:sz w:val="24"/>
        </w:rPr>
      </w:pPr>
      <w:r>
        <w:rPr>
          <w:rFonts w:ascii="宋体" w:hAnsi="宋体" w:hint="eastAsia"/>
          <w:sz w:val="24"/>
        </w:rPr>
        <w:t>9、投资组合报告附注</w:t>
      </w:r>
    </w:p>
    <w:p w14:paraId="64078764" w14:textId="77777777" w:rsidR="00566744" w:rsidRDefault="00000000">
      <w:pPr>
        <w:widowControl/>
        <w:spacing w:line="360" w:lineRule="auto"/>
        <w:ind w:left="17" w:firstLine="425"/>
        <w:jc w:val="left"/>
        <w:rPr>
          <w:rFonts w:ascii="宋体" w:hAnsi="宋体" w:hint="eastAsia"/>
          <w:sz w:val="24"/>
        </w:rPr>
      </w:pPr>
      <w:r>
        <w:rPr>
          <w:rFonts w:ascii="宋体" w:hAnsi="宋体" w:hint="eastAsia"/>
          <w:sz w:val="24"/>
        </w:rPr>
        <w:t>（1）基金计价方法说明</w:t>
      </w:r>
    </w:p>
    <w:p w14:paraId="68D975E2" w14:textId="77777777" w:rsidR="00566744" w:rsidRDefault="00000000">
      <w:pPr>
        <w:pStyle w:val="biaogeleft"/>
        <w:spacing w:before="0"/>
        <w:ind w:left="0" w:firstLine="480"/>
        <w:rPr>
          <w:rFonts w:hAnsi="等线" w:hint="eastAsia"/>
          <w:color w:val="000000"/>
        </w:rPr>
      </w:pPr>
      <w:r>
        <w:rPr>
          <w:rFonts w:hAnsi="Calibri"/>
          <w:color w:val="000000"/>
        </w:rPr>
        <w:t>本基金按照实际利率计算账面价值,即计价对象以买入成本列示,按票面利率或商定利率并考虑其买入时的溢价与折价,在其剩余期限内按实际利率法摊销,每日计提收益。</w:t>
      </w:r>
    </w:p>
    <w:p w14:paraId="141ADF98" w14:textId="77777777" w:rsidR="00566744" w:rsidRDefault="00000000" w:rsidP="004A5BE7">
      <w:pPr>
        <w:pStyle w:val="biaogeleft"/>
        <w:spacing w:before="0"/>
        <w:ind w:left="0" w:firstLine="480"/>
        <w:rPr>
          <w:rFonts w:hAnsi="Calibri"/>
          <w:b/>
          <w:color w:val="000000"/>
        </w:rPr>
      </w:pPr>
      <w:r>
        <w:rPr>
          <w:rFonts w:hint="eastAsia"/>
        </w:rPr>
        <w:t>（2）</w:t>
      </w:r>
      <w:r>
        <w:rPr>
          <w:rFonts w:hAnsi="Calibri"/>
          <w:b/>
          <w:color w:val="000000"/>
        </w:rPr>
        <w:t>本基金投资的前十名证券的发行主体中，中国农业发展银行在报告编制日前一年内曾受到国家金融监督管理总局的处罚；中国进出口银行在报告编制日前一年内曾受到国家金融监督管理总局、国家外汇管理局北京市分局的处罚；广西北部湾银行股份有限公司在报告编制日前一年内曾受到国家金融监督管理总局广西监管局的处罚；兰州银行股份有限公司在报告编制日前一年内曾受到国家金融监督管理总局甘肃监管局的处罚；长城华西银行股份有限公司在报告编制日前一年内曾受到中国人民银行四川省分行的处罚。</w:t>
      </w:r>
    </w:p>
    <w:p w14:paraId="39CFC775" w14:textId="43BD7F5E" w:rsidR="00566744" w:rsidRDefault="00000000">
      <w:pPr>
        <w:pStyle w:val="zhangjiep2"/>
        <w:spacing w:line="360" w:lineRule="auto"/>
        <w:ind w:firstLineChars="200" w:firstLine="482"/>
        <w:rPr>
          <w:rFonts w:ascii="宋体" w:hAnsi="宋体" w:hint="eastAsia"/>
        </w:rPr>
      </w:pPr>
      <w:r>
        <w:rPr>
          <w:b/>
          <w:color w:val="000000"/>
        </w:rPr>
        <w:t>本基金对上述主体发行的相关证券的投资决策程序符合相关法律法规及基金合同的要求。除上述主体外，本基金投资的其他前十名证券的发行主体本期没有出现被监管部门立案调查，或在报告编制日前一年内受到公开谴责、处罚的情形。</w:t>
      </w:r>
    </w:p>
    <w:p w14:paraId="7323A46C" w14:textId="77777777" w:rsidR="00566744" w:rsidRDefault="00000000">
      <w:pPr>
        <w:widowControl/>
        <w:spacing w:line="360" w:lineRule="auto"/>
        <w:ind w:left="17" w:firstLine="425"/>
        <w:jc w:val="left"/>
        <w:rPr>
          <w:rFonts w:ascii="宋体" w:hAnsi="宋体" w:hint="eastAsia"/>
          <w:sz w:val="24"/>
        </w:rPr>
      </w:pPr>
      <w:r>
        <w:rPr>
          <w:rFonts w:ascii="宋体" w:hAnsi="宋体" w:hint="eastAsia"/>
          <w:sz w:val="24"/>
        </w:rPr>
        <w:t>（3）其他资产构成</w:t>
      </w:r>
    </w:p>
    <w:tbl>
      <w:tblPr>
        <w:tblW w:w="9045" w:type="dxa"/>
        <w:tblInd w:w="108" w:type="dxa"/>
        <w:tblLook w:val="04A0" w:firstRow="1" w:lastRow="0" w:firstColumn="1" w:lastColumn="0" w:noHBand="0" w:noVBand="1"/>
      </w:tblPr>
      <w:tblGrid>
        <w:gridCol w:w="983"/>
        <w:gridCol w:w="3853"/>
        <w:gridCol w:w="4209"/>
      </w:tblGrid>
      <w:tr w:rsidR="00566744" w14:paraId="6BB58885" w14:textId="77777777">
        <w:tc>
          <w:tcPr>
            <w:tcW w:w="983" w:type="dxa"/>
            <w:tcBorders>
              <w:top w:val="single" w:sz="8" w:space="0" w:color="000000"/>
              <w:left w:val="single" w:sz="8" w:space="0" w:color="000000"/>
              <w:bottom w:val="single" w:sz="6" w:space="0" w:color="000000"/>
              <w:right w:val="single" w:sz="8" w:space="0" w:color="000000"/>
            </w:tcBorders>
            <w:vAlign w:val="center"/>
          </w:tcPr>
          <w:p w14:paraId="3967CA08" w14:textId="77777777" w:rsidR="00566744" w:rsidRDefault="00000000">
            <w:pPr>
              <w:pStyle w:val="biaogecenter"/>
              <w:wordWrap w:val="0"/>
              <w:rPr>
                <w:rFonts w:hint="eastAsia"/>
              </w:rPr>
            </w:pPr>
            <w:r>
              <w:rPr>
                <w:rFonts w:hAnsi="等线" w:hint="eastAsia"/>
                <w:color w:val="000000"/>
              </w:rPr>
              <w:t>序号</w:t>
            </w:r>
          </w:p>
        </w:tc>
        <w:tc>
          <w:tcPr>
            <w:tcW w:w="3853" w:type="dxa"/>
            <w:tcBorders>
              <w:top w:val="single" w:sz="8" w:space="0" w:color="000000"/>
              <w:left w:val="single" w:sz="8" w:space="0" w:color="000000"/>
              <w:bottom w:val="single" w:sz="6" w:space="0" w:color="000000"/>
              <w:right w:val="single" w:sz="8" w:space="0" w:color="000000"/>
            </w:tcBorders>
            <w:vAlign w:val="center"/>
          </w:tcPr>
          <w:p w14:paraId="5DBE660D" w14:textId="77777777" w:rsidR="00566744" w:rsidRDefault="00000000">
            <w:pPr>
              <w:pStyle w:val="biaogecenter"/>
              <w:wordWrap w:val="0"/>
              <w:rPr>
                <w:rFonts w:hint="eastAsia"/>
              </w:rPr>
            </w:pPr>
            <w:r>
              <w:rPr>
                <w:rFonts w:hint="eastAsia"/>
              </w:rPr>
              <w:t>名称</w:t>
            </w:r>
          </w:p>
        </w:tc>
        <w:tc>
          <w:tcPr>
            <w:tcW w:w="4209" w:type="dxa"/>
            <w:tcBorders>
              <w:top w:val="single" w:sz="8" w:space="0" w:color="000000"/>
              <w:left w:val="single" w:sz="8" w:space="0" w:color="000000"/>
              <w:bottom w:val="single" w:sz="6" w:space="0" w:color="000000"/>
              <w:right w:val="single" w:sz="8" w:space="0" w:color="000000"/>
            </w:tcBorders>
            <w:vAlign w:val="center"/>
          </w:tcPr>
          <w:p w14:paraId="6C5DF60F" w14:textId="77777777" w:rsidR="00566744" w:rsidRDefault="00000000">
            <w:pPr>
              <w:pStyle w:val="biaogecenter"/>
              <w:wordWrap w:val="0"/>
              <w:rPr>
                <w:rFonts w:hint="eastAsia"/>
              </w:rPr>
            </w:pPr>
            <w:r>
              <w:rPr>
                <w:rFonts w:hint="eastAsia"/>
              </w:rPr>
              <w:t>金额(元)</w:t>
            </w:r>
          </w:p>
        </w:tc>
      </w:tr>
      <w:tr w:rsidR="00566744" w14:paraId="76CDB112" w14:textId="77777777">
        <w:tc>
          <w:tcPr>
            <w:tcW w:w="983" w:type="dxa"/>
            <w:tcBorders>
              <w:top w:val="single" w:sz="8" w:space="0" w:color="000000"/>
              <w:left w:val="single" w:sz="8" w:space="0" w:color="000000"/>
              <w:bottom w:val="single" w:sz="6" w:space="0" w:color="000000"/>
              <w:right w:val="single" w:sz="8" w:space="0" w:color="000000"/>
            </w:tcBorders>
            <w:vAlign w:val="center"/>
          </w:tcPr>
          <w:p w14:paraId="2E4345E3" w14:textId="77777777" w:rsidR="00566744" w:rsidRDefault="00000000">
            <w:pPr>
              <w:pStyle w:val="biaogecenter"/>
              <w:wordWrap w:val="0"/>
              <w:rPr>
                <w:rFonts w:hint="eastAsia"/>
              </w:rPr>
            </w:pPr>
            <w:r>
              <w:rPr>
                <w:rFonts w:hAnsi="等线" w:hint="eastAsia"/>
                <w:color w:val="000000"/>
              </w:rPr>
              <w:t>1</w:t>
            </w:r>
          </w:p>
        </w:tc>
        <w:tc>
          <w:tcPr>
            <w:tcW w:w="3853" w:type="dxa"/>
            <w:tcBorders>
              <w:top w:val="single" w:sz="8" w:space="0" w:color="000000"/>
              <w:left w:val="single" w:sz="8" w:space="0" w:color="000000"/>
              <w:bottom w:val="single" w:sz="6" w:space="0" w:color="000000"/>
              <w:right w:val="single" w:sz="8" w:space="0" w:color="000000"/>
            </w:tcBorders>
            <w:vAlign w:val="center"/>
          </w:tcPr>
          <w:p w14:paraId="65DCDAC6" w14:textId="77777777" w:rsidR="00566744" w:rsidRDefault="00000000">
            <w:pPr>
              <w:pStyle w:val="biaogeleft"/>
              <w:wordWrap w:val="0"/>
              <w:rPr>
                <w:rFonts w:hint="eastAsia"/>
              </w:rPr>
            </w:pPr>
            <w:r>
              <w:rPr>
                <w:rFonts w:hint="eastAsia"/>
              </w:rPr>
              <w:t>存出保证金</w:t>
            </w:r>
          </w:p>
        </w:tc>
        <w:tc>
          <w:tcPr>
            <w:tcW w:w="4209" w:type="dxa"/>
            <w:tcBorders>
              <w:top w:val="single" w:sz="8" w:space="0" w:color="000000"/>
              <w:left w:val="single" w:sz="8" w:space="0" w:color="000000"/>
              <w:bottom w:val="single" w:sz="6" w:space="0" w:color="000000"/>
              <w:right w:val="single" w:sz="8" w:space="0" w:color="000000"/>
            </w:tcBorders>
            <w:vAlign w:val="center"/>
          </w:tcPr>
          <w:p w14:paraId="64C1B871" w14:textId="57CC0B1E" w:rsidR="00566744" w:rsidRDefault="00000000">
            <w:pPr>
              <w:pStyle w:val="biaogeright"/>
              <w:wordWrap w:val="0"/>
              <w:rPr>
                <w:rFonts w:hint="eastAsia"/>
              </w:rPr>
            </w:pPr>
            <w:r>
              <w:rPr>
                <w:rFonts w:hAnsi="Calibri"/>
                <w:color w:val="000000"/>
              </w:rPr>
              <w:t>841.96</w:t>
            </w:r>
          </w:p>
        </w:tc>
      </w:tr>
      <w:tr w:rsidR="00566744" w14:paraId="3CB2F079" w14:textId="77777777">
        <w:tc>
          <w:tcPr>
            <w:tcW w:w="983" w:type="dxa"/>
            <w:tcBorders>
              <w:top w:val="single" w:sz="8" w:space="0" w:color="000000"/>
              <w:left w:val="single" w:sz="8" w:space="0" w:color="000000"/>
              <w:bottom w:val="single" w:sz="6" w:space="0" w:color="000000"/>
              <w:right w:val="single" w:sz="8" w:space="0" w:color="000000"/>
            </w:tcBorders>
            <w:vAlign w:val="center"/>
          </w:tcPr>
          <w:p w14:paraId="4C0F0091" w14:textId="77777777" w:rsidR="00566744" w:rsidRDefault="00000000">
            <w:pPr>
              <w:pStyle w:val="biaogecenter"/>
              <w:wordWrap w:val="0"/>
              <w:rPr>
                <w:rFonts w:hint="eastAsia"/>
              </w:rPr>
            </w:pPr>
            <w:r>
              <w:rPr>
                <w:rFonts w:hAnsi="等线" w:hint="eastAsia"/>
                <w:color w:val="000000"/>
              </w:rPr>
              <w:t>2</w:t>
            </w:r>
          </w:p>
        </w:tc>
        <w:tc>
          <w:tcPr>
            <w:tcW w:w="3853" w:type="dxa"/>
            <w:tcBorders>
              <w:top w:val="single" w:sz="8" w:space="0" w:color="000000"/>
              <w:left w:val="single" w:sz="8" w:space="0" w:color="000000"/>
              <w:bottom w:val="single" w:sz="6" w:space="0" w:color="000000"/>
              <w:right w:val="single" w:sz="8" w:space="0" w:color="000000"/>
            </w:tcBorders>
            <w:vAlign w:val="center"/>
          </w:tcPr>
          <w:p w14:paraId="76958C6B" w14:textId="77777777" w:rsidR="00566744" w:rsidRDefault="00000000">
            <w:pPr>
              <w:pStyle w:val="biaogeleft"/>
              <w:wordWrap w:val="0"/>
              <w:rPr>
                <w:rFonts w:hint="eastAsia"/>
              </w:rPr>
            </w:pPr>
            <w:r>
              <w:rPr>
                <w:rFonts w:hint="eastAsia"/>
              </w:rPr>
              <w:t>应收证券清算款</w:t>
            </w:r>
          </w:p>
        </w:tc>
        <w:tc>
          <w:tcPr>
            <w:tcW w:w="4209" w:type="dxa"/>
            <w:tcBorders>
              <w:top w:val="single" w:sz="8" w:space="0" w:color="000000"/>
              <w:left w:val="single" w:sz="8" w:space="0" w:color="000000"/>
              <w:bottom w:val="single" w:sz="6" w:space="0" w:color="000000"/>
              <w:right w:val="single" w:sz="8" w:space="0" w:color="000000"/>
            </w:tcBorders>
            <w:vAlign w:val="center"/>
          </w:tcPr>
          <w:p w14:paraId="6238EB97" w14:textId="49D37329" w:rsidR="00566744" w:rsidRDefault="00000000">
            <w:pPr>
              <w:pStyle w:val="biaogeright"/>
              <w:wordWrap w:val="0"/>
              <w:rPr>
                <w:rFonts w:hint="eastAsia"/>
              </w:rPr>
            </w:pPr>
            <w:r>
              <w:rPr>
                <w:rFonts w:hAnsi="Calibri"/>
                <w:color w:val="000000"/>
              </w:rPr>
              <w:t>-</w:t>
            </w:r>
          </w:p>
        </w:tc>
      </w:tr>
      <w:tr w:rsidR="00566744" w14:paraId="422E6731" w14:textId="77777777">
        <w:tc>
          <w:tcPr>
            <w:tcW w:w="983" w:type="dxa"/>
            <w:tcBorders>
              <w:top w:val="single" w:sz="8" w:space="0" w:color="000000"/>
              <w:left w:val="single" w:sz="8" w:space="0" w:color="000000"/>
              <w:bottom w:val="single" w:sz="6" w:space="0" w:color="000000"/>
              <w:right w:val="single" w:sz="8" w:space="0" w:color="000000"/>
            </w:tcBorders>
            <w:vAlign w:val="center"/>
          </w:tcPr>
          <w:p w14:paraId="37C02C06" w14:textId="77777777" w:rsidR="00566744" w:rsidRDefault="00000000">
            <w:pPr>
              <w:pStyle w:val="biaogecenter"/>
              <w:wordWrap w:val="0"/>
              <w:rPr>
                <w:rFonts w:hint="eastAsia"/>
              </w:rPr>
            </w:pPr>
            <w:r>
              <w:rPr>
                <w:rFonts w:hAnsi="等线" w:hint="eastAsia"/>
                <w:color w:val="000000"/>
              </w:rPr>
              <w:t>3</w:t>
            </w:r>
          </w:p>
        </w:tc>
        <w:tc>
          <w:tcPr>
            <w:tcW w:w="3853" w:type="dxa"/>
            <w:tcBorders>
              <w:top w:val="single" w:sz="8" w:space="0" w:color="000000"/>
              <w:left w:val="single" w:sz="8" w:space="0" w:color="000000"/>
              <w:bottom w:val="single" w:sz="6" w:space="0" w:color="000000"/>
              <w:right w:val="single" w:sz="8" w:space="0" w:color="000000"/>
            </w:tcBorders>
            <w:vAlign w:val="center"/>
          </w:tcPr>
          <w:p w14:paraId="6265A264" w14:textId="77777777" w:rsidR="00566744" w:rsidRDefault="00000000">
            <w:pPr>
              <w:pStyle w:val="biaogeleft"/>
              <w:wordWrap w:val="0"/>
              <w:rPr>
                <w:rFonts w:hint="eastAsia"/>
              </w:rPr>
            </w:pPr>
            <w:r>
              <w:rPr>
                <w:rFonts w:hint="eastAsia"/>
              </w:rPr>
              <w:t>应收利息</w:t>
            </w:r>
          </w:p>
        </w:tc>
        <w:tc>
          <w:tcPr>
            <w:tcW w:w="4209" w:type="dxa"/>
            <w:tcBorders>
              <w:top w:val="single" w:sz="8" w:space="0" w:color="000000"/>
              <w:left w:val="single" w:sz="8" w:space="0" w:color="000000"/>
              <w:bottom w:val="single" w:sz="6" w:space="0" w:color="000000"/>
              <w:right w:val="single" w:sz="8" w:space="0" w:color="000000"/>
            </w:tcBorders>
            <w:vAlign w:val="center"/>
          </w:tcPr>
          <w:p w14:paraId="7013C9B7" w14:textId="4FF5D000" w:rsidR="00566744" w:rsidRDefault="00000000">
            <w:pPr>
              <w:pStyle w:val="biaogeright"/>
              <w:wordWrap w:val="0"/>
              <w:rPr>
                <w:rFonts w:hint="eastAsia"/>
              </w:rPr>
            </w:pPr>
            <w:r>
              <w:rPr>
                <w:rFonts w:hAnsi="Calibri"/>
                <w:color w:val="000000"/>
              </w:rPr>
              <w:t>-</w:t>
            </w:r>
          </w:p>
        </w:tc>
      </w:tr>
      <w:tr w:rsidR="00566744" w14:paraId="30B3101D" w14:textId="77777777">
        <w:tc>
          <w:tcPr>
            <w:tcW w:w="983" w:type="dxa"/>
            <w:tcBorders>
              <w:top w:val="single" w:sz="8" w:space="0" w:color="000000"/>
              <w:left w:val="single" w:sz="8" w:space="0" w:color="000000"/>
              <w:bottom w:val="single" w:sz="6" w:space="0" w:color="000000"/>
              <w:right w:val="single" w:sz="8" w:space="0" w:color="000000"/>
            </w:tcBorders>
            <w:vAlign w:val="center"/>
          </w:tcPr>
          <w:p w14:paraId="0939AA6E" w14:textId="77777777" w:rsidR="00566744" w:rsidRDefault="00000000">
            <w:pPr>
              <w:pStyle w:val="biaogecenter"/>
              <w:wordWrap w:val="0"/>
              <w:rPr>
                <w:rFonts w:hint="eastAsia"/>
              </w:rPr>
            </w:pPr>
            <w:r>
              <w:rPr>
                <w:rFonts w:hAnsi="等线" w:hint="eastAsia"/>
                <w:color w:val="000000"/>
              </w:rPr>
              <w:lastRenderedPageBreak/>
              <w:t>4</w:t>
            </w:r>
          </w:p>
        </w:tc>
        <w:tc>
          <w:tcPr>
            <w:tcW w:w="3853" w:type="dxa"/>
            <w:tcBorders>
              <w:top w:val="single" w:sz="8" w:space="0" w:color="000000"/>
              <w:left w:val="single" w:sz="8" w:space="0" w:color="000000"/>
              <w:bottom w:val="single" w:sz="6" w:space="0" w:color="000000"/>
              <w:right w:val="single" w:sz="8" w:space="0" w:color="000000"/>
            </w:tcBorders>
            <w:vAlign w:val="center"/>
          </w:tcPr>
          <w:p w14:paraId="044BF975" w14:textId="77777777" w:rsidR="00566744" w:rsidRDefault="00000000">
            <w:pPr>
              <w:pStyle w:val="biaogeleft"/>
              <w:wordWrap w:val="0"/>
              <w:rPr>
                <w:rFonts w:hint="eastAsia"/>
              </w:rPr>
            </w:pPr>
            <w:r>
              <w:rPr>
                <w:rFonts w:hint="eastAsia"/>
              </w:rPr>
              <w:t>应收申购款</w:t>
            </w:r>
          </w:p>
        </w:tc>
        <w:tc>
          <w:tcPr>
            <w:tcW w:w="4209" w:type="dxa"/>
            <w:tcBorders>
              <w:top w:val="single" w:sz="8" w:space="0" w:color="000000"/>
              <w:left w:val="single" w:sz="8" w:space="0" w:color="000000"/>
              <w:bottom w:val="single" w:sz="6" w:space="0" w:color="000000"/>
              <w:right w:val="single" w:sz="8" w:space="0" w:color="000000"/>
            </w:tcBorders>
            <w:vAlign w:val="center"/>
          </w:tcPr>
          <w:p w14:paraId="71ADB985" w14:textId="24395D41" w:rsidR="00566744" w:rsidRDefault="00000000">
            <w:pPr>
              <w:pStyle w:val="biaogeright"/>
              <w:wordWrap w:val="0"/>
              <w:rPr>
                <w:rFonts w:hint="eastAsia"/>
              </w:rPr>
            </w:pPr>
            <w:r>
              <w:rPr>
                <w:rFonts w:hAnsi="Calibri"/>
                <w:color w:val="000000"/>
              </w:rPr>
              <w:t>6,992.43</w:t>
            </w:r>
          </w:p>
        </w:tc>
      </w:tr>
      <w:tr w:rsidR="00566744" w14:paraId="6C44ECB5" w14:textId="77777777">
        <w:tc>
          <w:tcPr>
            <w:tcW w:w="983" w:type="dxa"/>
            <w:tcBorders>
              <w:top w:val="single" w:sz="8" w:space="0" w:color="000000"/>
              <w:left w:val="single" w:sz="8" w:space="0" w:color="000000"/>
              <w:bottom w:val="single" w:sz="6" w:space="0" w:color="000000"/>
              <w:right w:val="single" w:sz="8" w:space="0" w:color="000000"/>
            </w:tcBorders>
            <w:vAlign w:val="center"/>
          </w:tcPr>
          <w:p w14:paraId="607DF87B" w14:textId="77777777" w:rsidR="00566744" w:rsidRDefault="00000000">
            <w:pPr>
              <w:pStyle w:val="biaogecenter"/>
              <w:wordWrap w:val="0"/>
              <w:rPr>
                <w:rFonts w:hint="eastAsia"/>
              </w:rPr>
            </w:pPr>
            <w:r>
              <w:rPr>
                <w:rFonts w:hAnsi="等线" w:hint="eastAsia"/>
                <w:color w:val="000000"/>
              </w:rPr>
              <w:t>5</w:t>
            </w:r>
          </w:p>
        </w:tc>
        <w:tc>
          <w:tcPr>
            <w:tcW w:w="3853" w:type="dxa"/>
            <w:tcBorders>
              <w:top w:val="single" w:sz="8" w:space="0" w:color="000000"/>
              <w:left w:val="single" w:sz="8" w:space="0" w:color="000000"/>
              <w:bottom w:val="single" w:sz="6" w:space="0" w:color="000000"/>
              <w:right w:val="single" w:sz="8" w:space="0" w:color="000000"/>
            </w:tcBorders>
            <w:vAlign w:val="center"/>
          </w:tcPr>
          <w:p w14:paraId="5BB27F9E" w14:textId="77777777" w:rsidR="00566744" w:rsidRDefault="00000000">
            <w:pPr>
              <w:pStyle w:val="biaogeleft"/>
              <w:wordWrap w:val="0"/>
              <w:rPr>
                <w:rFonts w:hint="eastAsia"/>
              </w:rPr>
            </w:pPr>
            <w:r>
              <w:rPr>
                <w:rFonts w:hint="eastAsia"/>
              </w:rPr>
              <w:t>其他应收款</w:t>
            </w:r>
          </w:p>
        </w:tc>
        <w:tc>
          <w:tcPr>
            <w:tcW w:w="4209" w:type="dxa"/>
            <w:tcBorders>
              <w:top w:val="single" w:sz="8" w:space="0" w:color="000000"/>
              <w:left w:val="single" w:sz="8" w:space="0" w:color="000000"/>
              <w:bottom w:val="single" w:sz="6" w:space="0" w:color="000000"/>
              <w:right w:val="single" w:sz="8" w:space="0" w:color="000000"/>
            </w:tcBorders>
            <w:vAlign w:val="center"/>
          </w:tcPr>
          <w:p w14:paraId="69D6B0AE" w14:textId="47BB4481" w:rsidR="00566744" w:rsidRDefault="00000000">
            <w:pPr>
              <w:pStyle w:val="biaogeright"/>
              <w:wordWrap w:val="0"/>
              <w:rPr>
                <w:rFonts w:hint="eastAsia"/>
              </w:rPr>
            </w:pPr>
            <w:r>
              <w:rPr>
                <w:rFonts w:hAnsi="Calibri"/>
                <w:color w:val="000000"/>
              </w:rPr>
              <w:t>-</w:t>
            </w:r>
          </w:p>
        </w:tc>
      </w:tr>
      <w:tr w:rsidR="00566744" w14:paraId="71333F52" w14:textId="77777777">
        <w:tc>
          <w:tcPr>
            <w:tcW w:w="983" w:type="dxa"/>
            <w:tcBorders>
              <w:top w:val="single" w:sz="8" w:space="0" w:color="000000"/>
              <w:left w:val="single" w:sz="8" w:space="0" w:color="000000"/>
              <w:bottom w:val="single" w:sz="6" w:space="0" w:color="000000"/>
              <w:right w:val="single" w:sz="8" w:space="0" w:color="000000"/>
            </w:tcBorders>
            <w:vAlign w:val="center"/>
          </w:tcPr>
          <w:p w14:paraId="2B39D25E" w14:textId="77777777" w:rsidR="00566744" w:rsidRDefault="00000000">
            <w:pPr>
              <w:pStyle w:val="biaogecenter"/>
              <w:wordWrap w:val="0"/>
              <w:rPr>
                <w:rFonts w:hint="eastAsia"/>
              </w:rPr>
            </w:pPr>
            <w:r>
              <w:rPr>
                <w:rFonts w:hint="eastAsia"/>
              </w:rPr>
              <w:t>6</w:t>
            </w:r>
          </w:p>
        </w:tc>
        <w:tc>
          <w:tcPr>
            <w:tcW w:w="3853" w:type="dxa"/>
            <w:tcBorders>
              <w:top w:val="single" w:sz="8" w:space="0" w:color="000000"/>
              <w:left w:val="single" w:sz="8" w:space="0" w:color="000000"/>
              <w:bottom w:val="single" w:sz="6" w:space="0" w:color="000000"/>
              <w:right w:val="single" w:sz="8" w:space="0" w:color="000000"/>
            </w:tcBorders>
            <w:vAlign w:val="center"/>
          </w:tcPr>
          <w:p w14:paraId="6448284D" w14:textId="77777777" w:rsidR="00566744" w:rsidRDefault="00000000">
            <w:pPr>
              <w:pStyle w:val="biaogeleft"/>
              <w:wordWrap w:val="0"/>
              <w:rPr>
                <w:rFonts w:hint="eastAsia"/>
              </w:rPr>
            </w:pPr>
            <w:r>
              <w:rPr>
                <w:rFonts w:hint="eastAsia"/>
              </w:rPr>
              <w:t>其他</w:t>
            </w:r>
          </w:p>
        </w:tc>
        <w:tc>
          <w:tcPr>
            <w:tcW w:w="4209" w:type="dxa"/>
            <w:tcBorders>
              <w:top w:val="single" w:sz="8" w:space="0" w:color="000000"/>
              <w:left w:val="single" w:sz="8" w:space="0" w:color="000000"/>
              <w:bottom w:val="single" w:sz="6" w:space="0" w:color="000000"/>
              <w:right w:val="single" w:sz="8" w:space="0" w:color="000000"/>
            </w:tcBorders>
            <w:vAlign w:val="center"/>
          </w:tcPr>
          <w:p w14:paraId="3F3F0F1A" w14:textId="763FE40C" w:rsidR="00566744" w:rsidRDefault="00000000">
            <w:pPr>
              <w:pStyle w:val="biaogeright"/>
              <w:wordWrap w:val="0"/>
              <w:rPr>
                <w:rFonts w:hint="eastAsia"/>
              </w:rPr>
            </w:pPr>
            <w:r>
              <w:rPr>
                <w:rFonts w:hAnsi="Calibri"/>
                <w:color w:val="000000"/>
              </w:rPr>
              <w:t>-</w:t>
            </w:r>
          </w:p>
        </w:tc>
      </w:tr>
      <w:tr w:rsidR="00566744" w14:paraId="6B4E1D80" w14:textId="77777777">
        <w:tc>
          <w:tcPr>
            <w:tcW w:w="983" w:type="dxa"/>
            <w:tcBorders>
              <w:top w:val="single" w:sz="8" w:space="0" w:color="000000"/>
              <w:left w:val="single" w:sz="8" w:space="0" w:color="000000"/>
              <w:bottom w:val="single" w:sz="6" w:space="0" w:color="000000"/>
              <w:right w:val="single" w:sz="8" w:space="0" w:color="000000"/>
            </w:tcBorders>
            <w:vAlign w:val="center"/>
          </w:tcPr>
          <w:p w14:paraId="561115B0" w14:textId="77777777" w:rsidR="00566744" w:rsidRDefault="00000000">
            <w:pPr>
              <w:pStyle w:val="biaogecenter"/>
              <w:wordWrap w:val="0"/>
              <w:rPr>
                <w:rFonts w:hint="eastAsia"/>
              </w:rPr>
            </w:pPr>
            <w:r>
              <w:rPr>
                <w:rFonts w:hint="eastAsia"/>
              </w:rPr>
              <w:t>7</w:t>
            </w:r>
          </w:p>
        </w:tc>
        <w:tc>
          <w:tcPr>
            <w:tcW w:w="3853" w:type="dxa"/>
            <w:tcBorders>
              <w:top w:val="single" w:sz="8" w:space="0" w:color="000000"/>
              <w:left w:val="single" w:sz="8" w:space="0" w:color="000000"/>
              <w:bottom w:val="single" w:sz="6" w:space="0" w:color="000000"/>
              <w:right w:val="single" w:sz="8" w:space="0" w:color="000000"/>
            </w:tcBorders>
            <w:vAlign w:val="center"/>
          </w:tcPr>
          <w:p w14:paraId="6879E62A" w14:textId="77777777" w:rsidR="00566744" w:rsidRDefault="00000000">
            <w:pPr>
              <w:pStyle w:val="biaogeleft"/>
              <w:wordWrap w:val="0"/>
              <w:rPr>
                <w:rFonts w:hint="eastAsia"/>
              </w:rPr>
            </w:pPr>
            <w:r>
              <w:rPr>
                <w:rFonts w:hint="eastAsia"/>
              </w:rPr>
              <w:t>合计</w:t>
            </w:r>
          </w:p>
        </w:tc>
        <w:tc>
          <w:tcPr>
            <w:tcW w:w="4209" w:type="dxa"/>
            <w:tcBorders>
              <w:top w:val="single" w:sz="8" w:space="0" w:color="000000"/>
              <w:left w:val="single" w:sz="8" w:space="0" w:color="000000"/>
              <w:bottom w:val="single" w:sz="6" w:space="0" w:color="000000"/>
              <w:right w:val="single" w:sz="8" w:space="0" w:color="000000"/>
            </w:tcBorders>
            <w:vAlign w:val="center"/>
          </w:tcPr>
          <w:p w14:paraId="277FC24F" w14:textId="0C1CA2BD" w:rsidR="00566744" w:rsidRDefault="00000000">
            <w:pPr>
              <w:pStyle w:val="biaogeright"/>
              <w:wordWrap w:val="0"/>
              <w:rPr>
                <w:rFonts w:hint="eastAsia"/>
              </w:rPr>
            </w:pPr>
            <w:r>
              <w:rPr>
                <w:rFonts w:hAnsi="Calibri"/>
                <w:color w:val="000000"/>
              </w:rPr>
              <w:t>7,834.39</w:t>
            </w:r>
          </w:p>
        </w:tc>
      </w:tr>
    </w:tbl>
    <w:p w14:paraId="2ECE984F" w14:textId="77777777" w:rsidR="00566744" w:rsidRDefault="00566744">
      <w:pPr>
        <w:widowControl/>
        <w:spacing w:line="360" w:lineRule="auto"/>
        <w:ind w:left="17" w:firstLine="425"/>
        <w:jc w:val="left"/>
        <w:rPr>
          <w:rFonts w:ascii="宋体" w:hAnsi="宋体" w:hint="eastAsia"/>
          <w:sz w:val="24"/>
        </w:rPr>
      </w:pPr>
    </w:p>
    <w:p w14:paraId="46B5DC40" w14:textId="77777777" w:rsidR="00566744" w:rsidRDefault="00000000">
      <w:pPr>
        <w:widowControl/>
        <w:spacing w:line="360" w:lineRule="auto"/>
        <w:ind w:left="17" w:firstLine="425"/>
        <w:jc w:val="left"/>
        <w:rPr>
          <w:rFonts w:ascii="宋体" w:hAnsi="宋体" w:hint="eastAsia"/>
          <w:sz w:val="24"/>
        </w:rPr>
      </w:pPr>
      <w:r>
        <w:rPr>
          <w:rFonts w:ascii="宋体" w:hAnsi="宋体" w:hint="eastAsia"/>
          <w:sz w:val="24"/>
        </w:rPr>
        <w:t>（4） 投资组合报告附注的其他文字描述部分</w:t>
      </w:r>
    </w:p>
    <w:p w14:paraId="49CF5D04" w14:textId="77777777" w:rsidR="00566744" w:rsidRDefault="00000000">
      <w:pPr>
        <w:widowControl/>
        <w:spacing w:line="360" w:lineRule="auto"/>
        <w:ind w:left="17" w:firstLine="425"/>
        <w:jc w:val="left"/>
        <w:rPr>
          <w:rFonts w:ascii="宋体" w:hAnsi="宋体" w:hint="eastAsia"/>
          <w:sz w:val="24"/>
        </w:rPr>
      </w:pPr>
      <w:r>
        <w:rPr>
          <w:rFonts w:ascii="宋体" w:hAnsi="宋体" w:hint="eastAsia"/>
          <w:sz w:val="24"/>
        </w:rPr>
        <w:t>由于四舍五入原因，分项之和与合计可能有尾差。</w:t>
      </w:r>
    </w:p>
    <w:p w14:paraId="33302D28" w14:textId="77777777" w:rsidR="00566744" w:rsidRDefault="00566744">
      <w:pPr>
        <w:widowControl/>
        <w:spacing w:line="360" w:lineRule="auto"/>
        <w:ind w:left="17" w:firstLine="425"/>
        <w:jc w:val="left"/>
        <w:rPr>
          <w:rFonts w:ascii="宋体" w:hAnsi="宋体" w:hint="eastAsia"/>
          <w:sz w:val="24"/>
        </w:rPr>
      </w:pPr>
    </w:p>
    <w:p w14:paraId="5A41350A" w14:textId="77777777" w:rsidR="00566744" w:rsidRDefault="00000000">
      <w:pPr>
        <w:spacing w:line="360" w:lineRule="auto"/>
        <w:ind w:firstLineChars="177" w:firstLine="425"/>
        <w:rPr>
          <w:rFonts w:ascii="宋体" w:hAnsi="宋体" w:hint="eastAsia"/>
          <w:bCs/>
          <w:sz w:val="24"/>
        </w:rPr>
      </w:pPr>
      <w:r>
        <w:rPr>
          <w:rFonts w:ascii="宋体" w:hAnsi="宋体" w:hint="eastAsia"/>
          <w:bCs/>
          <w:sz w:val="24"/>
        </w:rPr>
        <w:t>（九）基金净值表现</w:t>
      </w:r>
    </w:p>
    <w:p w14:paraId="129CB4DA" w14:textId="77777777" w:rsidR="00566744" w:rsidRDefault="00000000">
      <w:pPr>
        <w:spacing w:line="360" w:lineRule="auto"/>
        <w:ind w:firstLineChars="177" w:firstLine="425"/>
        <w:rPr>
          <w:rFonts w:ascii="宋体" w:hAnsi="宋体" w:hint="eastAsia"/>
          <w:bCs/>
          <w:sz w:val="24"/>
        </w:rPr>
      </w:pPr>
      <w:r>
        <w:rPr>
          <w:rFonts w:ascii="宋体" w:hAnsi="宋体" w:hint="eastAsia"/>
          <w:bCs/>
          <w:sz w:val="24"/>
        </w:rPr>
        <w:t>1、基金管理人依照恪尽职守、诚实信用、勤勉尽责的原则管理和运用基金资产，但不保证基金一定盈利，也不保证最低收益。基金的过往业绩并不代表其未来表现。投资有风险，投资者在做出投资决策前应仔细阅读本基金的招募说明书。</w:t>
      </w:r>
    </w:p>
    <w:p w14:paraId="20D2B81C" w14:textId="77777777" w:rsidR="00566744" w:rsidRDefault="00000000">
      <w:pPr>
        <w:spacing w:line="360" w:lineRule="auto"/>
        <w:ind w:firstLineChars="177" w:firstLine="425"/>
        <w:rPr>
          <w:rFonts w:ascii="宋体" w:hAnsi="宋体" w:hint="eastAsia"/>
          <w:bCs/>
          <w:sz w:val="24"/>
        </w:rPr>
      </w:pPr>
      <w:r>
        <w:rPr>
          <w:rFonts w:ascii="宋体" w:hAnsi="宋体" w:hint="eastAsia"/>
          <w:bCs/>
          <w:sz w:val="24"/>
        </w:rPr>
        <w:t>（1）富荣货币A（</w:t>
      </w:r>
      <w:r>
        <w:rPr>
          <w:rFonts w:ascii="宋体" w:hAnsi="宋体" w:hint="eastAsia"/>
          <w:color w:val="000000"/>
          <w:kern w:val="0"/>
          <w:sz w:val="24"/>
        </w:rPr>
        <w:t>基金代码：</w:t>
      </w:r>
      <w:r>
        <w:rPr>
          <w:rFonts w:ascii="宋体" w:hAnsi="宋体"/>
          <w:color w:val="000000"/>
          <w:kern w:val="0"/>
          <w:sz w:val="24"/>
        </w:rPr>
        <w:t>003467</w:t>
      </w:r>
      <w:r>
        <w:rPr>
          <w:rFonts w:ascii="宋体" w:hAnsi="宋体" w:hint="eastAsia"/>
          <w:bCs/>
          <w:sz w:val="24"/>
        </w:rPr>
        <w:t>）</w:t>
      </w:r>
    </w:p>
    <w:tbl>
      <w:tblPr>
        <w:tblStyle w:val="af4"/>
        <w:tblW w:w="9073" w:type="dxa"/>
        <w:tblInd w:w="-318" w:type="dxa"/>
        <w:tblLayout w:type="fixed"/>
        <w:tblLook w:val="04A0" w:firstRow="1" w:lastRow="0" w:firstColumn="1" w:lastColumn="0" w:noHBand="0" w:noVBand="1"/>
      </w:tblPr>
      <w:tblGrid>
        <w:gridCol w:w="6"/>
        <w:gridCol w:w="1539"/>
        <w:gridCol w:w="7"/>
        <w:gridCol w:w="1233"/>
        <w:gridCol w:w="1233"/>
        <w:gridCol w:w="1233"/>
        <w:gridCol w:w="1233"/>
        <w:gridCol w:w="1233"/>
        <w:gridCol w:w="1356"/>
      </w:tblGrid>
      <w:tr w:rsidR="00566744" w14:paraId="7D79C119" w14:textId="77777777">
        <w:trPr>
          <w:trHeight w:val="431"/>
        </w:trPr>
        <w:tc>
          <w:tcPr>
            <w:tcW w:w="1545" w:type="dxa"/>
            <w:gridSpan w:val="2"/>
            <w:vAlign w:val="center"/>
          </w:tcPr>
          <w:p w14:paraId="4EEDC464" w14:textId="77777777" w:rsidR="00566744" w:rsidRDefault="00000000">
            <w:pPr>
              <w:autoSpaceDE w:val="0"/>
              <w:autoSpaceDN w:val="0"/>
              <w:adjustRightInd w:val="0"/>
              <w:jc w:val="center"/>
              <w:rPr>
                <w:rFonts w:ascii="宋体" w:hAnsi="宋体" w:hint="eastAsia"/>
                <w:color w:val="000000"/>
                <w:kern w:val="0"/>
                <w:sz w:val="24"/>
              </w:rPr>
            </w:pPr>
            <w:r>
              <w:rPr>
                <w:rFonts w:ascii="宋体" w:hAnsi="宋体" w:hint="eastAsia"/>
                <w:color w:val="000000"/>
                <w:kern w:val="0"/>
                <w:sz w:val="24"/>
              </w:rPr>
              <w:t>阶段</w:t>
            </w:r>
          </w:p>
        </w:tc>
        <w:tc>
          <w:tcPr>
            <w:tcW w:w="1240" w:type="dxa"/>
            <w:gridSpan w:val="2"/>
            <w:vAlign w:val="center"/>
          </w:tcPr>
          <w:p w14:paraId="12940F57" w14:textId="77777777" w:rsidR="00566744" w:rsidRDefault="00000000">
            <w:pPr>
              <w:autoSpaceDE w:val="0"/>
              <w:autoSpaceDN w:val="0"/>
              <w:adjustRightInd w:val="0"/>
              <w:jc w:val="center"/>
              <w:rPr>
                <w:rFonts w:ascii="宋体" w:hAnsi="宋体" w:hint="eastAsia"/>
                <w:color w:val="000000"/>
                <w:kern w:val="0"/>
                <w:sz w:val="24"/>
              </w:rPr>
            </w:pPr>
            <w:r>
              <w:rPr>
                <w:rFonts w:ascii="宋体" w:hAnsi="宋体" w:hint="eastAsia"/>
                <w:color w:val="000000"/>
                <w:kern w:val="0"/>
                <w:sz w:val="24"/>
              </w:rPr>
              <w:t>净值收益率①</w:t>
            </w:r>
          </w:p>
        </w:tc>
        <w:tc>
          <w:tcPr>
            <w:tcW w:w="1233" w:type="dxa"/>
            <w:vAlign w:val="center"/>
          </w:tcPr>
          <w:p w14:paraId="551D3C5E" w14:textId="77777777" w:rsidR="00566744" w:rsidRDefault="00000000">
            <w:pPr>
              <w:autoSpaceDE w:val="0"/>
              <w:autoSpaceDN w:val="0"/>
              <w:adjustRightInd w:val="0"/>
              <w:jc w:val="center"/>
              <w:rPr>
                <w:rFonts w:ascii="宋体" w:hAnsi="宋体" w:hint="eastAsia"/>
                <w:color w:val="000000"/>
                <w:kern w:val="0"/>
                <w:sz w:val="24"/>
              </w:rPr>
            </w:pPr>
            <w:r>
              <w:rPr>
                <w:rFonts w:ascii="宋体" w:hAnsi="宋体" w:hint="eastAsia"/>
                <w:color w:val="000000"/>
                <w:kern w:val="0"/>
                <w:sz w:val="24"/>
              </w:rPr>
              <w:t>净值收益率标准差②</w:t>
            </w:r>
          </w:p>
        </w:tc>
        <w:tc>
          <w:tcPr>
            <w:tcW w:w="1233" w:type="dxa"/>
            <w:vAlign w:val="center"/>
          </w:tcPr>
          <w:p w14:paraId="5DA1D217" w14:textId="77777777" w:rsidR="00566744" w:rsidRDefault="00000000">
            <w:pPr>
              <w:autoSpaceDE w:val="0"/>
              <w:autoSpaceDN w:val="0"/>
              <w:adjustRightInd w:val="0"/>
              <w:jc w:val="center"/>
              <w:rPr>
                <w:rFonts w:ascii="宋体" w:hAnsi="宋体" w:hint="eastAsia"/>
                <w:color w:val="000000"/>
                <w:kern w:val="0"/>
                <w:sz w:val="24"/>
              </w:rPr>
            </w:pPr>
            <w:r>
              <w:rPr>
                <w:rFonts w:ascii="宋体" w:hAnsi="宋体" w:hint="eastAsia"/>
                <w:color w:val="000000"/>
                <w:kern w:val="0"/>
                <w:sz w:val="24"/>
              </w:rPr>
              <w:t>业绩比较基准收益率③</w:t>
            </w:r>
          </w:p>
        </w:tc>
        <w:tc>
          <w:tcPr>
            <w:tcW w:w="1233" w:type="dxa"/>
            <w:vAlign w:val="center"/>
          </w:tcPr>
          <w:p w14:paraId="2405A46F" w14:textId="77777777" w:rsidR="00566744" w:rsidRDefault="00000000">
            <w:pPr>
              <w:autoSpaceDE w:val="0"/>
              <w:autoSpaceDN w:val="0"/>
              <w:adjustRightInd w:val="0"/>
              <w:jc w:val="center"/>
              <w:rPr>
                <w:rFonts w:ascii="宋体" w:hAnsi="宋体" w:hint="eastAsia"/>
                <w:color w:val="000000"/>
                <w:kern w:val="0"/>
                <w:sz w:val="24"/>
              </w:rPr>
            </w:pPr>
            <w:r>
              <w:rPr>
                <w:rFonts w:ascii="宋体" w:hAnsi="宋体" w:hint="eastAsia"/>
                <w:color w:val="000000"/>
                <w:kern w:val="0"/>
                <w:sz w:val="24"/>
              </w:rPr>
              <w:t>业绩比较基准收益率标准差④</w:t>
            </w:r>
          </w:p>
        </w:tc>
        <w:tc>
          <w:tcPr>
            <w:tcW w:w="1233" w:type="dxa"/>
            <w:vAlign w:val="center"/>
          </w:tcPr>
          <w:p w14:paraId="0781F545" w14:textId="77777777" w:rsidR="00566744" w:rsidRDefault="00000000">
            <w:pPr>
              <w:autoSpaceDE w:val="0"/>
              <w:autoSpaceDN w:val="0"/>
              <w:adjustRightInd w:val="0"/>
              <w:jc w:val="center"/>
              <w:rPr>
                <w:rFonts w:ascii="宋体" w:hAnsi="宋体" w:hint="eastAsia"/>
                <w:color w:val="000000"/>
                <w:kern w:val="0"/>
                <w:sz w:val="24"/>
              </w:rPr>
            </w:pPr>
            <w:r>
              <w:rPr>
                <w:rFonts w:ascii="宋体" w:hAnsi="宋体" w:hint="eastAsia"/>
                <w:color w:val="000000"/>
                <w:kern w:val="0"/>
                <w:sz w:val="24"/>
              </w:rPr>
              <w:t>①</w:t>
            </w:r>
            <w:r>
              <w:rPr>
                <w:rFonts w:ascii="宋体" w:hAnsi="宋体"/>
                <w:color w:val="000000"/>
                <w:kern w:val="0"/>
                <w:sz w:val="24"/>
              </w:rPr>
              <w:t>-</w:t>
            </w:r>
            <w:r>
              <w:rPr>
                <w:rFonts w:ascii="宋体" w:hAnsi="宋体" w:hint="eastAsia"/>
                <w:color w:val="000000"/>
                <w:kern w:val="0"/>
                <w:sz w:val="24"/>
              </w:rPr>
              <w:t>③</w:t>
            </w:r>
          </w:p>
        </w:tc>
        <w:tc>
          <w:tcPr>
            <w:tcW w:w="1356" w:type="dxa"/>
            <w:vAlign w:val="center"/>
          </w:tcPr>
          <w:p w14:paraId="1FAAFB5C" w14:textId="77777777" w:rsidR="00566744" w:rsidRDefault="00000000">
            <w:pPr>
              <w:autoSpaceDE w:val="0"/>
              <w:autoSpaceDN w:val="0"/>
              <w:adjustRightInd w:val="0"/>
              <w:jc w:val="center"/>
              <w:rPr>
                <w:rFonts w:ascii="宋体" w:hAnsi="宋体" w:hint="eastAsia"/>
                <w:color w:val="000000"/>
                <w:kern w:val="0"/>
                <w:sz w:val="24"/>
              </w:rPr>
            </w:pPr>
            <w:r>
              <w:rPr>
                <w:rFonts w:ascii="宋体" w:hAnsi="宋体" w:hint="eastAsia"/>
                <w:color w:val="000000"/>
                <w:kern w:val="0"/>
                <w:sz w:val="24"/>
              </w:rPr>
              <w:t>②</w:t>
            </w:r>
            <w:r>
              <w:rPr>
                <w:rFonts w:ascii="宋体" w:hAnsi="宋体"/>
                <w:color w:val="000000"/>
                <w:kern w:val="0"/>
                <w:sz w:val="24"/>
              </w:rPr>
              <w:t>-</w:t>
            </w:r>
            <w:r>
              <w:rPr>
                <w:rFonts w:ascii="宋体" w:hAnsi="宋体" w:hint="eastAsia"/>
                <w:color w:val="000000"/>
                <w:kern w:val="0"/>
                <w:sz w:val="24"/>
              </w:rPr>
              <w:t>④</w:t>
            </w:r>
          </w:p>
        </w:tc>
      </w:tr>
      <w:tr w:rsidR="00566744" w14:paraId="0AA3094B" w14:textId="77777777">
        <w:trPr>
          <w:trHeight w:val="105"/>
        </w:trPr>
        <w:tc>
          <w:tcPr>
            <w:tcW w:w="1552" w:type="dxa"/>
            <w:gridSpan w:val="3"/>
            <w:vAlign w:val="center"/>
          </w:tcPr>
          <w:p w14:paraId="42F1E3A1" w14:textId="77777777" w:rsidR="00566744" w:rsidRDefault="00000000">
            <w:pPr>
              <w:autoSpaceDE w:val="0"/>
              <w:autoSpaceDN w:val="0"/>
              <w:adjustRightInd w:val="0"/>
              <w:jc w:val="center"/>
              <w:rPr>
                <w:rFonts w:ascii="宋体" w:hAnsi="宋体" w:hint="eastAsia"/>
                <w:color w:val="000000"/>
                <w:kern w:val="0"/>
                <w:sz w:val="24"/>
              </w:rPr>
            </w:pPr>
            <w:r>
              <w:rPr>
                <w:rFonts w:ascii="宋体" w:hAnsi="宋体" w:hint="eastAsia"/>
                <w:color w:val="000000"/>
                <w:kern w:val="0"/>
                <w:sz w:val="24"/>
              </w:rPr>
              <w:t>2016.12.26~2016.12.31</w:t>
            </w:r>
          </w:p>
        </w:tc>
        <w:tc>
          <w:tcPr>
            <w:tcW w:w="1233" w:type="dxa"/>
            <w:vAlign w:val="center"/>
          </w:tcPr>
          <w:p w14:paraId="54B66197" w14:textId="77777777" w:rsidR="00566744" w:rsidRDefault="00000000">
            <w:pPr>
              <w:autoSpaceDE w:val="0"/>
              <w:autoSpaceDN w:val="0"/>
              <w:adjustRightInd w:val="0"/>
              <w:jc w:val="center"/>
              <w:rPr>
                <w:rFonts w:ascii="宋体" w:hAnsi="宋体" w:hint="eastAsia"/>
                <w:color w:val="000000"/>
                <w:kern w:val="0"/>
                <w:sz w:val="24"/>
              </w:rPr>
            </w:pPr>
            <w:r>
              <w:rPr>
                <w:rFonts w:ascii="宋体" w:hAnsi="宋体" w:hint="eastAsia"/>
                <w:color w:val="000000"/>
                <w:kern w:val="0"/>
                <w:sz w:val="24"/>
              </w:rPr>
              <w:t>0.0796%</w:t>
            </w:r>
          </w:p>
        </w:tc>
        <w:tc>
          <w:tcPr>
            <w:tcW w:w="1233" w:type="dxa"/>
            <w:vAlign w:val="center"/>
          </w:tcPr>
          <w:p w14:paraId="73CAD058" w14:textId="77777777" w:rsidR="00566744" w:rsidRDefault="00000000">
            <w:pPr>
              <w:autoSpaceDE w:val="0"/>
              <w:autoSpaceDN w:val="0"/>
              <w:adjustRightInd w:val="0"/>
              <w:jc w:val="center"/>
              <w:rPr>
                <w:rFonts w:ascii="宋体" w:hAnsi="宋体" w:hint="eastAsia"/>
                <w:color w:val="000000"/>
                <w:kern w:val="0"/>
                <w:sz w:val="24"/>
              </w:rPr>
            </w:pPr>
            <w:r>
              <w:rPr>
                <w:rFonts w:ascii="宋体" w:hAnsi="宋体" w:hint="eastAsia"/>
                <w:color w:val="000000"/>
                <w:kern w:val="0"/>
                <w:sz w:val="24"/>
              </w:rPr>
              <w:t>0.0059%</w:t>
            </w:r>
          </w:p>
        </w:tc>
        <w:tc>
          <w:tcPr>
            <w:tcW w:w="1233" w:type="dxa"/>
            <w:vAlign w:val="center"/>
          </w:tcPr>
          <w:p w14:paraId="46A7AECA" w14:textId="77777777" w:rsidR="00566744" w:rsidRDefault="00000000">
            <w:pPr>
              <w:autoSpaceDE w:val="0"/>
              <w:autoSpaceDN w:val="0"/>
              <w:adjustRightInd w:val="0"/>
              <w:jc w:val="center"/>
              <w:rPr>
                <w:rFonts w:ascii="宋体" w:hAnsi="宋体" w:hint="eastAsia"/>
                <w:color w:val="000000"/>
                <w:kern w:val="0"/>
                <w:sz w:val="24"/>
              </w:rPr>
            </w:pPr>
            <w:r>
              <w:rPr>
                <w:rFonts w:ascii="宋体" w:hAnsi="宋体" w:hint="eastAsia"/>
                <w:color w:val="000000"/>
                <w:kern w:val="0"/>
                <w:sz w:val="24"/>
              </w:rPr>
              <w:t>0.0058%</w:t>
            </w:r>
          </w:p>
        </w:tc>
        <w:tc>
          <w:tcPr>
            <w:tcW w:w="1233" w:type="dxa"/>
            <w:vAlign w:val="center"/>
          </w:tcPr>
          <w:p w14:paraId="29E947BD" w14:textId="77777777" w:rsidR="00566744" w:rsidRDefault="00000000">
            <w:pPr>
              <w:autoSpaceDE w:val="0"/>
              <w:autoSpaceDN w:val="0"/>
              <w:adjustRightInd w:val="0"/>
              <w:jc w:val="center"/>
              <w:rPr>
                <w:rFonts w:ascii="宋体" w:hAnsi="宋体" w:hint="eastAsia"/>
                <w:color w:val="000000"/>
                <w:kern w:val="0"/>
                <w:sz w:val="24"/>
              </w:rPr>
            </w:pPr>
            <w:r>
              <w:rPr>
                <w:rFonts w:ascii="宋体" w:hAnsi="宋体" w:hint="eastAsia"/>
                <w:color w:val="000000"/>
                <w:kern w:val="0"/>
                <w:sz w:val="24"/>
              </w:rPr>
              <w:t>0.0000%</w:t>
            </w:r>
          </w:p>
        </w:tc>
        <w:tc>
          <w:tcPr>
            <w:tcW w:w="1233" w:type="dxa"/>
            <w:vAlign w:val="center"/>
          </w:tcPr>
          <w:p w14:paraId="7571D4A8" w14:textId="77777777" w:rsidR="00566744" w:rsidRDefault="00000000">
            <w:pPr>
              <w:autoSpaceDE w:val="0"/>
              <w:autoSpaceDN w:val="0"/>
              <w:adjustRightInd w:val="0"/>
              <w:jc w:val="center"/>
              <w:rPr>
                <w:rFonts w:ascii="宋体" w:hAnsi="宋体" w:hint="eastAsia"/>
                <w:color w:val="000000"/>
                <w:kern w:val="0"/>
                <w:sz w:val="24"/>
              </w:rPr>
            </w:pPr>
            <w:r>
              <w:rPr>
                <w:rFonts w:ascii="宋体" w:hAnsi="宋体" w:hint="eastAsia"/>
                <w:color w:val="000000"/>
                <w:kern w:val="0"/>
                <w:sz w:val="24"/>
              </w:rPr>
              <w:t>0.0738%</w:t>
            </w:r>
          </w:p>
        </w:tc>
        <w:tc>
          <w:tcPr>
            <w:tcW w:w="1356" w:type="dxa"/>
            <w:vAlign w:val="center"/>
          </w:tcPr>
          <w:p w14:paraId="2AF8174F" w14:textId="77777777" w:rsidR="00566744" w:rsidRDefault="00000000">
            <w:pPr>
              <w:autoSpaceDE w:val="0"/>
              <w:autoSpaceDN w:val="0"/>
              <w:adjustRightInd w:val="0"/>
              <w:jc w:val="center"/>
              <w:rPr>
                <w:rFonts w:ascii="宋体" w:hAnsi="宋体" w:hint="eastAsia"/>
                <w:color w:val="000000"/>
                <w:kern w:val="0"/>
                <w:sz w:val="24"/>
              </w:rPr>
            </w:pPr>
            <w:r>
              <w:rPr>
                <w:rFonts w:ascii="宋体" w:hAnsi="宋体" w:hint="eastAsia"/>
                <w:color w:val="000000"/>
                <w:kern w:val="0"/>
                <w:sz w:val="24"/>
              </w:rPr>
              <w:t>0.0059%</w:t>
            </w:r>
          </w:p>
        </w:tc>
      </w:tr>
      <w:tr w:rsidR="00566744" w14:paraId="1BAA3705" w14:textId="77777777">
        <w:trPr>
          <w:trHeight w:val="105"/>
        </w:trPr>
        <w:tc>
          <w:tcPr>
            <w:tcW w:w="1552" w:type="dxa"/>
            <w:gridSpan w:val="3"/>
            <w:vAlign w:val="center"/>
          </w:tcPr>
          <w:p w14:paraId="2BA842B0" w14:textId="77777777" w:rsidR="00566744" w:rsidRDefault="00000000">
            <w:pPr>
              <w:autoSpaceDE w:val="0"/>
              <w:autoSpaceDN w:val="0"/>
              <w:adjustRightInd w:val="0"/>
              <w:jc w:val="center"/>
              <w:rPr>
                <w:rFonts w:ascii="宋体" w:hAnsi="宋体" w:hint="eastAsia"/>
                <w:color w:val="000000"/>
                <w:kern w:val="0"/>
                <w:sz w:val="24"/>
              </w:rPr>
            </w:pPr>
            <w:r>
              <w:rPr>
                <w:rFonts w:ascii="宋体" w:hAnsi="宋体" w:hint="eastAsia"/>
                <w:color w:val="000000"/>
                <w:kern w:val="0"/>
                <w:sz w:val="24"/>
              </w:rPr>
              <w:t>2017.01.01~2017.12.31</w:t>
            </w:r>
          </w:p>
        </w:tc>
        <w:tc>
          <w:tcPr>
            <w:tcW w:w="1233" w:type="dxa"/>
            <w:vAlign w:val="center"/>
          </w:tcPr>
          <w:p w14:paraId="71131581" w14:textId="77777777" w:rsidR="00566744" w:rsidRDefault="00000000">
            <w:pPr>
              <w:autoSpaceDE w:val="0"/>
              <w:autoSpaceDN w:val="0"/>
              <w:adjustRightInd w:val="0"/>
              <w:jc w:val="center"/>
              <w:rPr>
                <w:rFonts w:ascii="宋体" w:hAnsi="宋体" w:hint="eastAsia"/>
                <w:color w:val="000000"/>
                <w:kern w:val="0"/>
                <w:sz w:val="24"/>
              </w:rPr>
            </w:pPr>
            <w:r>
              <w:rPr>
                <w:rFonts w:hint="eastAsia"/>
              </w:rPr>
              <w:t>3.6742%</w:t>
            </w:r>
          </w:p>
        </w:tc>
        <w:tc>
          <w:tcPr>
            <w:tcW w:w="1233" w:type="dxa"/>
            <w:vAlign w:val="center"/>
          </w:tcPr>
          <w:p w14:paraId="042CDF37" w14:textId="77777777" w:rsidR="00566744" w:rsidRDefault="00000000">
            <w:pPr>
              <w:autoSpaceDE w:val="0"/>
              <w:autoSpaceDN w:val="0"/>
              <w:adjustRightInd w:val="0"/>
              <w:jc w:val="center"/>
              <w:rPr>
                <w:rFonts w:ascii="宋体" w:hAnsi="宋体" w:hint="eastAsia"/>
                <w:color w:val="000000"/>
                <w:kern w:val="0"/>
                <w:sz w:val="24"/>
              </w:rPr>
            </w:pPr>
            <w:r>
              <w:rPr>
                <w:rFonts w:hint="eastAsia"/>
              </w:rPr>
              <w:t>0.0035%</w:t>
            </w:r>
          </w:p>
        </w:tc>
        <w:tc>
          <w:tcPr>
            <w:tcW w:w="1233" w:type="dxa"/>
            <w:vAlign w:val="center"/>
          </w:tcPr>
          <w:p w14:paraId="487C0371" w14:textId="77777777" w:rsidR="00566744" w:rsidRDefault="00000000">
            <w:pPr>
              <w:autoSpaceDE w:val="0"/>
              <w:autoSpaceDN w:val="0"/>
              <w:adjustRightInd w:val="0"/>
              <w:jc w:val="center"/>
              <w:rPr>
                <w:rFonts w:ascii="宋体" w:hAnsi="宋体" w:hint="eastAsia"/>
                <w:color w:val="000000"/>
                <w:kern w:val="0"/>
                <w:sz w:val="24"/>
              </w:rPr>
            </w:pPr>
            <w:r>
              <w:rPr>
                <w:rFonts w:hint="eastAsia"/>
              </w:rPr>
              <w:t>0.3549%</w:t>
            </w:r>
          </w:p>
        </w:tc>
        <w:tc>
          <w:tcPr>
            <w:tcW w:w="1233" w:type="dxa"/>
            <w:vAlign w:val="center"/>
          </w:tcPr>
          <w:p w14:paraId="589CE44F" w14:textId="77777777" w:rsidR="00566744" w:rsidRDefault="00000000">
            <w:pPr>
              <w:autoSpaceDE w:val="0"/>
              <w:autoSpaceDN w:val="0"/>
              <w:adjustRightInd w:val="0"/>
              <w:jc w:val="center"/>
              <w:rPr>
                <w:rFonts w:ascii="宋体" w:hAnsi="宋体" w:hint="eastAsia"/>
                <w:color w:val="000000"/>
                <w:kern w:val="0"/>
                <w:sz w:val="24"/>
              </w:rPr>
            </w:pPr>
            <w:r>
              <w:rPr>
                <w:rFonts w:hint="eastAsia"/>
              </w:rPr>
              <w:t>0.0000%</w:t>
            </w:r>
          </w:p>
        </w:tc>
        <w:tc>
          <w:tcPr>
            <w:tcW w:w="1233" w:type="dxa"/>
            <w:vAlign w:val="center"/>
          </w:tcPr>
          <w:p w14:paraId="15EF97DF" w14:textId="77777777" w:rsidR="00566744" w:rsidRDefault="00000000">
            <w:pPr>
              <w:autoSpaceDE w:val="0"/>
              <w:autoSpaceDN w:val="0"/>
              <w:adjustRightInd w:val="0"/>
              <w:jc w:val="center"/>
              <w:rPr>
                <w:rFonts w:ascii="宋体" w:hAnsi="宋体" w:hint="eastAsia"/>
                <w:color w:val="000000"/>
                <w:kern w:val="0"/>
                <w:sz w:val="24"/>
              </w:rPr>
            </w:pPr>
            <w:r>
              <w:rPr>
                <w:rFonts w:hint="eastAsia"/>
              </w:rPr>
              <w:t>3.3193%</w:t>
            </w:r>
          </w:p>
        </w:tc>
        <w:tc>
          <w:tcPr>
            <w:tcW w:w="1356" w:type="dxa"/>
            <w:vAlign w:val="center"/>
          </w:tcPr>
          <w:p w14:paraId="23A21271" w14:textId="77777777" w:rsidR="00566744" w:rsidRDefault="00000000">
            <w:pPr>
              <w:autoSpaceDE w:val="0"/>
              <w:autoSpaceDN w:val="0"/>
              <w:adjustRightInd w:val="0"/>
              <w:jc w:val="center"/>
              <w:rPr>
                <w:rFonts w:ascii="宋体" w:hAnsi="宋体" w:hint="eastAsia"/>
                <w:color w:val="000000"/>
                <w:kern w:val="0"/>
                <w:sz w:val="24"/>
              </w:rPr>
            </w:pPr>
            <w:r>
              <w:rPr>
                <w:rFonts w:hint="eastAsia"/>
              </w:rPr>
              <w:t>0.0035%</w:t>
            </w:r>
          </w:p>
        </w:tc>
      </w:tr>
      <w:tr w:rsidR="00566744" w14:paraId="58C59BEE" w14:textId="77777777">
        <w:trPr>
          <w:trHeight w:val="105"/>
        </w:trPr>
        <w:tc>
          <w:tcPr>
            <w:tcW w:w="1552" w:type="dxa"/>
            <w:gridSpan w:val="3"/>
            <w:vAlign w:val="center"/>
          </w:tcPr>
          <w:p w14:paraId="6C0D769B" w14:textId="77777777" w:rsidR="00566744" w:rsidRDefault="00000000">
            <w:pPr>
              <w:autoSpaceDE w:val="0"/>
              <w:autoSpaceDN w:val="0"/>
              <w:adjustRightInd w:val="0"/>
              <w:jc w:val="center"/>
              <w:rPr>
                <w:rFonts w:ascii="宋体" w:hAnsi="宋体" w:hint="eastAsia"/>
                <w:color w:val="000000"/>
                <w:kern w:val="0"/>
                <w:sz w:val="24"/>
              </w:rPr>
            </w:pPr>
            <w:r>
              <w:rPr>
                <w:rFonts w:ascii="宋体" w:hAnsi="宋体" w:hint="eastAsia"/>
                <w:color w:val="000000"/>
                <w:kern w:val="0"/>
                <w:sz w:val="24"/>
              </w:rPr>
              <w:t>2018.01.01~2018.12.31</w:t>
            </w:r>
          </w:p>
        </w:tc>
        <w:tc>
          <w:tcPr>
            <w:tcW w:w="1233" w:type="dxa"/>
            <w:vAlign w:val="center"/>
          </w:tcPr>
          <w:p w14:paraId="5B8C1690" w14:textId="77777777" w:rsidR="00566744" w:rsidRDefault="00000000">
            <w:pPr>
              <w:autoSpaceDE w:val="0"/>
              <w:autoSpaceDN w:val="0"/>
              <w:adjustRightInd w:val="0"/>
              <w:jc w:val="center"/>
            </w:pPr>
            <w:r>
              <w:rPr>
                <w:rFonts w:hint="eastAsia"/>
              </w:rPr>
              <w:t>3.5249%</w:t>
            </w:r>
          </w:p>
        </w:tc>
        <w:tc>
          <w:tcPr>
            <w:tcW w:w="1233" w:type="dxa"/>
            <w:vAlign w:val="center"/>
          </w:tcPr>
          <w:p w14:paraId="284A6EB3" w14:textId="77777777" w:rsidR="00566744" w:rsidRDefault="00000000">
            <w:pPr>
              <w:autoSpaceDE w:val="0"/>
              <w:autoSpaceDN w:val="0"/>
              <w:adjustRightInd w:val="0"/>
              <w:jc w:val="center"/>
            </w:pPr>
            <w:r>
              <w:rPr>
                <w:rFonts w:hint="eastAsia"/>
              </w:rPr>
              <w:t>0.0022%</w:t>
            </w:r>
          </w:p>
        </w:tc>
        <w:tc>
          <w:tcPr>
            <w:tcW w:w="1233" w:type="dxa"/>
            <w:vAlign w:val="center"/>
          </w:tcPr>
          <w:p w14:paraId="4A85A171" w14:textId="77777777" w:rsidR="00566744" w:rsidRDefault="00000000">
            <w:pPr>
              <w:autoSpaceDE w:val="0"/>
              <w:autoSpaceDN w:val="0"/>
              <w:adjustRightInd w:val="0"/>
              <w:jc w:val="center"/>
            </w:pPr>
            <w:r>
              <w:rPr>
                <w:rFonts w:hint="eastAsia"/>
              </w:rPr>
              <w:t>0.3549%</w:t>
            </w:r>
          </w:p>
        </w:tc>
        <w:tc>
          <w:tcPr>
            <w:tcW w:w="1233" w:type="dxa"/>
            <w:vAlign w:val="center"/>
          </w:tcPr>
          <w:p w14:paraId="038F52C8" w14:textId="77777777" w:rsidR="00566744" w:rsidRDefault="00000000">
            <w:pPr>
              <w:autoSpaceDE w:val="0"/>
              <w:autoSpaceDN w:val="0"/>
              <w:adjustRightInd w:val="0"/>
              <w:jc w:val="center"/>
            </w:pPr>
            <w:r>
              <w:rPr>
                <w:rFonts w:hint="eastAsia"/>
              </w:rPr>
              <w:t>0.0000%</w:t>
            </w:r>
          </w:p>
        </w:tc>
        <w:tc>
          <w:tcPr>
            <w:tcW w:w="1233" w:type="dxa"/>
            <w:vAlign w:val="center"/>
          </w:tcPr>
          <w:p w14:paraId="2C677742" w14:textId="77777777" w:rsidR="00566744" w:rsidRDefault="00000000">
            <w:pPr>
              <w:autoSpaceDE w:val="0"/>
              <w:autoSpaceDN w:val="0"/>
              <w:adjustRightInd w:val="0"/>
              <w:jc w:val="center"/>
            </w:pPr>
            <w:r>
              <w:rPr>
                <w:rFonts w:hint="eastAsia"/>
              </w:rPr>
              <w:t>3.1700%</w:t>
            </w:r>
          </w:p>
        </w:tc>
        <w:tc>
          <w:tcPr>
            <w:tcW w:w="1356" w:type="dxa"/>
            <w:vAlign w:val="center"/>
          </w:tcPr>
          <w:p w14:paraId="1856E616" w14:textId="77777777" w:rsidR="00566744" w:rsidRDefault="00000000">
            <w:pPr>
              <w:autoSpaceDE w:val="0"/>
              <w:autoSpaceDN w:val="0"/>
              <w:adjustRightInd w:val="0"/>
              <w:jc w:val="center"/>
            </w:pPr>
            <w:r>
              <w:rPr>
                <w:rFonts w:hint="eastAsia"/>
              </w:rPr>
              <w:t>0.0022%</w:t>
            </w:r>
          </w:p>
        </w:tc>
      </w:tr>
      <w:tr w:rsidR="00566744" w14:paraId="06673BE1" w14:textId="77777777">
        <w:trPr>
          <w:trHeight w:val="105"/>
        </w:trPr>
        <w:tc>
          <w:tcPr>
            <w:tcW w:w="1552" w:type="dxa"/>
            <w:gridSpan w:val="3"/>
          </w:tcPr>
          <w:p w14:paraId="2FFBCD4F" w14:textId="77777777" w:rsidR="00566744" w:rsidRDefault="00000000">
            <w:pPr>
              <w:autoSpaceDE w:val="0"/>
              <w:autoSpaceDN w:val="0"/>
              <w:adjustRightInd w:val="0"/>
              <w:jc w:val="center"/>
              <w:rPr>
                <w:rFonts w:ascii="宋体" w:hAnsi="宋体" w:hint="eastAsia"/>
                <w:color w:val="000000"/>
                <w:kern w:val="0"/>
                <w:sz w:val="24"/>
              </w:rPr>
            </w:pPr>
            <w:r>
              <w:rPr>
                <w:rFonts w:ascii="宋体" w:hAnsi="宋体" w:hint="eastAsia"/>
                <w:color w:val="000000"/>
                <w:kern w:val="0"/>
                <w:sz w:val="24"/>
              </w:rPr>
              <w:t>2019.01.01~2019.12.31</w:t>
            </w:r>
          </w:p>
        </w:tc>
        <w:tc>
          <w:tcPr>
            <w:tcW w:w="1233" w:type="dxa"/>
            <w:vAlign w:val="center"/>
          </w:tcPr>
          <w:p w14:paraId="6A000CFD" w14:textId="77777777" w:rsidR="00566744" w:rsidRDefault="00000000">
            <w:pPr>
              <w:autoSpaceDE w:val="0"/>
              <w:autoSpaceDN w:val="0"/>
              <w:adjustRightInd w:val="0"/>
              <w:jc w:val="center"/>
              <w:rPr>
                <w:rFonts w:ascii="宋体" w:hAnsi="宋体" w:hint="eastAsia"/>
                <w:color w:val="000000"/>
                <w:kern w:val="0"/>
                <w:sz w:val="24"/>
              </w:rPr>
            </w:pPr>
            <w:r>
              <w:rPr>
                <w:rFonts w:hint="eastAsia"/>
              </w:rPr>
              <w:t>2.4342%</w:t>
            </w:r>
          </w:p>
        </w:tc>
        <w:tc>
          <w:tcPr>
            <w:tcW w:w="1233" w:type="dxa"/>
            <w:vAlign w:val="center"/>
          </w:tcPr>
          <w:p w14:paraId="1EFF3615" w14:textId="77777777" w:rsidR="00566744" w:rsidRDefault="00000000">
            <w:pPr>
              <w:autoSpaceDE w:val="0"/>
              <w:autoSpaceDN w:val="0"/>
              <w:adjustRightInd w:val="0"/>
              <w:jc w:val="center"/>
              <w:rPr>
                <w:rFonts w:ascii="宋体" w:hAnsi="宋体" w:hint="eastAsia"/>
                <w:color w:val="000000"/>
                <w:kern w:val="0"/>
                <w:sz w:val="24"/>
              </w:rPr>
            </w:pPr>
            <w:r>
              <w:rPr>
                <w:rFonts w:hint="eastAsia"/>
              </w:rPr>
              <w:t>0.0022%</w:t>
            </w:r>
          </w:p>
        </w:tc>
        <w:tc>
          <w:tcPr>
            <w:tcW w:w="1233" w:type="dxa"/>
            <w:vAlign w:val="center"/>
          </w:tcPr>
          <w:p w14:paraId="3FCA73E2" w14:textId="77777777" w:rsidR="00566744" w:rsidRDefault="00000000">
            <w:pPr>
              <w:autoSpaceDE w:val="0"/>
              <w:autoSpaceDN w:val="0"/>
              <w:adjustRightInd w:val="0"/>
              <w:jc w:val="center"/>
              <w:rPr>
                <w:rFonts w:ascii="宋体" w:hAnsi="宋体" w:hint="eastAsia"/>
                <w:color w:val="000000"/>
                <w:kern w:val="0"/>
                <w:sz w:val="24"/>
              </w:rPr>
            </w:pPr>
            <w:r>
              <w:rPr>
                <w:rFonts w:hint="eastAsia"/>
              </w:rPr>
              <w:t>0.3549%</w:t>
            </w:r>
          </w:p>
        </w:tc>
        <w:tc>
          <w:tcPr>
            <w:tcW w:w="1233" w:type="dxa"/>
            <w:vAlign w:val="center"/>
          </w:tcPr>
          <w:p w14:paraId="54CC7E0A" w14:textId="77777777" w:rsidR="00566744" w:rsidRDefault="00000000">
            <w:pPr>
              <w:autoSpaceDE w:val="0"/>
              <w:autoSpaceDN w:val="0"/>
              <w:adjustRightInd w:val="0"/>
              <w:jc w:val="center"/>
              <w:rPr>
                <w:rFonts w:ascii="宋体" w:hAnsi="宋体" w:hint="eastAsia"/>
                <w:color w:val="000000"/>
                <w:kern w:val="0"/>
                <w:sz w:val="24"/>
              </w:rPr>
            </w:pPr>
            <w:r>
              <w:rPr>
                <w:rFonts w:hint="eastAsia"/>
              </w:rPr>
              <w:t>0.0000%</w:t>
            </w:r>
          </w:p>
        </w:tc>
        <w:tc>
          <w:tcPr>
            <w:tcW w:w="1233" w:type="dxa"/>
            <w:vAlign w:val="center"/>
          </w:tcPr>
          <w:p w14:paraId="440C36C6" w14:textId="77777777" w:rsidR="00566744" w:rsidRDefault="00000000">
            <w:pPr>
              <w:autoSpaceDE w:val="0"/>
              <w:autoSpaceDN w:val="0"/>
              <w:adjustRightInd w:val="0"/>
              <w:jc w:val="center"/>
              <w:rPr>
                <w:rFonts w:ascii="宋体" w:hAnsi="宋体" w:hint="eastAsia"/>
                <w:color w:val="000000"/>
                <w:kern w:val="0"/>
                <w:sz w:val="24"/>
              </w:rPr>
            </w:pPr>
            <w:r>
              <w:rPr>
                <w:rFonts w:hint="eastAsia"/>
              </w:rPr>
              <w:t>2.0793%</w:t>
            </w:r>
          </w:p>
        </w:tc>
        <w:tc>
          <w:tcPr>
            <w:tcW w:w="1356" w:type="dxa"/>
            <w:vAlign w:val="center"/>
          </w:tcPr>
          <w:p w14:paraId="239E2E69" w14:textId="77777777" w:rsidR="00566744" w:rsidRDefault="00000000">
            <w:pPr>
              <w:autoSpaceDE w:val="0"/>
              <w:autoSpaceDN w:val="0"/>
              <w:adjustRightInd w:val="0"/>
              <w:jc w:val="center"/>
              <w:rPr>
                <w:rFonts w:ascii="宋体" w:hAnsi="宋体" w:hint="eastAsia"/>
                <w:color w:val="000000"/>
                <w:kern w:val="0"/>
                <w:sz w:val="24"/>
              </w:rPr>
            </w:pPr>
            <w:r>
              <w:rPr>
                <w:rFonts w:hint="eastAsia"/>
              </w:rPr>
              <w:t>0.0022%</w:t>
            </w:r>
          </w:p>
        </w:tc>
      </w:tr>
      <w:tr w:rsidR="00566744" w14:paraId="03FE7924" w14:textId="77777777">
        <w:trPr>
          <w:trHeight w:val="747"/>
        </w:trPr>
        <w:tc>
          <w:tcPr>
            <w:tcW w:w="1552" w:type="dxa"/>
            <w:gridSpan w:val="3"/>
          </w:tcPr>
          <w:p w14:paraId="4170D006" w14:textId="77777777" w:rsidR="00566744" w:rsidRDefault="00000000">
            <w:pPr>
              <w:autoSpaceDE w:val="0"/>
              <w:autoSpaceDN w:val="0"/>
              <w:adjustRightInd w:val="0"/>
              <w:jc w:val="center"/>
              <w:rPr>
                <w:rFonts w:ascii="宋体" w:hAnsi="宋体" w:hint="eastAsia"/>
                <w:color w:val="000000"/>
                <w:kern w:val="0"/>
                <w:sz w:val="24"/>
              </w:rPr>
            </w:pPr>
            <w:r>
              <w:rPr>
                <w:rFonts w:ascii="宋体" w:hAnsi="宋体" w:hint="eastAsia"/>
                <w:color w:val="000000"/>
                <w:kern w:val="0"/>
                <w:sz w:val="24"/>
              </w:rPr>
              <w:t>2020.01.01~2020.12.31</w:t>
            </w:r>
          </w:p>
        </w:tc>
        <w:tc>
          <w:tcPr>
            <w:tcW w:w="1233" w:type="dxa"/>
            <w:vAlign w:val="center"/>
          </w:tcPr>
          <w:p w14:paraId="1FE9533E" w14:textId="77777777" w:rsidR="00566744" w:rsidRDefault="00000000">
            <w:pPr>
              <w:autoSpaceDE w:val="0"/>
              <w:autoSpaceDN w:val="0"/>
              <w:adjustRightInd w:val="0"/>
              <w:jc w:val="center"/>
            </w:pPr>
            <w:r>
              <w:rPr>
                <w:rFonts w:hint="eastAsia"/>
              </w:rPr>
              <w:t>2.0821%</w:t>
            </w:r>
          </w:p>
        </w:tc>
        <w:tc>
          <w:tcPr>
            <w:tcW w:w="1233" w:type="dxa"/>
            <w:vAlign w:val="center"/>
          </w:tcPr>
          <w:p w14:paraId="552B3BED" w14:textId="77777777" w:rsidR="00566744" w:rsidRDefault="00000000">
            <w:pPr>
              <w:autoSpaceDE w:val="0"/>
              <w:autoSpaceDN w:val="0"/>
              <w:adjustRightInd w:val="0"/>
              <w:jc w:val="center"/>
            </w:pPr>
            <w:r>
              <w:rPr>
                <w:rFonts w:hint="eastAsia"/>
              </w:rPr>
              <w:t>0.0029%</w:t>
            </w:r>
          </w:p>
        </w:tc>
        <w:tc>
          <w:tcPr>
            <w:tcW w:w="1233" w:type="dxa"/>
            <w:vAlign w:val="center"/>
          </w:tcPr>
          <w:p w14:paraId="76A6DB18" w14:textId="77777777" w:rsidR="00566744" w:rsidRDefault="00000000">
            <w:pPr>
              <w:autoSpaceDE w:val="0"/>
              <w:autoSpaceDN w:val="0"/>
              <w:adjustRightInd w:val="0"/>
              <w:jc w:val="center"/>
            </w:pPr>
            <w:r>
              <w:rPr>
                <w:rFonts w:hint="eastAsia"/>
              </w:rPr>
              <w:t>0.3558%</w:t>
            </w:r>
          </w:p>
        </w:tc>
        <w:tc>
          <w:tcPr>
            <w:tcW w:w="1233" w:type="dxa"/>
            <w:vAlign w:val="center"/>
          </w:tcPr>
          <w:p w14:paraId="7A302C6A" w14:textId="77777777" w:rsidR="00566744" w:rsidRDefault="00000000">
            <w:pPr>
              <w:autoSpaceDE w:val="0"/>
              <w:autoSpaceDN w:val="0"/>
              <w:adjustRightInd w:val="0"/>
              <w:jc w:val="center"/>
            </w:pPr>
            <w:r>
              <w:rPr>
                <w:rFonts w:hint="eastAsia"/>
              </w:rPr>
              <w:t>0.0000%</w:t>
            </w:r>
          </w:p>
        </w:tc>
        <w:tc>
          <w:tcPr>
            <w:tcW w:w="1233" w:type="dxa"/>
            <w:vAlign w:val="center"/>
          </w:tcPr>
          <w:p w14:paraId="2524D2B9" w14:textId="77777777" w:rsidR="00566744" w:rsidRDefault="00000000">
            <w:pPr>
              <w:autoSpaceDE w:val="0"/>
              <w:autoSpaceDN w:val="0"/>
              <w:adjustRightInd w:val="0"/>
              <w:jc w:val="center"/>
            </w:pPr>
            <w:r>
              <w:rPr>
                <w:rFonts w:hint="eastAsia"/>
              </w:rPr>
              <w:t>1.7263%</w:t>
            </w:r>
          </w:p>
        </w:tc>
        <w:tc>
          <w:tcPr>
            <w:tcW w:w="1356" w:type="dxa"/>
            <w:vAlign w:val="center"/>
          </w:tcPr>
          <w:p w14:paraId="10B4D28F" w14:textId="77777777" w:rsidR="00566744" w:rsidRDefault="00000000">
            <w:pPr>
              <w:autoSpaceDE w:val="0"/>
              <w:autoSpaceDN w:val="0"/>
              <w:adjustRightInd w:val="0"/>
              <w:jc w:val="center"/>
            </w:pPr>
            <w:r>
              <w:rPr>
                <w:rFonts w:hint="eastAsia"/>
              </w:rPr>
              <w:t>0.0029%</w:t>
            </w:r>
          </w:p>
        </w:tc>
      </w:tr>
      <w:tr w:rsidR="00566744" w14:paraId="11FD910E" w14:textId="77777777">
        <w:trPr>
          <w:trHeight w:val="177"/>
        </w:trPr>
        <w:tc>
          <w:tcPr>
            <w:tcW w:w="1552" w:type="dxa"/>
            <w:gridSpan w:val="3"/>
          </w:tcPr>
          <w:p w14:paraId="547A0E9A" w14:textId="77777777" w:rsidR="00566744" w:rsidRDefault="00000000">
            <w:pPr>
              <w:autoSpaceDE w:val="0"/>
              <w:autoSpaceDN w:val="0"/>
              <w:adjustRightInd w:val="0"/>
              <w:jc w:val="center"/>
              <w:rPr>
                <w:rFonts w:ascii="宋体" w:hAnsi="宋体" w:hint="eastAsia"/>
                <w:color w:val="000000"/>
                <w:kern w:val="0"/>
                <w:sz w:val="24"/>
              </w:rPr>
            </w:pPr>
            <w:r>
              <w:rPr>
                <w:rFonts w:ascii="宋体" w:hAnsi="宋体" w:hint="eastAsia"/>
                <w:color w:val="000000"/>
                <w:kern w:val="0"/>
                <w:sz w:val="24"/>
              </w:rPr>
              <w:t>2021.01.01~2021.12.31</w:t>
            </w:r>
          </w:p>
        </w:tc>
        <w:tc>
          <w:tcPr>
            <w:tcW w:w="1233" w:type="dxa"/>
          </w:tcPr>
          <w:p w14:paraId="698F1072" w14:textId="77777777" w:rsidR="00566744" w:rsidRDefault="00000000">
            <w:pPr>
              <w:autoSpaceDE w:val="0"/>
              <w:autoSpaceDN w:val="0"/>
              <w:adjustRightInd w:val="0"/>
              <w:jc w:val="center"/>
            </w:pPr>
            <w:r>
              <w:t>2.0863%</w:t>
            </w:r>
          </w:p>
        </w:tc>
        <w:tc>
          <w:tcPr>
            <w:tcW w:w="1233" w:type="dxa"/>
          </w:tcPr>
          <w:p w14:paraId="3076D1D6" w14:textId="77777777" w:rsidR="00566744" w:rsidRDefault="00000000">
            <w:pPr>
              <w:autoSpaceDE w:val="0"/>
              <w:autoSpaceDN w:val="0"/>
              <w:adjustRightInd w:val="0"/>
              <w:jc w:val="center"/>
            </w:pPr>
            <w:r>
              <w:t>0.0023%</w:t>
            </w:r>
          </w:p>
        </w:tc>
        <w:tc>
          <w:tcPr>
            <w:tcW w:w="1233" w:type="dxa"/>
          </w:tcPr>
          <w:p w14:paraId="595CD236" w14:textId="77777777" w:rsidR="00566744" w:rsidRDefault="00000000">
            <w:pPr>
              <w:autoSpaceDE w:val="0"/>
              <w:autoSpaceDN w:val="0"/>
              <w:adjustRightInd w:val="0"/>
              <w:jc w:val="center"/>
            </w:pPr>
            <w:r>
              <w:t>0.3549%</w:t>
            </w:r>
          </w:p>
        </w:tc>
        <w:tc>
          <w:tcPr>
            <w:tcW w:w="1233" w:type="dxa"/>
          </w:tcPr>
          <w:p w14:paraId="58F948CB" w14:textId="77777777" w:rsidR="00566744" w:rsidRDefault="00000000">
            <w:pPr>
              <w:autoSpaceDE w:val="0"/>
              <w:autoSpaceDN w:val="0"/>
              <w:adjustRightInd w:val="0"/>
              <w:jc w:val="center"/>
            </w:pPr>
            <w:r>
              <w:t>0.0000%</w:t>
            </w:r>
          </w:p>
        </w:tc>
        <w:tc>
          <w:tcPr>
            <w:tcW w:w="1233" w:type="dxa"/>
          </w:tcPr>
          <w:p w14:paraId="6E6A7227" w14:textId="77777777" w:rsidR="00566744" w:rsidRDefault="00000000">
            <w:pPr>
              <w:autoSpaceDE w:val="0"/>
              <w:autoSpaceDN w:val="0"/>
              <w:adjustRightInd w:val="0"/>
              <w:jc w:val="center"/>
            </w:pPr>
            <w:r>
              <w:t>1.7314%</w:t>
            </w:r>
          </w:p>
        </w:tc>
        <w:tc>
          <w:tcPr>
            <w:tcW w:w="1356" w:type="dxa"/>
          </w:tcPr>
          <w:p w14:paraId="04AA3D47" w14:textId="77777777" w:rsidR="00566744" w:rsidRDefault="00000000">
            <w:pPr>
              <w:autoSpaceDE w:val="0"/>
              <w:autoSpaceDN w:val="0"/>
              <w:adjustRightInd w:val="0"/>
              <w:jc w:val="center"/>
            </w:pPr>
            <w:r>
              <w:t>0.0023%</w:t>
            </w:r>
          </w:p>
        </w:tc>
      </w:tr>
      <w:tr w:rsidR="00566744" w14:paraId="66F8BA88" w14:textId="77777777">
        <w:trPr>
          <w:trHeight w:val="177"/>
        </w:trPr>
        <w:tc>
          <w:tcPr>
            <w:tcW w:w="1552" w:type="dxa"/>
            <w:gridSpan w:val="3"/>
          </w:tcPr>
          <w:p w14:paraId="47B28BC5" w14:textId="77777777" w:rsidR="00566744" w:rsidRDefault="00000000">
            <w:pPr>
              <w:autoSpaceDE w:val="0"/>
              <w:autoSpaceDN w:val="0"/>
              <w:adjustRightInd w:val="0"/>
              <w:jc w:val="center"/>
              <w:rPr>
                <w:rFonts w:ascii="宋体" w:hAnsi="宋体" w:hint="eastAsia"/>
                <w:color w:val="000000"/>
                <w:kern w:val="0"/>
                <w:sz w:val="24"/>
              </w:rPr>
            </w:pPr>
            <w:r>
              <w:rPr>
                <w:rFonts w:ascii="宋体" w:hAnsi="宋体" w:hint="eastAsia"/>
                <w:color w:val="000000"/>
                <w:kern w:val="0"/>
                <w:sz w:val="24"/>
              </w:rPr>
              <w:t>2022.01.01~2022.12.31</w:t>
            </w:r>
          </w:p>
        </w:tc>
        <w:tc>
          <w:tcPr>
            <w:tcW w:w="1233" w:type="dxa"/>
            <w:vAlign w:val="center"/>
          </w:tcPr>
          <w:p w14:paraId="27A8DB8F" w14:textId="77777777" w:rsidR="00566744" w:rsidRDefault="00000000">
            <w:pPr>
              <w:autoSpaceDE w:val="0"/>
              <w:autoSpaceDN w:val="0"/>
              <w:adjustRightInd w:val="0"/>
              <w:jc w:val="center"/>
            </w:pPr>
            <w:r>
              <w:rPr>
                <w:rFonts w:hAnsi="等线"/>
                <w:color w:val="000000"/>
              </w:rPr>
              <w:t>1.7341%</w:t>
            </w:r>
          </w:p>
        </w:tc>
        <w:tc>
          <w:tcPr>
            <w:tcW w:w="1233" w:type="dxa"/>
            <w:vAlign w:val="center"/>
          </w:tcPr>
          <w:p w14:paraId="13FBD25F" w14:textId="77777777" w:rsidR="00566744" w:rsidRDefault="00000000">
            <w:pPr>
              <w:autoSpaceDE w:val="0"/>
              <w:autoSpaceDN w:val="0"/>
              <w:adjustRightInd w:val="0"/>
              <w:jc w:val="center"/>
            </w:pPr>
            <w:r>
              <w:rPr>
                <w:rFonts w:hAnsi="等线"/>
                <w:color w:val="000000"/>
              </w:rPr>
              <w:t>0.0026%</w:t>
            </w:r>
          </w:p>
        </w:tc>
        <w:tc>
          <w:tcPr>
            <w:tcW w:w="1233" w:type="dxa"/>
            <w:vAlign w:val="center"/>
          </w:tcPr>
          <w:p w14:paraId="3EC23CAF" w14:textId="77777777" w:rsidR="00566744" w:rsidRDefault="00000000">
            <w:pPr>
              <w:autoSpaceDE w:val="0"/>
              <w:autoSpaceDN w:val="0"/>
              <w:adjustRightInd w:val="0"/>
              <w:jc w:val="center"/>
            </w:pPr>
            <w:r>
              <w:rPr>
                <w:rFonts w:hAnsi="等线"/>
                <w:color w:val="000000"/>
              </w:rPr>
              <w:t>0.3549%</w:t>
            </w:r>
          </w:p>
        </w:tc>
        <w:tc>
          <w:tcPr>
            <w:tcW w:w="1233" w:type="dxa"/>
            <w:vAlign w:val="center"/>
          </w:tcPr>
          <w:p w14:paraId="3C9EEBED" w14:textId="77777777" w:rsidR="00566744" w:rsidRDefault="00000000">
            <w:pPr>
              <w:autoSpaceDE w:val="0"/>
              <w:autoSpaceDN w:val="0"/>
              <w:adjustRightInd w:val="0"/>
              <w:jc w:val="center"/>
            </w:pPr>
            <w:r>
              <w:rPr>
                <w:rFonts w:hAnsi="等线"/>
                <w:color w:val="000000"/>
              </w:rPr>
              <w:t>0.0000%</w:t>
            </w:r>
          </w:p>
        </w:tc>
        <w:tc>
          <w:tcPr>
            <w:tcW w:w="1233" w:type="dxa"/>
            <w:vAlign w:val="center"/>
          </w:tcPr>
          <w:p w14:paraId="37CDC195" w14:textId="77777777" w:rsidR="00566744" w:rsidRDefault="00000000">
            <w:pPr>
              <w:autoSpaceDE w:val="0"/>
              <w:autoSpaceDN w:val="0"/>
              <w:adjustRightInd w:val="0"/>
              <w:jc w:val="center"/>
            </w:pPr>
            <w:r>
              <w:rPr>
                <w:rFonts w:hAnsi="等线"/>
                <w:color w:val="000000"/>
              </w:rPr>
              <w:t>1.3792%</w:t>
            </w:r>
          </w:p>
        </w:tc>
        <w:tc>
          <w:tcPr>
            <w:tcW w:w="1356" w:type="dxa"/>
            <w:vAlign w:val="center"/>
          </w:tcPr>
          <w:p w14:paraId="6B884CD7" w14:textId="77777777" w:rsidR="00566744" w:rsidRDefault="00000000">
            <w:pPr>
              <w:autoSpaceDE w:val="0"/>
              <w:autoSpaceDN w:val="0"/>
              <w:adjustRightInd w:val="0"/>
              <w:jc w:val="center"/>
            </w:pPr>
            <w:r>
              <w:rPr>
                <w:rFonts w:hAnsi="等线"/>
                <w:color w:val="000000"/>
              </w:rPr>
              <w:t>0.0026%</w:t>
            </w:r>
          </w:p>
        </w:tc>
      </w:tr>
      <w:tr w:rsidR="00566744" w14:paraId="29C1FACC" w14:textId="77777777">
        <w:trPr>
          <w:gridBefore w:val="1"/>
          <w:wBefore w:w="6" w:type="dxa"/>
          <w:trHeight w:val="177"/>
        </w:trPr>
        <w:tc>
          <w:tcPr>
            <w:tcW w:w="1546" w:type="dxa"/>
            <w:gridSpan w:val="2"/>
          </w:tcPr>
          <w:p w14:paraId="6F18D8EE" w14:textId="77777777" w:rsidR="00566744" w:rsidRDefault="00000000">
            <w:pPr>
              <w:autoSpaceDE w:val="0"/>
              <w:autoSpaceDN w:val="0"/>
              <w:adjustRightInd w:val="0"/>
              <w:jc w:val="center"/>
              <w:rPr>
                <w:rFonts w:ascii="宋体" w:hAnsi="宋体" w:hint="eastAsia"/>
                <w:color w:val="000000"/>
                <w:kern w:val="0"/>
                <w:sz w:val="24"/>
              </w:rPr>
            </w:pPr>
            <w:r>
              <w:rPr>
                <w:rFonts w:ascii="宋体" w:hAnsi="宋体" w:hint="eastAsia"/>
                <w:color w:val="000000"/>
                <w:kern w:val="0"/>
                <w:sz w:val="24"/>
              </w:rPr>
              <w:t>2023.01.01~2023.12.31</w:t>
            </w:r>
          </w:p>
        </w:tc>
        <w:tc>
          <w:tcPr>
            <w:tcW w:w="1233" w:type="dxa"/>
            <w:vAlign w:val="center"/>
          </w:tcPr>
          <w:p w14:paraId="27472763" w14:textId="77777777" w:rsidR="00566744" w:rsidRDefault="00000000">
            <w:pPr>
              <w:autoSpaceDE w:val="0"/>
              <w:autoSpaceDN w:val="0"/>
              <w:adjustRightInd w:val="0"/>
              <w:jc w:val="center"/>
              <w:rPr>
                <w:rFonts w:hAnsi="等线" w:hint="eastAsia"/>
                <w:color w:val="000000"/>
              </w:rPr>
            </w:pPr>
            <w:r>
              <w:rPr>
                <w:rFonts w:hAnsi="等线"/>
                <w:color w:val="000000"/>
              </w:rPr>
              <w:t>1.7735%</w:t>
            </w:r>
          </w:p>
        </w:tc>
        <w:tc>
          <w:tcPr>
            <w:tcW w:w="1233" w:type="dxa"/>
            <w:vAlign w:val="center"/>
          </w:tcPr>
          <w:p w14:paraId="6FBEBD6E" w14:textId="77777777" w:rsidR="00566744" w:rsidRDefault="00000000">
            <w:pPr>
              <w:autoSpaceDE w:val="0"/>
              <w:autoSpaceDN w:val="0"/>
              <w:adjustRightInd w:val="0"/>
              <w:jc w:val="center"/>
              <w:rPr>
                <w:rFonts w:hAnsi="等线" w:hint="eastAsia"/>
                <w:color w:val="000000"/>
              </w:rPr>
            </w:pPr>
            <w:r>
              <w:rPr>
                <w:rFonts w:hAnsi="等线"/>
                <w:color w:val="000000"/>
              </w:rPr>
              <w:t>0.0023%</w:t>
            </w:r>
          </w:p>
        </w:tc>
        <w:tc>
          <w:tcPr>
            <w:tcW w:w="1233" w:type="dxa"/>
            <w:vAlign w:val="center"/>
          </w:tcPr>
          <w:p w14:paraId="03761535" w14:textId="77777777" w:rsidR="00566744" w:rsidRDefault="00000000">
            <w:pPr>
              <w:autoSpaceDE w:val="0"/>
              <w:autoSpaceDN w:val="0"/>
              <w:adjustRightInd w:val="0"/>
              <w:jc w:val="center"/>
              <w:rPr>
                <w:rFonts w:hAnsi="等线" w:hint="eastAsia"/>
                <w:color w:val="000000"/>
              </w:rPr>
            </w:pPr>
            <w:r>
              <w:rPr>
                <w:rFonts w:hAnsi="等线"/>
                <w:color w:val="000000"/>
              </w:rPr>
              <w:t>0.3549%</w:t>
            </w:r>
          </w:p>
        </w:tc>
        <w:tc>
          <w:tcPr>
            <w:tcW w:w="1233" w:type="dxa"/>
            <w:vAlign w:val="center"/>
          </w:tcPr>
          <w:p w14:paraId="641849A0" w14:textId="77777777" w:rsidR="00566744" w:rsidRDefault="00000000">
            <w:pPr>
              <w:autoSpaceDE w:val="0"/>
              <w:autoSpaceDN w:val="0"/>
              <w:adjustRightInd w:val="0"/>
              <w:jc w:val="center"/>
              <w:rPr>
                <w:rFonts w:hAnsi="等线" w:hint="eastAsia"/>
                <w:color w:val="000000"/>
              </w:rPr>
            </w:pPr>
            <w:r>
              <w:rPr>
                <w:rFonts w:hAnsi="等线"/>
                <w:color w:val="000000"/>
              </w:rPr>
              <w:t>0.0000%</w:t>
            </w:r>
          </w:p>
        </w:tc>
        <w:tc>
          <w:tcPr>
            <w:tcW w:w="1233" w:type="dxa"/>
            <w:vAlign w:val="center"/>
          </w:tcPr>
          <w:p w14:paraId="12CD61E2" w14:textId="77777777" w:rsidR="00566744" w:rsidRDefault="00000000">
            <w:pPr>
              <w:autoSpaceDE w:val="0"/>
              <w:autoSpaceDN w:val="0"/>
              <w:adjustRightInd w:val="0"/>
              <w:jc w:val="center"/>
              <w:rPr>
                <w:rFonts w:hAnsi="等线" w:hint="eastAsia"/>
                <w:color w:val="000000"/>
              </w:rPr>
            </w:pPr>
            <w:r>
              <w:rPr>
                <w:rFonts w:hAnsi="等线"/>
                <w:color w:val="000000"/>
              </w:rPr>
              <w:t>1.4186%</w:t>
            </w:r>
          </w:p>
        </w:tc>
        <w:tc>
          <w:tcPr>
            <w:tcW w:w="1356" w:type="dxa"/>
            <w:vAlign w:val="center"/>
          </w:tcPr>
          <w:p w14:paraId="6C30DE03" w14:textId="77777777" w:rsidR="00566744" w:rsidRDefault="00000000">
            <w:pPr>
              <w:autoSpaceDE w:val="0"/>
              <w:autoSpaceDN w:val="0"/>
              <w:adjustRightInd w:val="0"/>
              <w:jc w:val="center"/>
              <w:rPr>
                <w:rFonts w:hAnsi="等线" w:hint="eastAsia"/>
                <w:color w:val="000000"/>
              </w:rPr>
            </w:pPr>
            <w:r>
              <w:rPr>
                <w:rFonts w:hAnsi="等线"/>
                <w:color w:val="000000"/>
              </w:rPr>
              <w:t>0.0023%</w:t>
            </w:r>
          </w:p>
        </w:tc>
      </w:tr>
      <w:tr w:rsidR="00566744" w14:paraId="2176743F" w14:textId="77777777">
        <w:trPr>
          <w:gridBefore w:val="1"/>
          <w:wBefore w:w="6" w:type="dxa"/>
          <w:trHeight w:val="177"/>
        </w:trPr>
        <w:tc>
          <w:tcPr>
            <w:tcW w:w="1546" w:type="dxa"/>
            <w:gridSpan w:val="2"/>
          </w:tcPr>
          <w:p w14:paraId="11BF388F" w14:textId="77777777" w:rsidR="00566744" w:rsidRDefault="00000000">
            <w:pPr>
              <w:autoSpaceDE w:val="0"/>
              <w:autoSpaceDN w:val="0"/>
              <w:adjustRightInd w:val="0"/>
              <w:jc w:val="center"/>
              <w:rPr>
                <w:rFonts w:ascii="宋体" w:hAnsi="宋体" w:hint="eastAsia"/>
                <w:color w:val="000000"/>
                <w:kern w:val="0"/>
                <w:sz w:val="24"/>
              </w:rPr>
            </w:pPr>
            <w:r>
              <w:rPr>
                <w:rFonts w:ascii="宋体" w:hAnsi="宋体" w:hint="eastAsia"/>
                <w:color w:val="000000"/>
                <w:kern w:val="0"/>
                <w:sz w:val="24"/>
              </w:rPr>
              <w:t>2024.01.01~</w:t>
            </w:r>
            <w:r>
              <w:rPr>
                <w:rFonts w:ascii="宋体" w:hAnsi="宋体" w:hint="eastAsia"/>
                <w:color w:val="000000"/>
                <w:kern w:val="0"/>
                <w:sz w:val="24"/>
              </w:rPr>
              <w:lastRenderedPageBreak/>
              <w:t>2024.12.31</w:t>
            </w:r>
          </w:p>
        </w:tc>
        <w:tc>
          <w:tcPr>
            <w:tcW w:w="1233" w:type="dxa"/>
            <w:vAlign w:val="center"/>
          </w:tcPr>
          <w:p w14:paraId="6FE96E42" w14:textId="77777777" w:rsidR="00566744" w:rsidRDefault="00000000">
            <w:pPr>
              <w:autoSpaceDE w:val="0"/>
              <w:autoSpaceDN w:val="0"/>
              <w:adjustRightInd w:val="0"/>
              <w:jc w:val="center"/>
              <w:rPr>
                <w:rFonts w:hAnsi="等线" w:hint="eastAsia"/>
                <w:color w:val="000000"/>
              </w:rPr>
            </w:pPr>
            <w:r>
              <w:rPr>
                <w:rFonts w:hAnsi="等线"/>
                <w:color w:val="000000"/>
              </w:rPr>
              <w:lastRenderedPageBreak/>
              <w:t>1.5185%</w:t>
            </w:r>
          </w:p>
        </w:tc>
        <w:tc>
          <w:tcPr>
            <w:tcW w:w="1233" w:type="dxa"/>
            <w:vAlign w:val="center"/>
          </w:tcPr>
          <w:p w14:paraId="6937CF89" w14:textId="77777777" w:rsidR="00566744" w:rsidRDefault="00000000">
            <w:pPr>
              <w:autoSpaceDE w:val="0"/>
              <w:autoSpaceDN w:val="0"/>
              <w:adjustRightInd w:val="0"/>
              <w:jc w:val="center"/>
              <w:rPr>
                <w:rFonts w:hAnsi="等线" w:hint="eastAsia"/>
                <w:color w:val="000000"/>
              </w:rPr>
            </w:pPr>
            <w:r>
              <w:rPr>
                <w:rFonts w:hAnsi="等线"/>
                <w:color w:val="000000"/>
              </w:rPr>
              <w:t>0.0011%</w:t>
            </w:r>
          </w:p>
        </w:tc>
        <w:tc>
          <w:tcPr>
            <w:tcW w:w="1233" w:type="dxa"/>
            <w:vAlign w:val="center"/>
          </w:tcPr>
          <w:p w14:paraId="1D21BAD3" w14:textId="77777777" w:rsidR="00566744" w:rsidRDefault="00000000">
            <w:pPr>
              <w:autoSpaceDE w:val="0"/>
              <w:autoSpaceDN w:val="0"/>
              <w:adjustRightInd w:val="0"/>
              <w:jc w:val="center"/>
              <w:rPr>
                <w:rFonts w:hAnsi="等线" w:hint="eastAsia"/>
                <w:color w:val="000000"/>
              </w:rPr>
            </w:pPr>
            <w:r>
              <w:rPr>
                <w:rFonts w:hAnsi="等线"/>
                <w:color w:val="000000"/>
              </w:rPr>
              <w:t>0.3558%</w:t>
            </w:r>
          </w:p>
        </w:tc>
        <w:tc>
          <w:tcPr>
            <w:tcW w:w="1233" w:type="dxa"/>
            <w:vAlign w:val="center"/>
          </w:tcPr>
          <w:p w14:paraId="3208F464" w14:textId="77777777" w:rsidR="00566744" w:rsidRDefault="00000000">
            <w:pPr>
              <w:autoSpaceDE w:val="0"/>
              <w:autoSpaceDN w:val="0"/>
              <w:adjustRightInd w:val="0"/>
              <w:jc w:val="center"/>
              <w:rPr>
                <w:rFonts w:hAnsi="等线" w:hint="eastAsia"/>
                <w:color w:val="000000"/>
              </w:rPr>
            </w:pPr>
            <w:r>
              <w:rPr>
                <w:rFonts w:hAnsi="等线"/>
                <w:color w:val="000000"/>
              </w:rPr>
              <w:t>0.0000%</w:t>
            </w:r>
          </w:p>
        </w:tc>
        <w:tc>
          <w:tcPr>
            <w:tcW w:w="1233" w:type="dxa"/>
            <w:vAlign w:val="center"/>
          </w:tcPr>
          <w:p w14:paraId="1C945B99" w14:textId="77777777" w:rsidR="00566744" w:rsidRDefault="00000000">
            <w:pPr>
              <w:autoSpaceDE w:val="0"/>
              <w:autoSpaceDN w:val="0"/>
              <w:adjustRightInd w:val="0"/>
              <w:jc w:val="center"/>
              <w:rPr>
                <w:rFonts w:hAnsi="等线" w:hint="eastAsia"/>
                <w:color w:val="000000"/>
              </w:rPr>
            </w:pPr>
            <w:r>
              <w:rPr>
                <w:rFonts w:hAnsi="等线"/>
                <w:color w:val="000000"/>
              </w:rPr>
              <w:t>1.1627%</w:t>
            </w:r>
          </w:p>
        </w:tc>
        <w:tc>
          <w:tcPr>
            <w:tcW w:w="1356" w:type="dxa"/>
            <w:vAlign w:val="center"/>
          </w:tcPr>
          <w:p w14:paraId="028ACA10" w14:textId="77777777" w:rsidR="00566744" w:rsidRDefault="00000000">
            <w:pPr>
              <w:autoSpaceDE w:val="0"/>
              <w:autoSpaceDN w:val="0"/>
              <w:adjustRightInd w:val="0"/>
              <w:jc w:val="center"/>
              <w:rPr>
                <w:rFonts w:hAnsi="等线" w:hint="eastAsia"/>
                <w:color w:val="000000"/>
              </w:rPr>
            </w:pPr>
            <w:r>
              <w:rPr>
                <w:rFonts w:hAnsi="等线"/>
                <w:color w:val="000000"/>
              </w:rPr>
              <w:t>0.0011%</w:t>
            </w:r>
          </w:p>
        </w:tc>
      </w:tr>
      <w:tr w:rsidR="00566744" w14:paraId="5A5B366D" w14:textId="77777777">
        <w:trPr>
          <w:gridBefore w:val="1"/>
          <w:wBefore w:w="6" w:type="dxa"/>
          <w:trHeight w:val="177"/>
        </w:trPr>
        <w:tc>
          <w:tcPr>
            <w:tcW w:w="1546" w:type="dxa"/>
            <w:gridSpan w:val="2"/>
          </w:tcPr>
          <w:p w14:paraId="585663B6" w14:textId="419BE23C" w:rsidR="00566744" w:rsidRDefault="00000000">
            <w:pPr>
              <w:autoSpaceDE w:val="0"/>
              <w:autoSpaceDN w:val="0"/>
              <w:adjustRightInd w:val="0"/>
              <w:jc w:val="center"/>
              <w:rPr>
                <w:rFonts w:ascii="宋体" w:hAnsi="宋体" w:hint="eastAsia"/>
                <w:color w:val="000000"/>
                <w:kern w:val="0"/>
                <w:sz w:val="24"/>
              </w:rPr>
            </w:pPr>
            <w:r>
              <w:rPr>
                <w:rFonts w:ascii="宋体" w:hAnsi="宋体" w:hint="eastAsia"/>
                <w:color w:val="000000"/>
                <w:kern w:val="0"/>
                <w:sz w:val="24"/>
              </w:rPr>
              <w:t>2025.01.01~2025.12.31</w:t>
            </w:r>
          </w:p>
        </w:tc>
        <w:tc>
          <w:tcPr>
            <w:tcW w:w="1233" w:type="dxa"/>
            <w:vAlign w:val="center"/>
          </w:tcPr>
          <w:p w14:paraId="053C3143" w14:textId="1442ECC5" w:rsidR="00566744" w:rsidRDefault="00000000">
            <w:pPr>
              <w:autoSpaceDE w:val="0"/>
              <w:autoSpaceDN w:val="0"/>
              <w:adjustRightInd w:val="0"/>
              <w:jc w:val="center"/>
            </w:pPr>
            <w:r>
              <w:rPr>
                <w:rFonts w:hAnsi="等线"/>
                <w:color w:val="000000"/>
              </w:rPr>
              <w:t>1.2449%</w:t>
            </w:r>
          </w:p>
        </w:tc>
        <w:tc>
          <w:tcPr>
            <w:tcW w:w="1233" w:type="dxa"/>
            <w:vAlign w:val="center"/>
          </w:tcPr>
          <w:p w14:paraId="713A7948" w14:textId="6681F44A" w:rsidR="00566744" w:rsidRDefault="00000000">
            <w:pPr>
              <w:autoSpaceDE w:val="0"/>
              <w:autoSpaceDN w:val="0"/>
              <w:adjustRightInd w:val="0"/>
              <w:jc w:val="center"/>
            </w:pPr>
            <w:r>
              <w:rPr>
                <w:rFonts w:hAnsi="等线"/>
                <w:color w:val="000000"/>
              </w:rPr>
              <w:t>0.0006%</w:t>
            </w:r>
          </w:p>
        </w:tc>
        <w:tc>
          <w:tcPr>
            <w:tcW w:w="1233" w:type="dxa"/>
            <w:vAlign w:val="center"/>
          </w:tcPr>
          <w:p w14:paraId="6B4BA3DC" w14:textId="2285B9F7" w:rsidR="00566744" w:rsidRDefault="00000000">
            <w:pPr>
              <w:autoSpaceDE w:val="0"/>
              <w:autoSpaceDN w:val="0"/>
              <w:adjustRightInd w:val="0"/>
              <w:jc w:val="center"/>
            </w:pPr>
            <w:r>
              <w:rPr>
                <w:rFonts w:hAnsi="等线"/>
                <w:color w:val="000000"/>
              </w:rPr>
              <w:t>0.3549%</w:t>
            </w:r>
          </w:p>
        </w:tc>
        <w:tc>
          <w:tcPr>
            <w:tcW w:w="1233" w:type="dxa"/>
            <w:vAlign w:val="center"/>
          </w:tcPr>
          <w:p w14:paraId="4FDA0D8E" w14:textId="7F3BEE9A" w:rsidR="00566744" w:rsidRDefault="00000000">
            <w:pPr>
              <w:autoSpaceDE w:val="0"/>
              <w:autoSpaceDN w:val="0"/>
              <w:adjustRightInd w:val="0"/>
              <w:jc w:val="center"/>
            </w:pPr>
            <w:r>
              <w:rPr>
                <w:rFonts w:hAnsi="等线"/>
                <w:color w:val="000000"/>
              </w:rPr>
              <w:t>0.0000%</w:t>
            </w:r>
          </w:p>
        </w:tc>
        <w:tc>
          <w:tcPr>
            <w:tcW w:w="1233" w:type="dxa"/>
            <w:vAlign w:val="center"/>
          </w:tcPr>
          <w:p w14:paraId="7B46EA4E" w14:textId="393D7ACA" w:rsidR="00566744" w:rsidRDefault="00000000">
            <w:pPr>
              <w:autoSpaceDE w:val="0"/>
              <w:autoSpaceDN w:val="0"/>
              <w:adjustRightInd w:val="0"/>
              <w:jc w:val="center"/>
            </w:pPr>
            <w:r>
              <w:rPr>
                <w:rFonts w:hAnsi="等线"/>
                <w:color w:val="000000"/>
              </w:rPr>
              <w:t>0.8900%</w:t>
            </w:r>
          </w:p>
        </w:tc>
        <w:tc>
          <w:tcPr>
            <w:tcW w:w="1356" w:type="dxa"/>
            <w:vAlign w:val="center"/>
          </w:tcPr>
          <w:p w14:paraId="6A97BDDA" w14:textId="069C6024" w:rsidR="00566744" w:rsidRDefault="00000000">
            <w:pPr>
              <w:autoSpaceDE w:val="0"/>
              <w:autoSpaceDN w:val="0"/>
              <w:adjustRightInd w:val="0"/>
              <w:jc w:val="center"/>
            </w:pPr>
            <w:r>
              <w:rPr>
                <w:rFonts w:hAnsi="等线"/>
                <w:color w:val="000000"/>
              </w:rPr>
              <w:t>0.0006%</w:t>
            </w:r>
          </w:p>
        </w:tc>
      </w:tr>
      <w:tr w:rsidR="00566744" w14:paraId="64D5F589" w14:textId="77777777">
        <w:trPr>
          <w:gridBefore w:val="1"/>
          <w:wBefore w:w="6" w:type="dxa"/>
          <w:trHeight w:val="177"/>
        </w:trPr>
        <w:tc>
          <w:tcPr>
            <w:tcW w:w="1546" w:type="dxa"/>
            <w:gridSpan w:val="2"/>
          </w:tcPr>
          <w:p w14:paraId="57DF4B2F" w14:textId="77777777" w:rsidR="00566744" w:rsidRDefault="00000000">
            <w:pPr>
              <w:autoSpaceDE w:val="0"/>
              <w:autoSpaceDN w:val="0"/>
              <w:adjustRightInd w:val="0"/>
              <w:jc w:val="center"/>
              <w:rPr>
                <w:rFonts w:ascii="宋体" w:hAnsi="宋体" w:hint="eastAsia"/>
                <w:color w:val="000000"/>
                <w:kern w:val="0"/>
                <w:sz w:val="24"/>
              </w:rPr>
            </w:pPr>
            <w:r>
              <w:rPr>
                <w:rFonts w:ascii="宋体" w:hAnsi="宋体" w:hint="eastAsia"/>
                <w:color w:val="000000"/>
                <w:kern w:val="0"/>
                <w:sz w:val="24"/>
              </w:rPr>
              <w:t>2016.12.26~2026.06.30</w:t>
            </w:r>
          </w:p>
        </w:tc>
        <w:tc>
          <w:tcPr>
            <w:tcW w:w="1233" w:type="dxa"/>
            <w:vAlign w:val="center"/>
          </w:tcPr>
          <w:p w14:paraId="2C542F74" w14:textId="77777777" w:rsidR="00566744" w:rsidRDefault="00000000">
            <w:pPr>
              <w:autoSpaceDE w:val="0"/>
              <w:autoSpaceDN w:val="0"/>
              <w:adjustRightInd w:val="0"/>
              <w:jc w:val="center"/>
              <w:rPr>
                <w:rFonts w:hAnsi="等线" w:hint="eastAsia"/>
                <w:color w:val="000000"/>
              </w:rPr>
            </w:pPr>
            <w:r>
              <w:rPr>
                <w:rFonts w:hAnsi="Calibri"/>
                <w:color w:val="000000"/>
              </w:rPr>
              <w:t>22.6874%</w:t>
            </w:r>
          </w:p>
        </w:tc>
        <w:tc>
          <w:tcPr>
            <w:tcW w:w="1233" w:type="dxa"/>
            <w:vAlign w:val="center"/>
          </w:tcPr>
          <w:p w14:paraId="34AD45C4" w14:textId="77777777" w:rsidR="00566744" w:rsidRDefault="00000000">
            <w:pPr>
              <w:autoSpaceDE w:val="0"/>
              <w:autoSpaceDN w:val="0"/>
              <w:adjustRightInd w:val="0"/>
              <w:jc w:val="center"/>
              <w:rPr>
                <w:rFonts w:hAnsi="等线" w:hint="eastAsia"/>
                <w:color w:val="000000"/>
              </w:rPr>
            </w:pPr>
            <w:r>
              <w:rPr>
                <w:rFonts w:hAnsi="Calibri"/>
                <w:color w:val="000000"/>
              </w:rPr>
              <w:t>0.0032%</w:t>
            </w:r>
          </w:p>
        </w:tc>
        <w:tc>
          <w:tcPr>
            <w:tcW w:w="1233" w:type="dxa"/>
            <w:vAlign w:val="center"/>
          </w:tcPr>
          <w:p w14:paraId="765A34C2" w14:textId="77777777" w:rsidR="00566744" w:rsidRDefault="00000000">
            <w:pPr>
              <w:autoSpaceDE w:val="0"/>
              <w:autoSpaceDN w:val="0"/>
              <w:adjustRightInd w:val="0"/>
              <w:jc w:val="center"/>
              <w:rPr>
                <w:rFonts w:hAnsi="等线" w:hint="eastAsia"/>
                <w:color w:val="000000"/>
              </w:rPr>
            </w:pPr>
            <w:r>
              <w:rPr>
                <w:rFonts w:hAnsi="Calibri"/>
                <w:color w:val="000000"/>
              </w:rPr>
              <w:t>3.3765%</w:t>
            </w:r>
          </w:p>
        </w:tc>
        <w:tc>
          <w:tcPr>
            <w:tcW w:w="1233" w:type="dxa"/>
            <w:vAlign w:val="center"/>
          </w:tcPr>
          <w:p w14:paraId="7DA6FE65" w14:textId="77777777" w:rsidR="00566744" w:rsidRDefault="00000000">
            <w:pPr>
              <w:autoSpaceDE w:val="0"/>
              <w:autoSpaceDN w:val="0"/>
              <w:adjustRightInd w:val="0"/>
              <w:jc w:val="center"/>
              <w:rPr>
                <w:rFonts w:hAnsi="等线" w:hint="eastAsia"/>
                <w:color w:val="000000"/>
              </w:rPr>
            </w:pPr>
            <w:r>
              <w:rPr>
                <w:rFonts w:hAnsi="Calibri"/>
                <w:color w:val="000000"/>
              </w:rPr>
              <w:t>0.0000%</w:t>
            </w:r>
          </w:p>
        </w:tc>
        <w:tc>
          <w:tcPr>
            <w:tcW w:w="1233" w:type="dxa"/>
            <w:vAlign w:val="center"/>
          </w:tcPr>
          <w:p w14:paraId="0A7A55B7" w14:textId="77777777" w:rsidR="00566744" w:rsidRDefault="00000000">
            <w:pPr>
              <w:autoSpaceDE w:val="0"/>
              <w:autoSpaceDN w:val="0"/>
              <w:adjustRightInd w:val="0"/>
              <w:jc w:val="center"/>
              <w:rPr>
                <w:rFonts w:hAnsi="等线" w:hint="eastAsia"/>
                <w:color w:val="000000"/>
              </w:rPr>
            </w:pPr>
            <w:r>
              <w:rPr>
                <w:rFonts w:hAnsi="Calibri"/>
                <w:color w:val="000000"/>
              </w:rPr>
              <w:t>19.3109%</w:t>
            </w:r>
          </w:p>
        </w:tc>
        <w:tc>
          <w:tcPr>
            <w:tcW w:w="1356" w:type="dxa"/>
            <w:vAlign w:val="center"/>
          </w:tcPr>
          <w:p w14:paraId="12370C0C" w14:textId="77777777" w:rsidR="00566744" w:rsidRDefault="00000000">
            <w:pPr>
              <w:autoSpaceDE w:val="0"/>
              <w:autoSpaceDN w:val="0"/>
              <w:adjustRightInd w:val="0"/>
              <w:jc w:val="center"/>
              <w:rPr>
                <w:rFonts w:hAnsi="等线" w:hint="eastAsia"/>
                <w:color w:val="000000"/>
              </w:rPr>
            </w:pPr>
            <w:r>
              <w:rPr>
                <w:rFonts w:hAnsi="Calibri"/>
                <w:color w:val="000000"/>
              </w:rPr>
              <w:t>0.0032%</w:t>
            </w:r>
          </w:p>
        </w:tc>
      </w:tr>
    </w:tbl>
    <w:p w14:paraId="7843D274" w14:textId="77777777" w:rsidR="00566744" w:rsidRDefault="00566744">
      <w:pPr>
        <w:spacing w:line="360" w:lineRule="auto"/>
        <w:ind w:firstLineChars="177" w:firstLine="425"/>
        <w:rPr>
          <w:rFonts w:ascii="宋体" w:hAnsi="宋体" w:hint="eastAsia"/>
          <w:bCs/>
          <w:sz w:val="24"/>
        </w:rPr>
      </w:pPr>
    </w:p>
    <w:p w14:paraId="5CEDAAB1" w14:textId="77777777" w:rsidR="00566744" w:rsidRDefault="00566744">
      <w:pPr>
        <w:spacing w:line="360" w:lineRule="auto"/>
        <w:rPr>
          <w:rFonts w:ascii="宋体" w:hAnsi="宋体" w:hint="eastAsia"/>
          <w:bCs/>
          <w:sz w:val="24"/>
        </w:rPr>
      </w:pPr>
    </w:p>
    <w:p w14:paraId="24BA4090" w14:textId="77777777" w:rsidR="00566744" w:rsidRDefault="00000000">
      <w:pPr>
        <w:spacing w:line="360" w:lineRule="auto"/>
        <w:ind w:firstLineChars="177" w:firstLine="425"/>
        <w:rPr>
          <w:rFonts w:ascii="宋体" w:hAnsi="宋体" w:hint="eastAsia"/>
          <w:bCs/>
          <w:sz w:val="24"/>
        </w:rPr>
      </w:pPr>
      <w:r>
        <w:rPr>
          <w:rFonts w:ascii="宋体" w:hAnsi="宋体" w:hint="eastAsia"/>
          <w:bCs/>
          <w:sz w:val="24"/>
        </w:rPr>
        <w:t>（2）富荣货币B（</w:t>
      </w:r>
      <w:r>
        <w:rPr>
          <w:rFonts w:ascii="宋体" w:hAnsi="宋体" w:hint="eastAsia"/>
          <w:color w:val="000000"/>
          <w:kern w:val="0"/>
          <w:sz w:val="24"/>
        </w:rPr>
        <w:t>基金代码：</w:t>
      </w:r>
      <w:r>
        <w:rPr>
          <w:rFonts w:ascii="宋体" w:hAnsi="宋体"/>
          <w:color w:val="000000"/>
          <w:kern w:val="0"/>
          <w:sz w:val="24"/>
        </w:rPr>
        <w:t>00346</w:t>
      </w:r>
      <w:r>
        <w:rPr>
          <w:rFonts w:ascii="宋体" w:hAnsi="宋体" w:hint="eastAsia"/>
          <w:color w:val="000000"/>
          <w:kern w:val="0"/>
          <w:sz w:val="24"/>
        </w:rPr>
        <w:t>8</w:t>
      </w:r>
      <w:r>
        <w:rPr>
          <w:rFonts w:ascii="宋体" w:hAnsi="宋体" w:hint="eastAsia"/>
          <w:bCs/>
          <w:sz w:val="24"/>
        </w:rPr>
        <w:t>）</w:t>
      </w:r>
    </w:p>
    <w:tbl>
      <w:tblPr>
        <w:tblStyle w:val="af4"/>
        <w:tblW w:w="9073" w:type="dxa"/>
        <w:tblInd w:w="-318" w:type="dxa"/>
        <w:tblLayout w:type="fixed"/>
        <w:tblLook w:val="04A0" w:firstRow="1" w:lastRow="0" w:firstColumn="1" w:lastColumn="0" w:noHBand="0" w:noVBand="1"/>
      </w:tblPr>
      <w:tblGrid>
        <w:gridCol w:w="6"/>
        <w:gridCol w:w="7"/>
        <w:gridCol w:w="1545"/>
        <w:gridCol w:w="1232"/>
        <w:gridCol w:w="1232"/>
        <w:gridCol w:w="1232"/>
        <w:gridCol w:w="1232"/>
        <w:gridCol w:w="1232"/>
        <w:gridCol w:w="1355"/>
      </w:tblGrid>
      <w:tr w:rsidR="00566744" w14:paraId="71C10EFB" w14:textId="77777777">
        <w:trPr>
          <w:trHeight w:val="431"/>
        </w:trPr>
        <w:tc>
          <w:tcPr>
            <w:tcW w:w="1558" w:type="dxa"/>
            <w:gridSpan w:val="3"/>
            <w:vAlign w:val="center"/>
          </w:tcPr>
          <w:p w14:paraId="184B9C3F" w14:textId="77777777" w:rsidR="00566744" w:rsidRDefault="00000000">
            <w:pPr>
              <w:autoSpaceDE w:val="0"/>
              <w:autoSpaceDN w:val="0"/>
              <w:adjustRightInd w:val="0"/>
              <w:jc w:val="center"/>
              <w:rPr>
                <w:rFonts w:ascii="仿宋_GB2312" w:eastAsia="仿宋_GB2312" w:cs="仿宋_GB2312"/>
                <w:color w:val="000000"/>
                <w:kern w:val="0"/>
                <w:szCs w:val="21"/>
              </w:rPr>
            </w:pPr>
            <w:r>
              <w:rPr>
                <w:rFonts w:ascii="宋体" w:hAnsi="宋体" w:hint="eastAsia"/>
                <w:sz w:val="24"/>
              </w:rPr>
              <w:t>阶段</w:t>
            </w:r>
          </w:p>
        </w:tc>
        <w:tc>
          <w:tcPr>
            <w:tcW w:w="1232" w:type="dxa"/>
            <w:vAlign w:val="center"/>
          </w:tcPr>
          <w:p w14:paraId="27B5DEC0" w14:textId="77777777" w:rsidR="00566744" w:rsidRDefault="00000000">
            <w:pPr>
              <w:autoSpaceDE w:val="0"/>
              <w:autoSpaceDN w:val="0"/>
              <w:adjustRightInd w:val="0"/>
              <w:jc w:val="center"/>
              <w:rPr>
                <w:rFonts w:ascii="宋体" w:hAnsi="宋体" w:hint="eastAsia"/>
                <w:color w:val="000000"/>
                <w:kern w:val="0"/>
                <w:sz w:val="24"/>
              </w:rPr>
            </w:pPr>
            <w:r>
              <w:rPr>
                <w:rFonts w:ascii="宋体" w:hAnsi="宋体" w:hint="eastAsia"/>
                <w:color w:val="000000"/>
                <w:kern w:val="0"/>
                <w:sz w:val="24"/>
              </w:rPr>
              <w:t>净值收益率①</w:t>
            </w:r>
          </w:p>
        </w:tc>
        <w:tc>
          <w:tcPr>
            <w:tcW w:w="1232" w:type="dxa"/>
            <w:vAlign w:val="center"/>
          </w:tcPr>
          <w:p w14:paraId="072F38A1" w14:textId="77777777" w:rsidR="00566744" w:rsidRDefault="00000000">
            <w:pPr>
              <w:autoSpaceDE w:val="0"/>
              <w:autoSpaceDN w:val="0"/>
              <w:adjustRightInd w:val="0"/>
              <w:jc w:val="center"/>
              <w:rPr>
                <w:rFonts w:ascii="宋体" w:hAnsi="宋体" w:hint="eastAsia"/>
                <w:color w:val="000000"/>
                <w:kern w:val="0"/>
                <w:sz w:val="24"/>
              </w:rPr>
            </w:pPr>
            <w:r>
              <w:rPr>
                <w:rFonts w:ascii="宋体" w:hAnsi="宋体" w:hint="eastAsia"/>
                <w:color w:val="000000"/>
                <w:kern w:val="0"/>
                <w:sz w:val="24"/>
              </w:rPr>
              <w:t>净值收益率标准差②</w:t>
            </w:r>
          </w:p>
        </w:tc>
        <w:tc>
          <w:tcPr>
            <w:tcW w:w="1232" w:type="dxa"/>
            <w:vAlign w:val="center"/>
          </w:tcPr>
          <w:p w14:paraId="399C39E7" w14:textId="77777777" w:rsidR="00566744" w:rsidRDefault="00000000">
            <w:pPr>
              <w:autoSpaceDE w:val="0"/>
              <w:autoSpaceDN w:val="0"/>
              <w:adjustRightInd w:val="0"/>
              <w:jc w:val="center"/>
              <w:rPr>
                <w:rFonts w:ascii="宋体" w:hAnsi="宋体" w:hint="eastAsia"/>
                <w:color w:val="000000"/>
                <w:kern w:val="0"/>
                <w:sz w:val="24"/>
              </w:rPr>
            </w:pPr>
            <w:r>
              <w:rPr>
                <w:rFonts w:ascii="宋体" w:hAnsi="宋体" w:hint="eastAsia"/>
                <w:color w:val="000000"/>
                <w:kern w:val="0"/>
                <w:sz w:val="24"/>
              </w:rPr>
              <w:t>业绩比较基准收益率③</w:t>
            </w:r>
          </w:p>
        </w:tc>
        <w:tc>
          <w:tcPr>
            <w:tcW w:w="1232" w:type="dxa"/>
            <w:vAlign w:val="center"/>
          </w:tcPr>
          <w:p w14:paraId="39661C59" w14:textId="77777777" w:rsidR="00566744" w:rsidRDefault="00000000">
            <w:pPr>
              <w:autoSpaceDE w:val="0"/>
              <w:autoSpaceDN w:val="0"/>
              <w:adjustRightInd w:val="0"/>
              <w:jc w:val="center"/>
              <w:rPr>
                <w:rFonts w:ascii="宋体" w:hAnsi="宋体" w:hint="eastAsia"/>
                <w:color w:val="000000"/>
                <w:kern w:val="0"/>
                <w:sz w:val="24"/>
              </w:rPr>
            </w:pPr>
            <w:r>
              <w:rPr>
                <w:rFonts w:ascii="宋体" w:hAnsi="宋体" w:hint="eastAsia"/>
                <w:color w:val="000000"/>
                <w:kern w:val="0"/>
                <w:sz w:val="24"/>
              </w:rPr>
              <w:t>业绩比较基准收益率标准差④</w:t>
            </w:r>
          </w:p>
        </w:tc>
        <w:tc>
          <w:tcPr>
            <w:tcW w:w="1232" w:type="dxa"/>
            <w:vAlign w:val="center"/>
          </w:tcPr>
          <w:p w14:paraId="1D5A5C79" w14:textId="77777777" w:rsidR="00566744" w:rsidRDefault="00000000">
            <w:pPr>
              <w:autoSpaceDE w:val="0"/>
              <w:autoSpaceDN w:val="0"/>
              <w:adjustRightInd w:val="0"/>
              <w:jc w:val="center"/>
              <w:rPr>
                <w:rFonts w:ascii="宋体" w:hAnsi="宋体" w:hint="eastAsia"/>
                <w:color w:val="000000"/>
                <w:kern w:val="0"/>
                <w:sz w:val="24"/>
              </w:rPr>
            </w:pPr>
            <w:r>
              <w:rPr>
                <w:rFonts w:ascii="宋体" w:hAnsi="宋体" w:hint="eastAsia"/>
                <w:color w:val="000000"/>
                <w:kern w:val="0"/>
                <w:sz w:val="24"/>
              </w:rPr>
              <w:t>①</w:t>
            </w:r>
            <w:r>
              <w:rPr>
                <w:rFonts w:ascii="宋体" w:hAnsi="宋体"/>
                <w:color w:val="000000"/>
                <w:kern w:val="0"/>
                <w:sz w:val="24"/>
              </w:rPr>
              <w:t>-</w:t>
            </w:r>
            <w:r>
              <w:rPr>
                <w:rFonts w:ascii="宋体" w:hAnsi="宋体" w:hint="eastAsia"/>
                <w:color w:val="000000"/>
                <w:kern w:val="0"/>
                <w:sz w:val="24"/>
              </w:rPr>
              <w:t>③</w:t>
            </w:r>
          </w:p>
        </w:tc>
        <w:tc>
          <w:tcPr>
            <w:tcW w:w="1355" w:type="dxa"/>
            <w:vAlign w:val="center"/>
          </w:tcPr>
          <w:p w14:paraId="2E9A5524" w14:textId="77777777" w:rsidR="00566744" w:rsidRDefault="00000000">
            <w:pPr>
              <w:autoSpaceDE w:val="0"/>
              <w:autoSpaceDN w:val="0"/>
              <w:adjustRightInd w:val="0"/>
              <w:jc w:val="center"/>
              <w:rPr>
                <w:rFonts w:ascii="宋体" w:hAnsi="宋体" w:hint="eastAsia"/>
                <w:color w:val="000000"/>
                <w:kern w:val="0"/>
                <w:sz w:val="24"/>
              </w:rPr>
            </w:pPr>
            <w:r>
              <w:rPr>
                <w:rFonts w:ascii="宋体" w:hAnsi="宋体" w:hint="eastAsia"/>
                <w:color w:val="000000"/>
                <w:kern w:val="0"/>
                <w:sz w:val="24"/>
              </w:rPr>
              <w:t>②</w:t>
            </w:r>
            <w:r>
              <w:rPr>
                <w:rFonts w:ascii="宋体" w:hAnsi="宋体"/>
                <w:color w:val="000000"/>
                <w:kern w:val="0"/>
                <w:sz w:val="24"/>
              </w:rPr>
              <w:t>-</w:t>
            </w:r>
            <w:r>
              <w:rPr>
                <w:rFonts w:ascii="宋体" w:hAnsi="宋体" w:hint="eastAsia"/>
                <w:color w:val="000000"/>
                <w:kern w:val="0"/>
                <w:sz w:val="24"/>
              </w:rPr>
              <w:t>④</w:t>
            </w:r>
          </w:p>
        </w:tc>
      </w:tr>
      <w:tr w:rsidR="00566744" w14:paraId="772120C7" w14:textId="77777777">
        <w:trPr>
          <w:trHeight w:val="105"/>
        </w:trPr>
        <w:tc>
          <w:tcPr>
            <w:tcW w:w="1558" w:type="dxa"/>
            <w:gridSpan w:val="3"/>
            <w:vAlign w:val="center"/>
          </w:tcPr>
          <w:p w14:paraId="1668A946" w14:textId="77777777" w:rsidR="00566744" w:rsidRDefault="00000000">
            <w:pPr>
              <w:autoSpaceDE w:val="0"/>
              <w:autoSpaceDN w:val="0"/>
              <w:adjustRightInd w:val="0"/>
              <w:jc w:val="center"/>
              <w:rPr>
                <w:rFonts w:ascii="宋体" w:hAnsi="宋体" w:hint="eastAsia"/>
                <w:color w:val="000000"/>
                <w:kern w:val="0"/>
                <w:sz w:val="24"/>
              </w:rPr>
            </w:pPr>
            <w:r>
              <w:rPr>
                <w:rFonts w:ascii="宋体" w:hAnsi="宋体" w:hint="eastAsia"/>
                <w:color w:val="000000"/>
                <w:kern w:val="0"/>
                <w:sz w:val="24"/>
              </w:rPr>
              <w:t>2016.12.26~2016.12.31</w:t>
            </w:r>
          </w:p>
        </w:tc>
        <w:tc>
          <w:tcPr>
            <w:tcW w:w="1232" w:type="dxa"/>
            <w:vAlign w:val="center"/>
          </w:tcPr>
          <w:p w14:paraId="4832A018" w14:textId="77777777" w:rsidR="00566744" w:rsidRDefault="00000000">
            <w:pPr>
              <w:autoSpaceDE w:val="0"/>
              <w:autoSpaceDN w:val="0"/>
              <w:adjustRightInd w:val="0"/>
              <w:jc w:val="center"/>
            </w:pPr>
            <w:r>
              <w:rPr>
                <w:rFonts w:hint="eastAsia"/>
              </w:rPr>
              <w:t>0.0829%</w:t>
            </w:r>
          </w:p>
        </w:tc>
        <w:tc>
          <w:tcPr>
            <w:tcW w:w="1232" w:type="dxa"/>
            <w:vAlign w:val="center"/>
          </w:tcPr>
          <w:p w14:paraId="5934A55D" w14:textId="77777777" w:rsidR="00566744" w:rsidRDefault="00000000">
            <w:pPr>
              <w:autoSpaceDE w:val="0"/>
              <w:autoSpaceDN w:val="0"/>
              <w:adjustRightInd w:val="0"/>
              <w:jc w:val="center"/>
            </w:pPr>
            <w:r>
              <w:rPr>
                <w:rFonts w:hint="eastAsia"/>
              </w:rPr>
              <w:t>0.0057%</w:t>
            </w:r>
          </w:p>
        </w:tc>
        <w:tc>
          <w:tcPr>
            <w:tcW w:w="1232" w:type="dxa"/>
            <w:vAlign w:val="center"/>
          </w:tcPr>
          <w:p w14:paraId="53B8C929" w14:textId="77777777" w:rsidR="00566744" w:rsidRDefault="00000000">
            <w:pPr>
              <w:autoSpaceDE w:val="0"/>
              <w:autoSpaceDN w:val="0"/>
              <w:adjustRightInd w:val="0"/>
              <w:jc w:val="center"/>
            </w:pPr>
            <w:r>
              <w:rPr>
                <w:rFonts w:hint="eastAsia"/>
              </w:rPr>
              <w:t>0.0058%</w:t>
            </w:r>
          </w:p>
        </w:tc>
        <w:tc>
          <w:tcPr>
            <w:tcW w:w="1232" w:type="dxa"/>
            <w:vAlign w:val="center"/>
          </w:tcPr>
          <w:p w14:paraId="730A04B4" w14:textId="77777777" w:rsidR="00566744" w:rsidRDefault="00000000">
            <w:pPr>
              <w:autoSpaceDE w:val="0"/>
              <w:autoSpaceDN w:val="0"/>
              <w:adjustRightInd w:val="0"/>
              <w:jc w:val="center"/>
            </w:pPr>
            <w:r>
              <w:rPr>
                <w:rFonts w:hint="eastAsia"/>
              </w:rPr>
              <w:t>0.0000%</w:t>
            </w:r>
          </w:p>
        </w:tc>
        <w:tc>
          <w:tcPr>
            <w:tcW w:w="1232" w:type="dxa"/>
            <w:vAlign w:val="center"/>
          </w:tcPr>
          <w:p w14:paraId="62637349" w14:textId="77777777" w:rsidR="00566744" w:rsidRDefault="00000000">
            <w:pPr>
              <w:autoSpaceDE w:val="0"/>
              <w:autoSpaceDN w:val="0"/>
              <w:adjustRightInd w:val="0"/>
              <w:jc w:val="center"/>
            </w:pPr>
            <w:r>
              <w:rPr>
                <w:rFonts w:hint="eastAsia"/>
              </w:rPr>
              <w:t>0.0771%</w:t>
            </w:r>
          </w:p>
        </w:tc>
        <w:tc>
          <w:tcPr>
            <w:tcW w:w="1355" w:type="dxa"/>
            <w:vAlign w:val="center"/>
          </w:tcPr>
          <w:p w14:paraId="1C4AA824" w14:textId="77777777" w:rsidR="00566744" w:rsidRDefault="00000000">
            <w:pPr>
              <w:autoSpaceDE w:val="0"/>
              <w:autoSpaceDN w:val="0"/>
              <w:adjustRightInd w:val="0"/>
              <w:jc w:val="center"/>
            </w:pPr>
            <w:r>
              <w:rPr>
                <w:rFonts w:hint="eastAsia"/>
              </w:rPr>
              <w:t>0.0057%</w:t>
            </w:r>
          </w:p>
        </w:tc>
      </w:tr>
      <w:tr w:rsidR="00566744" w14:paraId="14E17F48" w14:textId="77777777">
        <w:trPr>
          <w:trHeight w:val="105"/>
        </w:trPr>
        <w:tc>
          <w:tcPr>
            <w:tcW w:w="1558" w:type="dxa"/>
            <w:gridSpan w:val="3"/>
            <w:vAlign w:val="center"/>
          </w:tcPr>
          <w:p w14:paraId="4CF358DF" w14:textId="77777777" w:rsidR="00566744" w:rsidRDefault="00000000">
            <w:pPr>
              <w:autoSpaceDE w:val="0"/>
              <w:autoSpaceDN w:val="0"/>
              <w:adjustRightInd w:val="0"/>
              <w:jc w:val="center"/>
              <w:rPr>
                <w:rFonts w:ascii="宋体" w:hAnsi="宋体" w:hint="eastAsia"/>
                <w:color w:val="000000"/>
                <w:kern w:val="0"/>
                <w:sz w:val="24"/>
              </w:rPr>
            </w:pPr>
            <w:r>
              <w:rPr>
                <w:rFonts w:ascii="宋体" w:hAnsi="宋体" w:hint="eastAsia"/>
                <w:color w:val="000000"/>
                <w:kern w:val="0"/>
                <w:sz w:val="24"/>
              </w:rPr>
              <w:t>2017.01.01~2017.12.31</w:t>
            </w:r>
          </w:p>
        </w:tc>
        <w:tc>
          <w:tcPr>
            <w:tcW w:w="1232" w:type="dxa"/>
            <w:vAlign w:val="center"/>
          </w:tcPr>
          <w:p w14:paraId="2EA5301D" w14:textId="77777777" w:rsidR="00566744" w:rsidRDefault="00000000">
            <w:pPr>
              <w:autoSpaceDE w:val="0"/>
              <w:autoSpaceDN w:val="0"/>
              <w:adjustRightInd w:val="0"/>
              <w:jc w:val="center"/>
              <w:rPr>
                <w:rFonts w:ascii="宋体" w:hAnsi="宋体" w:hint="eastAsia"/>
                <w:color w:val="000000"/>
                <w:kern w:val="0"/>
                <w:sz w:val="24"/>
              </w:rPr>
            </w:pPr>
            <w:r>
              <w:rPr>
                <w:rFonts w:hint="eastAsia"/>
              </w:rPr>
              <w:t>3.9247%</w:t>
            </w:r>
          </w:p>
        </w:tc>
        <w:tc>
          <w:tcPr>
            <w:tcW w:w="1232" w:type="dxa"/>
            <w:vAlign w:val="center"/>
          </w:tcPr>
          <w:p w14:paraId="12339EDB" w14:textId="77777777" w:rsidR="00566744" w:rsidRDefault="00000000">
            <w:pPr>
              <w:autoSpaceDE w:val="0"/>
              <w:autoSpaceDN w:val="0"/>
              <w:adjustRightInd w:val="0"/>
              <w:jc w:val="center"/>
              <w:rPr>
                <w:rFonts w:ascii="宋体" w:hAnsi="宋体" w:hint="eastAsia"/>
                <w:color w:val="000000"/>
                <w:kern w:val="0"/>
                <w:sz w:val="24"/>
              </w:rPr>
            </w:pPr>
            <w:r>
              <w:rPr>
                <w:rFonts w:hint="eastAsia"/>
              </w:rPr>
              <w:t>0.0035%</w:t>
            </w:r>
          </w:p>
        </w:tc>
        <w:tc>
          <w:tcPr>
            <w:tcW w:w="1232" w:type="dxa"/>
            <w:vAlign w:val="center"/>
          </w:tcPr>
          <w:p w14:paraId="6161F4A0" w14:textId="77777777" w:rsidR="00566744" w:rsidRDefault="00000000">
            <w:pPr>
              <w:autoSpaceDE w:val="0"/>
              <w:autoSpaceDN w:val="0"/>
              <w:adjustRightInd w:val="0"/>
              <w:jc w:val="center"/>
              <w:rPr>
                <w:rFonts w:ascii="宋体" w:hAnsi="宋体" w:hint="eastAsia"/>
                <w:color w:val="000000"/>
                <w:kern w:val="0"/>
                <w:sz w:val="24"/>
              </w:rPr>
            </w:pPr>
            <w:r>
              <w:rPr>
                <w:rFonts w:hint="eastAsia"/>
              </w:rPr>
              <w:t>0.3549%</w:t>
            </w:r>
          </w:p>
        </w:tc>
        <w:tc>
          <w:tcPr>
            <w:tcW w:w="1232" w:type="dxa"/>
            <w:vAlign w:val="center"/>
          </w:tcPr>
          <w:p w14:paraId="05F27964" w14:textId="77777777" w:rsidR="00566744" w:rsidRDefault="00000000">
            <w:pPr>
              <w:autoSpaceDE w:val="0"/>
              <w:autoSpaceDN w:val="0"/>
              <w:adjustRightInd w:val="0"/>
              <w:jc w:val="center"/>
              <w:rPr>
                <w:rFonts w:ascii="宋体" w:hAnsi="宋体" w:hint="eastAsia"/>
                <w:color w:val="000000"/>
                <w:kern w:val="0"/>
                <w:sz w:val="24"/>
              </w:rPr>
            </w:pPr>
            <w:r>
              <w:rPr>
                <w:rFonts w:hint="eastAsia"/>
              </w:rPr>
              <w:t>0.0000%</w:t>
            </w:r>
          </w:p>
        </w:tc>
        <w:tc>
          <w:tcPr>
            <w:tcW w:w="1232" w:type="dxa"/>
            <w:vAlign w:val="center"/>
          </w:tcPr>
          <w:p w14:paraId="4227ADF2" w14:textId="77777777" w:rsidR="00566744" w:rsidRDefault="00000000">
            <w:pPr>
              <w:autoSpaceDE w:val="0"/>
              <w:autoSpaceDN w:val="0"/>
              <w:adjustRightInd w:val="0"/>
              <w:jc w:val="center"/>
              <w:rPr>
                <w:rFonts w:ascii="宋体" w:hAnsi="宋体" w:hint="eastAsia"/>
                <w:color w:val="000000"/>
                <w:kern w:val="0"/>
                <w:sz w:val="24"/>
              </w:rPr>
            </w:pPr>
            <w:r>
              <w:rPr>
                <w:rFonts w:hint="eastAsia"/>
              </w:rPr>
              <w:t>3.5698%</w:t>
            </w:r>
          </w:p>
        </w:tc>
        <w:tc>
          <w:tcPr>
            <w:tcW w:w="1355" w:type="dxa"/>
            <w:vAlign w:val="center"/>
          </w:tcPr>
          <w:p w14:paraId="0748F4BC" w14:textId="77777777" w:rsidR="00566744" w:rsidRDefault="00000000">
            <w:pPr>
              <w:autoSpaceDE w:val="0"/>
              <w:autoSpaceDN w:val="0"/>
              <w:adjustRightInd w:val="0"/>
              <w:jc w:val="center"/>
              <w:rPr>
                <w:rFonts w:ascii="宋体" w:hAnsi="宋体" w:hint="eastAsia"/>
                <w:color w:val="000000"/>
                <w:kern w:val="0"/>
                <w:sz w:val="24"/>
              </w:rPr>
            </w:pPr>
            <w:r>
              <w:rPr>
                <w:rFonts w:hint="eastAsia"/>
              </w:rPr>
              <w:t>0.0035%</w:t>
            </w:r>
          </w:p>
        </w:tc>
      </w:tr>
      <w:tr w:rsidR="00566744" w14:paraId="6B1DD813" w14:textId="77777777">
        <w:trPr>
          <w:trHeight w:val="105"/>
        </w:trPr>
        <w:tc>
          <w:tcPr>
            <w:tcW w:w="1558" w:type="dxa"/>
            <w:gridSpan w:val="3"/>
            <w:vAlign w:val="center"/>
          </w:tcPr>
          <w:p w14:paraId="29DC9C5D" w14:textId="77777777" w:rsidR="00566744" w:rsidRDefault="00000000">
            <w:pPr>
              <w:autoSpaceDE w:val="0"/>
              <w:autoSpaceDN w:val="0"/>
              <w:adjustRightInd w:val="0"/>
              <w:jc w:val="center"/>
              <w:rPr>
                <w:rFonts w:ascii="宋体" w:hAnsi="宋体" w:hint="eastAsia"/>
                <w:color w:val="000000"/>
                <w:kern w:val="0"/>
                <w:sz w:val="24"/>
              </w:rPr>
            </w:pPr>
            <w:r>
              <w:rPr>
                <w:rFonts w:ascii="宋体" w:hAnsi="宋体" w:hint="eastAsia"/>
                <w:color w:val="000000"/>
                <w:kern w:val="0"/>
                <w:sz w:val="24"/>
              </w:rPr>
              <w:t>2018.01.01~2018.12.31</w:t>
            </w:r>
          </w:p>
        </w:tc>
        <w:tc>
          <w:tcPr>
            <w:tcW w:w="1232" w:type="dxa"/>
            <w:vAlign w:val="center"/>
          </w:tcPr>
          <w:p w14:paraId="0F675FE6" w14:textId="77777777" w:rsidR="00566744" w:rsidRDefault="00000000">
            <w:pPr>
              <w:autoSpaceDE w:val="0"/>
              <w:autoSpaceDN w:val="0"/>
              <w:adjustRightInd w:val="0"/>
              <w:jc w:val="center"/>
            </w:pPr>
            <w:r>
              <w:rPr>
                <w:rFonts w:hint="eastAsia"/>
              </w:rPr>
              <w:t>3.7747%</w:t>
            </w:r>
          </w:p>
        </w:tc>
        <w:tc>
          <w:tcPr>
            <w:tcW w:w="1232" w:type="dxa"/>
            <w:vAlign w:val="center"/>
          </w:tcPr>
          <w:p w14:paraId="0BD6B24E" w14:textId="77777777" w:rsidR="00566744" w:rsidRDefault="00000000">
            <w:pPr>
              <w:autoSpaceDE w:val="0"/>
              <w:autoSpaceDN w:val="0"/>
              <w:adjustRightInd w:val="0"/>
              <w:jc w:val="center"/>
            </w:pPr>
            <w:r>
              <w:rPr>
                <w:rFonts w:hint="eastAsia"/>
              </w:rPr>
              <w:t>0.0022%</w:t>
            </w:r>
          </w:p>
        </w:tc>
        <w:tc>
          <w:tcPr>
            <w:tcW w:w="1232" w:type="dxa"/>
            <w:vAlign w:val="center"/>
          </w:tcPr>
          <w:p w14:paraId="46831335" w14:textId="77777777" w:rsidR="00566744" w:rsidRDefault="00000000">
            <w:pPr>
              <w:autoSpaceDE w:val="0"/>
              <w:autoSpaceDN w:val="0"/>
              <w:adjustRightInd w:val="0"/>
              <w:jc w:val="center"/>
            </w:pPr>
            <w:r>
              <w:rPr>
                <w:rFonts w:hint="eastAsia"/>
              </w:rPr>
              <w:t>0.3549%</w:t>
            </w:r>
          </w:p>
        </w:tc>
        <w:tc>
          <w:tcPr>
            <w:tcW w:w="1232" w:type="dxa"/>
            <w:vAlign w:val="center"/>
          </w:tcPr>
          <w:p w14:paraId="2D84ACED" w14:textId="77777777" w:rsidR="00566744" w:rsidRDefault="00000000">
            <w:pPr>
              <w:autoSpaceDE w:val="0"/>
              <w:autoSpaceDN w:val="0"/>
              <w:adjustRightInd w:val="0"/>
              <w:jc w:val="center"/>
            </w:pPr>
            <w:r>
              <w:rPr>
                <w:rFonts w:hint="eastAsia"/>
              </w:rPr>
              <w:t>0.0000%</w:t>
            </w:r>
          </w:p>
        </w:tc>
        <w:tc>
          <w:tcPr>
            <w:tcW w:w="1232" w:type="dxa"/>
            <w:vAlign w:val="center"/>
          </w:tcPr>
          <w:p w14:paraId="55EABD50" w14:textId="77777777" w:rsidR="00566744" w:rsidRDefault="00000000">
            <w:pPr>
              <w:autoSpaceDE w:val="0"/>
              <w:autoSpaceDN w:val="0"/>
              <w:adjustRightInd w:val="0"/>
              <w:jc w:val="center"/>
            </w:pPr>
            <w:r>
              <w:rPr>
                <w:rFonts w:hint="eastAsia"/>
              </w:rPr>
              <w:t>3.4198%</w:t>
            </w:r>
          </w:p>
        </w:tc>
        <w:tc>
          <w:tcPr>
            <w:tcW w:w="1355" w:type="dxa"/>
            <w:vAlign w:val="center"/>
          </w:tcPr>
          <w:p w14:paraId="296D8F43" w14:textId="77777777" w:rsidR="00566744" w:rsidRDefault="00000000">
            <w:pPr>
              <w:autoSpaceDE w:val="0"/>
              <w:autoSpaceDN w:val="0"/>
              <w:adjustRightInd w:val="0"/>
              <w:jc w:val="center"/>
            </w:pPr>
            <w:r>
              <w:rPr>
                <w:rFonts w:hint="eastAsia"/>
              </w:rPr>
              <w:t>0.0022%</w:t>
            </w:r>
          </w:p>
        </w:tc>
      </w:tr>
      <w:tr w:rsidR="00566744" w14:paraId="3D467125" w14:textId="77777777">
        <w:trPr>
          <w:trHeight w:val="105"/>
        </w:trPr>
        <w:tc>
          <w:tcPr>
            <w:tcW w:w="1558" w:type="dxa"/>
            <w:gridSpan w:val="3"/>
          </w:tcPr>
          <w:p w14:paraId="72F74FD4" w14:textId="77777777" w:rsidR="00566744" w:rsidRDefault="00000000">
            <w:pPr>
              <w:autoSpaceDE w:val="0"/>
              <w:autoSpaceDN w:val="0"/>
              <w:adjustRightInd w:val="0"/>
              <w:jc w:val="center"/>
              <w:rPr>
                <w:rFonts w:ascii="宋体" w:hAnsi="宋体" w:hint="eastAsia"/>
                <w:color w:val="000000"/>
                <w:kern w:val="0"/>
                <w:sz w:val="24"/>
              </w:rPr>
            </w:pPr>
            <w:r>
              <w:rPr>
                <w:rFonts w:ascii="宋体" w:hAnsi="宋体" w:hint="eastAsia"/>
                <w:color w:val="000000"/>
                <w:kern w:val="0"/>
                <w:sz w:val="24"/>
              </w:rPr>
              <w:t>2019.01.01~2019.12.31</w:t>
            </w:r>
          </w:p>
        </w:tc>
        <w:tc>
          <w:tcPr>
            <w:tcW w:w="1232" w:type="dxa"/>
            <w:vAlign w:val="center"/>
          </w:tcPr>
          <w:p w14:paraId="14BE6CD5" w14:textId="77777777" w:rsidR="00566744" w:rsidRDefault="00000000">
            <w:pPr>
              <w:autoSpaceDE w:val="0"/>
              <w:autoSpaceDN w:val="0"/>
              <w:adjustRightInd w:val="0"/>
              <w:jc w:val="center"/>
              <w:rPr>
                <w:rFonts w:ascii="宋体" w:hAnsi="宋体" w:hint="eastAsia"/>
                <w:color w:val="000000"/>
                <w:kern w:val="0"/>
                <w:sz w:val="24"/>
              </w:rPr>
            </w:pPr>
            <w:r>
              <w:rPr>
                <w:rFonts w:hint="eastAsia"/>
              </w:rPr>
              <w:t>2.6807%</w:t>
            </w:r>
          </w:p>
        </w:tc>
        <w:tc>
          <w:tcPr>
            <w:tcW w:w="1232" w:type="dxa"/>
            <w:vAlign w:val="center"/>
          </w:tcPr>
          <w:p w14:paraId="6861E1BF" w14:textId="77777777" w:rsidR="00566744" w:rsidRDefault="00000000">
            <w:pPr>
              <w:autoSpaceDE w:val="0"/>
              <w:autoSpaceDN w:val="0"/>
              <w:adjustRightInd w:val="0"/>
              <w:jc w:val="center"/>
              <w:rPr>
                <w:rFonts w:ascii="宋体" w:hAnsi="宋体" w:hint="eastAsia"/>
                <w:color w:val="000000"/>
                <w:kern w:val="0"/>
                <w:sz w:val="24"/>
              </w:rPr>
            </w:pPr>
            <w:r>
              <w:rPr>
                <w:rFonts w:hint="eastAsia"/>
              </w:rPr>
              <w:t>0.0022%</w:t>
            </w:r>
          </w:p>
        </w:tc>
        <w:tc>
          <w:tcPr>
            <w:tcW w:w="1232" w:type="dxa"/>
            <w:vAlign w:val="center"/>
          </w:tcPr>
          <w:p w14:paraId="0E1E4956" w14:textId="77777777" w:rsidR="00566744" w:rsidRDefault="00000000">
            <w:pPr>
              <w:autoSpaceDE w:val="0"/>
              <w:autoSpaceDN w:val="0"/>
              <w:adjustRightInd w:val="0"/>
              <w:jc w:val="center"/>
              <w:rPr>
                <w:rFonts w:ascii="宋体" w:hAnsi="宋体" w:hint="eastAsia"/>
                <w:color w:val="000000"/>
                <w:kern w:val="0"/>
                <w:sz w:val="24"/>
              </w:rPr>
            </w:pPr>
            <w:r>
              <w:rPr>
                <w:rFonts w:hint="eastAsia"/>
              </w:rPr>
              <w:t>0.3549%</w:t>
            </w:r>
          </w:p>
        </w:tc>
        <w:tc>
          <w:tcPr>
            <w:tcW w:w="1232" w:type="dxa"/>
            <w:vAlign w:val="center"/>
          </w:tcPr>
          <w:p w14:paraId="3AF01FC4" w14:textId="77777777" w:rsidR="00566744" w:rsidRDefault="00000000">
            <w:pPr>
              <w:autoSpaceDE w:val="0"/>
              <w:autoSpaceDN w:val="0"/>
              <w:adjustRightInd w:val="0"/>
              <w:jc w:val="center"/>
              <w:rPr>
                <w:rFonts w:ascii="宋体" w:hAnsi="宋体" w:hint="eastAsia"/>
                <w:color w:val="000000"/>
                <w:kern w:val="0"/>
                <w:sz w:val="24"/>
              </w:rPr>
            </w:pPr>
            <w:r>
              <w:rPr>
                <w:rFonts w:hint="eastAsia"/>
              </w:rPr>
              <w:t>0.0000%</w:t>
            </w:r>
          </w:p>
        </w:tc>
        <w:tc>
          <w:tcPr>
            <w:tcW w:w="1232" w:type="dxa"/>
            <w:vAlign w:val="center"/>
          </w:tcPr>
          <w:p w14:paraId="28FF6C89" w14:textId="77777777" w:rsidR="00566744" w:rsidRDefault="00000000">
            <w:pPr>
              <w:autoSpaceDE w:val="0"/>
              <w:autoSpaceDN w:val="0"/>
              <w:adjustRightInd w:val="0"/>
              <w:jc w:val="center"/>
              <w:rPr>
                <w:rFonts w:ascii="宋体" w:hAnsi="宋体" w:hint="eastAsia"/>
                <w:color w:val="000000"/>
                <w:kern w:val="0"/>
                <w:sz w:val="24"/>
              </w:rPr>
            </w:pPr>
            <w:r>
              <w:rPr>
                <w:rFonts w:hint="eastAsia"/>
              </w:rPr>
              <w:t>2.3258%</w:t>
            </w:r>
          </w:p>
        </w:tc>
        <w:tc>
          <w:tcPr>
            <w:tcW w:w="1355" w:type="dxa"/>
            <w:vAlign w:val="center"/>
          </w:tcPr>
          <w:p w14:paraId="69F37E70" w14:textId="77777777" w:rsidR="00566744" w:rsidRDefault="00000000">
            <w:pPr>
              <w:autoSpaceDE w:val="0"/>
              <w:autoSpaceDN w:val="0"/>
              <w:adjustRightInd w:val="0"/>
              <w:jc w:val="center"/>
              <w:rPr>
                <w:rFonts w:ascii="宋体" w:hAnsi="宋体" w:hint="eastAsia"/>
                <w:color w:val="000000"/>
                <w:kern w:val="0"/>
                <w:sz w:val="24"/>
              </w:rPr>
            </w:pPr>
            <w:r>
              <w:rPr>
                <w:rFonts w:hint="eastAsia"/>
              </w:rPr>
              <w:t>0.0022%</w:t>
            </w:r>
          </w:p>
        </w:tc>
      </w:tr>
      <w:tr w:rsidR="00566744" w14:paraId="45D0C121" w14:textId="77777777">
        <w:trPr>
          <w:trHeight w:val="105"/>
        </w:trPr>
        <w:tc>
          <w:tcPr>
            <w:tcW w:w="1558" w:type="dxa"/>
            <w:gridSpan w:val="3"/>
          </w:tcPr>
          <w:p w14:paraId="526F65D7" w14:textId="77777777" w:rsidR="00566744" w:rsidRDefault="00000000">
            <w:pPr>
              <w:autoSpaceDE w:val="0"/>
              <w:autoSpaceDN w:val="0"/>
              <w:adjustRightInd w:val="0"/>
              <w:jc w:val="center"/>
              <w:rPr>
                <w:rFonts w:ascii="宋体" w:hAnsi="宋体" w:hint="eastAsia"/>
                <w:color w:val="000000"/>
                <w:kern w:val="0"/>
                <w:sz w:val="24"/>
              </w:rPr>
            </w:pPr>
            <w:r>
              <w:rPr>
                <w:rFonts w:ascii="宋体" w:hAnsi="宋体" w:hint="eastAsia"/>
                <w:color w:val="000000"/>
                <w:kern w:val="0"/>
                <w:sz w:val="24"/>
              </w:rPr>
              <w:t>2020.01.01~2020.12.31</w:t>
            </w:r>
          </w:p>
        </w:tc>
        <w:tc>
          <w:tcPr>
            <w:tcW w:w="1232" w:type="dxa"/>
            <w:vAlign w:val="center"/>
          </w:tcPr>
          <w:p w14:paraId="16A2DB4D" w14:textId="77777777" w:rsidR="00566744" w:rsidRDefault="00000000">
            <w:pPr>
              <w:autoSpaceDE w:val="0"/>
              <w:autoSpaceDN w:val="0"/>
              <w:adjustRightInd w:val="0"/>
              <w:jc w:val="center"/>
            </w:pPr>
            <w:r>
              <w:rPr>
                <w:rFonts w:hint="eastAsia"/>
              </w:rPr>
              <w:t>2.3263%</w:t>
            </w:r>
          </w:p>
        </w:tc>
        <w:tc>
          <w:tcPr>
            <w:tcW w:w="1232" w:type="dxa"/>
            <w:vAlign w:val="center"/>
          </w:tcPr>
          <w:p w14:paraId="00C3C58F" w14:textId="77777777" w:rsidR="00566744" w:rsidRDefault="00000000">
            <w:pPr>
              <w:autoSpaceDE w:val="0"/>
              <w:autoSpaceDN w:val="0"/>
              <w:adjustRightInd w:val="0"/>
              <w:jc w:val="center"/>
            </w:pPr>
            <w:r>
              <w:rPr>
                <w:rFonts w:hint="eastAsia"/>
              </w:rPr>
              <w:t>0.0029%</w:t>
            </w:r>
          </w:p>
        </w:tc>
        <w:tc>
          <w:tcPr>
            <w:tcW w:w="1232" w:type="dxa"/>
            <w:vAlign w:val="center"/>
          </w:tcPr>
          <w:p w14:paraId="717EB558" w14:textId="77777777" w:rsidR="00566744" w:rsidRDefault="00000000">
            <w:pPr>
              <w:autoSpaceDE w:val="0"/>
              <w:autoSpaceDN w:val="0"/>
              <w:adjustRightInd w:val="0"/>
              <w:jc w:val="center"/>
            </w:pPr>
            <w:r>
              <w:rPr>
                <w:rFonts w:hint="eastAsia"/>
              </w:rPr>
              <w:t>0.3558%</w:t>
            </w:r>
          </w:p>
        </w:tc>
        <w:tc>
          <w:tcPr>
            <w:tcW w:w="1232" w:type="dxa"/>
            <w:vAlign w:val="center"/>
          </w:tcPr>
          <w:p w14:paraId="24FFEC3B" w14:textId="77777777" w:rsidR="00566744" w:rsidRDefault="00000000">
            <w:pPr>
              <w:autoSpaceDE w:val="0"/>
              <w:autoSpaceDN w:val="0"/>
              <w:adjustRightInd w:val="0"/>
              <w:jc w:val="center"/>
            </w:pPr>
            <w:r>
              <w:rPr>
                <w:rFonts w:hint="eastAsia"/>
              </w:rPr>
              <w:t>0.0000%</w:t>
            </w:r>
          </w:p>
        </w:tc>
        <w:tc>
          <w:tcPr>
            <w:tcW w:w="1232" w:type="dxa"/>
            <w:vAlign w:val="center"/>
          </w:tcPr>
          <w:p w14:paraId="09164ACF" w14:textId="77777777" w:rsidR="00566744" w:rsidRDefault="00000000">
            <w:pPr>
              <w:autoSpaceDE w:val="0"/>
              <w:autoSpaceDN w:val="0"/>
              <w:adjustRightInd w:val="0"/>
              <w:jc w:val="center"/>
            </w:pPr>
            <w:r>
              <w:rPr>
                <w:rFonts w:hint="eastAsia"/>
              </w:rPr>
              <w:t>1.9705%</w:t>
            </w:r>
          </w:p>
        </w:tc>
        <w:tc>
          <w:tcPr>
            <w:tcW w:w="1355" w:type="dxa"/>
            <w:vAlign w:val="center"/>
          </w:tcPr>
          <w:p w14:paraId="3740A398" w14:textId="77777777" w:rsidR="00566744" w:rsidRDefault="00000000">
            <w:pPr>
              <w:autoSpaceDE w:val="0"/>
              <w:autoSpaceDN w:val="0"/>
              <w:adjustRightInd w:val="0"/>
              <w:jc w:val="center"/>
            </w:pPr>
            <w:r>
              <w:rPr>
                <w:rFonts w:hint="eastAsia"/>
              </w:rPr>
              <w:t>0.0029%</w:t>
            </w:r>
          </w:p>
        </w:tc>
      </w:tr>
      <w:tr w:rsidR="00566744" w14:paraId="2441E2A1" w14:textId="77777777">
        <w:trPr>
          <w:trHeight w:val="105"/>
        </w:trPr>
        <w:tc>
          <w:tcPr>
            <w:tcW w:w="1558" w:type="dxa"/>
            <w:gridSpan w:val="3"/>
          </w:tcPr>
          <w:p w14:paraId="748DF0B1" w14:textId="77777777" w:rsidR="00566744" w:rsidRDefault="00000000">
            <w:pPr>
              <w:autoSpaceDE w:val="0"/>
              <w:autoSpaceDN w:val="0"/>
              <w:adjustRightInd w:val="0"/>
              <w:jc w:val="center"/>
              <w:rPr>
                <w:rFonts w:ascii="宋体" w:hAnsi="宋体" w:hint="eastAsia"/>
                <w:color w:val="000000"/>
                <w:kern w:val="0"/>
                <w:sz w:val="24"/>
              </w:rPr>
            </w:pPr>
            <w:r>
              <w:rPr>
                <w:rFonts w:ascii="宋体" w:hAnsi="宋体" w:hint="eastAsia"/>
                <w:color w:val="000000"/>
                <w:kern w:val="0"/>
                <w:sz w:val="24"/>
              </w:rPr>
              <w:t>2021.01.01~2021.12.31</w:t>
            </w:r>
          </w:p>
        </w:tc>
        <w:tc>
          <w:tcPr>
            <w:tcW w:w="1232" w:type="dxa"/>
          </w:tcPr>
          <w:p w14:paraId="0457B11D" w14:textId="77777777" w:rsidR="00566744" w:rsidRDefault="00000000">
            <w:pPr>
              <w:autoSpaceDE w:val="0"/>
              <w:autoSpaceDN w:val="0"/>
              <w:adjustRightInd w:val="0"/>
              <w:jc w:val="center"/>
            </w:pPr>
            <w:r>
              <w:t>2.3328%</w:t>
            </w:r>
          </w:p>
        </w:tc>
        <w:tc>
          <w:tcPr>
            <w:tcW w:w="1232" w:type="dxa"/>
          </w:tcPr>
          <w:p w14:paraId="33324DEC" w14:textId="77777777" w:rsidR="00566744" w:rsidRDefault="00000000">
            <w:pPr>
              <w:autoSpaceDE w:val="0"/>
              <w:autoSpaceDN w:val="0"/>
              <w:adjustRightInd w:val="0"/>
              <w:jc w:val="center"/>
            </w:pPr>
            <w:r>
              <w:t>0.0023%</w:t>
            </w:r>
          </w:p>
        </w:tc>
        <w:tc>
          <w:tcPr>
            <w:tcW w:w="1232" w:type="dxa"/>
          </w:tcPr>
          <w:p w14:paraId="2BE42CE7" w14:textId="77777777" w:rsidR="00566744" w:rsidRDefault="00000000">
            <w:pPr>
              <w:autoSpaceDE w:val="0"/>
              <w:autoSpaceDN w:val="0"/>
              <w:adjustRightInd w:val="0"/>
              <w:jc w:val="center"/>
            </w:pPr>
            <w:r>
              <w:t>0.3549%</w:t>
            </w:r>
          </w:p>
        </w:tc>
        <w:tc>
          <w:tcPr>
            <w:tcW w:w="1232" w:type="dxa"/>
          </w:tcPr>
          <w:p w14:paraId="6B9B6F69" w14:textId="77777777" w:rsidR="00566744" w:rsidRDefault="00000000">
            <w:pPr>
              <w:autoSpaceDE w:val="0"/>
              <w:autoSpaceDN w:val="0"/>
              <w:adjustRightInd w:val="0"/>
              <w:jc w:val="center"/>
            </w:pPr>
            <w:r>
              <w:t>0.0000%</w:t>
            </w:r>
          </w:p>
        </w:tc>
        <w:tc>
          <w:tcPr>
            <w:tcW w:w="1232" w:type="dxa"/>
          </w:tcPr>
          <w:p w14:paraId="450DF2A6" w14:textId="77777777" w:rsidR="00566744" w:rsidRDefault="00000000">
            <w:pPr>
              <w:autoSpaceDE w:val="0"/>
              <w:autoSpaceDN w:val="0"/>
              <w:adjustRightInd w:val="0"/>
              <w:jc w:val="center"/>
            </w:pPr>
            <w:r>
              <w:t>1.9779%</w:t>
            </w:r>
          </w:p>
        </w:tc>
        <w:tc>
          <w:tcPr>
            <w:tcW w:w="1355" w:type="dxa"/>
          </w:tcPr>
          <w:p w14:paraId="4322AC89" w14:textId="77777777" w:rsidR="00566744" w:rsidRDefault="00000000">
            <w:pPr>
              <w:autoSpaceDE w:val="0"/>
              <w:autoSpaceDN w:val="0"/>
              <w:adjustRightInd w:val="0"/>
              <w:jc w:val="center"/>
            </w:pPr>
            <w:r>
              <w:t>0.0023%</w:t>
            </w:r>
          </w:p>
        </w:tc>
      </w:tr>
      <w:tr w:rsidR="00566744" w14:paraId="1DFEE7FE" w14:textId="77777777">
        <w:trPr>
          <w:trHeight w:val="105"/>
        </w:trPr>
        <w:tc>
          <w:tcPr>
            <w:tcW w:w="1558" w:type="dxa"/>
            <w:gridSpan w:val="3"/>
          </w:tcPr>
          <w:p w14:paraId="0EA012AF" w14:textId="77777777" w:rsidR="00566744" w:rsidRDefault="00000000">
            <w:pPr>
              <w:autoSpaceDE w:val="0"/>
              <w:autoSpaceDN w:val="0"/>
              <w:adjustRightInd w:val="0"/>
              <w:jc w:val="center"/>
              <w:rPr>
                <w:rFonts w:ascii="宋体" w:hAnsi="宋体" w:hint="eastAsia"/>
                <w:color w:val="000000"/>
                <w:kern w:val="0"/>
                <w:sz w:val="24"/>
              </w:rPr>
            </w:pPr>
            <w:r>
              <w:rPr>
                <w:rFonts w:ascii="宋体" w:hAnsi="宋体" w:hint="eastAsia"/>
                <w:color w:val="000000"/>
                <w:kern w:val="0"/>
                <w:sz w:val="24"/>
              </w:rPr>
              <w:t>2022.01.01~2022.12.31</w:t>
            </w:r>
          </w:p>
        </w:tc>
        <w:tc>
          <w:tcPr>
            <w:tcW w:w="1232" w:type="dxa"/>
            <w:vAlign w:val="center"/>
          </w:tcPr>
          <w:p w14:paraId="2DF96F09" w14:textId="77777777" w:rsidR="00566744" w:rsidRDefault="00000000">
            <w:pPr>
              <w:autoSpaceDE w:val="0"/>
              <w:autoSpaceDN w:val="0"/>
              <w:adjustRightInd w:val="0"/>
              <w:jc w:val="center"/>
            </w:pPr>
            <w:r>
              <w:rPr>
                <w:rFonts w:hAnsi="等线"/>
                <w:color w:val="000000"/>
              </w:rPr>
              <w:t>1.9783%</w:t>
            </w:r>
          </w:p>
        </w:tc>
        <w:tc>
          <w:tcPr>
            <w:tcW w:w="1232" w:type="dxa"/>
            <w:vAlign w:val="center"/>
          </w:tcPr>
          <w:p w14:paraId="55256D3B" w14:textId="77777777" w:rsidR="00566744" w:rsidRDefault="00000000">
            <w:pPr>
              <w:autoSpaceDE w:val="0"/>
              <w:autoSpaceDN w:val="0"/>
              <w:adjustRightInd w:val="0"/>
              <w:jc w:val="center"/>
            </w:pPr>
            <w:r>
              <w:rPr>
                <w:rFonts w:hAnsi="等线"/>
                <w:color w:val="000000"/>
              </w:rPr>
              <w:t>0.0026%</w:t>
            </w:r>
          </w:p>
        </w:tc>
        <w:tc>
          <w:tcPr>
            <w:tcW w:w="1232" w:type="dxa"/>
            <w:vAlign w:val="center"/>
          </w:tcPr>
          <w:p w14:paraId="17DC5CC8" w14:textId="77777777" w:rsidR="00566744" w:rsidRDefault="00000000">
            <w:pPr>
              <w:autoSpaceDE w:val="0"/>
              <w:autoSpaceDN w:val="0"/>
              <w:adjustRightInd w:val="0"/>
              <w:jc w:val="center"/>
            </w:pPr>
            <w:r>
              <w:rPr>
                <w:rFonts w:hAnsi="等线"/>
                <w:color w:val="000000"/>
              </w:rPr>
              <w:t>0.3549%</w:t>
            </w:r>
          </w:p>
        </w:tc>
        <w:tc>
          <w:tcPr>
            <w:tcW w:w="1232" w:type="dxa"/>
            <w:vAlign w:val="center"/>
          </w:tcPr>
          <w:p w14:paraId="7BE03128" w14:textId="77777777" w:rsidR="00566744" w:rsidRDefault="00000000">
            <w:pPr>
              <w:autoSpaceDE w:val="0"/>
              <w:autoSpaceDN w:val="0"/>
              <w:adjustRightInd w:val="0"/>
              <w:jc w:val="center"/>
            </w:pPr>
            <w:r>
              <w:rPr>
                <w:rFonts w:hAnsi="等线"/>
                <w:color w:val="000000"/>
              </w:rPr>
              <w:t>0.0000%</w:t>
            </w:r>
          </w:p>
        </w:tc>
        <w:tc>
          <w:tcPr>
            <w:tcW w:w="1232" w:type="dxa"/>
            <w:vAlign w:val="center"/>
          </w:tcPr>
          <w:p w14:paraId="62CAB6D4" w14:textId="77777777" w:rsidR="00566744" w:rsidRDefault="00000000">
            <w:pPr>
              <w:autoSpaceDE w:val="0"/>
              <w:autoSpaceDN w:val="0"/>
              <w:adjustRightInd w:val="0"/>
              <w:jc w:val="center"/>
            </w:pPr>
            <w:r>
              <w:rPr>
                <w:rFonts w:hAnsi="等线"/>
                <w:color w:val="000000"/>
              </w:rPr>
              <w:t>1.6234%</w:t>
            </w:r>
          </w:p>
        </w:tc>
        <w:tc>
          <w:tcPr>
            <w:tcW w:w="1355" w:type="dxa"/>
            <w:vAlign w:val="center"/>
          </w:tcPr>
          <w:p w14:paraId="15D4C10E" w14:textId="77777777" w:rsidR="00566744" w:rsidRDefault="00000000">
            <w:pPr>
              <w:autoSpaceDE w:val="0"/>
              <w:autoSpaceDN w:val="0"/>
              <w:adjustRightInd w:val="0"/>
              <w:jc w:val="center"/>
            </w:pPr>
            <w:r>
              <w:rPr>
                <w:rFonts w:hAnsi="等线"/>
                <w:color w:val="000000"/>
              </w:rPr>
              <w:t>0.0026%</w:t>
            </w:r>
          </w:p>
        </w:tc>
      </w:tr>
      <w:tr w:rsidR="00566744" w14:paraId="03DE4E3D" w14:textId="77777777">
        <w:trPr>
          <w:gridBefore w:val="2"/>
          <w:wBefore w:w="13" w:type="dxa"/>
          <w:trHeight w:val="105"/>
        </w:trPr>
        <w:tc>
          <w:tcPr>
            <w:tcW w:w="1545" w:type="dxa"/>
          </w:tcPr>
          <w:p w14:paraId="5716ADB3" w14:textId="77777777" w:rsidR="00566744" w:rsidRDefault="00000000">
            <w:pPr>
              <w:autoSpaceDE w:val="0"/>
              <w:autoSpaceDN w:val="0"/>
              <w:adjustRightInd w:val="0"/>
              <w:jc w:val="center"/>
              <w:rPr>
                <w:rFonts w:ascii="宋体" w:hAnsi="宋体" w:hint="eastAsia"/>
                <w:color w:val="000000"/>
                <w:kern w:val="0"/>
                <w:sz w:val="24"/>
              </w:rPr>
            </w:pPr>
            <w:r>
              <w:rPr>
                <w:rFonts w:ascii="宋体" w:hAnsi="宋体" w:hint="eastAsia"/>
                <w:color w:val="000000"/>
                <w:kern w:val="0"/>
                <w:sz w:val="24"/>
              </w:rPr>
              <w:t>2023.01.01~2023.12.31</w:t>
            </w:r>
          </w:p>
        </w:tc>
        <w:tc>
          <w:tcPr>
            <w:tcW w:w="1232" w:type="dxa"/>
            <w:vAlign w:val="center"/>
          </w:tcPr>
          <w:p w14:paraId="1C128F3C" w14:textId="77777777" w:rsidR="00566744" w:rsidRDefault="00000000">
            <w:pPr>
              <w:autoSpaceDE w:val="0"/>
              <w:autoSpaceDN w:val="0"/>
              <w:adjustRightInd w:val="0"/>
              <w:jc w:val="center"/>
              <w:rPr>
                <w:rFonts w:hAnsi="等线" w:hint="eastAsia"/>
                <w:color w:val="000000"/>
              </w:rPr>
            </w:pPr>
            <w:r>
              <w:rPr>
                <w:rFonts w:hAnsi="等线"/>
                <w:color w:val="000000"/>
              </w:rPr>
              <w:t>2.0194%</w:t>
            </w:r>
          </w:p>
        </w:tc>
        <w:tc>
          <w:tcPr>
            <w:tcW w:w="1232" w:type="dxa"/>
            <w:vAlign w:val="center"/>
          </w:tcPr>
          <w:p w14:paraId="0F0DB728" w14:textId="77777777" w:rsidR="00566744" w:rsidRDefault="00000000">
            <w:pPr>
              <w:autoSpaceDE w:val="0"/>
              <w:autoSpaceDN w:val="0"/>
              <w:adjustRightInd w:val="0"/>
              <w:jc w:val="center"/>
              <w:rPr>
                <w:rFonts w:hAnsi="等线" w:hint="eastAsia"/>
                <w:color w:val="000000"/>
              </w:rPr>
            </w:pPr>
            <w:r>
              <w:rPr>
                <w:rFonts w:hAnsi="等线"/>
                <w:color w:val="000000"/>
              </w:rPr>
              <w:t>0.0023%</w:t>
            </w:r>
          </w:p>
        </w:tc>
        <w:tc>
          <w:tcPr>
            <w:tcW w:w="1232" w:type="dxa"/>
            <w:vAlign w:val="center"/>
          </w:tcPr>
          <w:p w14:paraId="1C384284" w14:textId="77777777" w:rsidR="00566744" w:rsidRDefault="00000000">
            <w:pPr>
              <w:autoSpaceDE w:val="0"/>
              <w:autoSpaceDN w:val="0"/>
              <w:adjustRightInd w:val="0"/>
              <w:jc w:val="center"/>
              <w:rPr>
                <w:rFonts w:hAnsi="等线" w:hint="eastAsia"/>
                <w:color w:val="000000"/>
              </w:rPr>
            </w:pPr>
            <w:r>
              <w:rPr>
                <w:rFonts w:hAnsi="等线"/>
                <w:color w:val="000000"/>
              </w:rPr>
              <w:t>0.3549%</w:t>
            </w:r>
          </w:p>
        </w:tc>
        <w:tc>
          <w:tcPr>
            <w:tcW w:w="1232" w:type="dxa"/>
            <w:vAlign w:val="center"/>
          </w:tcPr>
          <w:p w14:paraId="355C7248" w14:textId="77777777" w:rsidR="00566744" w:rsidRDefault="00000000">
            <w:pPr>
              <w:autoSpaceDE w:val="0"/>
              <w:autoSpaceDN w:val="0"/>
              <w:adjustRightInd w:val="0"/>
              <w:jc w:val="center"/>
              <w:rPr>
                <w:rFonts w:hAnsi="等线" w:hint="eastAsia"/>
                <w:color w:val="000000"/>
              </w:rPr>
            </w:pPr>
            <w:r>
              <w:rPr>
                <w:rFonts w:hAnsi="等线"/>
                <w:color w:val="000000"/>
              </w:rPr>
              <w:t>0.0000%</w:t>
            </w:r>
          </w:p>
        </w:tc>
        <w:tc>
          <w:tcPr>
            <w:tcW w:w="1232" w:type="dxa"/>
            <w:vAlign w:val="center"/>
          </w:tcPr>
          <w:p w14:paraId="36991411" w14:textId="77777777" w:rsidR="00566744" w:rsidRDefault="00000000">
            <w:pPr>
              <w:autoSpaceDE w:val="0"/>
              <w:autoSpaceDN w:val="0"/>
              <w:adjustRightInd w:val="0"/>
              <w:jc w:val="center"/>
              <w:rPr>
                <w:rFonts w:hAnsi="等线" w:hint="eastAsia"/>
                <w:color w:val="000000"/>
              </w:rPr>
            </w:pPr>
            <w:r>
              <w:rPr>
                <w:rFonts w:hAnsi="等线"/>
                <w:color w:val="000000"/>
              </w:rPr>
              <w:t>1.6645%</w:t>
            </w:r>
          </w:p>
        </w:tc>
        <w:tc>
          <w:tcPr>
            <w:tcW w:w="1355" w:type="dxa"/>
            <w:vAlign w:val="center"/>
          </w:tcPr>
          <w:p w14:paraId="29A396D6" w14:textId="77777777" w:rsidR="00566744" w:rsidRDefault="00000000">
            <w:pPr>
              <w:autoSpaceDE w:val="0"/>
              <w:autoSpaceDN w:val="0"/>
              <w:adjustRightInd w:val="0"/>
              <w:jc w:val="center"/>
              <w:rPr>
                <w:rFonts w:hAnsi="等线" w:hint="eastAsia"/>
                <w:color w:val="000000"/>
              </w:rPr>
            </w:pPr>
            <w:r>
              <w:rPr>
                <w:rFonts w:hAnsi="等线"/>
                <w:color w:val="000000"/>
              </w:rPr>
              <w:t>0.0023%</w:t>
            </w:r>
          </w:p>
        </w:tc>
      </w:tr>
      <w:tr w:rsidR="00566744" w14:paraId="2D781C6A" w14:textId="77777777">
        <w:trPr>
          <w:gridBefore w:val="2"/>
          <w:wBefore w:w="13" w:type="dxa"/>
          <w:trHeight w:val="105"/>
        </w:trPr>
        <w:tc>
          <w:tcPr>
            <w:tcW w:w="1545" w:type="dxa"/>
          </w:tcPr>
          <w:p w14:paraId="026C1A02" w14:textId="77777777" w:rsidR="00566744" w:rsidRDefault="00000000">
            <w:pPr>
              <w:autoSpaceDE w:val="0"/>
              <w:autoSpaceDN w:val="0"/>
              <w:adjustRightInd w:val="0"/>
              <w:jc w:val="center"/>
              <w:rPr>
                <w:rFonts w:ascii="宋体" w:hAnsi="宋体" w:hint="eastAsia"/>
                <w:color w:val="000000"/>
                <w:kern w:val="0"/>
                <w:sz w:val="24"/>
              </w:rPr>
            </w:pPr>
            <w:r>
              <w:rPr>
                <w:rFonts w:ascii="宋体" w:hAnsi="宋体" w:hint="eastAsia"/>
                <w:color w:val="000000"/>
                <w:kern w:val="0"/>
                <w:sz w:val="24"/>
              </w:rPr>
              <w:t>2024.01.01~2024.12.31</w:t>
            </w:r>
          </w:p>
        </w:tc>
        <w:tc>
          <w:tcPr>
            <w:tcW w:w="1232" w:type="dxa"/>
            <w:vAlign w:val="center"/>
          </w:tcPr>
          <w:p w14:paraId="082E79C6" w14:textId="77777777" w:rsidR="00566744" w:rsidRDefault="00000000">
            <w:pPr>
              <w:autoSpaceDE w:val="0"/>
              <w:autoSpaceDN w:val="0"/>
              <w:adjustRightInd w:val="0"/>
              <w:jc w:val="center"/>
              <w:rPr>
                <w:rFonts w:hAnsi="等线" w:hint="eastAsia"/>
                <w:color w:val="000000"/>
              </w:rPr>
            </w:pPr>
            <w:r>
              <w:rPr>
                <w:rFonts w:hAnsi="等线"/>
                <w:color w:val="000000"/>
              </w:rPr>
              <w:t>1.7615%</w:t>
            </w:r>
          </w:p>
        </w:tc>
        <w:tc>
          <w:tcPr>
            <w:tcW w:w="1232" w:type="dxa"/>
            <w:vAlign w:val="center"/>
          </w:tcPr>
          <w:p w14:paraId="7A025980" w14:textId="77777777" w:rsidR="00566744" w:rsidRDefault="00000000">
            <w:pPr>
              <w:autoSpaceDE w:val="0"/>
              <w:autoSpaceDN w:val="0"/>
              <w:adjustRightInd w:val="0"/>
              <w:jc w:val="center"/>
              <w:rPr>
                <w:rFonts w:hAnsi="等线" w:hint="eastAsia"/>
                <w:color w:val="000000"/>
              </w:rPr>
            </w:pPr>
            <w:r>
              <w:rPr>
                <w:rFonts w:hAnsi="等线"/>
                <w:color w:val="000000"/>
              </w:rPr>
              <w:t>0.0011%</w:t>
            </w:r>
          </w:p>
        </w:tc>
        <w:tc>
          <w:tcPr>
            <w:tcW w:w="1232" w:type="dxa"/>
            <w:vAlign w:val="center"/>
          </w:tcPr>
          <w:p w14:paraId="473079A7" w14:textId="77777777" w:rsidR="00566744" w:rsidRDefault="00000000">
            <w:pPr>
              <w:autoSpaceDE w:val="0"/>
              <w:autoSpaceDN w:val="0"/>
              <w:adjustRightInd w:val="0"/>
              <w:jc w:val="center"/>
              <w:rPr>
                <w:rFonts w:hAnsi="等线" w:hint="eastAsia"/>
                <w:color w:val="000000"/>
              </w:rPr>
            </w:pPr>
            <w:r>
              <w:rPr>
                <w:rFonts w:hAnsi="等线"/>
                <w:color w:val="000000"/>
              </w:rPr>
              <w:t>0.3558%</w:t>
            </w:r>
          </w:p>
        </w:tc>
        <w:tc>
          <w:tcPr>
            <w:tcW w:w="1232" w:type="dxa"/>
            <w:vAlign w:val="center"/>
          </w:tcPr>
          <w:p w14:paraId="29B7D775" w14:textId="77777777" w:rsidR="00566744" w:rsidRDefault="00000000">
            <w:pPr>
              <w:autoSpaceDE w:val="0"/>
              <w:autoSpaceDN w:val="0"/>
              <w:adjustRightInd w:val="0"/>
              <w:jc w:val="center"/>
              <w:rPr>
                <w:rFonts w:hAnsi="等线" w:hint="eastAsia"/>
                <w:color w:val="000000"/>
              </w:rPr>
            </w:pPr>
            <w:r>
              <w:rPr>
                <w:rFonts w:hAnsi="等线"/>
                <w:color w:val="000000"/>
              </w:rPr>
              <w:t>0.0000%</w:t>
            </w:r>
          </w:p>
        </w:tc>
        <w:tc>
          <w:tcPr>
            <w:tcW w:w="1232" w:type="dxa"/>
            <w:vAlign w:val="center"/>
          </w:tcPr>
          <w:p w14:paraId="0CD16A8A" w14:textId="77777777" w:rsidR="00566744" w:rsidRDefault="00000000">
            <w:pPr>
              <w:autoSpaceDE w:val="0"/>
              <w:autoSpaceDN w:val="0"/>
              <w:adjustRightInd w:val="0"/>
              <w:jc w:val="center"/>
              <w:rPr>
                <w:rFonts w:hAnsi="等线" w:hint="eastAsia"/>
                <w:color w:val="000000"/>
              </w:rPr>
            </w:pPr>
            <w:r>
              <w:rPr>
                <w:rFonts w:hAnsi="等线"/>
                <w:color w:val="000000"/>
              </w:rPr>
              <w:t>1.4057%</w:t>
            </w:r>
          </w:p>
        </w:tc>
        <w:tc>
          <w:tcPr>
            <w:tcW w:w="1355" w:type="dxa"/>
            <w:vAlign w:val="center"/>
          </w:tcPr>
          <w:p w14:paraId="58F0EB1A" w14:textId="77777777" w:rsidR="00566744" w:rsidRDefault="00000000">
            <w:pPr>
              <w:autoSpaceDE w:val="0"/>
              <w:autoSpaceDN w:val="0"/>
              <w:adjustRightInd w:val="0"/>
              <w:jc w:val="center"/>
              <w:rPr>
                <w:rFonts w:hAnsi="等线" w:hint="eastAsia"/>
                <w:color w:val="000000"/>
              </w:rPr>
            </w:pPr>
            <w:r>
              <w:rPr>
                <w:rFonts w:hAnsi="等线"/>
                <w:color w:val="000000"/>
              </w:rPr>
              <w:t>0.0011%</w:t>
            </w:r>
          </w:p>
        </w:tc>
      </w:tr>
      <w:tr w:rsidR="00566744" w14:paraId="6412CEC1" w14:textId="77777777">
        <w:trPr>
          <w:gridBefore w:val="1"/>
          <w:wBefore w:w="6" w:type="dxa"/>
          <w:trHeight w:val="747"/>
        </w:trPr>
        <w:tc>
          <w:tcPr>
            <w:tcW w:w="1552" w:type="dxa"/>
            <w:gridSpan w:val="2"/>
          </w:tcPr>
          <w:p w14:paraId="73E6CB6C" w14:textId="382106DE" w:rsidR="00566744" w:rsidRDefault="00000000">
            <w:pPr>
              <w:autoSpaceDE w:val="0"/>
              <w:autoSpaceDN w:val="0"/>
              <w:adjustRightInd w:val="0"/>
              <w:jc w:val="center"/>
              <w:rPr>
                <w:rFonts w:ascii="宋体" w:hAnsi="宋体" w:hint="eastAsia"/>
                <w:color w:val="000000"/>
                <w:kern w:val="0"/>
                <w:sz w:val="24"/>
              </w:rPr>
            </w:pPr>
            <w:r>
              <w:rPr>
                <w:rFonts w:ascii="宋体" w:hAnsi="宋体" w:hint="eastAsia"/>
                <w:color w:val="000000"/>
                <w:kern w:val="0"/>
                <w:sz w:val="24"/>
              </w:rPr>
              <w:t>2025.01.01~2025.12.31</w:t>
            </w:r>
          </w:p>
        </w:tc>
        <w:tc>
          <w:tcPr>
            <w:tcW w:w="1232" w:type="dxa"/>
            <w:vAlign w:val="center"/>
          </w:tcPr>
          <w:p w14:paraId="7816E1EC" w14:textId="6611388E" w:rsidR="00566744" w:rsidRDefault="00000000">
            <w:pPr>
              <w:autoSpaceDE w:val="0"/>
              <w:autoSpaceDN w:val="0"/>
              <w:adjustRightInd w:val="0"/>
              <w:jc w:val="center"/>
            </w:pPr>
            <w:r>
              <w:rPr>
                <w:rFonts w:hAnsi="等线"/>
                <w:color w:val="000000"/>
              </w:rPr>
              <w:t>1.4895%</w:t>
            </w:r>
          </w:p>
        </w:tc>
        <w:tc>
          <w:tcPr>
            <w:tcW w:w="1232" w:type="dxa"/>
            <w:vAlign w:val="center"/>
          </w:tcPr>
          <w:p w14:paraId="20E605F6" w14:textId="3DB38B7C" w:rsidR="00566744" w:rsidRDefault="00000000">
            <w:pPr>
              <w:autoSpaceDE w:val="0"/>
              <w:autoSpaceDN w:val="0"/>
              <w:adjustRightInd w:val="0"/>
              <w:jc w:val="center"/>
            </w:pPr>
            <w:r>
              <w:rPr>
                <w:rFonts w:hAnsi="等线"/>
                <w:color w:val="000000"/>
              </w:rPr>
              <w:t>0.0006%</w:t>
            </w:r>
          </w:p>
        </w:tc>
        <w:tc>
          <w:tcPr>
            <w:tcW w:w="1232" w:type="dxa"/>
            <w:vAlign w:val="center"/>
          </w:tcPr>
          <w:p w14:paraId="337F5F26" w14:textId="2BFADD1A" w:rsidR="00566744" w:rsidRDefault="00000000">
            <w:pPr>
              <w:autoSpaceDE w:val="0"/>
              <w:autoSpaceDN w:val="0"/>
              <w:adjustRightInd w:val="0"/>
              <w:jc w:val="center"/>
            </w:pPr>
            <w:r>
              <w:rPr>
                <w:rFonts w:hAnsi="等线"/>
                <w:color w:val="000000"/>
              </w:rPr>
              <w:t>0.3549%</w:t>
            </w:r>
          </w:p>
        </w:tc>
        <w:tc>
          <w:tcPr>
            <w:tcW w:w="1232" w:type="dxa"/>
            <w:vAlign w:val="center"/>
          </w:tcPr>
          <w:p w14:paraId="3871F1CC" w14:textId="52010C1B" w:rsidR="00566744" w:rsidRDefault="00000000">
            <w:pPr>
              <w:autoSpaceDE w:val="0"/>
              <w:autoSpaceDN w:val="0"/>
              <w:adjustRightInd w:val="0"/>
              <w:jc w:val="center"/>
            </w:pPr>
            <w:r>
              <w:rPr>
                <w:rFonts w:hAnsi="等线"/>
                <w:color w:val="000000"/>
              </w:rPr>
              <w:t>0.0000%</w:t>
            </w:r>
          </w:p>
        </w:tc>
        <w:tc>
          <w:tcPr>
            <w:tcW w:w="1232" w:type="dxa"/>
            <w:vAlign w:val="center"/>
          </w:tcPr>
          <w:p w14:paraId="0655F368" w14:textId="0D3A4399" w:rsidR="00566744" w:rsidRDefault="00000000">
            <w:pPr>
              <w:autoSpaceDE w:val="0"/>
              <w:autoSpaceDN w:val="0"/>
              <w:adjustRightInd w:val="0"/>
              <w:jc w:val="center"/>
            </w:pPr>
            <w:r>
              <w:rPr>
                <w:rFonts w:hAnsi="等线"/>
                <w:color w:val="000000"/>
              </w:rPr>
              <w:t>1.1346%</w:t>
            </w:r>
          </w:p>
        </w:tc>
        <w:tc>
          <w:tcPr>
            <w:tcW w:w="1355" w:type="dxa"/>
            <w:vAlign w:val="center"/>
          </w:tcPr>
          <w:p w14:paraId="2A679D85" w14:textId="0F400B9E" w:rsidR="00566744" w:rsidRDefault="00000000">
            <w:pPr>
              <w:autoSpaceDE w:val="0"/>
              <w:autoSpaceDN w:val="0"/>
              <w:adjustRightInd w:val="0"/>
              <w:jc w:val="center"/>
            </w:pPr>
            <w:r>
              <w:rPr>
                <w:rFonts w:hAnsi="等线"/>
                <w:color w:val="000000"/>
              </w:rPr>
              <w:t>0.0006%</w:t>
            </w:r>
          </w:p>
        </w:tc>
      </w:tr>
      <w:tr w:rsidR="00566744" w14:paraId="70824C55" w14:textId="77777777">
        <w:trPr>
          <w:gridBefore w:val="1"/>
          <w:wBefore w:w="6" w:type="dxa"/>
          <w:trHeight w:val="747"/>
        </w:trPr>
        <w:tc>
          <w:tcPr>
            <w:tcW w:w="1552" w:type="dxa"/>
            <w:gridSpan w:val="2"/>
          </w:tcPr>
          <w:p w14:paraId="1B220760" w14:textId="77777777" w:rsidR="00566744" w:rsidRDefault="00000000">
            <w:pPr>
              <w:autoSpaceDE w:val="0"/>
              <w:autoSpaceDN w:val="0"/>
              <w:adjustRightInd w:val="0"/>
              <w:jc w:val="center"/>
              <w:rPr>
                <w:rFonts w:ascii="宋体" w:hAnsi="宋体" w:hint="eastAsia"/>
                <w:color w:val="000000"/>
                <w:kern w:val="0"/>
                <w:sz w:val="24"/>
              </w:rPr>
            </w:pPr>
            <w:r>
              <w:rPr>
                <w:rFonts w:ascii="宋体" w:hAnsi="宋体" w:hint="eastAsia"/>
                <w:color w:val="000000"/>
                <w:kern w:val="0"/>
                <w:sz w:val="24"/>
              </w:rPr>
              <w:t>2016.12.26~2026.06.30</w:t>
            </w:r>
          </w:p>
        </w:tc>
        <w:tc>
          <w:tcPr>
            <w:tcW w:w="1232" w:type="dxa"/>
            <w:vAlign w:val="center"/>
          </w:tcPr>
          <w:p w14:paraId="0381A866" w14:textId="77777777" w:rsidR="00566744" w:rsidRDefault="00000000">
            <w:pPr>
              <w:autoSpaceDE w:val="0"/>
              <w:autoSpaceDN w:val="0"/>
              <w:adjustRightInd w:val="0"/>
              <w:jc w:val="center"/>
              <w:rPr>
                <w:rFonts w:hAnsi="等线" w:hint="eastAsia"/>
                <w:color w:val="000000"/>
              </w:rPr>
            </w:pPr>
            <w:r>
              <w:rPr>
                <w:rFonts w:hAnsi="Calibri"/>
                <w:color w:val="000000"/>
              </w:rPr>
              <w:t>25.5237%</w:t>
            </w:r>
          </w:p>
        </w:tc>
        <w:tc>
          <w:tcPr>
            <w:tcW w:w="1232" w:type="dxa"/>
            <w:vAlign w:val="center"/>
          </w:tcPr>
          <w:p w14:paraId="2025FF36" w14:textId="77777777" w:rsidR="00566744" w:rsidRDefault="00000000">
            <w:pPr>
              <w:autoSpaceDE w:val="0"/>
              <w:autoSpaceDN w:val="0"/>
              <w:adjustRightInd w:val="0"/>
              <w:jc w:val="center"/>
              <w:rPr>
                <w:rFonts w:hAnsi="等线" w:hint="eastAsia"/>
                <w:color w:val="000000"/>
              </w:rPr>
            </w:pPr>
            <w:r>
              <w:rPr>
                <w:rFonts w:hAnsi="Calibri"/>
                <w:color w:val="000000"/>
              </w:rPr>
              <w:t>0.0032%</w:t>
            </w:r>
          </w:p>
        </w:tc>
        <w:tc>
          <w:tcPr>
            <w:tcW w:w="1232" w:type="dxa"/>
            <w:vAlign w:val="center"/>
          </w:tcPr>
          <w:p w14:paraId="6CBC9042" w14:textId="77777777" w:rsidR="00566744" w:rsidRDefault="00000000">
            <w:pPr>
              <w:autoSpaceDE w:val="0"/>
              <w:autoSpaceDN w:val="0"/>
              <w:adjustRightInd w:val="0"/>
              <w:jc w:val="center"/>
              <w:rPr>
                <w:rFonts w:hAnsi="等线" w:hint="eastAsia"/>
                <w:color w:val="000000"/>
              </w:rPr>
            </w:pPr>
            <w:r>
              <w:rPr>
                <w:rFonts w:hAnsi="Calibri"/>
                <w:color w:val="000000"/>
              </w:rPr>
              <w:t>3.3765%</w:t>
            </w:r>
          </w:p>
        </w:tc>
        <w:tc>
          <w:tcPr>
            <w:tcW w:w="1232" w:type="dxa"/>
            <w:vAlign w:val="center"/>
          </w:tcPr>
          <w:p w14:paraId="18F7256C" w14:textId="77777777" w:rsidR="00566744" w:rsidRDefault="00000000">
            <w:pPr>
              <w:autoSpaceDE w:val="0"/>
              <w:autoSpaceDN w:val="0"/>
              <w:adjustRightInd w:val="0"/>
              <w:jc w:val="center"/>
              <w:rPr>
                <w:rFonts w:hAnsi="等线" w:hint="eastAsia"/>
                <w:color w:val="000000"/>
              </w:rPr>
            </w:pPr>
            <w:r>
              <w:rPr>
                <w:rFonts w:hAnsi="Calibri"/>
                <w:color w:val="000000"/>
              </w:rPr>
              <w:t>0.0000%</w:t>
            </w:r>
          </w:p>
        </w:tc>
        <w:tc>
          <w:tcPr>
            <w:tcW w:w="1232" w:type="dxa"/>
            <w:vAlign w:val="center"/>
          </w:tcPr>
          <w:p w14:paraId="5C635402" w14:textId="77777777" w:rsidR="00566744" w:rsidRDefault="00000000">
            <w:pPr>
              <w:autoSpaceDE w:val="0"/>
              <w:autoSpaceDN w:val="0"/>
              <w:adjustRightInd w:val="0"/>
              <w:jc w:val="center"/>
              <w:rPr>
                <w:rFonts w:hAnsi="等线" w:hint="eastAsia"/>
                <w:color w:val="000000"/>
              </w:rPr>
            </w:pPr>
            <w:r>
              <w:rPr>
                <w:rFonts w:hAnsi="Calibri"/>
                <w:color w:val="000000"/>
              </w:rPr>
              <w:t>22.1472%</w:t>
            </w:r>
          </w:p>
        </w:tc>
        <w:tc>
          <w:tcPr>
            <w:tcW w:w="1355" w:type="dxa"/>
            <w:vAlign w:val="center"/>
          </w:tcPr>
          <w:p w14:paraId="699ABE45" w14:textId="77777777" w:rsidR="00566744" w:rsidRDefault="00000000">
            <w:pPr>
              <w:autoSpaceDE w:val="0"/>
              <w:autoSpaceDN w:val="0"/>
              <w:adjustRightInd w:val="0"/>
              <w:jc w:val="center"/>
              <w:rPr>
                <w:rFonts w:hAnsi="等线" w:hint="eastAsia"/>
                <w:color w:val="000000"/>
              </w:rPr>
            </w:pPr>
            <w:r>
              <w:rPr>
                <w:rFonts w:hAnsi="Calibri"/>
                <w:color w:val="000000"/>
              </w:rPr>
              <w:t>0.0032%</w:t>
            </w:r>
          </w:p>
        </w:tc>
      </w:tr>
    </w:tbl>
    <w:p w14:paraId="4092C158" w14:textId="77777777" w:rsidR="00566744" w:rsidRDefault="00000000">
      <w:pPr>
        <w:widowControl/>
        <w:spacing w:line="360" w:lineRule="auto"/>
        <w:jc w:val="left"/>
        <w:rPr>
          <w:rFonts w:ascii="宋体" w:hAnsi="宋体" w:cs="宋体" w:hint="eastAsia"/>
          <w:kern w:val="0"/>
          <w:sz w:val="24"/>
        </w:rPr>
      </w:pPr>
      <w:r>
        <w:rPr>
          <w:rFonts w:ascii="宋体" w:hAnsi="宋体" w:cs="宋体" w:hint="eastAsia"/>
          <w:kern w:val="0"/>
          <w:sz w:val="24"/>
        </w:rPr>
        <w:t>注：①本基金收益分配按日结转份额；</w:t>
      </w:r>
    </w:p>
    <w:p w14:paraId="591010C7" w14:textId="77777777" w:rsidR="00566744" w:rsidRDefault="00000000">
      <w:pPr>
        <w:pStyle w:val="afd"/>
        <w:widowControl/>
        <w:numPr>
          <w:ilvl w:val="0"/>
          <w:numId w:val="4"/>
        </w:numPr>
        <w:spacing w:line="360" w:lineRule="auto"/>
        <w:ind w:firstLineChars="0"/>
        <w:jc w:val="left"/>
        <w:rPr>
          <w:rFonts w:ascii="宋体" w:hAnsi="宋体" w:cs="宋体" w:hint="eastAsia"/>
          <w:kern w:val="0"/>
          <w:sz w:val="24"/>
        </w:rPr>
      </w:pPr>
      <w:r>
        <w:rPr>
          <w:rFonts w:ascii="宋体" w:hAnsi="宋体" w:cs="宋体" w:hint="eastAsia"/>
          <w:kern w:val="0"/>
          <w:sz w:val="24"/>
        </w:rPr>
        <w:t>本基金的业绩比较基准为：活期存款利率</w:t>
      </w:r>
      <w:r>
        <w:rPr>
          <w:rFonts w:ascii="宋体" w:hAnsi="宋体" w:cs="宋体"/>
          <w:kern w:val="0"/>
          <w:sz w:val="24"/>
        </w:rPr>
        <w:t>(</w:t>
      </w:r>
      <w:r>
        <w:rPr>
          <w:rFonts w:ascii="宋体" w:hAnsi="宋体" w:cs="宋体" w:hint="eastAsia"/>
          <w:kern w:val="0"/>
          <w:sz w:val="24"/>
        </w:rPr>
        <w:t>税后</w:t>
      </w:r>
      <w:r>
        <w:rPr>
          <w:rFonts w:ascii="宋体" w:hAnsi="宋体" w:cs="宋体"/>
          <w:kern w:val="0"/>
          <w:sz w:val="24"/>
        </w:rPr>
        <w:t>)</w:t>
      </w:r>
      <w:r>
        <w:rPr>
          <w:rFonts w:ascii="宋体" w:hAnsi="宋体" w:cs="宋体" w:hint="eastAsia"/>
          <w:kern w:val="0"/>
          <w:sz w:val="24"/>
        </w:rPr>
        <w:t>。</w:t>
      </w:r>
    </w:p>
    <w:p w14:paraId="58608AE4" w14:textId="77777777" w:rsidR="00566744" w:rsidRDefault="00566744">
      <w:pPr>
        <w:spacing w:line="360" w:lineRule="auto"/>
        <w:rPr>
          <w:rFonts w:ascii="宋体" w:hAnsi="宋体" w:hint="eastAsia"/>
          <w:color w:val="000000"/>
          <w:kern w:val="0"/>
          <w:sz w:val="24"/>
        </w:rPr>
      </w:pPr>
    </w:p>
    <w:p w14:paraId="0ABD3C8D" w14:textId="77777777" w:rsidR="00566744" w:rsidRDefault="00000000">
      <w:pPr>
        <w:spacing w:line="360" w:lineRule="auto"/>
        <w:ind w:firstLineChars="177" w:firstLine="425"/>
        <w:rPr>
          <w:rFonts w:ascii="宋体" w:hAnsi="宋体" w:cs="宋体" w:hint="eastAsia"/>
          <w:kern w:val="0"/>
          <w:sz w:val="24"/>
        </w:rPr>
      </w:pPr>
      <w:r>
        <w:rPr>
          <w:rFonts w:ascii="宋体" w:hAnsi="宋体" w:cs="宋体" w:hint="eastAsia"/>
          <w:kern w:val="0"/>
          <w:sz w:val="24"/>
        </w:rPr>
        <w:lastRenderedPageBreak/>
        <w:t>2、自基金合同生效以来基金累计净值收益率变动及其与同期业绩比较基准收益率变动的比较</w:t>
      </w:r>
    </w:p>
    <w:p w14:paraId="18C89A08" w14:textId="270A675E" w:rsidR="00566744" w:rsidRDefault="00000000">
      <w:pPr>
        <w:spacing w:line="360" w:lineRule="auto"/>
        <w:ind w:firstLineChars="177" w:firstLine="372"/>
        <w:rPr>
          <w:bCs/>
        </w:rPr>
      </w:pPr>
      <w:r>
        <w:rPr>
          <w:rFonts w:hAnsi="Calibri"/>
          <w:noProof/>
          <w:color w:val="000000"/>
        </w:rPr>
        <w:drawing>
          <wp:inline distT="0" distB="0" distL="0" distR="0" wp14:anchorId="3438E23F" wp14:editId="054C590A">
            <wp:extent cx="5486400" cy="3569335"/>
            <wp:effectExtent l="0" t="0" r="0" b="0"/>
            <wp:docPr id="3" name="图片 3" descr="说明: D:\GZ\Bin\MOD\TMP\CN_51130000_003467_FB030020_20260004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说明: D:\GZ\Bin\MOD\TMP\CN_51130000_003467_FB030020_20260004_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486400" cy="3569335"/>
                    </a:xfrm>
                    <a:prstGeom prst="rect">
                      <a:avLst/>
                    </a:prstGeom>
                    <a:noFill/>
                    <a:ln>
                      <a:noFill/>
                    </a:ln>
                  </pic:spPr>
                </pic:pic>
              </a:graphicData>
            </a:graphic>
          </wp:inline>
        </w:drawing>
      </w:r>
    </w:p>
    <w:p w14:paraId="78111025" w14:textId="03B76F41" w:rsidR="00566744" w:rsidRDefault="00000000" w:rsidP="004A5BE7">
      <w:pPr>
        <w:spacing w:line="360" w:lineRule="auto"/>
        <w:ind w:firstLineChars="177" w:firstLine="372"/>
        <w:rPr>
          <w:rFonts w:ascii="宋体" w:hAnsi="宋体" w:hint="eastAsia"/>
          <w:sz w:val="24"/>
        </w:rPr>
      </w:pPr>
      <w:r>
        <w:rPr>
          <w:rFonts w:hAnsi="Calibri"/>
          <w:noProof/>
          <w:color w:val="000000"/>
        </w:rPr>
        <w:drawing>
          <wp:inline distT="0" distB="0" distL="0" distR="0" wp14:anchorId="5A29A39A" wp14:editId="0A7622FD">
            <wp:extent cx="5486400" cy="3569335"/>
            <wp:effectExtent l="0" t="0" r="0" b="0"/>
            <wp:docPr id="5" name="图片 5" descr="说明: D:\GZ\Bin\MOD\TMP\CN_51130000_003467_FB030020_20260004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说明: D:\GZ\Bin\MOD\TMP\CN_51130000_003467_FB030020_20260004_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486400" cy="3569335"/>
                    </a:xfrm>
                    <a:prstGeom prst="rect">
                      <a:avLst/>
                    </a:prstGeom>
                    <a:noFill/>
                    <a:ln>
                      <a:noFill/>
                    </a:ln>
                  </pic:spPr>
                </pic:pic>
              </a:graphicData>
            </a:graphic>
          </wp:inline>
        </w:drawing>
      </w:r>
    </w:p>
    <w:p w14:paraId="41A5550D" w14:textId="77777777" w:rsidR="00566744" w:rsidRDefault="00566744">
      <w:pPr>
        <w:rPr>
          <w:rFonts w:ascii="宋体" w:hAnsi="宋体" w:hint="eastAsia"/>
          <w:sz w:val="24"/>
        </w:rPr>
      </w:pPr>
    </w:p>
    <w:p w14:paraId="7EBCA611" w14:textId="77777777" w:rsidR="00566744" w:rsidRDefault="00566744">
      <w:pPr>
        <w:ind w:firstLine="425"/>
        <w:rPr>
          <w:rFonts w:ascii="宋体" w:hAnsi="宋体" w:hint="eastAsia"/>
          <w:sz w:val="24"/>
        </w:rPr>
        <w:sectPr w:rsidR="00566744">
          <w:pgSz w:w="12240" w:h="15840"/>
          <w:pgMar w:top="1440" w:right="1800" w:bottom="1440" w:left="1800" w:header="720" w:footer="720" w:gutter="0"/>
          <w:cols w:space="720"/>
          <w:docGrid w:linePitch="286"/>
        </w:sectPr>
      </w:pPr>
    </w:p>
    <w:p w14:paraId="263BCBEB" w14:textId="77777777" w:rsidR="00566744" w:rsidRDefault="00000000">
      <w:pPr>
        <w:pStyle w:val="1"/>
        <w:spacing w:line="360" w:lineRule="auto"/>
        <w:jc w:val="center"/>
        <w:rPr>
          <w:rFonts w:ascii="宋体" w:hAnsi="宋体" w:hint="eastAsia"/>
          <w:color w:val="000000"/>
          <w:kern w:val="0"/>
          <w:sz w:val="24"/>
          <w:szCs w:val="24"/>
        </w:rPr>
      </w:pPr>
      <w:bookmarkStart w:id="76" w:name="_Toc482624799"/>
      <w:bookmarkStart w:id="77" w:name="_Toc13779"/>
      <w:bookmarkStart w:id="78" w:name="_Toc78378591"/>
      <w:r>
        <w:rPr>
          <w:rFonts w:ascii="宋体" w:hAnsi="宋体" w:hint="eastAsia"/>
          <w:color w:val="000000"/>
          <w:kern w:val="0"/>
          <w:sz w:val="24"/>
          <w:szCs w:val="24"/>
        </w:rPr>
        <w:lastRenderedPageBreak/>
        <w:t>第十一部分  基金的财产</w:t>
      </w:r>
      <w:bookmarkEnd w:id="69"/>
      <w:bookmarkEnd w:id="74"/>
      <w:bookmarkEnd w:id="75"/>
      <w:bookmarkEnd w:id="76"/>
      <w:bookmarkEnd w:id="77"/>
      <w:bookmarkEnd w:id="78"/>
    </w:p>
    <w:p w14:paraId="5F0AC605" w14:textId="77777777" w:rsidR="00566744" w:rsidRDefault="00000000">
      <w:pPr>
        <w:spacing w:line="360" w:lineRule="auto"/>
        <w:ind w:firstLineChars="200" w:firstLine="480"/>
        <w:rPr>
          <w:rFonts w:asciiTheme="minorEastAsia" w:eastAsiaTheme="minorEastAsia" w:hAnsiTheme="minorEastAsia" w:hint="eastAsia"/>
          <w:color w:val="000000"/>
          <w:kern w:val="0"/>
          <w:sz w:val="24"/>
        </w:rPr>
      </w:pPr>
      <w:r>
        <w:rPr>
          <w:rFonts w:asciiTheme="minorEastAsia" w:eastAsiaTheme="minorEastAsia" w:hAnsiTheme="minorEastAsia" w:hint="eastAsia"/>
          <w:color w:val="000000"/>
          <w:kern w:val="0"/>
          <w:sz w:val="24"/>
        </w:rPr>
        <w:t>（一）基金资产总值</w:t>
      </w:r>
    </w:p>
    <w:p w14:paraId="3B5B8AE1" w14:textId="77777777" w:rsidR="00566744" w:rsidRDefault="00000000">
      <w:pPr>
        <w:spacing w:line="360" w:lineRule="auto"/>
        <w:ind w:firstLineChars="200" w:firstLine="480"/>
        <w:rPr>
          <w:rFonts w:asciiTheme="minorEastAsia" w:eastAsiaTheme="minorEastAsia" w:hAnsiTheme="minorEastAsia" w:hint="eastAsia"/>
          <w:color w:val="000000"/>
          <w:kern w:val="0"/>
          <w:sz w:val="24"/>
        </w:rPr>
      </w:pPr>
      <w:r>
        <w:rPr>
          <w:rFonts w:asciiTheme="minorEastAsia" w:eastAsiaTheme="minorEastAsia" w:hAnsiTheme="minorEastAsia" w:hint="eastAsia"/>
          <w:color w:val="000000"/>
          <w:kern w:val="0"/>
          <w:sz w:val="24"/>
        </w:rPr>
        <w:t>基金资产总值是指购买的各类证券及票据价值、银行存款本息和基金应收的申购基金款以及其他投资所形成的价值总和。</w:t>
      </w:r>
    </w:p>
    <w:p w14:paraId="41EBA424" w14:textId="77777777" w:rsidR="00566744" w:rsidRDefault="00000000">
      <w:pPr>
        <w:spacing w:line="360" w:lineRule="auto"/>
        <w:ind w:firstLineChars="200" w:firstLine="480"/>
        <w:rPr>
          <w:rFonts w:asciiTheme="minorEastAsia" w:eastAsiaTheme="minorEastAsia" w:hAnsiTheme="minorEastAsia" w:hint="eastAsia"/>
          <w:color w:val="000000"/>
          <w:kern w:val="0"/>
          <w:sz w:val="24"/>
        </w:rPr>
      </w:pPr>
      <w:r>
        <w:rPr>
          <w:rFonts w:asciiTheme="minorEastAsia" w:eastAsiaTheme="minorEastAsia" w:hAnsiTheme="minorEastAsia" w:hint="eastAsia"/>
          <w:color w:val="000000"/>
          <w:kern w:val="0"/>
          <w:sz w:val="24"/>
        </w:rPr>
        <w:t>（二）基金资产净值</w:t>
      </w:r>
    </w:p>
    <w:p w14:paraId="0804E115" w14:textId="77777777" w:rsidR="00566744" w:rsidRDefault="00000000">
      <w:pPr>
        <w:spacing w:line="360" w:lineRule="auto"/>
        <w:ind w:firstLineChars="200" w:firstLine="480"/>
        <w:rPr>
          <w:rFonts w:asciiTheme="minorEastAsia" w:eastAsiaTheme="minorEastAsia" w:hAnsiTheme="minorEastAsia" w:hint="eastAsia"/>
          <w:color w:val="000000"/>
          <w:kern w:val="0"/>
          <w:sz w:val="24"/>
        </w:rPr>
      </w:pPr>
      <w:r>
        <w:rPr>
          <w:rFonts w:asciiTheme="minorEastAsia" w:eastAsiaTheme="minorEastAsia" w:hAnsiTheme="minorEastAsia" w:hint="eastAsia"/>
          <w:color w:val="000000"/>
          <w:kern w:val="0"/>
          <w:sz w:val="24"/>
        </w:rPr>
        <w:t>基金资产净值是指基金资产总值减去基金负债后的价值。</w:t>
      </w:r>
    </w:p>
    <w:p w14:paraId="3E3B9A9A" w14:textId="77777777" w:rsidR="00566744" w:rsidRDefault="00000000">
      <w:pPr>
        <w:spacing w:line="360" w:lineRule="auto"/>
        <w:ind w:firstLineChars="200" w:firstLine="480"/>
        <w:rPr>
          <w:rFonts w:asciiTheme="minorEastAsia" w:eastAsiaTheme="minorEastAsia" w:hAnsiTheme="minorEastAsia" w:hint="eastAsia"/>
          <w:color w:val="000000"/>
          <w:kern w:val="0"/>
          <w:sz w:val="24"/>
        </w:rPr>
      </w:pPr>
      <w:r>
        <w:rPr>
          <w:rFonts w:asciiTheme="minorEastAsia" w:eastAsiaTheme="minorEastAsia" w:hAnsiTheme="minorEastAsia" w:hint="eastAsia"/>
          <w:color w:val="000000"/>
          <w:kern w:val="0"/>
          <w:sz w:val="24"/>
        </w:rPr>
        <w:t>（三）基金财产的账户</w:t>
      </w:r>
    </w:p>
    <w:p w14:paraId="0FA6D3B9" w14:textId="77777777" w:rsidR="00566744" w:rsidRDefault="00000000">
      <w:pPr>
        <w:spacing w:line="360" w:lineRule="auto"/>
        <w:ind w:firstLineChars="200" w:firstLine="480"/>
        <w:rPr>
          <w:rFonts w:asciiTheme="minorEastAsia" w:eastAsiaTheme="minorEastAsia" w:hAnsiTheme="minorEastAsia" w:hint="eastAsia"/>
          <w:color w:val="000000"/>
          <w:kern w:val="0"/>
          <w:sz w:val="24"/>
        </w:rPr>
      </w:pPr>
      <w:r>
        <w:rPr>
          <w:rFonts w:asciiTheme="minorEastAsia" w:eastAsiaTheme="minorEastAsia" w:hAnsiTheme="minorEastAsia" w:hint="eastAsia"/>
          <w:color w:val="000000"/>
          <w:kern w:val="0"/>
          <w:sz w:val="24"/>
        </w:rPr>
        <w:t>基金托管人根据相关法律法规、规范性文件为本基金开立资金账户、证券账户以及投资所需的其他专用账户。开立的基金专用账户与基金管理人、基金托管人、基金销售机构和基金登记机构自有的财产账户以及其他基金财产账户相互独立。</w:t>
      </w:r>
    </w:p>
    <w:p w14:paraId="0E152884" w14:textId="77777777" w:rsidR="00566744" w:rsidRDefault="00000000">
      <w:pPr>
        <w:spacing w:line="360" w:lineRule="auto"/>
        <w:ind w:firstLineChars="200" w:firstLine="480"/>
        <w:rPr>
          <w:rFonts w:asciiTheme="minorEastAsia" w:eastAsiaTheme="minorEastAsia" w:hAnsiTheme="minorEastAsia" w:hint="eastAsia"/>
          <w:color w:val="000000"/>
          <w:kern w:val="0"/>
          <w:sz w:val="24"/>
        </w:rPr>
      </w:pPr>
      <w:r>
        <w:rPr>
          <w:rFonts w:asciiTheme="minorEastAsia" w:eastAsiaTheme="minorEastAsia" w:hAnsiTheme="minorEastAsia" w:hint="eastAsia"/>
          <w:color w:val="000000"/>
          <w:kern w:val="0"/>
          <w:sz w:val="24"/>
        </w:rPr>
        <w:t>（四）基金财产的保管及处分</w:t>
      </w:r>
    </w:p>
    <w:p w14:paraId="5CC00E4B" w14:textId="77777777" w:rsidR="00566744" w:rsidRDefault="00000000">
      <w:pPr>
        <w:spacing w:line="360" w:lineRule="auto"/>
        <w:ind w:firstLineChars="200" w:firstLine="480"/>
        <w:rPr>
          <w:rFonts w:asciiTheme="minorEastAsia" w:eastAsiaTheme="minorEastAsia" w:hAnsiTheme="minorEastAsia" w:hint="eastAsia"/>
          <w:color w:val="000000"/>
          <w:kern w:val="0"/>
          <w:sz w:val="24"/>
        </w:rPr>
      </w:pPr>
      <w:r>
        <w:rPr>
          <w:rFonts w:asciiTheme="minorEastAsia" w:eastAsiaTheme="minorEastAsia" w:hAnsiTheme="minorEastAsia" w:hint="eastAsia"/>
          <w:color w:val="000000"/>
          <w:kern w:val="0"/>
          <w:sz w:val="24"/>
        </w:rPr>
        <w:t>本基金财产独立于基金管理人、基金托管人和基金销售机构的财产，并由基金托管人保管。基金管理人、基金托管人、基金登记机构和基金销售机构以其自有的财产承担其自身的法律责任，其债权人不得对本基金财产行使请求冻结、扣押或其他权利。除依法</w:t>
      </w:r>
      <w:proofErr w:type="gramStart"/>
      <w:r>
        <w:rPr>
          <w:rFonts w:asciiTheme="minorEastAsia" w:eastAsiaTheme="minorEastAsia" w:hAnsiTheme="minorEastAsia" w:hint="eastAsia"/>
          <w:color w:val="000000"/>
          <w:kern w:val="0"/>
          <w:sz w:val="24"/>
        </w:rPr>
        <w:t>律法规</w:t>
      </w:r>
      <w:proofErr w:type="gramEnd"/>
      <w:r>
        <w:rPr>
          <w:rFonts w:asciiTheme="minorEastAsia" w:eastAsiaTheme="minorEastAsia" w:hAnsiTheme="minorEastAsia" w:hint="eastAsia"/>
          <w:color w:val="000000"/>
          <w:kern w:val="0"/>
          <w:sz w:val="24"/>
        </w:rPr>
        <w:t>和《基金合同》的规定处分外，基金财产不得被处分。</w:t>
      </w:r>
    </w:p>
    <w:p w14:paraId="4EF131E1" w14:textId="77777777" w:rsidR="00566744" w:rsidRDefault="00000000">
      <w:pPr>
        <w:spacing w:line="360" w:lineRule="auto"/>
        <w:ind w:firstLineChars="200" w:firstLine="480"/>
        <w:rPr>
          <w:rFonts w:asciiTheme="minorEastAsia" w:eastAsiaTheme="minorEastAsia" w:hAnsiTheme="minorEastAsia" w:hint="eastAsia"/>
          <w:color w:val="000000"/>
          <w:kern w:val="0"/>
          <w:sz w:val="24"/>
        </w:rPr>
      </w:pPr>
      <w:r>
        <w:rPr>
          <w:rFonts w:asciiTheme="minorEastAsia" w:eastAsiaTheme="minorEastAsia" w:hAnsiTheme="minorEastAsia" w:hint="eastAsia"/>
          <w:color w:val="000000"/>
          <w:kern w:val="0"/>
          <w:sz w:val="24"/>
        </w:rPr>
        <w:t>基金管理人、基金托管人因依法解散、被依法撤销或者被依法宣告破产等原因进行清算的，基金财产不属于其清算财产。基金管理人管理运作基金财产所产生的债权，不得与其固有资产产生的债务相互</w:t>
      </w:r>
      <w:proofErr w:type="gramStart"/>
      <w:r>
        <w:rPr>
          <w:rFonts w:asciiTheme="minorEastAsia" w:eastAsiaTheme="minorEastAsia" w:hAnsiTheme="minorEastAsia" w:hint="eastAsia"/>
          <w:color w:val="000000"/>
          <w:kern w:val="0"/>
          <w:sz w:val="24"/>
        </w:rPr>
        <w:t>抵销</w:t>
      </w:r>
      <w:proofErr w:type="gramEnd"/>
      <w:r>
        <w:rPr>
          <w:rFonts w:asciiTheme="minorEastAsia" w:eastAsiaTheme="minorEastAsia" w:hAnsiTheme="minorEastAsia" w:hint="eastAsia"/>
          <w:color w:val="000000"/>
          <w:kern w:val="0"/>
          <w:sz w:val="24"/>
        </w:rPr>
        <w:t>；基金管理人管理运作不同基金的基金财产所产生的债权债务不得相互</w:t>
      </w:r>
      <w:proofErr w:type="gramStart"/>
      <w:r>
        <w:rPr>
          <w:rFonts w:asciiTheme="minorEastAsia" w:eastAsiaTheme="minorEastAsia" w:hAnsiTheme="minorEastAsia" w:hint="eastAsia"/>
          <w:color w:val="000000"/>
          <w:kern w:val="0"/>
          <w:sz w:val="24"/>
        </w:rPr>
        <w:t>抵销</w:t>
      </w:r>
      <w:proofErr w:type="gramEnd"/>
      <w:r>
        <w:rPr>
          <w:rFonts w:asciiTheme="minorEastAsia" w:eastAsiaTheme="minorEastAsia" w:hAnsiTheme="minorEastAsia" w:hint="eastAsia"/>
          <w:color w:val="000000"/>
          <w:kern w:val="0"/>
          <w:sz w:val="24"/>
        </w:rPr>
        <w:t>。</w:t>
      </w:r>
      <w:bookmarkStart w:id="79" w:name="_Hlt88900062"/>
      <w:bookmarkStart w:id="80" w:name="_Hlt88841837"/>
      <w:bookmarkEnd w:id="79"/>
      <w:bookmarkEnd w:id="80"/>
    </w:p>
    <w:p w14:paraId="16136E64" w14:textId="77777777" w:rsidR="00566744" w:rsidRDefault="00000000">
      <w:pPr>
        <w:pStyle w:val="1"/>
        <w:spacing w:line="360" w:lineRule="auto"/>
        <w:jc w:val="center"/>
        <w:rPr>
          <w:rFonts w:ascii="宋体" w:hAnsi="宋体" w:hint="eastAsia"/>
          <w:color w:val="000000"/>
          <w:kern w:val="0"/>
          <w:sz w:val="24"/>
          <w:szCs w:val="24"/>
        </w:rPr>
      </w:pPr>
      <w:r>
        <w:rPr>
          <w:rFonts w:ascii="宋体" w:hAnsi="宋体"/>
          <w:color w:val="000000"/>
          <w:kern w:val="0"/>
          <w:sz w:val="24"/>
          <w:szCs w:val="24"/>
        </w:rPr>
        <w:br w:type="page"/>
      </w:r>
      <w:bookmarkStart w:id="81" w:name="_Toc256666800"/>
      <w:bookmarkStart w:id="82" w:name="_Toc10998"/>
      <w:bookmarkStart w:id="83" w:name="_Toc256666920"/>
      <w:bookmarkStart w:id="84" w:name="_Toc78378592"/>
      <w:bookmarkStart w:id="85" w:name="_Toc482624800"/>
      <w:r>
        <w:rPr>
          <w:rFonts w:ascii="宋体" w:hAnsi="宋体" w:hint="eastAsia"/>
          <w:color w:val="000000"/>
          <w:kern w:val="0"/>
          <w:sz w:val="24"/>
          <w:szCs w:val="24"/>
        </w:rPr>
        <w:lastRenderedPageBreak/>
        <w:t>第十二部分  基金资产的估值</w:t>
      </w:r>
      <w:bookmarkEnd w:id="81"/>
      <w:bookmarkEnd w:id="82"/>
      <w:bookmarkEnd w:id="83"/>
      <w:bookmarkEnd w:id="84"/>
      <w:bookmarkEnd w:id="85"/>
    </w:p>
    <w:p w14:paraId="027EAA27" w14:textId="77777777" w:rsidR="00566744" w:rsidRDefault="00000000">
      <w:pPr>
        <w:spacing w:line="360" w:lineRule="auto"/>
        <w:ind w:firstLineChars="200" w:firstLine="480"/>
        <w:rPr>
          <w:rFonts w:ascii="宋体" w:hAnsi="宋体" w:hint="eastAsia"/>
          <w:color w:val="000000"/>
          <w:kern w:val="0"/>
          <w:sz w:val="24"/>
        </w:rPr>
      </w:pPr>
      <w:bookmarkStart w:id="86" w:name="_Hlt88900318"/>
      <w:bookmarkEnd w:id="86"/>
      <w:r>
        <w:rPr>
          <w:rFonts w:ascii="宋体" w:hAnsi="宋体" w:hint="eastAsia"/>
          <w:color w:val="000000"/>
          <w:kern w:val="0"/>
          <w:sz w:val="24"/>
        </w:rPr>
        <w:t>（一）估值日</w:t>
      </w:r>
    </w:p>
    <w:p w14:paraId="50525A02" w14:textId="77777777" w:rsidR="00566744" w:rsidRDefault="00000000">
      <w:pPr>
        <w:spacing w:line="360" w:lineRule="auto"/>
        <w:ind w:firstLineChars="200" w:firstLine="480"/>
        <w:rPr>
          <w:rFonts w:ascii="宋体" w:hAnsi="宋体" w:hint="eastAsia"/>
          <w:color w:val="000000"/>
          <w:kern w:val="0"/>
          <w:sz w:val="24"/>
        </w:rPr>
      </w:pPr>
      <w:r>
        <w:rPr>
          <w:bCs/>
          <w:sz w:val="24"/>
        </w:rPr>
        <w:t>本基金的估值日为本基金相关的证券交易场所的交易日以及国家法律法规规定需要对外披露基金资产净值、各类基金份额的每万份基金已实现收益和</w:t>
      </w:r>
      <w:proofErr w:type="gramStart"/>
      <w:r>
        <w:rPr>
          <w:bCs/>
          <w:sz w:val="24"/>
        </w:rPr>
        <w:t>7</w:t>
      </w:r>
      <w:r>
        <w:rPr>
          <w:bCs/>
          <w:sz w:val="24"/>
        </w:rPr>
        <w:t>日年化收益率</w:t>
      </w:r>
      <w:proofErr w:type="gramEnd"/>
      <w:r>
        <w:rPr>
          <w:bCs/>
          <w:sz w:val="24"/>
        </w:rPr>
        <w:t>的</w:t>
      </w:r>
      <w:proofErr w:type="gramStart"/>
      <w:r>
        <w:rPr>
          <w:bCs/>
          <w:sz w:val="24"/>
        </w:rPr>
        <w:t>非交易</w:t>
      </w:r>
      <w:proofErr w:type="gramEnd"/>
      <w:r>
        <w:rPr>
          <w:bCs/>
          <w:sz w:val="24"/>
        </w:rPr>
        <w:t>日</w:t>
      </w:r>
      <w:r>
        <w:rPr>
          <w:rFonts w:ascii="宋体" w:hAnsi="宋体" w:hint="eastAsia"/>
          <w:color w:val="000000"/>
          <w:kern w:val="0"/>
          <w:sz w:val="24"/>
        </w:rPr>
        <w:t>。</w:t>
      </w:r>
    </w:p>
    <w:p w14:paraId="0253CF48"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（二）估值对象</w:t>
      </w:r>
    </w:p>
    <w:p w14:paraId="6443AB63" w14:textId="77777777" w:rsidR="00566744" w:rsidRDefault="00000000">
      <w:pPr>
        <w:spacing w:line="360" w:lineRule="auto"/>
        <w:ind w:firstLineChars="200" w:firstLine="480"/>
        <w:rPr>
          <w:bCs/>
          <w:sz w:val="24"/>
          <w:szCs w:val="20"/>
        </w:rPr>
      </w:pPr>
      <w:r>
        <w:rPr>
          <w:rFonts w:ascii="宋体" w:hAnsi="宋体" w:hint="eastAsia"/>
          <w:color w:val="000000"/>
          <w:kern w:val="0"/>
          <w:sz w:val="24"/>
        </w:rPr>
        <w:t>基金所拥有的各类证券和银行存款本息、应收款项、其它投资等资产及负债。</w:t>
      </w:r>
    </w:p>
    <w:p w14:paraId="1312D195"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（三）估值方法</w:t>
      </w:r>
    </w:p>
    <w:p w14:paraId="53FEF8BA" w14:textId="77777777" w:rsidR="00566744" w:rsidRDefault="00000000">
      <w:pPr>
        <w:autoSpaceDE w:val="0"/>
        <w:autoSpaceDN w:val="0"/>
        <w:adjustRightInd w:val="0"/>
        <w:spacing w:line="360" w:lineRule="auto"/>
        <w:ind w:firstLineChars="200" w:firstLine="480"/>
        <w:jc w:val="left"/>
        <w:rPr>
          <w:bCs/>
          <w:sz w:val="24"/>
        </w:rPr>
      </w:pPr>
      <w:r>
        <w:rPr>
          <w:bCs/>
          <w:sz w:val="24"/>
        </w:rPr>
        <w:t>1</w:t>
      </w:r>
      <w:r>
        <w:rPr>
          <w:rFonts w:hint="eastAsia"/>
          <w:bCs/>
          <w:sz w:val="24"/>
        </w:rPr>
        <w:t>、本基金估值采用“摊余成本法”，即计价对象以买入成本列示，按照票面利率或协议利率并考虑其买入时的溢价与折价，在剩余存续期内按实际利率法进行摊销，每日计提损益。本基金不采用市场利率和上市交易的债券和票据的市价计算基金资产净值。</w:t>
      </w:r>
    </w:p>
    <w:p w14:paraId="7798C8DD" w14:textId="77777777" w:rsidR="00566744" w:rsidRDefault="00000000">
      <w:pPr>
        <w:autoSpaceDE w:val="0"/>
        <w:autoSpaceDN w:val="0"/>
        <w:adjustRightInd w:val="0"/>
        <w:spacing w:line="360" w:lineRule="auto"/>
        <w:ind w:firstLineChars="200" w:firstLine="480"/>
        <w:jc w:val="left"/>
        <w:rPr>
          <w:bCs/>
          <w:sz w:val="24"/>
        </w:rPr>
      </w:pPr>
      <w:r>
        <w:rPr>
          <w:bCs/>
          <w:sz w:val="24"/>
        </w:rPr>
        <w:t>2</w:t>
      </w:r>
      <w:r>
        <w:rPr>
          <w:rFonts w:hint="eastAsia"/>
          <w:bCs/>
          <w:sz w:val="24"/>
        </w:rPr>
        <w:t>、为了避免采用“摊余成本法”计算的基金资产净值与按市场利率和交易市价计算的基金资产净值发生重大偏离，从而对基金份额持有人的利益产生稀释和不公平的结果，基金管理人于每一估值日，采用估值技术，对基金持有的估值对象进行重新评估，即</w:t>
      </w:r>
      <w:r>
        <w:rPr>
          <w:bCs/>
          <w:sz w:val="24"/>
        </w:rPr>
        <w:t>“</w:t>
      </w:r>
      <w:r>
        <w:rPr>
          <w:rFonts w:hint="eastAsia"/>
          <w:bCs/>
          <w:sz w:val="24"/>
        </w:rPr>
        <w:t>影子定价</w:t>
      </w:r>
      <w:r>
        <w:rPr>
          <w:bCs/>
          <w:sz w:val="24"/>
        </w:rPr>
        <w:t>”</w:t>
      </w:r>
      <w:r>
        <w:rPr>
          <w:rFonts w:hint="eastAsia"/>
          <w:bCs/>
          <w:sz w:val="24"/>
        </w:rPr>
        <w:t>。当影子定价确定的基金资产净值与摊</w:t>
      </w:r>
      <w:proofErr w:type="gramStart"/>
      <w:r>
        <w:rPr>
          <w:rFonts w:hint="eastAsia"/>
          <w:bCs/>
          <w:sz w:val="24"/>
        </w:rPr>
        <w:t>余成本</w:t>
      </w:r>
      <w:proofErr w:type="gramEnd"/>
      <w:r>
        <w:rPr>
          <w:rFonts w:hint="eastAsia"/>
          <w:bCs/>
          <w:sz w:val="24"/>
        </w:rPr>
        <w:t>法计算的基金资产净值的负偏离度绝对值达到</w:t>
      </w:r>
      <w:r>
        <w:rPr>
          <w:bCs/>
          <w:sz w:val="24"/>
        </w:rPr>
        <w:t>0.25%</w:t>
      </w:r>
      <w:r>
        <w:rPr>
          <w:rFonts w:hint="eastAsia"/>
          <w:bCs/>
          <w:sz w:val="24"/>
        </w:rPr>
        <w:t>时，基金管理人应当在</w:t>
      </w:r>
      <w:r>
        <w:rPr>
          <w:bCs/>
          <w:sz w:val="24"/>
        </w:rPr>
        <w:t>5</w:t>
      </w:r>
      <w:r>
        <w:rPr>
          <w:rFonts w:hint="eastAsia"/>
          <w:bCs/>
          <w:sz w:val="24"/>
        </w:rPr>
        <w:t>个交易日内将负偏离度绝对值调整到</w:t>
      </w:r>
      <w:r>
        <w:rPr>
          <w:bCs/>
          <w:sz w:val="24"/>
        </w:rPr>
        <w:t>0.25%</w:t>
      </w:r>
      <w:r>
        <w:rPr>
          <w:rFonts w:hint="eastAsia"/>
          <w:bCs/>
          <w:sz w:val="24"/>
        </w:rPr>
        <w:t>以内。当正偏离度绝对值达到</w:t>
      </w:r>
      <w:r>
        <w:rPr>
          <w:bCs/>
          <w:sz w:val="24"/>
        </w:rPr>
        <w:t>0.5%</w:t>
      </w:r>
      <w:r>
        <w:rPr>
          <w:rFonts w:hint="eastAsia"/>
          <w:bCs/>
          <w:sz w:val="24"/>
        </w:rPr>
        <w:t>时，基金管理人应当暂停接受申购并在</w:t>
      </w:r>
      <w:r>
        <w:rPr>
          <w:bCs/>
          <w:sz w:val="24"/>
        </w:rPr>
        <w:t>5</w:t>
      </w:r>
      <w:r>
        <w:rPr>
          <w:rFonts w:hint="eastAsia"/>
          <w:bCs/>
          <w:sz w:val="24"/>
        </w:rPr>
        <w:t>个交易日内将正偏离度绝对值调整到</w:t>
      </w:r>
      <w:r>
        <w:rPr>
          <w:bCs/>
          <w:sz w:val="24"/>
        </w:rPr>
        <w:t>0.5%</w:t>
      </w:r>
      <w:r>
        <w:rPr>
          <w:rFonts w:hint="eastAsia"/>
          <w:bCs/>
          <w:sz w:val="24"/>
        </w:rPr>
        <w:t>以内。当负偏离度绝对值达到</w:t>
      </w:r>
      <w:r>
        <w:rPr>
          <w:bCs/>
          <w:sz w:val="24"/>
        </w:rPr>
        <w:t>0.5%</w:t>
      </w:r>
      <w:r>
        <w:rPr>
          <w:rFonts w:hint="eastAsia"/>
          <w:bCs/>
          <w:sz w:val="24"/>
        </w:rPr>
        <w:t>时，基金管理人应当使用风险准备金或者</w:t>
      </w:r>
      <w:proofErr w:type="gramStart"/>
      <w:r>
        <w:rPr>
          <w:rFonts w:hint="eastAsia"/>
          <w:bCs/>
          <w:sz w:val="24"/>
        </w:rPr>
        <w:t>固有资金</w:t>
      </w:r>
      <w:proofErr w:type="gramEnd"/>
      <w:r>
        <w:rPr>
          <w:rFonts w:hint="eastAsia"/>
          <w:bCs/>
          <w:sz w:val="24"/>
        </w:rPr>
        <w:t>弥补潜在资产损失，将负偏离度绝对值控制在</w:t>
      </w:r>
      <w:r>
        <w:rPr>
          <w:bCs/>
          <w:sz w:val="24"/>
        </w:rPr>
        <w:t>0.5%</w:t>
      </w:r>
      <w:r>
        <w:rPr>
          <w:rFonts w:hint="eastAsia"/>
          <w:bCs/>
          <w:sz w:val="24"/>
        </w:rPr>
        <w:t>以内。当负偏离度绝对值连续两个交易日超过</w:t>
      </w:r>
      <w:r>
        <w:rPr>
          <w:bCs/>
          <w:sz w:val="24"/>
        </w:rPr>
        <w:t>0.5%</w:t>
      </w:r>
      <w:r>
        <w:rPr>
          <w:rFonts w:hint="eastAsia"/>
          <w:bCs/>
          <w:sz w:val="24"/>
        </w:rPr>
        <w:t>时，基金管理人应当采用公允价值估值方法对持有投资组合的账面价值进行调整，或者采取暂停接受所有赎回申请并终止基金合同进行财产清算等措施。</w:t>
      </w:r>
    </w:p>
    <w:p w14:paraId="3B5EC98F" w14:textId="77777777" w:rsidR="00566744" w:rsidRDefault="00000000">
      <w:pPr>
        <w:autoSpaceDE w:val="0"/>
        <w:autoSpaceDN w:val="0"/>
        <w:adjustRightInd w:val="0"/>
        <w:spacing w:line="360" w:lineRule="auto"/>
        <w:ind w:firstLineChars="177" w:firstLine="425"/>
        <w:jc w:val="left"/>
        <w:rPr>
          <w:bCs/>
          <w:sz w:val="24"/>
        </w:rPr>
      </w:pPr>
      <w:r>
        <w:rPr>
          <w:bCs/>
          <w:sz w:val="24"/>
        </w:rPr>
        <w:t>3</w:t>
      </w:r>
      <w:r>
        <w:rPr>
          <w:rFonts w:hint="eastAsia"/>
          <w:bCs/>
          <w:sz w:val="24"/>
        </w:rPr>
        <w:t>、如有确凿证据表明按上述方法进行估值不能客观反映其公允价值的，基金管理人可根据具体情况与基金托管人商定后，按最能反映公允价值的价格估值。</w:t>
      </w:r>
    </w:p>
    <w:p w14:paraId="3E6755C8" w14:textId="77777777" w:rsidR="00566744" w:rsidRDefault="00000000">
      <w:pPr>
        <w:autoSpaceDE w:val="0"/>
        <w:autoSpaceDN w:val="0"/>
        <w:adjustRightInd w:val="0"/>
        <w:spacing w:line="360" w:lineRule="auto"/>
        <w:ind w:firstLineChars="177" w:firstLine="425"/>
        <w:jc w:val="left"/>
        <w:rPr>
          <w:bCs/>
          <w:sz w:val="24"/>
        </w:rPr>
      </w:pPr>
      <w:r>
        <w:rPr>
          <w:bCs/>
          <w:sz w:val="24"/>
        </w:rPr>
        <w:t>4</w:t>
      </w:r>
      <w:r>
        <w:rPr>
          <w:rFonts w:hint="eastAsia"/>
          <w:bCs/>
          <w:sz w:val="24"/>
        </w:rPr>
        <w:t>、相关法律法规以及监管部门有强制规定的，从其规定。如有新增事项，按国</w:t>
      </w:r>
      <w:r>
        <w:rPr>
          <w:rFonts w:hint="eastAsia"/>
          <w:bCs/>
          <w:sz w:val="24"/>
        </w:rPr>
        <w:lastRenderedPageBreak/>
        <w:t>家最新规定估值。</w:t>
      </w:r>
    </w:p>
    <w:p w14:paraId="1D52A38A" w14:textId="77777777" w:rsidR="00566744" w:rsidRDefault="00000000">
      <w:pPr>
        <w:autoSpaceDE w:val="0"/>
        <w:autoSpaceDN w:val="0"/>
        <w:adjustRightInd w:val="0"/>
        <w:spacing w:line="360" w:lineRule="auto"/>
        <w:ind w:firstLineChars="177" w:firstLine="425"/>
        <w:jc w:val="left"/>
        <w:rPr>
          <w:bCs/>
          <w:sz w:val="24"/>
        </w:rPr>
      </w:pPr>
      <w:r>
        <w:rPr>
          <w:rFonts w:hint="eastAsia"/>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06589C5C" w14:textId="77777777" w:rsidR="00566744" w:rsidRDefault="00000000">
      <w:pPr>
        <w:spacing w:line="360" w:lineRule="auto"/>
        <w:ind w:firstLineChars="177" w:firstLine="425"/>
        <w:rPr>
          <w:rFonts w:ascii="宋体" w:hAnsi="宋体" w:hint="eastAsia"/>
          <w:color w:val="000000"/>
          <w:kern w:val="0"/>
          <w:sz w:val="24"/>
        </w:rPr>
      </w:pPr>
      <w:r>
        <w:rPr>
          <w:rFonts w:hint="eastAsia"/>
          <w:bCs/>
          <w:sz w:val="24"/>
        </w:rPr>
        <w:t>根据有关法律法规，基金资产净值、每万份基金已实现收益及</w:t>
      </w:r>
      <w:proofErr w:type="gramStart"/>
      <w:r>
        <w:rPr>
          <w:rFonts w:hint="eastAsia"/>
          <w:bCs/>
          <w:sz w:val="24"/>
        </w:rPr>
        <w:t>7</w:t>
      </w:r>
      <w:r>
        <w:rPr>
          <w:rFonts w:hint="eastAsia"/>
          <w:bCs/>
          <w:sz w:val="24"/>
        </w:rPr>
        <w:t>日年化收益率</w:t>
      </w:r>
      <w:proofErr w:type="gramEnd"/>
      <w:r>
        <w:rPr>
          <w:rFonts w:hint="eastAsia"/>
          <w:bCs/>
          <w:sz w:val="24"/>
        </w:rPr>
        <w:t>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各类基金份额的每万份基金已实现收益和</w:t>
      </w:r>
      <w:proofErr w:type="gramStart"/>
      <w:r>
        <w:rPr>
          <w:rFonts w:hint="eastAsia"/>
          <w:bCs/>
          <w:sz w:val="24"/>
        </w:rPr>
        <w:t>7</w:t>
      </w:r>
      <w:r>
        <w:rPr>
          <w:rFonts w:hint="eastAsia"/>
          <w:bCs/>
          <w:sz w:val="24"/>
        </w:rPr>
        <w:t>日年化收益率</w:t>
      </w:r>
      <w:proofErr w:type="gramEnd"/>
      <w:r>
        <w:rPr>
          <w:rFonts w:hint="eastAsia"/>
          <w:bCs/>
          <w:sz w:val="24"/>
        </w:rPr>
        <w:t>的计算结果对外予以公布。</w:t>
      </w:r>
    </w:p>
    <w:p w14:paraId="107323E1"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（四）估值程序</w:t>
      </w:r>
    </w:p>
    <w:p w14:paraId="2C3439E5" w14:textId="77777777" w:rsidR="00566744" w:rsidRDefault="00000000">
      <w:pPr>
        <w:spacing w:line="360" w:lineRule="auto"/>
        <w:ind w:firstLineChars="177" w:firstLine="425"/>
        <w:rPr>
          <w:bCs/>
          <w:sz w:val="24"/>
        </w:rPr>
      </w:pPr>
      <w:r>
        <w:rPr>
          <w:bCs/>
          <w:sz w:val="24"/>
        </w:rPr>
        <w:t>1</w:t>
      </w:r>
      <w:r>
        <w:rPr>
          <w:rFonts w:hint="eastAsia"/>
          <w:bCs/>
          <w:sz w:val="24"/>
        </w:rPr>
        <w:t>、每万份基金已实现收益是按照相关法规计算的每万份基金份额的日已实现收益，精确到小数点后第</w:t>
      </w:r>
      <w:r>
        <w:rPr>
          <w:bCs/>
          <w:sz w:val="24"/>
        </w:rPr>
        <w:t>4</w:t>
      </w:r>
      <w:r>
        <w:rPr>
          <w:rFonts w:hint="eastAsia"/>
          <w:bCs/>
          <w:sz w:val="24"/>
        </w:rPr>
        <w:t>位，小数点后第</w:t>
      </w:r>
      <w:r>
        <w:rPr>
          <w:bCs/>
          <w:sz w:val="24"/>
        </w:rPr>
        <w:t>5</w:t>
      </w:r>
      <w:r>
        <w:rPr>
          <w:rFonts w:hint="eastAsia"/>
          <w:bCs/>
          <w:sz w:val="24"/>
        </w:rPr>
        <w:t>位四舍五入。本基金</w:t>
      </w:r>
      <w:proofErr w:type="gramStart"/>
      <w:r>
        <w:rPr>
          <w:bCs/>
          <w:sz w:val="24"/>
        </w:rPr>
        <w:t>7</w:t>
      </w:r>
      <w:r>
        <w:rPr>
          <w:rFonts w:hint="eastAsia"/>
          <w:bCs/>
          <w:sz w:val="24"/>
        </w:rPr>
        <w:t>日年化收益率</w:t>
      </w:r>
      <w:proofErr w:type="gramEnd"/>
      <w:r>
        <w:rPr>
          <w:rFonts w:hint="eastAsia"/>
          <w:bCs/>
          <w:sz w:val="24"/>
        </w:rPr>
        <w:t>是以最近</w:t>
      </w:r>
      <w:r>
        <w:rPr>
          <w:bCs/>
          <w:sz w:val="24"/>
        </w:rPr>
        <w:t>7</w:t>
      </w:r>
      <w:r>
        <w:rPr>
          <w:rFonts w:hint="eastAsia"/>
          <w:bCs/>
          <w:sz w:val="24"/>
        </w:rPr>
        <w:t>日</w:t>
      </w:r>
      <w:r>
        <w:rPr>
          <w:bCs/>
          <w:sz w:val="24"/>
        </w:rPr>
        <w:t>(</w:t>
      </w:r>
      <w:r>
        <w:rPr>
          <w:rFonts w:hint="eastAsia"/>
          <w:bCs/>
          <w:sz w:val="24"/>
        </w:rPr>
        <w:t>含节假日</w:t>
      </w:r>
      <w:r>
        <w:rPr>
          <w:bCs/>
          <w:sz w:val="24"/>
        </w:rPr>
        <w:t>)</w:t>
      </w:r>
      <w:r>
        <w:rPr>
          <w:rFonts w:hint="eastAsia"/>
          <w:bCs/>
          <w:sz w:val="24"/>
        </w:rPr>
        <w:t>收益所折算的</w:t>
      </w:r>
      <w:proofErr w:type="gramStart"/>
      <w:r>
        <w:rPr>
          <w:rFonts w:hint="eastAsia"/>
          <w:bCs/>
          <w:sz w:val="24"/>
        </w:rPr>
        <w:t>年资产</w:t>
      </w:r>
      <w:proofErr w:type="gramEnd"/>
      <w:r>
        <w:rPr>
          <w:rFonts w:hint="eastAsia"/>
          <w:bCs/>
          <w:sz w:val="24"/>
        </w:rPr>
        <w:t>收益率，精确到</w:t>
      </w:r>
      <w:r>
        <w:rPr>
          <w:bCs/>
          <w:sz w:val="24"/>
        </w:rPr>
        <w:t>0.001%</w:t>
      </w:r>
      <w:r>
        <w:rPr>
          <w:rFonts w:hint="eastAsia"/>
          <w:bCs/>
          <w:sz w:val="24"/>
        </w:rPr>
        <w:t>，百分号内小数点后第</w:t>
      </w:r>
      <w:r>
        <w:rPr>
          <w:bCs/>
          <w:sz w:val="24"/>
        </w:rPr>
        <w:t>4</w:t>
      </w:r>
      <w:r>
        <w:rPr>
          <w:rFonts w:hint="eastAsia"/>
          <w:bCs/>
          <w:sz w:val="24"/>
        </w:rPr>
        <w:t>位四舍五入。国家另有规定的，从其规定。</w:t>
      </w:r>
    </w:p>
    <w:p w14:paraId="6A9DC0C8" w14:textId="77777777" w:rsidR="00566744" w:rsidRDefault="00000000">
      <w:pPr>
        <w:spacing w:line="360" w:lineRule="auto"/>
        <w:ind w:firstLineChars="177" w:firstLine="425"/>
        <w:rPr>
          <w:bCs/>
          <w:sz w:val="24"/>
        </w:rPr>
      </w:pPr>
      <w:r>
        <w:rPr>
          <w:bCs/>
          <w:sz w:val="24"/>
        </w:rPr>
        <w:t>2</w:t>
      </w:r>
      <w:r>
        <w:rPr>
          <w:rFonts w:hint="eastAsia"/>
          <w:bCs/>
          <w:sz w:val="24"/>
        </w:rPr>
        <w:t>、基金管理人</w:t>
      </w:r>
      <w:proofErr w:type="gramStart"/>
      <w:r>
        <w:rPr>
          <w:rFonts w:hint="eastAsia"/>
          <w:bCs/>
          <w:sz w:val="24"/>
        </w:rPr>
        <w:t>应每个</w:t>
      </w:r>
      <w:proofErr w:type="gramEnd"/>
      <w:r>
        <w:rPr>
          <w:rFonts w:hint="eastAsia"/>
          <w:bCs/>
          <w:sz w:val="24"/>
        </w:rPr>
        <w:t>工作日对基金资产估值。但基金管理人根据法律法规或基金合同的规定暂停估值时除外。基金管理人每个工作日对基金资产估值后，将估值结果发送基金托管人，经基金托管人复核无误后，由基金管理人对外公布。</w:t>
      </w:r>
    </w:p>
    <w:p w14:paraId="40F9BA82" w14:textId="77777777" w:rsidR="00566744" w:rsidRDefault="00000000">
      <w:pPr>
        <w:spacing w:line="360" w:lineRule="auto"/>
        <w:ind w:firstLineChars="177" w:firstLine="425"/>
        <w:rPr>
          <w:bCs/>
          <w:sz w:val="24"/>
        </w:rPr>
      </w:pPr>
      <w:r>
        <w:rPr>
          <w:rFonts w:hint="eastAsia"/>
          <w:bCs/>
          <w:sz w:val="24"/>
        </w:rPr>
        <w:t>（五）估值错误的处理</w:t>
      </w:r>
    </w:p>
    <w:p w14:paraId="4774DEC0" w14:textId="77777777" w:rsidR="00566744" w:rsidRDefault="00000000">
      <w:pPr>
        <w:spacing w:line="360" w:lineRule="auto"/>
        <w:ind w:firstLineChars="177" w:firstLine="425"/>
        <w:rPr>
          <w:bCs/>
          <w:sz w:val="24"/>
        </w:rPr>
      </w:pPr>
      <w:r>
        <w:rPr>
          <w:bCs/>
          <w:sz w:val="24"/>
        </w:rPr>
        <w:t>基金管理人和基金托管人将采取必要、适当、合理的措施确保基金资产估值的准确性、及时性。当基金资产的计价导致每万份基金已实现收益小数点后</w:t>
      </w:r>
      <w:r>
        <w:rPr>
          <w:bCs/>
          <w:sz w:val="24"/>
        </w:rPr>
        <w:t>4</w:t>
      </w:r>
      <w:r>
        <w:rPr>
          <w:rFonts w:hint="eastAsia"/>
          <w:bCs/>
          <w:sz w:val="24"/>
        </w:rPr>
        <w:t>位或</w:t>
      </w:r>
      <w:proofErr w:type="gramStart"/>
      <w:r>
        <w:rPr>
          <w:rFonts w:hint="eastAsia"/>
          <w:bCs/>
          <w:sz w:val="24"/>
        </w:rPr>
        <w:t>7</w:t>
      </w:r>
      <w:r>
        <w:rPr>
          <w:rFonts w:hint="eastAsia"/>
          <w:bCs/>
          <w:sz w:val="24"/>
        </w:rPr>
        <w:t>日年化收益率</w:t>
      </w:r>
      <w:proofErr w:type="gramEnd"/>
      <w:r>
        <w:rPr>
          <w:rFonts w:hint="eastAsia"/>
          <w:bCs/>
          <w:sz w:val="24"/>
        </w:rPr>
        <w:t>百分号内小数点后</w:t>
      </w:r>
      <w:r>
        <w:rPr>
          <w:bCs/>
          <w:sz w:val="24"/>
        </w:rPr>
        <w:t>3</w:t>
      </w:r>
      <w:r>
        <w:rPr>
          <w:rFonts w:hint="eastAsia"/>
          <w:bCs/>
          <w:sz w:val="24"/>
        </w:rPr>
        <w:t>位以内发生差错时，视为估值错误。</w:t>
      </w:r>
    </w:p>
    <w:p w14:paraId="69923733" w14:textId="77777777" w:rsidR="00566744" w:rsidRDefault="00000000">
      <w:pPr>
        <w:spacing w:line="360" w:lineRule="auto"/>
        <w:ind w:firstLineChars="177" w:firstLine="425"/>
        <w:rPr>
          <w:bCs/>
          <w:sz w:val="24"/>
        </w:rPr>
      </w:pPr>
      <w:r>
        <w:rPr>
          <w:rFonts w:hint="eastAsia"/>
          <w:bCs/>
          <w:sz w:val="24"/>
        </w:rPr>
        <w:t>基金合同的当事人应按照以下约定处理：</w:t>
      </w:r>
    </w:p>
    <w:p w14:paraId="295C9C5C" w14:textId="77777777" w:rsidR="00566744" w:rsidRDefault="00000000">
      <w:pPr>
        <w:spacing w:line="360" w:lineRule="auto"/>
        <w:ind w:firstLineChars="177" w:firstLine="425"/>
        <w:rPr>
          <w:bCs/>
          <w:sz w:val="24"/>
        </w:rPr>
      </w:pPr>
      <w:r>
        <w:rPr>
          <w:bCs/>
          <w:sz w:val="24"/>
        </w:rPr>
        <w:t>1</w:t>
      </w:r>
      <w:r>
        <w:rPr>
          <w:rFonts w:hint="eastAsia"/>
          <w:bCs/>
          <w:sz w:val="24"/>
        </w:rPr>
        <w:t>、估值错误类型</w:t>
      </w:r>
    </w:p>
    <w:p w14:paraId="60E7406C" w14:textId="77777777" w:rsidR="00566744" w:rsidRDefault="00000000">
      <w:pPr>
        <w:spacing w:line="360" w:lineRule="auto"/>
        <w:ind w:firstLineChars="177" w:firstLine="425"/>
        <w:rPr>
          <w:bCs/>
          <w:sz w:val="24"/>
        </w:rPr>
      </w:pPr>
      <w:r>
        <w:rPr>
          <w:rFonts w:hint="eastAsia"/>
          <w:bCs/>
          <w:sz w:val="24"/>
        </w:rPr>
        <w:t>本基金运作过程中，如果由于基金管理人或基金托管人、或登记机构、或销售机构、或投资人自身的过错造成估值错误，导致其他当事人遭受损失的，过错的责任人应当对由于该估值错误遭受损失当事人</w:t>
      </w:r>
      <w:r>
        <w:rPr>
          <w:bCs/>
          <w:sz w:val="24"/>
        </w:rPr>
        <w:t>(</w:t>
      </w:r>
      <w:r>
        <w:rPr>
          <w:rFonts w:hint="eastAsia"/>
          <w:bCs/>
          <w:sz w:val="24"/>
        </w:rPr>
        <w:t>“受损方”</w:t>
      </w:r>
      <w:r>
        <w:rPr>
          <w:bCs/>
          <w:sz w:val="24"/>
        </w:rPr>
        <w:t>)</w:t>
      </w:r>
      <w:r>
        <w:rPr>
          <w:rFonts w:hint="eastAsia"/>
          <w:bCs/>
          <w:sz w:val="24"/>
        </w:rPr>
        <w:t>的直接损失按下述“估值错误处理原则”给予赔偿，承担赔偿责任。</w:t>
      </w:r>
    </w:p>
    <w:p w14:paraId="229F689F" w14:textId="77777777" w:rsidR="00566744" w:rsidRDefault="00000000">
      <w:pPr>
        <w:spacing w:line="360" w:lineRule="auto"/>
        <w:ind w:firstLineChars="177" w:firstLine="425"/>
        <w:rPr>
          <w:bCs/>
          <w:sz w:val="24"/>
        </w:rPr>
      </w:pPr>
      <w:r>
        <w:rPr>
          <w:rFonts w:hint="eastAsia"/>
          <w:bCs/>
          <w:sz w:val="24"/>
        </w:rPr>
        <w:t>上述估值错误的主要类型包括但不限于：资料申报差错、数据传输差错、数据</w:t>
      </w:r>
      <w:r>
        <w:rPr>
          <w:rFonts w:hint="eastAsia"/>
          <w:bCs/>
          <w:sz w:val="24"/>
        </w:rPr>
        <w:lastRenderedPageBreak/>
        <w:t>计算差错、系统故障差错、下达指令差错等。</w:t>
      </w:r>
    </w:p>
    <w:p w14:paraId="587D5920" w14:textId="77777777" w:rsidR="00566744" w:rsidRDefault="00000000">
      <w:pPr>
        <w:spacing w:line="360" w:lineRule="auto"/>
        <w:ind w:firstLineChars="177" w:firstLine="425"/>
        <w:rPr>
          <w:bCs/>
          <w:sz w:val="24"/>
        </w:rPr>
      </w:pPr>
      <w:r>
        <w:rPr>
          <w:rFonts w:hint="eastAsia"/>
          <w:bCs/>
          <w:sz w:val="24"/>
        </w:rPr>
        <w:t>由于不可抗力原因造成投资人的交易资料灭失或被错误处理或造成其他差错，因不可抗力原因出现差错的当事人不对其他当事人承担赔偿责任，但因该差错取得不当得利的当事人仍应负有返还不当得利的义务。</w:t>
      </w:r>
    </w:p>
    <w:p w14:paraId="5BD117C2" w14:textId="77777777" w:rsidR="00566744" w:rsidRDefault="00000000">
      <w:pPr>
        <w:spacing w:line="360" w:lineRule="auto"/>
        <w:ind w:firstLineChars="177" w:firstLine="425"/>
        <w:rPr>
          <w:bCs/>
          <w:sz w:val="24"/>
        </w:rPr>
      </w:pPr>
      <w:r>
        <w:rPr>
          <w:bCs/>
          <w:sz w:val="24"/>
        </w:rPr>
        <w:t>2</w:t>
      </w:r>
      <w:r>
        <w:rPr>
          <w:rFonts w:hint="eastAsia"/>
          <w:bCs/>
          <w:sz w:val="24"/>
        </w:rPr>
        <w:t>、估值错误处理原则</w:t>
      </w:r>
    </w:p>
    <w:p w14:paraId="7F896655" w14:textId="77777777" w:rsidR="00566744" w:rsidRDefault="00000000">
      <w:pPr>
        <w:spacing w:line="360" w:lineRule="auto"/>
        <w:ind w:firstLineChars="177" w:firstLine="425"/>
        <w:rPr>
          <w:bCs/>
          <w:sz w:val="24"/>
        </w:rPr>
      </w:pPr>
      <w:r>
        <w:rPr>
          <w:rFonts w:hint="eastAsia"/>
          <w:bCs/>
          <w:sz w:val="24"/>
        </w:rPr>
        <w:t>（</w:t>
      </w:r>
      <w:r>
        <w:rPr>
          <w:bCs/>
          <w:sz w:val="24"/>
        </w:rPr>
        <w:t>1</w:t>
      </w:r>
      <w:r>
        <w:rPr>
          <w:rFonts w:hint="eastAsia"/>
          <w:bCs/>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5527CA8E" w14:textId="77777777" w:rsidR="00566744" w:rsidRDefault="00000000">
      <w:pPr>
        <w:spacing w:line="360" w:lineRule="auto"/>
        <w:ind w:firstLineChars="177" w:firstLine="425"/>
        <w:rPr>
          <w:bCs/>
          <w:sz w:val="24"/>
        </w:rPr>
      </w:pPr>
      <w:r>
        <w:rPr>
          <w:rFonts w:hint="eastAsia"/>
          <w:bCs/>
          <w:sz w:val="24"/>
        </w:rPr>
        <w:t>（</w:t>
      </w:r>
      <w:r>
        <w:rPr>
          <w:bCs/>
          <w:sz w:val="24"/>
        </w:rPr>
        <w:t>2</w:t>
      </w:r>
      <w:r>
        <w:rPr>
          <w:rFonts w:hint="eastAsia"/>
          <w:bCs/>
          <w:sz w:val="24"/>
        </w:rPr>
        <w:t>）估值错误的责任方对有关当事人的直接损失负责，不对间接损失负责，并且仅对估值错误的有关直接当事人负责，不对第三方负责。</w:t>
      </w:r>
    </w:p>
    <w:p w14:paraId="72929734" w14:textId="77777777" w:rsidR="00566744" w:rsidRDefault="00000000">
      <w:pPr>
        <w:spacing w:line="360" w:lineRule="auto"/>
        <w:ind w:firstLineChars="177" w:firstLine="425"/>
        <w:rPr>
          <w:bCs/>
          <w:sz w:val="24"/>
        </w:rPr>
      </w:pPr>
      <w:r>
        <w:rPr>
          <w:rFonts w:hint="eastAsia"/>
          <w:bCs/>
          <w:sz w:val="24"/>
        </w:rPr>
        <w:t>（</w:t>
      </w:r>
      <w:r>
        <w:rPr>
          <w:bCs/>
          <w:sz w:val="24"/>
        </w:rPr>
        <w:t>3</w:t>
      </w:r>
      <w:r>
        <w:rPr>
          <w:rFonts w:hint="eastAsia"/>
          <w:bCs/>
          <w:sz w:val="24"/>
        </w:rPr>
        <w:t>）因估值错误而获得不当得利的当事人负有及时返还不当得利的义务。但估值错误责任方仍应对估值错误负责。如果由于获得不当得利的当事人</w:t>
      </w:r>
      <w:proofErr w:type="gramStart"/>
      <w:r>
        <w:rPr>
          <w:rFonts w:hint="eastAsia"/>
          <w:bCs/>
          <w:sz w:val="24"/>
        </w:rPr>
        <w:t>不</w:t>
      </w:r>
      <w:proofErr w:type="gramEnd"/>
      <w:r>
        <w:rPr>
          <w:rFonts w:hint="eastAsia"/>
          <w:bCs/>
          <w:sz w:val="24"/>
        </w:rPr>
        <w:t>返还或不全部返还不当得利</w:t>
      </w:r>
      <w:r>
        <w:rPr>
          <w:bCs/>
          <w:sz w:val="24"/>
        </w:rPr>
        <w:t>造成其他当事人的利益损失</w:t>
      </w:r>
      <w:r>
        <w:rPr>
          <w:bCs/>
          <w:sz w:val="24"/>
        </w:rPr>
        <w:t>(“</w:t>
      </w:r>
      <w:r>
        <w:rPr>
          <w:rFonts w:hint="eastAsia"/>
          <w:bCs/>
          <w:sz w:val="24"/>
        </w:rPr>
        <w:t>受损方</w:t>
      </w:r>
      <w:r>
        <w:rPr>
          <w:bCs/>
          <w:sz w:val="24"/>
        </w:rPr>
        <w:t>”)</w:t>
      </w:r>
      <w:r>
        <w:rPr>
          <w:rFonts w:hint="eastAsia"/>
          <w:bCs/>
          <w:sz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7CBF9C20" w14:textId="77777777" w:rsidR="00566744" w:rsidRDefault="00000000">
      <w:pPr>
        <w:spacing w:line="360" w:lineRule="auto"/>
        <w:ind w:firstLineChars="177" w:firstLine="425"/>
        <w:rPr>
          <w:bCs/>
          <w:sz w:val="24"/>
        </w:rPr>
      </w:pPr>
      <w:r>
        <w:rPr>
          <w:rFonts w:hint="eastAsia"/>
          <w:bCs/>
          <w:sz w:val="24"/>
        </w:rPr>
        <w:t>（</w:t>
      </w:r>
      <w:r>
        <w:rPr>
          <w:bCs/>
          <w:sz w:val="24"/>
        </w:rPr>
        <w:t>4</w:t>
      </w:r>
      <w:r>
        <w:rPr>
          <w:rFonts w:hint="eastAsia"/>
          <w:bCs/>
          <w:sz w:val="24"/>
        </w:rPr>
        <w:t>）估值错误调整采用尽量恢复至假设未发生估值错误的正确情形的方式。</w:t>
      </w:r>
    </w:p>
    <w:p w14:paraId="5DD569BD" w14:textId="77777777" w:rsidR="00566744" w:rsidRDefault="00000000">
      <w:pPr>
        <w:spacing w:line="360" w:lineRule="auto"/>
        <w:ind w:firstLineChars="177" w:firstLine="425"/>
        <w:rPr>
          <w:bCs/>
          <w:sz w:val="24"/>
        </w:rPr>
      </w:pPr>
      <w:r>
        <w:rPr>
          <w:rFonts w:hint="eastAsia"/>
          <w:bCs/>
          <w:sz w:val="24"/>
        </w:rPr>
        <w:t>（</w:t>
      </w:r>
      <w:r>
        <w:rPr>
          <w:bCs/>
          <w:sz w:val="24"/>
        </w:rPr>
        <w:t>5</w:t>
      </w:r>
      <w:r>
        <w:rPr>
          <w:rFonts w:hint="eastAsia"/>
          <w:bCs/>
          <w:sz w:val="24"/>
        </w:rPr>
        <w:t>）估值错误责任方拒绝进行赔偿时，如果因基金管理人过错造成基金资产损失时，基金托管人应为基金的利益向基金管理人追偿，如果因基金托管人过错造成基金资产损失时，基金管理人应为基金的利益向基金托管人追偿。除基金管理人和托管人之外的第三方造成基金资产的损失，并拒绝进行赔偿时，由基金管理人负责向差错方追偿。</w:t>
      </w:r>
    </w:p>
    <w:p w14:paraId="5F466A13" w14:textId="77777777" w:rsidR="00566744" w:rsidRDefault="00000000">
      <w:pPr>
        <w:spacing w:line="360" w:lineRule="auto"/>
        <w:ind w:firstLineChars="177" w:firstLine="425"/>
        <w:rPr>
          <w:bCs/>
          <w:sz w:val="24"/>
        </w:rPr>
      </w:pPr>
      <w:r>
        <w:rPr>
          <w:rFonts w:hint="eastAsia"/>
          <w:bCs/>
          <w:sz w:val="24"/>
        </w:rPr>
        <w:t>（</w:t>
      </w:r>
      <w:r>
        <w:rPr>
          <w:bCs/>
          <w:sz w:val="24"/>
        </w:rPr>
        <w:t>6</w:t>
      </w:r>
      <w:r>
        <w:rPr>
          <w:rFonts w:hint="eastAsia"/>
          <w:bCs/>
          <w:sz w:val="24"/>
        </w:rPr>
        <w:t>）如果出现估值错误的当事人未按规定对受损方进行赔偿，并且依据法律、行政法规、《基金合同》或其他规定，基金管理人自行或依据法院判决、仲裁裁决</w:t>
      </w:r>
      <w:r>
        <w:rPr>
          <w:rFonts w:hint="eastAsia"/>
          <w:bCs/>
          <w:sz w:val="24"/>
        </w:rPr>
        <w:lastRenderedPageBreak/>
        <w:t>对受损方承担了赔偿责任，</w:t>
      </w:r>
      <w:proofErr w:type="gramStart"/>
      <w:r>
        <w:rPr>
          <w:rFonts w:hint="eastAsia"/>
          <w:bCs/>
          <w:sz w:val="24"/>
        </w:rPr>
        <w:t>则基金</w:t>
      </w:r>
      <w:proofErr w:type="gramEnd"/>
      <w:r>
        <w:rPr>
          <w:rFonts w:hint="eastAsia"/>
          <w:bCs/>
          <w:sz w:val="24"/>
        </w:rPr>
        <w:t>管理人有权向出现过错的当事人进行追索，并有权要求其赔偿或补偿由此发生的费用和遭受的损失。</w:t>
      </w:r>
    </w:p>
    <w:p w14:paraId="2B6042C1" w14:textId="77777777" w:rsidR="00566744" w:rsidRDefault="00000000">
      <w:pPr>
        <w:spacing w:line="360" w:lineRule="auto"/>
        <w:ind w:firstLineChars="177" w:firstLine="425"/>
        <w:rPr>
          <w:bCs/>
          <w:sz w:val="24"/>
        </w:rPr>
      </w:pPr>
      <w:r>
        <w:rPr>
          <w:rFonts w:hint="eastAsia"/>
          <w:bCs/>
          <w:sz w:val="24"/>
        </w:rPr>
        <w:t>（</w:t>
      </w:r>
      <w:r>
        <w:rPr>
          <w:bCs/>
          <w:sz w:val="24"/>
        </w:rPr>
        <w:t>7</w:t>
      </w:r>
      <w:r>
        <w:rPr>
          <w:rFonts w:hint="eastAsia"/>
          <w:bCs/>
          <w:sz w:val="24"/>
        </w:rPr>
        <w:t>）按法律法规规定的其他原则处理估值错误。</w:t>
      </w:r>
    </w:p>
    <w:p w14:paraId="26EDB683" w14:textId="77777777" w:rsidR="00566744" w:rsidRDefault="00000000">
      <w:pPr>
        <w:spacing w:line="360" w:lineRule="auto"/>
        <w:ind w:firstLineChars="177" w:firstLine="425"/>
        <w:rPr>
          <w:bCs/>
          <w:sz w:val="24"/>
        </w:rPr>
      </w:pPr>
      <w:r>
        <w:rPr>
          <w:bCs/>
          <w:sz w:val="24"/>
        </w:rPr>
        <w:t>3</w:t>
      </w:r>
      <w:r>
        <w:rPr>
          <w:rFonts w:hint="eastAsia"/>
          <w:bCs/>
          <w:sz w:val="24"/>
        </w:rPr>
        <w:t>、估值错误处理程序</w:t>
      </w:r>
    </w:p>
    <w:p w14:paraId="087F959C" w14:textId="77777777" w:rsidR="00566744" w:rsidRDefault="00000000">
      <w:pPr>
        <w:spacing w:line="360" w:lineRule="auto"/>
        <w:ind w:firstLineChars="177" w:firstLine="425"/>
        <w:rPr>
          <w:bCs/>
          <w:sz w:val="24"/>
        </w:rPr>
      </w:pPr>
      <w:r>
        <w:rPr>
          <w:rFonts w:hint="eastAsia"/>
          <w:bCs/>
          <w:sz w:val="24"/>
        </w:rPr>
        <w:t>估值错误被发现后，有关的当事人应当及时进行处理，处理的程序如下：</w:t>
      </w:r>
    </w:p>
    <w:p w14:paraId="219B493B" w14:textId="77777777" w:rsidR="00566744" w:rsidRDefault="00000000">
      <w:pPr>
        <w:spacing w:line="360" w:lineRule="auto"/>
        <w:ind w:firstLineChars="177" w:firstLine="425"/>
        <w:rPr>
          <w:bCs/>
          <w:sz w:val="24"/>
        </w:rPr>
      </w:pPr>
      <w:r>
        <w:rPr>
          <w:rFonts w:hint="eastAsia"/>
          <w:bCs/>
          <w:sz w:val="24"/>
        </w:rPr>
        <w:t>（</w:t>
      </w:r>
      <w:r>
        <w:rPr>
          <w:bCs/>
          <w:sz w:val="24"/>
        </w:rPr>
        <w:t>1</w:t>
      </w:r>
      <w:r>
        <w:rPr>
          <w:rFonts w:hint="eastAsia"/>
          <w:bCs/>
          <w:sz w:val="24"/>
        </w:rPr>
        <w:t>）查明估值错误发生的原因，列明所有的当事人，并根据估值错误发生的原因确定估值错误的责任方；</w:t>
      </w:r>
    </w:p>
    <w:p w14:paraId="5D5521D1" w14:textId="77777777" w:rsidR="00566744" w:rsidRDefault="00000000">
      <w:pPr>
        <w:spacing w:line="360" w:lineRule="auto"/>
        <w:ind w:firstLineChars="177" w:firstLine="425"/>
        <w:rPr>
          <w:bCs/>
          <w:sz w:val="24"/>
        </w:rPr>
      </w:pPr>
      <w:r>
        <w:rPr>
          <w:rFonts w:hint="eastAsia"/>
          <w:bCs/>
          <w:sz w:val="24"/>
        </w:rPr>
        <w:t>（</w:t>
      </w:r>
      <w:r>
        <w:rPr>
          <w:bCs/>
          <w:sz w:val="24"/>
        </w:rPr>
        <w:t>2</w:t>
      </w:r>
      <w:r>
        <w:rPr>
          <w:rFonts w:hint="eastAsia"/>
          <w:bCs/>
          <w:sz w:val="24"/>
        </w:rPr>
        <w:t>）根据估值错误处理原则或当事人协商的方法对因估值错误造成的损失进行评估；</w:t>
      </w:r>
    </w:p>
    <w:p w14:paraId="25FF3069" w14:textId="77777777" w:rsidR="00566744" w:rsidRDefault="00000000">
      <w:pPr>
        <w:spacing w:line="360" w:lineRule="auto"/>
        <w:ind w:firstLineChars="177" w:firstLine="425"/>
        <w:rPr>
          <w:bCs/>
          <w:sz w:val="24"/>
        </w:rPr>
      </w:pPr>
      <w:r>
        <w:rPr>
          <w:rFonts w:hint="eastAsia"/>
          <w:bCs/>
          <w:sz w:val="24"/>
        </w:rPr>
        <w:t>（</w:t>
      </w:r>
      <w:r>
        <w:rPr>
          <w:bCs/>
          <w:sz w:val="24"/>
        </w:rPr>
        <w:t>3</w:t>
      </w:r>
      <w:r>
        <w:rPr>
          <w:rFonts w:hint="eastAsia"/>
          <w:bCs/>
          <w:sz w:val="24"/>
        </w:rPr>
        <w:t>）根据估值错误处理原则或当事人协商的方法由估值错误的责任方进行更正和赔偿损失；</w:t>
      </w:r>
    </w:p>
    <w:p w14:paraId="49F0EBAF" w14:textId="77777777" w:rsidR="00566744" w:rsidRDefault="00000000">
      <w:pPr>
        <w:spacing w:line="360" w:lineRule="auto"/>
        <w:ind w:firstLineChars="177" w:firstLine="425"/>
        <w:rPr>
          <w:bCs/>
          <w:sz w:val="24"/>
        </w:rPr>
      </w:pPr>
      <w:r>
        <w:rPr>
          <w:rFonts w:hint="eastAsia"/>
          <w:bCs/>
          <w:sz w:val="24"/>
        </w:rPr>
        <w:t>（</w:t>
      </w:r>
      <w:r>
        <w:rPr>
          <w:bCs/>
          <w:sz w:val="24"/>
        </w:rPr>
        <w:t>4</w:t>
      </w:r>
      <w:r>
        <w:rPr>
          <w:rFonts w:hint="eastAsia"/>
          <w:bCs/>
          <w:sz w:val="24"/>
        </w:rPr>
        <w:t>）根据估值错误处理的方法，需要修改基金登记机构交易数据的，由基金登记机构进行更正，并就估值错误的更正向有关当事人进行确认。</w:t>
      </w:r>
    </w:p>
    <w:p w14:paraId="3A8E739D" w14:textId="77777777" w:rsidR="00566744" w:rsidRDefault="00000000">
      <w:pPr>
        <w:spacing w:line="360" w:lineRule="auto"/>
        <w:ind w:firstLineChars="177" w:firstLine="425"/>
        <w:rPr>
          <w:bCs/>
          <w:sz w:val="24"/>
        </w:rPr>
      </w:pPr>
      <w:r>
        <w:rPr>
          <w:bCs/>
          <w:sz w:val="24"/>
        </w:rPr>
        <w:t>4</w:t>
      </w:r>
      <w:r>
        <w:rPr>
          <w:rFonts w:hint="eastAsia"/>
          <w:bCs/>
          <w:sz w:val="24"/>
        </w:rPr>
        <w:t>、基金估值错误处理的方法如下：</w:t>
      </w:r>
    </w:p>
    <w:p w14:paraId="05F61C1D" w14:textId="77777777" w:rsidR="00566744" w:rsidRDefault="00000000">
      <w:pPr>
        <w:spacing w:line="360" w:lineRule="auto"/>
        <w:ind w:firstLineChars="177" w:firstLine="425"/>
        <w:rPr>
          <w:bCs/>
          <w:sz w:val="24"/>
        </w:rPr>
      </w:pPr>
      <w:r>
        <w:rPr>
          <w:rFonts w:hint="eastAsia"/>
          <w:bCs/>
          <w:sz w:val="24"/>
        </w:rPr>
        <w:t>（</w:t>
      </w:r>
      <w:r>
        <w:rPr>
          <w:bCs/>
          <w:sz w:val="24"/>
        </w:rPr>
        <w:t>1</w:t>
      </w:r>
      <w:r>
        <w:rPr>
          <w:rFonts w:hint="eastAsia"/>
          <w:bCs/>
          <w:sz w:val="24"/>
        </w:rPr>
        <w:t>）基金估值出现错误时，基金管理人应当立即予以纠正，通报基金托管人，并采取合理的措施防止损失进一步扩大。</w:t>
      </w:r>
    </w:p>
    <w:p w14:paraId="4DA1425A" w14:textId="77777777" w:rsidR="00566744" w:rsidRDefault="00000000">
      <w:pPr>
        <w:spacing w:line="360" w:lineRule="auto"/>
        <w:ind w:firstLineChars="177" w:firstLine="425"/>
        <w:rPr>
          <w:rFonts w:asciiTheme="minorEastAsia" w:eastAsiaTheme="minorEastAsia" w:hAnsiTheme="minorEastAsia" w:hint="eastAsia"/>
          <w:bCs/>
          <w:sz w:val="24"/>
        </w:rPr>
      </w:pPr>
      <w:r>
        <w:rPr>
          <w:rFonts w:hint="eastAsia"/>
          <w:bCs/>
          <w:sz w:val="24"/>
        </w:rPr>
        <w:t>（</w:t>
      </w:r>
      <w:r>
        <w:rPr>
          <w:bCs/>
          <w:sz w:val="24"/>
        </w:rPr>
        <w:t>2</w:t>
      </w:r>
      <w:r>
        <w:rPr>
          <w:rFonts w:hint="eastAsia"/>
          <w:bCs/>
          <w:sz w:val="24"/>
        </w:rPr>
        <w:t>）错误偏差达到基金资产净值的</w:t>
      </w:r>
      <w:r>
        <w:rPr>
          <w:bCs/>
          <w:sz w:val="24"/>
        </w:rPr>
        <w:t>0.25%</w:t>
      </w:r>
      <w:r>
        <w:rPr>
          <w:rFonts w:hint="eastAsia"/>
          <w:bCs/>
          <w:sz w:val="24"/>
        </w:rPr>
        <w:t>时，基金管理人应当通报基金托管人并</w:t>
      </w:r>
      <w:r>
        <w:rPr>
          <w:rFonts w:asciiTheme="minorEastAsia" w:eastAsiaTheme="minorEastAsia" w:hAnsiTheme="minorEastAsia" w:hint="eastAsia"/>
          <w:bCs/>
          <w:sz w:val="24"/>
        </w:rPr>
        <w:t>报中国证监会备案；错误偏差达到基金资产净值的</w:t>
      </w:r>
      <w:r>
        <w:rPr>
          <w:rFonts w:asciiTheme="minorEastAsia" w:eastAsiaTheme="minorEastAsia" w:hAnsiTheme="minorEastAsia"/>
          <w:bCs/>
          <w:sz w:val="24"/>
        </w:rPr>
        <w:t>0.5%</w:t>
      </w:r>
      <w:r>
        <w:rPr>
          <w:rFonts w:asciiTheme="minorEastAsia" w:eastAsiaTheme="minorEastAsia" w:hAnsiTheme="minorEastAsia" w:hint="eastAsia"/>
          <w:bCs/>
          <w:sz w:val="24"/>
        </w:rPr>
        <w:t>时，基金管理人应当公告。</w:t>
      </w:r>
    </w:p>
    <w:p w14:paraId="3E7B4AEA" w14:textId="77777777" w:rsidR="00566744" w:rsidRDefault="00000000">
      <w:pPr>
        <w:spacing w:line="360" w:lineRule="auto"/>
        <w:ind w:firstLineChars="177" w:firstLine="425"/>
        <w:rPr>
          <w:rFonts w:asciiTheme="minorEastAsia" w:eastAsiaTheme="minorEastAsia" w:hAnsiTheme="minorEastAsia" w:hint="eastAsia"/>
          <w:color w:val="000000"/>
          <w:kern w:val="0"/>
          <w:sz w:val="24"/>
        </w:rPr>
      </w:pPr>
      <w:r>
        <w:rPr>
          <w:rFonts w:asciiTheme="minorEastAsia" w:eastAsiaTheme="minorEastAsia" w:hAnsiTheme="minorEastAsia" w:hint="eastAsia"/>
          <w:bCs/>
          <w:sz w:val="24"/>
        </w:rPr>
        <w:t>（</w:t>
      </w:r>
      <w:r>
        <w:rPr>
          <w:rFonts w:asciiTheme="minorEastAsia" w:eastAsiaTheme="minorEastAsia" w:hAnsiTheme="minorEastAsia"/>
          <w:bCs/>
          <w:sz w:val="24"/>
        </w:rPr>
        <w:t>3</w:t>
      </w:r>
      <w:r>
        <w:rPr>
          <w:rFonts w:asciiTheme="minorEastAsia" w:eastAsiaTheme="minorEastAsia" w:hAnsiTheme="minorEastAsia" w:hint="eastAsia"/>
          <w:bCs/>
          <w:sz w:val="24"/>
        </w:rPr>
        <w:t>）前述内容如法律法规或监管机关另有规定的，从其规定处理。</w:t>
      </w:r>
    </w:p>
    <w:p w14:paraId="1AF5D325"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（六）暂停估值的情形</w:t>
      </w:r>
    </w:p>
    <w:p w14:paraId="63B1E7A3" w14:textId="77777777" w:rsidR="00566744" w:rsidRDefault="00000000">
      <w:pPr>
        <w:spacing w:line="360" w:lineRule="auto"/>
        <w:ind w:firstLineChars="200" w:firstLine="480"/>
        <w:rPr>
          <w:rFonts w:asciiTheme="minorEastAsia" w:eastAsiaTheme="minorEastAsia" w:hAnsiTheme="minorEastAsia" w:hint="eastAsia"/>
          <w:bCs/>
          <w:sz w:val="24"/>
        </w:rPr>
      </w:pPr>
      <w:r>
        <w:rPr>
          <w:rFonts w:asciiTheme="minorEastAsia" w:eastAsiaTheme="minorEastAsia" w:hAnsiTheme="minorEastAsia"/>
          <w:bCs/>
          <w:sz w:val="24"/>
        </w:rPr>
        <w:t>1、基金投资所涉及的证券交易市场遇法定节假日或因其他原因暂停营业时；</w:t>
      </w:r>
    </w:p>
    <w:p w14:paraId="3B105712" w14:textId="77777777" w:rsidR="00566744" w:rsidRDefault="00000000">
      <w:pPr>
        <w:spacing w:line="360" w:lineRule="auto"/>
        <w:ind w:firstLineChars="200" w:firstLine="480"/>
        <w:rPr>
          <w:rFonts w:asciiTheme="minorEastAsia" w:eastAsiaTheme="minorEastAsia" w:hAnsiTheme="minorEastAsia" w:hint="eastAsia"/>
          <w:bCs/>
          <w:sz w:val="24"/>
        </w:rPr>
      </w:pPr>
      <w:r>
        <w:rPr>
          <w:rFonts w:asciiTheme="minorEastAsia" w:eastAsiaTheme="minorEastAsia" w:hAnsiTheme="minorEastAsia"/>
          <w:bCs/>
          <w:sz w:val="24"/>
        </w:rPr>
        <w:t>2、因不可抗力致使基金管理人、基金托管人无法准确评估基金资产价值时；</w:t>
      </w:r>
    </w:p>
    <w:p w14:paraId="7CE914DE" w14:textId="77777777" w:rsidR="00566744" w:rsidRDefault="00000000">
      <w:pPr>
        <w:spacing w:line="360" w:lineRule="auto"/>
        <w:ind w:firstLineChars="200" w:firstLine="480"/>
        <w:rPr>
          <w:rFonts w:asciiTheme="minorEastAsia" w:eastAsiaTheme="minorEastAsia" w:hAnsiTheme="minorEastAsia" w:hint="eastAsia"/>
          <w:bCs/>
          <w:sz w:val="24"/>
        </w:rPr>
      </w:pPr>
      <w:r>
        <w:rPr>
          <w:rFonts w:asciiTheme="minorEastAsia" w:eastAsiaTheme="minorEastAsia" w:hAnsiTheme="minorEastAsia" w:hint="eastAsia"/>
          <w:bCs/>
          <w:sz w:val="24"/>
        </w:rPr>
        <w:t>3、</w:t>
      </w:r>
      <w:r>
        <w:rPr>
          <w:rFonts w:asciiTheme="minorEastAsia" w:eastAsiaTheme="minorEastAsia" w:hAnsiTheme="minorEastAsia" w:hint="eastAsia"/>
          <w:kern w:val="0"/>
          <w:sz w:val="24"/>
        </w:rPr>
        <w:t>当前一估值日基金资产净值</w:t>
      </w:r>
      <w:r>
        <w:rPr>
          <w:rFonts w:asciiTheme="minorEastAsia" w:eastAsiaTheme="minorEastAsia" w:hAnsiTheme="minorEastAsia"/>
          <w:kern w:val="0"/>
          <w:sz w:val="24"/>
        </w:rPr>
        <w:t>50%</w:t>
      </w:r>
      <w:r>
        <w:rPr>
          <w:rFonts w:asciiTheme="minorEastAsia" w:eastAsiaTheme="minorEastAsia" w:hAnsiTheme="minorEastAsia" w:hint="eastAsia"/>
          <w:kern w:val="0"/>
          <w:sz w:val="24"/>
        </w:rPr>
        <w:t>以上的资产出现无可参考的活跃市场价格且采用估值技术</w:t>
      </w:r>
      <w:proofErr w:type="gramStart"/>
      <w:r>
        <w:rPr>
          <w:rFonts w:asciiTheme="minorEastAsia" w:eastAsiaTheme="minorEastAsia" w:hAnsiTheme="minorEastAsia" w:hint="eastAsia"/>
          <w:kern w:val="0"/>
          <w:sz w:val="24"/>
        </w:rPr>
        <w:t>仍导致</w:t>
      </w:r>
      <w:proofErr w:type="gramEnd"/>
      <w:r>
        <w:rPr>
          <w:rFonts w:asciiTheme="minorEastAsia" w:eastAsiaTheme="minorEastAsia" w:hAnsiTheme="minorEastAsia" w:hint="eastAsia"/>
          <w:kern w:val="0"/>
          <w:sz w:val="24"/>
        </w:rPr>
        <w:t>公允价值存在重大不确定性，经与基金托管人协商确认的；</w:t>
      </w:r>
    </w:p>
    <w:p w14:paraId="14D285DB" w14:textId="77777777" w:rsidR="00566744" w:rsidRDefault="00000000">
      <w:pPr>
        <w:spacing w:line="360" w:lineRule="auto"/>
        <w:ind w:firstLineChars="200" w:firstLine="480"/>
        <w:rPr>
          <w:rFonts w:asciiTheme="minorEastAsia" w:eastAsiaTheme="minorEastAsia" w:hAnsiTheme="minorEastAsia" w:hint="eastAsia"/>
          <w:color w:val="000000"/>
          <w:kern w:val="0"/>
          <w:sz w:val="24"/>
        </w:rPr>
      </w:pPr>
      <w:r>
        <w:rPr>
          <w:rFonts w:asciiTheme="minorEastAsia" w:eastAsiaTheme="minorEastAsia" w:hAnsiTheme="minorEastAsia" w:hint="eastAsia"/>
          <w:bCs/>
          <w:sz w:val="24"/>
        </w:rPr>
        <w:t>4</w:t>
      </w:r>
      <w:r>
        <w:rPr>
          <w:rFonts w:asciiTheme="minorEastAsia" w:eastAsiaTheme="minorEastAsia" w:hAnsiTheme="minorEastAsia"/>
          <w:bCs/>
          <w:sz w:val="24"/>
        </w:rPr>
        <w:t>、中国证监会和基金合同认定的其它情形。</w:t>
      </w:r>
    </w:p>
    <w:p w14:paraId="6B65EA1D"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（七）基金净值的确认</w:t>
      </w:r>
    </w:p>
    <w:p w14:paraId="3FD34648" w14:textId="77777777" w:rsidR="00566744" w:rsidRDefault="00000000">
      <w:pPr>
        <w:spacing w:line="360" w:lineRule="auto"/>
        <w:ind w:firstLineChars="177" w:firstLine="425"/>
        <w:rPr>
          <w:rFonts w:ascii="宋体" w:hAnsi="宋体" w:hint="eastAsia"/>
          <w:color w:val="000000"/>
          <w:kern w:val="0"/>
          <w:sz w:val="24"/>
        </w:rPr>
      </w:pPr>
      <w:r>
        <w:rPr>
          <w:bCs/>
          <w:sz w:val="24"/>
        </w:rPr>
        <w:t>用于基金信息披露的基金资产净值、各类基金份额的每万份基金已实现收益和</w:t>
      </w:r>
      <w:proofErr w:type="gramStart"/>
      <w:r>
        <w:rPr>
          <w:bCs/>
          <w:sz w:val="24"/>
        </w:rPr>
        <w:t>7</w:t>
      </w:r>
      <w:r>
        <w:rPr>
          <w:bCs/>
          <w:sz w:val="24"/>
        </w:rPr>
        <w:t>日年化收益率</w:t>
      </w:r>
      <w:proofErr w:type="gramEnd"/>
      <w:r>
        <w:rPr>
          <w:bCs/>
          <w:sz w:val="24"/>
        </w:rPr>
        <w:t>由基金管理人负责计算，基金托管人负责进行复核。基金管理人应</w:t>
      </w:r>
      <w:r>
        <w:rPr>
          <w:bCs/>
          <w:sz w:val="24"/>
        </w:rPr>
        <w:lastRenderedPageBreak/>
        <w:t>于每个</w:t>
      </w:r>
      <w:r>
        <w:rPr>
          <w:rFonts w:hint="eastAsia"/>
          <w:bCs/>
          <w:sz w:val="24"/>
        </w:rPr>
        <w:t>工作</w:t>
      </w:r>
      <w:r>
        <w:rPr>
          <w:bCs/>
          <w:sz w:val="24"/>
        </w:rPr>
        <w:t>交易结束后计算当日的基金资产净值、各类基金份额的每万份基金已实现收益和</w:t>
      </w:r>
      <w:proofErr w:type="gramStart"/>
      <w:r>
        <w:rPr>
          <w:bCs/>
          <w:sz w:val="24"/>
        </w:rPr>
        <w:t>7</w:t>
      </w:r>
      <w:r>
        <w:rPr>
          <w:bCs/>
          <w:sz w:val="24"/>
        </w:rPr>
        <w:t>日年化收益率</w:t>
      </w:r>
      <w:proofErr w:type="gramEnd"/>
      <w:r>
        <w:rPr>
          <w:bCs/>
          <w:sz w:val="24"/>
        </w:rPr>
        <w:t>并发送给基金托管人。基金托管人对净值计算结果复核确认后发送给基金管理人，由基金管理人对基金净值予以公布。</w:t>
      </w:r>
    </w:p>
    <w:p w14:paraId="273C19CA"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（八</w:t>
      </w:r>
      <w:r>
        <w:rPr>
          <w:rFonts w:ascii="宋体" w:hAnsi="宋体"/>
          <w:color w:val="000000"/>
          <w:kern w:val="0"/>
          <w:sz w:val="24"/>
        </w:rPr>
        <w:t>）</w:t>
      </w:r>
      <w:r>
        <w:rPr>
          <w:rFonts w:ascii="宋体" w:hAnsi="宋体" w:hint="eastAsia"/>
          <w:color w:val="000000"/>
          <w:kern w:val="0"/>
          <w:sz w:val="24"/>
        </w:rPr>
        <w:t>特殊情况的处理</w:t>
      </w:r>
    </w:p>
    <w:p w14:paraId="47B627DC" w14:textId="77777777" w:rsidR="00566744" w:rsidRDefault="00000000">
      <w:pPr>
        <w:spacing w:line="360" w:lineRule="auto"/>
        <w:ind w:firstLineChars="200" w:firstLine="480"/>
        <w:rPr>
          <w:bCs/>
          <w:sz w:val="24"/>
        </w:rPr>
      </w:pPr>
      <w:r>
        <w:rPr>
          <w:rFonts w:hint="eastAsia"/>
          <w:bCs/>
          <w:sz w:val="24"/>
        </w:rPr>
        <w:t>1</w:t>
      </w:r>
      <w:r>
        <w:rPr>
          <w:rFonts w:hint="eastAsia"/>
          <w:bCs/>
          <w:sz w:val="24"/>
        </w:rPr>
        <w:t>、基金管理人或基金托管人按估值方法的第</w:t>
      </w:r>
      <w:r>
        <w:rPr>
          <w:rFonts w:hint="eastAsia"/>
          <w:bCs/>
          <w:sz w:val="24"/>
        </w:rPr>
        <w:t>3</w:t>
      </w:r>
      <w:r>
        <w:rPr>
          <w:rFonts w:hint="eastAsia"/>
          <w:bCs/>
          <w:sz w:val="24"/>
        </w:rPr>
        <w:t>项进行估值时，所造成的误差不作为基金资产估值错误处理。</w:t>
      </w:r>
    </w:p>
    <w:p w14:paraId="3223F5B8" w14:textId="77777777" w:rsidR="00566744" w:rsidRDefault="00000000">
      <w:pPr>
        <w:spacing w:line="360" w:lineRule="auto"/>
        <w:ind w:firstLineChars="200" w:firstLine="480"/>
        <w:rPr>
          <w:bCs/>
          <w:sz w:val="24"/>
        </w:rPr>
      </w:pPr>
      <w:r>
        <w:rPr>
          <w:rFonts w:hint="eastAsia"/>
          <w:bCs/>
          <w:sz w:val="24"/>
        </w:rPr>
        <w:t>2</w:t>
      </w:r>
      <w:r>
        <w:rPr>
          <w:rFonts w:hint="eastAsia"/>
          <w:bCs/>
          <w:sz w:val="24"/>
        </w:rPr>
        <w:t>、由于不可抗力，或证券交易所、登记结算公司发送的数据错误等原因，基金管理人和基金托管人虽然已经采取必要、适当、合理的措施进行检查，但是未能发现该错误而造成的基金份额净值计算错误，基金管理人、基金托管人免除赔偿责任。但基金管理人、基金托管人应积极采取必要的措施消除或减轻由此造成的影响。</w:t>
      </w:r>
    </w:p>
    <w:p w14:paraId="289662AC" w14:textId="77777777" w:rsidR="00566744" w:rsidRDefault="00566744">
      <w:pPr>
        <w:spacing w:line="360" w:lineRule="auto"/>
        <w:ind w:firstLineChars="177" w:firstLine="425"/>
        <w:rPr>
          <w:bCs/>
          <w:sz w:val="24"/>
        </w:rPr>
      </w:pPr>
    </w:p>
    <w:p w14:paraId="2C541742" w14:textId="77777777" w:rsidR="00566744" w:rsidRDefault="00000000">
      <w:pPr>
        <w:pStyle w:val="1"/>
        <w:spacing w:line="360" w:lineRule="auto"/>
        <w:jc w:val="center"/>
        <w:rPr>
          <w:rFonts w:ascii="宋体" w:hAnsi="宋体" w:hint="eastAsia"/>
          <w:color w:val="000000"/>
          <w:kern w:val="0"/>
          <w:sz w:val="24"/>
          <w:szCs w:val="24"/>
        </w:rPr>
      </w:pPr>
      <w:r>
        <w:rPr>
          <w:rFonts w:ascii="宋体" w:hAnsi="宋体"/>
          <w:color w:val="000000"/>
          <w:kern w:val="0"/>
          <w:sz w:val="24"/>
        </w:rPr>
        <w:br w:type="page"/>
      </w:r>
      <w:bookmarkStart w:id="87" w:name="_Toc256666801"/>
      <w:bookmarkStart w:id="88" w:name="_Toc256666921"/>
      <w:bookmarkStart w:id="89" w:name="_Toc6757"/>
      <w:bookmarkStart w:id="90" w:name="_Toc482624801"/>
      <w:bookmarkStart w:id="91" w:name="_Toc78378593"/>
      <w:r>
        <w:rPr>
          <w:rFonts w:ascii="宋体" w:hAnsi="宋体" w:hint="eastAsia"/>
          <w:color w:val="000000"/>
          <w:kern w:val="0"/>
          <w:sz w:val="24"/>
          <w:szCs w:val="24"/>
        </w:rPr>
        <w:lastRenderedPageBreak/>
        <w:t>第十三部分  基金的收益与分配</w:t>
      </w:r>
      <w:bookmarkEnd w:id="87"/>
      <w:bookmarkEnd w:id="88"/>
      <w:bookmarkEnd w:id="89"/>
      <w:bookmarkEnd w:id="90"/>
      <w:bookmarkEnd w:id="91"/>
    </w:p>
    <w:p w14:paraId="310D105A"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（一）基金利润的构成</w:t>
      </w:r>
    </w:p>
    <w:p w14:paraId="5D390A36" w14:textId="77777777" w:rsidR="00566744" w:rsidRDefault="00000000">
      <w:pPr>
        <w:spacing w:line="360" w:lineRule="auto"/>
        <w:ind w:firstLineChars="225" w:firstLine="540"/>
        <w:rPr>
          <w:bCs/>
          <w:sz w:val="24"/>
        </w:rPr>
      </w:pPr>
      <w:r>
        <w:rPr>
          <w:bCs/>
          <w:sz w:val="24"/>
        </w:rPr>
        <w:t>基金利润指基金利息收入、投资收益、公允价值变动收益和其他收入扣除相关费用后的余额，基金已实现收益指基金利润减去公允价值变动收益后的余额。</w:t>
      </w:r>
    </w:p>
    <w:p w14:paraId="70499853" w14:textId="77777777" w:rsidR="00566744" w:rsidRDefault="00000000">
      <w:pPr>
        <w:spacing w:line="360" w:lineRule="auto"/>
        <w:ind w:firstLineChars="177" w:firstLine="425"/>
        <w:rPr>
          <w:rFonts w:ascii="宋体" w:hAnsi="宋体" w:hint="eastAsia"/>
          <w:color w:val="000000"/>
          <w:kern w:val="0"/>
          <w:sz w:val="24"/>
        </w:rPr>
      </w:pPr>
      <w:r>
        <w:rPr>
          <w:rFonts w:hint="eastAsia"/>
          <w:bCs/>
          <w:sz w:val="24"/>
        </w:rPr>
        <w:t>（二）</w:t>
      </w:r>
      <w:r>
        <w:rPr>
          <w:rFonts w:ascii="宋体" w:hAnsi="宋体" w:hint="eastAsia"/>
          <w:color w:val="000000"/>
          <w:kern w:val="0"/>
          <w:sz w:val="24"/>
        </w:rPr>
        <w:t>基金收益分配原则</w:t>
      </w:r>
    </w:p>
    <w:p w14:paraId="526598C5"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本基金收益分配应遵循下列原则：</w:t>
      </w:r>
    </w:p>
    <w:p w14:paraId="1EA297B5" w14:textId="77777777" w:rsidR="00566744" w:rsidRDefault="00000000">
      <w:pPr>
        <w:autoSpaceDE w:val="0"/>
        <w:autoSpaceDN w:val="0"/>
        <w:adjustRightInd w:val="0"/>
        <w:spacing w:line="360" w:lineRule="auto"/>
        <w:ind w:firstLineChars="177" w:firstLine="425"/>
        <w:jc w:val="left"/>
        <w:rPr>
          <w:bCs/>
          <w:sz w:val="24"/>
        </w:rPr>
      </w:pPr>
      <w:r>
        <w:rPr>
          <w:bCs/>
          <w:sz w:val="24"/>
        </w:rPr>
        <w:t>1</w:t>
      </w:r>
      <w:r>
        <w:rPr>
          <w:rFonts w:hint="eastAsia"/>
          <w:bCs/>
          <w:sz w:val="24"/>
        </w:rPr>
        <w:t>、本基金每份基金份额享有同等分配权；</w:t>
      </w:r>
    </w:p>
    <w:p w14:paraId="5EA2C1EF" w14:textId="77777777" w:rsidR="00566744" w:rsidRDefault="00000000">
      <w:pPr>
        <w:autoSpaceDE w:val="0"/>
        <w:autoSpaceDN w:val="0"/>
        <w:adjustRightInd w:val="0"/>
        <w:spacing w:line="360" w:lineRule="auto"/>
        <w:ind w:firstLineChars="177" w:firstLine="425"/>
        <w:jc w:val="left"/>
        <w:rPr>
          <w:bCs/>
          <w:sz w:val="24"/>
        </w:rPr>
      </w:pPr>
      <w:r>
        <w:rPr>
          <w:bCs/>
          <w:sz w:val="24"/>
        </w:rPr>
        <w:t>2</w:t>
      </w:r>
      <w:r>
        <w:rPr>
          <w:rFonts w:hint="eastAsia"/>
          <w:bCs/>
          <w:sz w:val="24"/>
        </w:rPr>
        <w:t>、本基金收益分配方式为红利再投资，免收再投资的费用；</w:t>
      </w:r>
    </w:p>
    <w:p w14:paraId="24F6DD18" w14:textId="77777777" w:rsidR="00566744" w:rsidRDefault="00000000">
      <w:pPr>
        <w:autoSpaceDE w:val="0"/>
        <w:autoSpaceDN w:val="0"/>
        <w:adjustRightInd w:val="0"/>
        <w:spacing w:line="360" w:lineRule="auto"/>
        <w:ind w:firstLineChars="177" w:firstLine="425"/>
        <w:jc w:val="left"/>
        <w:rPr>
          <w:bCs/>
          <w:sz w:val="24"/>
        </w:rPr>
      </w:pPr>
      <w:r>
        <w:rPr>
          <w:bCs/>
          <w:sz w:val="24"/>
        </w:rPr>
        <w:t>3</w:t>
      </w:r>
      <w:r>
        <w:rPr>
          <w:rFonts w:hint="eastAsia"/>
          <w:bCs/>
          <w:sz w:val="24"/>
        </w:rPr>
        <w:t>、本基金根据每日基金收益情况，以每万份基金已实现收益为基准，为投资人每日计算当日收益并分配。通常情况下，本基金每月集中支付收益，结转为相应的基金份额；此外，本基金的收益支付方式经基金管理人和销售机构双方协商一致后可以按日支付。不论何种支付方式，当日收益均参与下一日的收益分配，不影响基金份额持有人实际获得的投资收益。投资人当日收益分配的计算保留到小数点后</w:t>
      </w:r>
      <w:r>
        <w:rPr>
          <w:rFonts w:hint="eastAsia"/>
          <w:bCs/>
          <w:sz w:val="24"/>
        </w:rPr>
        <w:t>2</w:t>
      </w:r>
      <w:r>
        <w:rPr>
          <w:rFonts w:hint="eastAsia"/>
          <w:bCs/>
          <w:sz w:val="24"/>
        </w:rPr>
        <w:t>位，小数点后第</w:t>
      </w:r>
      <w:r>
        <w:rPr>
          <w:rFonts w:hint="eastAsia"/>
          <w:bCs/>
          <w:sz w:val="24"/>
        </w:rPr>
        <w:t>3</w:t>
      </w:r>
      <w:r>
        <w:rPr>
          <w:rFonts w:hint="eastAsia"/>
          <w:bCs/>
          <w:sz w:val="24"/>
        </w:rPr>
        <w:t>位按去尾原则处理。因去尾形成的余额进行再次分配，直到分完为止；</w:t>
      </w:r>
    </w:p>
    <w:p w14:paraId="2D8CB172" w14:textId="77777777" w:rsidR="00566744" w:rsidRDefault="00000000">
      <w:pPr>
        <w:autoSpaceDE w:val="0"/>
        <w:autoSpaceDN w:val="0"/>
        <w:adjustRightInd w:val="0"/>
        <w:spacing w:line="360" w:lineRule="auto"/>
        <w:ind w:firstLineChars="177" w:firstLine="425"/>
        <w:jc w:val="left"/>
        <w:rPr>
          <w:bCs/>
          <w:sz w:val="24"/>
        </w:rPr>
      </w:pPr>
      <w:r>
        <w:rPr>
          <w:bCs/>
          <w:sz w:val="24"/>
        </w:rPr>
        <w:t>4</w:t>
      </w:r>
      <w:r>
        <w:rPr>
          <w:rFonts w:hint="eastAsia"/>
          <w:bCs/>
          <w:sz w:val="24"/>
        </w:rPr>
        <w:t>、本基金根据每日收益情况，将当日收益全部分配，若当日已实现收益大于零时，为</w:t>
      </w:r>
      <w:proofErr w:type="gramStart"/>
      <w:r>
        <w:rPr>
          <w:rFonts w:hint="eastAsia"/>
          <w:bCs/>
          <w:sz w:val="24"/>
        </w:rPr>
        <w:t>投资人记正收益</w:t>
      </w:r>
      <w:proofErr w:type="gramEnd"/>
      <w:r>
        <w:rPr>
          <w:rFonts w:hint="eastAsia"/>
          <w:bCs/>
          <w:sz w:val="24"/>
        </w:rPr>
        <w:t>；若当日已实现收益小于零时，为</w:t>
      </w:r>
      <w:proofErr w:type="gramStart"/>
      <w:r>
        <w:rPr>
          <w:rFonts w:hint="eastAsia"/>
          <w:bCs/>
          <w:sz w:val="24"/>
        </w:rPr>
        <w:t>投资人记负收益</w:t>
      </w:r>
      <w:proofErr w:type="gramEnd"/>
      <w:r>
        <w:rPr>
          <w:rFonts w:hint="eastAsia"/>
          <w:bCs/>
          <w:sz w:val="24"/>
        </w:rPr>
        <w:t>；若当日已实现收益等于零时，当日投资人不记收益；</w:t>
      </w:r>
    </w:p>
    <w:p w14:paraId="09802015" w14:textId="77777777" w:rsidR="00566744" w:rsidRDefault="00000000">
      <w:pPr>
        <w:autoSpaceDE w:val="0"/>
        <w:autoSpaceDN w:val="0"/>
        <w:adjustRightInd w:val="0"/>
        <w:spacing w:line="360" w:lineRule="auto"/>
        <w:ind w:firstLineChars="177" w:firstLine="425"/>
        <w:jc w:val="left"/>
        <w:rPr>
          <w:bCs/>
          <w:sz w:val="24"/>
        </w:rPr>
      </w:pPr>
      <w:r>
        <w:rPr>
          <w:bCs/>
          <w:sz w:val="24"/>
        </w:rPr>
        <w:t>5</w:t>
      </w:r>
      <w:r>
        <w:rPr>
          <w:bCs/>
          <w:sz w:val="24"/>
        </w:rPr>
        <w:t>、本基金每日进行收益计算并分配，收益支付方式只采用红利再投资（即红利</w:t>
      </w:r>
      <w:proofErr w:type="gramStart"/>
      <w:r>
        <w:rPr>
          <w:bCs/>
          <w:sz w:val="24"/>
        </w:rPr>
        <w:t>转基金</w:t>
      </w:r>
      <w:proofErr w:type="gramEnd"/>
      <w:r>
        <w:rPr>
          <w:bCs/>
          <w:sz w:val="24"/>
        </w:rPr>
        <w:t>份额）方式</w:t>
      </w:r>
      <w:r>
        <w:rPr>
          <w:rFonts w:hint="eastAsia"/>
          <w:bCs/>
          <w:sz w:val="24"/>
        </w:rPr>
        <w:t>。</w:t>
      </w:r>
      <w:r>
        <w:rPr>
          <w:bCs/>
          <w:sz w:val="24"/>
        </w:rPr>
        <w:t>若投资人在</w:t>
      </w:r>
      <w:r>
        <w:rPr>
          <w:rFonts w:hint="eastAsia"/>
          <w:bCs/>
          <w:sz w:val="24"/>
        </w:rPr>
        <w:t>每月累计</w:t>
      </w:r>
      <w:r>
        <w:rPr>
          <w:bCs/>
          <w:sz w:val="24"/>
        </w:rPr>
        <w:t>收益支付时</w:t>
      </w:r>
      <w:r>
        <w:rPr>
          <w:rFonts w:hint="eastAsia"/>
          <w:bCs/>
          <w:sz w:val="24"/>
        </w:rPr>
        <w:t>，</w:t>
      </w:r>
      <w:r>
        <w:rPr>
          <w:bCs/>
          <w:sz w:val="24"/>
        </w:rPr>
        <w:t>其累计收益为正值</w:t>
      </w:r>
      <w:r>
        <w:rPr>
          <w:rFonts w:hint="eastAsia"/>
          <w:bCs/>
          <w:sz w:val="24"/>
        </w:rPr>
        <w:t>，</w:t>
      </w:r>
      <w:r>
        <w:rPr>
          <w:bCs/>
          <w:sz w:val="24"/>
        </w:rPr>
        <w:t>则为投资人增加相应的基金份额</w:t>
      </w:r>
      <w:r>
        <w:rPr>
          <w:rFonts w:hint="eastAsia"/>
          <w:bCs/>
          <w:sz w:val="24"/>
        </w:rPr>
        <w:t>；</w:t>
      </w:r>
      <w:r>
        <w:rPr>
          <w:bCs/>
          <w:sz w:val="24"/>
        </w:rPr>
        <w:t>其累计收益为负值</w:t>
      </w:r>
      <w:r>
        <w:rPr>
          <w:rFonts w:hint="eastAsia"/>
          <w:bCs/>
          <w:sz w:val="24"/>
        </w:rPr>
        <w:t>，</w:t>
      </w:r>
      <w:r>
        <w:rPr>
          <w:bCs/>
          <w:sz w:val="24"/>
        </w:rPr>
        <w:t>则缩减投资人基金份额</w:t>
      </w:r>
      <w:r>
        <w:rPr>
          <w:rFonts w:hint="eastAsia"/>
          <w:bCs/>
          <w:sz w:val="24"/>
        </w:rPr>
        <w:t>。基金管理人和销售机构双方协商一致后按日支付的，若当日已实现收益大于零时，则为投资人增加相应的基金份额；若当日已实现收益等于零时，则保持投资人基金份额不变；若当日已实现收益小于零时，则缩减投资人基金份额。</w:t>
      </w:r>
      <w:r>
        <w:rPr>
          <w:bCs/>
          <w:sz w:val="24"/>
        </w:rPr>
        <w:t>若投资人赎回</w:t>
      </w:r>
      <w:r>
        <w:rPr>
          <w:rFonts w:hint="eastAsia"/>
          <w:bCs/>
          <w:sz w:val="24"/>
        </w:rPr>
        <w:t>全部</w:t>
      </w:r>
      <w:r>
        <w:rPr>
          <w:bCs/>
          <w:sz w:val="24"/>
        </w:rPr>
        <w:t>基金份额时，其对应收益将立即结清；</w:t>
      </w:r>
      <w:proofErr w:type="gramStart"/>
      <w:r>
        <w:rPr>
          <w:bCs/>
          <w:sz w:val="24"/>
        </w:rPr>
        <w:t>若收益</w:t>
      </w:r>
      <w:proofErr w:type="gramEnd"/>
      <w:r>
        <w:rPr>
          <w:bCs/>
          <w:sz w:val="24"/>
        </w:rPr>
        <w:t>为负值，则从投资人赎回基金款中扣除；</w:t>
      </w:r>
    </w:p>
    <w:p w14:paraId="135B8BEA" w14:textId="77777777" w:rsidR="00566744" w:rsidRDefault="00000000">
      <w:pPr>
        <w:autoSpaceDE w:val="0"/>
        <w:autoSpaceDN w:val="0"/>
        <w:adjustRightInd w:val="0"/>
        <w:spacing w:line="360" w:lineRule="auto"/>
        <w:ind w:firstLineChars="177" w:firstLine="425"/>
        <w:jc w:val="left"/>
        <w:rPr>
          <w:bCs/>
          <w:sz w:val="24"/>
        </w:rPr>
      </w:pPr>
      <w:r>
        <w:rPr>
          <w:rFonts w:hint="eastAsia"/>
          <w:bCs/>
          <w:sz w:val="24"/>
        </w:rPr>
        <w:t>6</w:t>
      </w:r>
      <w:r>
        <w:rPr>
          <w:rFonts w:hint="eastAsia"/>
          <w:bCs/>
          <w:sz w:val="24"/>
        </w:rPr>
        <w:t>、当日申购的基金份额自下一个工作日起，享有基金的收益分配权益；当日赎</w:t>
      </w:r>
      <w:r>
        <w:rPr>
          <w:rFonts w:hint="eastAsia"/>
          <w:bCs/>
          <w:sz w:val="24"/>
        </w:rPr>
        <w:lastRenderedPageBreak/>
        <w:t>回的基金份额自下一个工作日起，不享有基金的收益分配权益；</w:t>
      </w:r>
    </w:p>
    <w:p w14:paraId="3A135205" w14:textId="77777777" w:rsidR="00566744" w:rsidRDefault="00000000">
      <w:pPr>
        <w:autoSpaceDE w:val="0"/>
        <w:autoSpaceDN w:val="0"/>
        <w:adjustRightInd w:val="0"/>
        <w:spacing w:line="360" w:lineRule="auto"/>
        <w:ind w:firstLineChars="177" w:firstLine="425"/>
        <w:jc w:val="left"/>
        <w:rPr>
          <w:bCs/>
          <w:sz w:val="24"/>
        </w:rPr>
      </w:pPr>
      <w:r>
        <w:rPr>
          <w:rFonts w:hint="eastAsia"/>
          <w:bCs/>
          <w:sz w:val="24"/>
        </w:rPr>
        <w:t>7</w:t>
      </w:r>
      <w:r>
        <w:rPr>
          <w:rFonts w:hint="eastAsia"/>
          <w:bCs/>
          <w:sz w:val="24"/>
        </w:rPr>
        <w:t>、法律法规或监管机构另有规定的从其规定。</w:t>
      </w:r>
    </w:p>
    <w:p w14:paraId="123E64A2" w14:textId="77777777" w:rsidR="00566744" w:rsidRDefault="00000000">
      <w:pPr>
        <w:spacing w:line="360" w:lineRule="auto"/>
        <w:ind w:firstLineChars="177" w:firstLine="425"/>
        <w:rPr>
          <w:rFonts w:ascii="宋体" w:hAnsi="宋体" w:hint="eastAsia"/>
          <w:color w:val="000000"/>
          <w:kern w:val="0"/>
          <w:sz w:val="24"/>
        </w:rPr>
      </w:pPr>
      <w:bookmarkStart w:id="92" w:name="OLE_LINK6"/>
      <w:bookmarkStart w:id="93" w:name="OLE_LINK5"/>
      <w:r>
        <w:rPr>
          <w:rFonts w:hint="eastAsia"/>
          <w:bCs/>
          <w:sz w:val="24"/>
        </w:rPr>
        <w:t>在不违反法律法规及对基金份额持有人利益无实质不利影响的前提下，基金管理人可调整基金收益的分配原则和支付方式，不需召开基金份额持有人大会审议。</w:t>
      </w:r>
      <w:bookmarkEnd w:id="92"/>
      <w:bookmarkEnd w:id="93"/>
    </w:p>
    <w:p w14:paraId="7EA75405"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（三）收益分配方案</w:t>
      </w:r>
    </w:p>
    <w:p w14:paraId="744F345B" w14:textId="77777777" w:rsidR="00566744" w:rsidRDefault="00000000">
      <w:pPr>
        <w:spacing w:line="360" w:lineRule="auto"/>
        <w:ind w:firstLineChars="177" w:firstLine="425"/>
        <w:rPr>
          <w:rFonts w:ascii="宋体" w:hAnsi="宋体" w:hint="eastAsia"/>
          <w:color w:val="000000"/>
          <w:kern w:val="0"/>
          <w:sz w:val="24"/>
        </w:rPr>
      </w:pPr>
      <w:r>
        <w:rPr>
          <w:rFonts w:hint="eastAsia"/>
          <w:bCs/>
          <w:sz w:val="24"/>
        </w:rPr>
        <w:t>本基金按日计算并分配收益，每月</w:t>
      </w:r>
      <w:r>
        <w:rPr>
          <w:bCs/>
          <w:sz w:val="24"/>
        </w:rPr>
        <w:t>例行对上</w:t>
      </w:r>
      <w:r>
        <w:rPr>
          <w:rFonts w:hint="eastAsia"/>
          <w:bCs/>
          <w:sz w:val="24"/>
        </w:rPr>
        <w:t>一</w:t>
      </w:r>
      <w:proofErr w:type="gramStart"/>
      <w:r>
        <w:rPr>
          <w:rFonts w:hint="eastAsia"/>
          <w:bCs/>
          <w:sz w:val="24"/>
        </w:rPr>
        <w:t>月分</w:t>
      </w:r>
      <w:proofErr w:type="gramEnd"/>
      <w:r>
        <w:rPr>
          <w:rFonts w:hint="eastAsia"/>
          <w:bCs/>
          <w:sz w:val="24"/>
        </w:rPr>
        <w:t>配</w:t>
      </w:r>
      <w:r>
        <w:rPr>
          <w:bCs/>
          <w:sz w:val="24"/>
        </w:rPr>
        <w:t>的</w:t>
      </w:r>
      <w:r>
        <w:rPr>
          <w:rFonts w:hint="eastAsia"/>
          <w:bCs/>
          <w:sz w:val="24"/>
        </w:rPr>
        <w:t>未付</w:t>
      </w:r>
      <w:r>
        <w:rPr>
          <w:bCs/>
          <w:sz w:val="24"/>
        </w:rPr>
        <w:t>收益进行收益结转，</w:t>
      </w:r>
      <w:r>
        <w:rPr>
          <w:rFonts w:hint="eastAsia"/>
          <w:bCs/>
          <w:sz w:val="24"/>
        </w:rPr>
        <w:t>基金管理人</w:t>
      </w:r>
      <w:proofErr w:type="gramStart"/>
      <w:r>
        <w:rPr>
          <w:rFonts w:hint="eastAsia"/>
          <w:bCs/>
          <w:sz w:val="24"/>
        </w:rPr>
        <w:t>不</w:t>
      </w:r>
      <w:proofErr w:type="gramEnd"/>
      <w:r>
        <w:rPr>
          <w:rFonts w:hint="eastAsia"/>
          <w:bCs/>
          <w:sz w:val="24"/>
        </w:rPr>
        <w:t>另行公告。</w:t>
      </w:r>
      <w:proofErr w:type="gramStart"/>
      <w:r>
        <w:rPr>
          <w:rFonts w:hint="eastAsia"/>
          <w:bCs/>
          <w:sz w:val="24"/>
        </w:rPr>
        <w:t>若基金</w:t>
      </w:r>
      <w:proofErr w:type="gramEnd"/>
      <w:r>
        <w:rPr>
          <w:rFonts w:hint="eastAsia"/>
          <w:bCs/>
          <w:sz w:val="24"/>
        </w:rPr>
        <w:t>管理人和销售机构双方协商一致后按日支付收益的，每日收益结转亦不再另行公告。</w:t>
      </w:r>
    </w:p>
    <w:p w14:paraId="1D9880AB"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（四）收益分配的时间和程序</w:t>
      </w:r>
    </w:p>
    <w:p w14:paraId="7E8CF277" w14:textId="77777777" w:rsidR="00566744" w:rsidRDefault="00000000">
      <w:pPr>
        <w:spacing w:line="360" w:lineRule="auto"/>
        <w:ind w:firstLineChars="177" w:firstLine="425"/>
        <w:rPr>
          <w:rFonts w:ascii="宋体" w:hAnsi="宋体" w:hint="eastAsia"/>
          <w:color w:val="000000"/>
          <w:kern w:val="0"/>
          <w:sz w:val="24"/>
        </w:rPr>
      </w:pPr>
      <w:r>
        <w:rPr>
          <w:rFonts w:hint="eastAsia"/>
          <w:bCs/>
          <w:sz w:val="24"/>
        </w:rPr>
        <w:t>本基金每日进行收益分配。每个工作日公告前一个开放日各类基金份额的每万份基金已实现收益和</w:t>
      </w:r>
      <w:proofErr w:type="gramStart"/>
      <w:r>
        <w:rPr>
          <w:rFonts w:hint="eastAsia"/>
          <w:bCs/>
          <w:sz w:val="24"/>
        </w:rPr>
        <w:t>7</w:t>
      </w:r>
      <w:r>
        <w:rPr>
          <w:rFonts w:hint="eastAsia"/>
          <w:bCs/>
          <w:sz w:val="24"/>
        </w:rPr>
        <w:t>日年化收益率</w:t>
      </w:r>
      <w:proofErr w:type="gramEnd"/>
      <w:r>
        <w:rPr>
          <w:rFonts w:hint="eastAsia"/>
          <w:bCs/>
          <w:sz w:val="24"/>
        </w:rPr>
        <w:t>。若遇法定节假日，应于节假日结束后第二个自然日，披露节假日期间各类</w:t>
      </w:r>
      <w:r>
        <w:rPr>
          <w:bCs/>
          <w:sz w:val="24"/>
        </w:rPr>
        <w:t>基金份额的</w:t>
      </w:r>
      <w:r>
        <w:rPr>
          <w:rFonts w:hint="eastAsia"/>
          <w:bCs/>
          <w:sz w:val="24"/>
        </w:rPr>
        <w:t>每万份基金已实现收益和节假日最后一日的</w:t>
      </w:r>
      <w:proofErr w:type="gramStart"/>
      <w:r>
        <w:rPr>
          <w:rFonts w:hint="eastAsia"/>
          <w:bCs/>
          <w:sz w:val="24"/>
        </w:rPr>
        <w:t>7</w:t>
      </w:r>
      <w:r>
        <w:rPr>
          <w:rFonts w:hint="eastAsia"/>
          <w:bCs/>
          <w:sz w:val="24"/>
        </w:rPr>
        <w:t>日年化收益率</w:t>
      </w:r>
      <w:proofErr w:type="gramEnd"/>
      <w:r>
        <w:rPr>
          <w:rFonts w:hint="eastAsia"/>
          <w:bCs/>
          <w:sz w:val="24"/>
        </w:rPr>
        <w:t>，以及节假日后首个开放日各类</w:t>
      </w:r>
      <w:r>
        <w:rPr>
          <w:bCs/>
          <w:sz w:val="24"/>
        </w:rPr>
        <w:t>基金份额的</w:t>
      </w:r>
      <w:r>
        <w:rPr>
          <w:rFonts w:hint="eastAsia"/>
          <w:bCs/>
          <w:sz w:val="24"/>
        </w:rPr>
        <w:t>每万份基金已实现收益和</w:t>
      </w:r>
      <w:proofErr w:type="gramStart"/>
      <w:r>
        <w:rPr>
          <w:rFonts w:hint="eastAsia"/>
          <w:bCs/>
          <w:sz w:val="24"/>
        </w:rPr>
        <w:t>7</w:t>
      </w:r>
      <w:r>
        <w:rPr>
          <w:rFonts w:hint="eastAsia"/>
          <w:bCs/>
          <w:sz w:val="24"/>
        </w:rPr>
        <w:t>日年化收益率</w:t>
      </w:r>
      <w:proofErr w:type="gramEnd"/>
      <w:r>
        <w:rPr>
          <w:rFonts w:hint="eastAsia"/>
          <w:bCs/>
          <w:sz w:val="24"/>
        </w:rPr>
        <w:t>。经中国证监会同意，可以适当延迟计算或公告。法律法规另有规定的，从其规定。</w:t>
      </w:r>
    </w:p>
    <w:p w14:paraId="003EB0FA"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（五）</w:t>
      </w:r>
      <w:r>
        <w:rPr>
          <w:rFonts w:hint="eastAsia"/>
          <w:bCs/>
          <w:sz w:val="24"/>
        </w:rPr>
        <w:t>本基金每万份基金已实现收益及</w:t>
      </w:r>
      <w:proofErr w:type="gramStart"/>
      <w:r>
        <w:rPr>
          <w:bCs/>
          <w:sz w:val="24"/>
        </w:rPr>
        <w:t>7</w:t>
      </w:r>
      <w:r>
        <w:rPr>
          <w:rFonts w:hint="eastAsia"/>
          <w:bCs/>
          <w:sz w:val="24"/>
        </w:rPr>
        <w:t>日年化收益率</w:t>
      </w:r>
      <w:proofErr w:type="gramEnd"/>
      <w:r>
        <w:rPr>
          <w:rFonts w:hint="eastAsia"/>
          <w:bCs/>
          <w:sz w:val="24"/>
        </w:rPr>
        <w:t>的计算</w:t>
      </w:r>
      <w:proofErr w:type="gramStart"/>
      <w:r>
        <w:rPr>
          <w:rFonts w:hint="eastAsia"/>
          <w:bCs/>
          <w:sz w:val="24"/>
        </w:rPr>
        <w:t>见基金</w:t>
      </w:r>
      <w:proofErr w:type="gramEnd"/>
      <w:r>
        <w:rPr>
          <w:rFonts w:hint="eastAsia"/>
          <w:bCs/>
          <w:sz w:val="24"/>
        </w:rPr>
        <w:t>合同第十八部分。</w:t>
      </w:r>
    </w:p>
    <w:p w14:paraId="0018101C" w14:textId="77777777" w:rsidR="00566744" w:rsidRDefault="00000000">
      <w:pPr>
        <w:pStyle w:val="1"/>
        <w:pageBreakBefore/>
        <w:spacing w:beforeLines="50" w:before="120" w:afterLines="50" w:after="120" w:line="360" w:lineRule="auto"/>
        <w:ind w:firstLine="420"/>
        <w:jc w:val="center"/>
        <w:rPr>
          <w:rFonts w:ascii="宋体" w:hAnsi="宋体" w:hint="eastAsia"/>
          <w:color w:val="000000"/>
          <w:kern w:val="0"/>
          <w:sz w:val="24"/>
        </w:rPr>
      </w:pPr>
      <w:bookmarkStart w:id="94" w:name="_Hlt80958353"/>
      <w:bookmarkStart w:id="95" w:name="_Toc482624802"/>
      <w:bookmarkStart w:id="96" w:name="_Toc230166639"/>
      <w:bookmarkStart w:id="97" w:name="_Toc78378594"/>
      <w:bookmarkStart w:id="98" w:name="_Toc194043155"/>
      <w:bookmarkStart w:id="99" w:name="_Toc225576446"/>
      <w:bookmarkStart w:id="100" w:name="_Toc225445656"/>
      <w:bookmarkStart w:id="101" w:name="_Toc194043650"/>
      <w:bookmarkStart w:id="102" w:name="_Toc256666802"/>
      <w:bookmarkStart w:id="103" w:name="_Toc895"/>
      <w:bookmarkStart w:id="104" w:name="_Toc256666922"/>
      <w:bookmarkEnd w:id="94"/>
      <w:r>
        <w:rPr>
          <w:rFonts w:ascii="宋体" w:hAnsi="宋体" w:hint="eastAsia"/>
          <w:color w:val="000000"/>
          <w:kern w:val="0"/>
          <w:sz w:val="24"/>
          <w:szCs w:val="24"/>
        </w:rPr>
        <w:lastRenderedPageBreak/>
        <w:t>第十四部分</w:t>
      </w:r>
      <w:r>
        <w:rPr>
          <w:rFonts w:ascii="宋体" w:hAnsi="宋体"/>
          <w:color w:val="000000"/>
          <w:kern w:val="0"/>
          <w:sz w:val="24"/>
          <w:szCs w:val="24"/>
        </w:rPr>
        <w:t xml:space="preserve">  </w:t>
      </w:r>
      <w:r>
        <w:rPr>
          <w:rFonts w:ascii="宋体" w:hAnsi="宋体" w:hint="eastAsia"/>
          <w:color w:val="000000"/>
          <w:kern w:val="0"/>
          <w:sz w:val="24"/>
          <w:szCs w:val="24"/>
        </w:rPr>
        <w:t>基金的费用与税收</w:t>
      </w:r>
      <w:bookmarkEnd w:id="95"/>
      <w:bookmarkEnd w:id="96"/>
      <w:bookmarkEnd w:id="97"/>
      <w:bookmarkEnd w:id="98"/>
      <w:bookmarkEnd w:id="99"/>
      <w:bookmarkEnd w:id="100"/>
      <w:bookmarkEnd w:id="101"/>
      <w:bookmarkEnd w:id="102"/>
      <w:bookmarkEnd w:id="103"/>
      <w:bookmarkEnd w:id="104"/>
    </w:p>
    <w:p w14:paraId="362EB8DF"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（一）基金费用的种类</w:t>
      </w:r>
    </w:p>
    <w:p w14:paraId="39771BCA" w14:textId="77777777" w:rsidR="00566744" w:rsidRDefault="00000000">
      <w:pPr>
        <w:spacing w:line="360" w:lineRule="auto"/>
        <w:ind w:firstLineChars="200" w:firstLine="480"/>
        <w:rPr>
          <w:bCs/>
          <w:sz w:val="24"/>
        </w:rPr>
      </w:pPr>
      <w:r>
        <w:rPr>
          <w:bCs/>
          <w:sz w:val="24"/>
        </w:rPr>
        <w:t>1</w:t>
      </w:r>
      <w:r>
        <w:rPr>
          <w:bCs/>
          <w:sz w:val="24"/>
        </w:rPr>
        <w:t>、基金管理人的管理费；</w:t>
      </w:r>
    </w:p>
    <w:p w14:paraId="2971F138" w14:textId="77777777" w:rsidR="00566744" w:rsidRDefault="00000000">
      <w:pPr>
        <w:spacing w:line="360" w:lineRule="auto"/>
        <w:ind w:firstLineChars="200" w:firstLine="480"/>
        <w:rPr>
          <w:bCs/>
          <w:sz w:val="24"/>
        </w:rPr>
      </w:pPr>
      <w:r>
        <w:rPr>
          <w:bCs/>
          <w:sz w:val="24"/>
        </w:rPr>
        <w:t>2</w:t>
      </w:r>
      <w:r>
        <w:rPr>
          <w:bCs/>
          <w:sz w:val="24"/>
        </w:rPr>
        <w:t>、基金托管人的托管费；</w:t>
      </w:r>
    </w:p>
    <w:p w14:paraId="133FCD35" w14:textId="77777777" w:rsidR="00566744" w:rsidRDefault="00000000">
      <w:pPr>
        <w:spacing w:line="360" w:lineRule="auto"/>
        <w:ind w:firstLineChars="200" w:firstLine="480"/>
        <w:rPr>
          <w:bCs/>
          <w:sz w:val="24"/>
        </w:rPr>
      </w:pPr>
      <w:r>
        <w:rPr>
          <w:rFonts w:hint="eastAsia"/>
          <w:bCs/>
          <w:sz w:val="24"/>
        </w:rPr>
        <w:t>3</w:t>
      </w:r>
      <w:r>
        <w:rPr>
          <w:rFonts w:hint="eastAsia"/>
          <w:bCs/>
          <w:sz w:val="24"/>
        </w:rPr>
        <w:t>、销售服务费；</w:t>
      </w:r>
    </w:p>
    <w:p w14:paraId="11B03842" w14:textId="77777777" w:rsidR="00566744" w:rsidRDefault="00000000">
      <w:pPr>
        <w:spacing w:line="360" w:lineRule="auto"/>
        <w:ind w:firstLineChars="200" w:firstLine="480"/>
        <w:rPr>
          <w:bCs/>
          <w:sz w:val="24"/>
        </w:rPr>
      </w:pPr>
      <w:r>
        <w:rPr>
          <w:bCs/>
          <w:sz w:val="24"/>
        </w:rPr>
        <w:t>4</w:t>
      </w:r>
      <w:r>
        <w:rPr>
          <w:bCs/>
          <w:sz w:val="24"/>
        </w:rPr>
        <w:t>、《基金合同》生效后与基金相关的信息披露费用；</w:t>
      </w:r>
    </w:p>
    <w:p w14:paraId="306AF2D3" w14:textId="77777777" w:rsidR="00566744" w:rsidRDefault="00000000">
      <w:pPr>
        <w:spacing w:line="360" w:lineRule="auto"/>
        <w:ind w:firstLineChars="200" w:firstLine="480"/>
        <w:rPr>
          <w:bCs/>
          <w:sz w:val="24"/>
        </w:rPr>
      </w:pPr>
      <w:r>
        <w:rPr>
          <w:bCs/>
          <w:sz w:val="24"/>
        </w:rPr>
        <w:t>5</w:t>
      </w:r>
      <w:r>
        <w:rPr>
          <w:bCs/>
          <w:sz w:val="24"/>
        </w:rPr>
        <w:t>、《基金合同》生效后与基金相关的会计师费、律师费和诉讼费；</w:t>
      </w:r>
    </w:p>
    <w:p w14:paraId="11F260FF" w14:textId="77777777" w:rsidR="00566744" w:rsidRDefault="00000000">
      <w:pPr>
        <w:spacing w:line="360" w:lineRule="auto"/>
        <w:ind w:firstLineChars="200" w:firstLine="480"/>
        <w:rPr>
          <w:bCs/>
          <w:sz w:val="24"/>
        </w:rPr>
      </w:pPr>
      <w:r>
        <w:rPr>
          <w:bCs/>
          <w:sz w:val="24"/>
        </w:rPr>
        <w:t>6</w:t>
      </w:r>
      <w:r>
        <w:rPr>
          <w:bCs/>
          <w:sz w:val="24"/>
        </w:rPr>
        <w:t>、基金份额持有人大会费用；</w:t>
      </w:r>
    </w:p>
    <w:p w14:paraId="1A7FD009" w14:textId="77777777" w:rsidR="00566744" w:rsidRDefault="00000000">
      <w:pPr>
        <w:spacing w:line="360" w:lineRule="auto"/>
        <w:ind w:firstLineChars="200" w:firstLine="480"/>
        <w:rPr>
          <w:bCs/>
          <w:sz w:val="24"/>
        </w:rPr>
      </w:pPr>
      <w:r>
        <w:rPr>
          <w:bCs/>
          <w:sz w:val="24"/>
        </w:rPr>
        <w:t>7</w:t>
      </w:r>
      <w:r>
        <w:rPr>
          <w:bCs/>
          <w:sz w:val="24"/>
        </w:rPr>
        <w:t>、基金的证券交易费用；</w:t>
      </w:r>
    </w:p>
    <w:p w14:paraId="345CA1FE" w14:textId="77777777" w:rsidR="00566744" w:rsidRDefault="00000000">
      <w:pPr>
        <w:spacing w:line="360" w:lineRule="auto"/>
        <w:ind w:firstLineChars="200" w:firstLine="480"/>
        <w:rPr>
          <w:bCs/>
          <w:sz w:val="24"/>
        </w:rPr>
      </w:pPr>
      <w:r>
        <w:rPr>
          <w:bCs/>
          <w:sz w:val="24"/>
        </w:rPr>
        <w:t>8</w:t>
      </w:r>
      <w:r>
        <w:rPr>
          <w:bCs/>
          <w:sz w:val="24"/>
        </w:rPr>
        <w:t>、基金的银行汇划费用；</w:t>
      </w:r>
    </w:p>
    <w:p w14:paraId="60BF5401" w14:textId="77777777" w:rsidR="00566744" w:rsidRDefault="00000000">
      <w:pPr>
        <w:spacing w:line="360" w:lineRule="auto"/>
        <w:ind w:firstLineChars="200" w:firstLine="480"/>
        <w:rPr>
          <w:rFonts w:ascii="宋体" w:hAnsi="宋体" w:hint="eastAsia"/>
          <w:bCs/>
          <w:sz w:val="24"/>
        </w:rPr>
      </w:pPr>
      <w:r>
        <w:rPr>
          <w:bCs/>
          <w:sz w:val="24"/>
        </w:rPr>
        <w:t>9</w:t>
      </w:r>
      <w:r>
        <w:rPr>
          <w:rFonts w:ascii="宋体" w:hAnsi="宋体"/>
          <w:bCs/>
          <w:sz w:val="24"/>
        </w:rPr>
        <w:t>、</w:t>
      </w:r>
      <w:r>
        <w:rPr>
          <w:rFonts w:ascii="宋体" w:hAnsi="宋体" w:hint="eastAsia"/>
          <w:bCs/>
          <w:sz w:val="24"/>
        </w:rPr>
        <w:t>账户开户费用、账户维护费用；</w:t>
      </w:r>
    </w:p>
    <w:p w14:paraId="27069630" w14:textId="77777777" w:rsidR="00566744" w:rsidRDefault="00000000">
      <w:pPr>
        <w:spacing w:line="360" w:lineRule="auto"/>
        <w:ind w:firstLineChars="200" w:firstLine="480"/>
        <w:rPr>
          <w:rFonts w:ascii="宋体" w:hAnsi="宋体" w:hint="eastAsia"/>
          <w:bCs/>
          <w:sz w:val="24"/>
        </w:rPr>
      </w:pPr>
      <w:r>
        <w:rPr>
          <w:bCs/>
          <w:sz w:val="24"/>
        </w:rPr>
        <w:t>10</w:t>
      </w:r>
      <w:r>
        <w:rPr>
          <w:bCs/>
          <w:sz w:val="24"/>
        </w:rPr>
        <w:t>、按照国家有关规定和《基金合同》约定，可以在基金财产中列支的其他费用。</w:t>
      </w:r>
    </w:p>
    <w:p w14:paraId="42BC7186"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（二）基金费用计提方法、计提标准和支付方式</w:t>
      </w:r>
    </w:p>
    <w:p w14:paraId="525C0376"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1、基金管理人的管理费</w:t>
      </w:r>
    </w:p>
    <w:p w14:paraId="2EFDA148"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本基金的管理费按前一日基金资产净值的</w:t>
      </w:r>
      <w:r>
        <w:rPr>
          <w:rFonts w:ascii="宋体" w:hAnsi="宋体"/>
          <w:color w:val="000000"/>
          <w:kern w:val="0"/>
          <w:sz w:val="24"/>
        </w:rPr>
        <w:t>0.</w:t>
      </w:r>
      <w:r>
        <w:rPr>
          <w:rFonts w:ascii="宋体" w:hAnsi="宋体" w:hint="eastAsia"/>
          <w:color w:val="000000"/>
          <w:kern w:val="0"/>
          <w:sz w:val="24"/>
        </w:rPr>
        <w:t>20%年费率计提。管理费的计算方法如下：</w:t>
      </w:r>
    </w:p>
    <w:p w14:paraId="532111B6"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H＝E×</w:t>
      </w:r>
      <w:r>
        <w:rPr>
          <w:rFonts w:ascii="宋体" w:hAnsi="宋体"/>
          <w:color w:val="000000"/>
          <w:kern w:val="0"/>
          <w:sz w:val="24"/>
        </w:rPr>
        <w:t>0.</w:t>
      </w:r>
      <w:r>
        <w:rPr>
          <w:rFonts w:ascii="宋体" w:hAnsi="宋体" w:hint="eastAsia"/>
          <w:color w:val="000000"/>
          <w:kern w:val="0"/>
          <w:sz w:val="24"/>
        </w:rPr>
        <w:t>20%÷当年天数</w:t>
      </w:r>
    </w:p>
    <w:p w14:paraId="36B142B1"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H 为每日应计提的基金管理费</w:t>
      </w:r>
    </w:p>
    <w:p w14:paraId="49585665"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E 为前一日基金资产净值</w:t>
      </w:r>
    </w:p>
    <w:p w14:paraId="5CF72F37" w14:textId="77777777" w:rsidR="00566744" w:rsidRDefault="00000000">
      <w:pPr>
        <w:spacing w:line="360" w:lineRule="auto"/>
        <w:ind w:firstLineChars="200" w:firstLine="480"/>
        <w:rPr>
          <w:rFonts w:ascii="宋体" w:hAnsi="宋体" w:hint="eastAsia"/>
          <w:color w:val="000000"/>
          <w:kern w:val="0"/>
          <w:sz w:val="24"/>
        </w:rPr>
      </w:pPr>
      <w:r>
        <w:rPr>
          <w:bCs/>
          <w:sz w:val="24"/>
        </w:rPr>
        <w:t>基金管理费每日计</w:t>
      </w:r>
      <w:r>
        <w:rPr>
          <w:rFonts w:hint="eastAsia"/>
          <w:bCs/>
          <w:sz w:val="24"/>
        </w:rPr>
        <w:t>提</w:t>
      </w:r>
      <w:r>
        <w:rPr>
          <w:bCs/>
          <w:sz w:val="24"/>
        </w:rPr>
        <w:t>，逐日累计至每月月末，按月支付，由基金管理人向基金托管人发送基金管理费划款指令，基金托管人复核后于次月前</w:t>
      </w:r>
      <w:r>
        <w:rPr>
          <w:bCs/>
          <w:sz w:val="24"/>
        </w:rPr>
        <w:t>5</w:t>
      </w:r>
      <w:r>
        <w:rPr>
          <w:bCs/>
          <w:sz w:val="24"/>
        </w:rPr>
        <w:t>个工作日内从基金财产中一次性支付给基金管理人。若遇法定节假日、公休假等</w:t>
      </w:r>
      <w:r>
        <w:rPr>
          <w:rFonts w:hint="eastAsia"/>
          <w:bCs/>
          <w:sz w:val="24"/>
        </w:rPr>
        <w:t>，</w:t>
      </w:r>
      <w:r>
        <w:rPr>
          <w:bCs/>
          <w:sz w:val="24"/>
        </w:rPr>
        <w:t>支付日期顺延。</w:t>
      </w:r>
    </w:p>
    <w:p w14:paraId="11DB389C"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2、基金托管人的基金托管费</w:t>
      </w:r>
    </w:p>
    <w:p w14:paraId="2217742B"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本基金的托管费按前一日基金资产净值的</w:t>
      </w:r>
      <w:r>
        <w:rPr>
          <w:rFonts w:ascii="宋体" w:hAnsi="宋体"/>
          <w:color w:val="000000"/>
          <w:kern w:val="0"/>
          <w:sz w:val="24"/>
        </w:rPr>
        <w:t>0.05</w:t>
      </w:r>
      <w:r>
        <w:rPr>
          <w:rFonts w:ascii="宋体" w:hAnsi="宋体" w:hint="eastAsia"/>
          <w:color w:val="000000"/>
          <w:kern w:val="0"/>
          <w:sz w:val="24"/>
        </w:rPr>
        <w:t>%年费率计提。托管费的计算方法如下：</w:t>
      </w:r>
    </w:p>
    <w:p w14:paraId="78D051A3"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H=E×</w:t>
      </w:r>
      <w:r>
        <w:rPr>
          <w:rFonts w:ascii="宋体" w:hAnsi="宋体"/>
          <w:color w:val="000000"/>
          <w:kern w:val="0"/>
          <w:sz w:val="24"/>
        </w:rPr>
        <w:t>0.05</w:t>
      </w:r>
      <w:r>
        <w:rPr>
          <w:rFonts w:ascii="宋体" w:hAnsi="宋体" w:hint="eastAsia"/>
          <w:color w:val="000000"/>
          <w:kern w:val="0"/>
          <w:sz w:val="24"/>
        </w:rPr>
        <w:t>%÷当年天数</w:t>
      </w:r>
    </w:p>
    <w:p w14:paraId="6AD8C702"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lastRenderedPageBreak/>
        <w:t>H 为每日应计提的基金托管费</w:t>
      </w:r>
    </w:p>
    <w:p w14:paraId="19578E0B" w14:textId="77777777" w:rsidR="00566744" w:rsidRDefault="00000000">
      <w:pPr>
        <w:spacing w:line="372" w:lineRule="auto"/>
        <w:ind w:firstLineChars="200" w:firstLine="480"/>
        <w:rPr>
          <w:rFonts w:ascii="宋体" w:hAnsi="宋体" w:hint="eastAsia"/>
          <w:color w:val="000000"/>
          <w:kern w:val="0"/>
          <w:sz w:val="24"/>
        </w:rPr>
      </w:pPr>
      <w:r>
        <w:rPr>
          <w:rFonts w:ascii="宋体" w:hAnsi="宋体" w:hint="eastAsia"/>
          <w:color w:val="000000"/>
          <w:kern w:val="0"/>
          <w:sz w:val="24"/>
        </w:rPr>
        <w:t>E 为前一日的基金资产净值</w:t>
      </w:r>
    </w:p>
    <w:p w14:paraId="4EF0E847" w14:textId="77777777" w:rsidR="00566744" w:rsidRDefault="00000000">
      <w:pPr>
        <w:spacing w:line="360" w:lineRule="auto"/>
        <w:ind w:firstLineChars="200" w:firstLine="480"/>
        <w:rPr>
          <w:bCs/>
          <w:sz w:val="24"/>
        </w:rPr>
      </w:pPr>
      <w:r>
        <w:rPr>
          <w:bCs/>
          <w:sz w:val="24"/>
        </w:rPr>
        <w:t>基金托管费每日</w:t>
      </w:r>
      <w:r>
        <w:rPr>
          <w:rFonts w:hint="eastAsia"/>
          <w:bCs/>
          <w:sz w:val="24"/>
        </w:rPr>
        <w:t>计提</w:t>
      </w:r>
      <w:r>
        <w:rPr>
          <w:bCs/>
          <w:sz w:val="24"/>
        </w:rPr>
        <w:t>，逐日累计至每月月末，按月支付，由基金管理人向基金托管人发送基金托管费划款指令，基金托管人复核后于次月前</w:t>
      </w:r>
      <w:r>
        <w:rPr>
          <w:bCs/>
          <w:sz w:val="24"/>
        </w:rPr>
        <w:t>5</w:t>
      </w:r>
      <w:r>
        <w:rPr>
          <w:bCs/>
          <w:sz w:val="24"/>
        </w:rPr>
        <w:t>个工作日内从基金财产中一次性支取。若遇法定节假日、公休日等</w:t>
      </w:r>
      <w:r>
        <w:rPr>
          <w:rFonts w:hint="eastAsia"/>
          <w:bCs/>
          <w:sz w:val="24"/>
        </w:rPr>
        <w:t>，</w:t>
      </w:r>
      <w:r>
        <w:rPr>
          <w:bCs/>
          <w:sz w:val="24"/>
        </w:rPr>
        <w:t>支付日期顺延。</w:t>
      </w:r>
    </w:p>
    <w:p w14:paraId="0B0BD30C" w14:textId="77777777" w:rsidR="00566744" w:rsidRDefault="00000000">
      <w:pPr>
        <w:spacing w:line="360" w:lineRule="auto"/>
        <w:ind w:firstLineChars="200" w:firstLine="480"/>
        <w:rPr>
          <w:bCs/>
          <w:sz w:val="24"/>
        </w:rPr>
      </w:pPr>
      <w:r>
        <w:rPr>
          <w:rFonts w:hint="eastAsia"/>
          <w:bCs/>
          <w:sz w:val="24"/>
        </w:rPr>
        <w:t>3</w:t>
      </w:r>
      <w:r>
        <w:rPr>
          <w:rFonts w:hint="eastAsia"/>
          <w:bCs/>
          <w:sz w:val="24"/>
        </w:rPr>
        <w:t>、基金销售服务费</w:t>
      </w:r>
    </w:p>
    <w:p w14:paraId="5FAC325F" w14:textId="77777777" w:rsidR="00566744" w:rsidRDefault="00000000">
      <w:pPr>
        <w:spacing w:line="360" w:lineRule="auto"/>
        <w:ind w:firstLineChars="200" w:firstLine="480"/>
        <w:rPr>
          <w:bCs/>
          <w:sz w:val="24"/>
        </w:rPr>
      </w:pPr>
      <w:r>
        <w:rPr>
          <w:rFonts w:hint="eastAsia"/>
          <w:bCs/>
          <w:sz w:val="24"/>
        </w:rPr>
        <w:t>本基金</w:t>
      </w:r>
      <w:r>
        <w:rPr>
          <w:rFonts w:hint="eastAsia"/>
          <w:bCs/>
          <w:sz w:val="24"/>
        </w:rPr>
        <w:t xml:space="preserve"> A </w:t>
      </w:r>
      <w:r>
        <w:rPr>
          <w:rFonts w:hint="eastAsia"/>
          <w:bCs/>
          <w:sz w:val="24"/>
        </w:rPr>
        <w:t>类基金份额的年销售服务费率为</w:t>
      </w:r>
      <w:r>
        <w:rPr>
          <w:rFonts w:hint="eastAsia"/>
          <w:bCs/>
          <w:sz w:val="24"/>
        </w:rPr>
        <w:t xml:space="preserve"> 0.25%</w:t>
      </w:r>
      <w:r>
        <w:rPr>
          <w:rFonts w:hint="eastAsia"/>
          <w:bCs/>
          <w:sz w:val="24"/>
        </w:rPr>
        <w:t>；</w:t>
      </w:r>
      <w:r>
        <w:rPr>
          <w:rFonts w:hint="eastAsia"/>
          <w:bCs/>
          <w:sz w:val="24"/>
        </w:rPr>
        <w:t xml:space="preserve">B </w:t>
      </w:r>
      <w:r>
        <w:rPr>
          <w:rFonts w:hint="eastAsia"/>
          <w:bCs/>
          <w:sz w:val="24"/>
        </w:rPr>
        <w:t>类基金份额的年销售服务费率为</w:t>
      </w:r>
      <w:r>
        <w:rPr>
          <w:rFonts w:hint="eastAsia"/>
          <w:bCs/>
          <w:sz w:val="24"/>
        </w:rPr>
        <w:t xml:space="preserve"> 0.01%</w:t>
      </w:r>
      <w:r>
        <w:rPr>
          <w:rFonts w:hint="eastAsia"/>
          <w:bCs/>
          <w:sz w:val="24"/>
        </w:rPr>
        <w:t>。销售服务费计提的计算公式具体如下：</w:t>
      </w:r>
    </w:p>
    <w:p w14:paraId="6C155D7F" w14:textId="77777777" w:rsidR="00566744" w:rsidRDefault="00000000">
      <w:pPr>
        <w:spacing w:line="360" w:lineRule="auto"/>
        <w:ind w:firstLineChars="200" w:firstLine="480"/>
        <w:rPr>
          <w:bCs/>
          <w:sz w:val="24"/>
        </w:rPr>
      </w:pPr>
      <w:r>
        <w:rPr>
          <w:rFonts w:hint="eastAsia"/>
          <w:bCs/>
          <w:sz w:val="24"/>
        </w:rPr>
        <w:t>H</w:t>
      </w:r>
      <w:r>
        <w:rPr>
          <w:rFonts w:hint="eastAsia"/>
          <w:bCs/>
          <w:sz w:val="24"/>
        </w:rPr>
        <w:t>＝</w:t>
      </w:r>
      <w:r>
        <w:rPr>
          <w:rFonts w:hint="eastAsia"/>
          <w:bCs/>
          <w:sz w:val="24"/>
        </w:rPr>
        <w:t>E</w:t>
      </w:r>
      <w:r>
        <w:rPr>
          <w:rFonts w:hint="eastAsia"/>
          <w:bCs/>
          <w:sz w:val="24"/>
        </w:rPr>
        <w:t>×该类</w:t>
      </w:r>
      <w:r>
        <w:rPr>
          <w:bCs/>
          <w:sz w:val="24"/>
        </w:rPr>
        <w:t>基金份额的</w:t>
      </w:r>
      <w:r>
        <w:rPr>
          <w:rFonts w:hint="eastAsia"/>
          <w:bCs/>
          <w:sz w:val="24"/>
        </w:rPr>
        <w:t>年销售服务费率÷当年天数</w:t>
      </w:r>
    </w:p>
    <w:p w14:paraId="0AB0BC10" w14:textId="77777777" w:rsidR="00566744" w:rsidRDefault="00000000">
      <w:pPr>
        <w:spacing w:line="360" w:lineRule="auto"/>
        <w:ind w:firstLineChars="200" w:firstLine="480"/>
        <w:rPr>
          <w:bCs/>
          <w:sz w:val="24"/>
        </w:rPr>
      </w:pPr>
      <w:r>
        <w:rPr>
          <w:rFonts w:hint="eastAsia"/>
          <w:bCs/>
          <w:sz w:val="24"/>
        </w:rPr>
        <w:t xml:space="preserve">H </w:t>
      </w:r>
      <w:r>
        <w:rPr>
          <w:rFonts w:hint="eastAsia"/>
          <w:bCs/>
          <w:sz w:val="24"/>
        </w:rPr>
        <w:t>为每日该类基金份额应计提的基金销售服务费</w:t>
      </w:r>
    </w:p>
    <w:p w14:paraId="392B6D15" w14:textId="77777777" w:rsidR="00566744" w:rsidRDefault="00000000">
      <w:pPr>
        <w:spacing w:line="360" w:lineRule="auto"/>
        <w:ind w:firstLineChars="200" w:firstLine="480"/>
        <w:rPr>
          <w:bCs/>
          <w:sz w:val="24"/>
        </w:rPr>
      </w:pPr>
      <w:r>
        <w:rPr>
          <w:rFonts w:hint="eastAsia"/>
          <w:bCs/>
          <w:sz w:val="24"/>
        </w:rPr>
        <w:t xml:space="preserve">E </w:t>
      </w:r>
      <w:r>
        <w:rPr>
          <w:rFonts w:hint="eastAsia"/>
          <w:bCs/>
          <w:sz w:val="24"/>
        </w:rPr>
        <w:t>为前一日该类基金份额的基金资产净值</w:t>
      </w:r>
    </w:p>
    <w:p w14:paraId="52048C1B" w14:textId="77777777" w:rsidR="00566744" w:rsidRDefault="00000000">
      <w:pPr>
        <w:spacing w:line="360" w:lineRule="auto"/>
        <w:ind w:firstLineChars="200" w:firstLine="480"/>
        <w:rPr>
          <w:bCs/>
          <w:sz w:val="24"/>
        </w:rPr>
      </w:pPr>
      <w:r>
        <w:rPr>
          <w:rFonts w:hint="eastAsia"/>
          <w:bCs/>
          <w:sz w:val="24"/>
        </w:rPr>
        <w:t>基金销售服务费每日计提，逐日累计至每月月末，按月支付。由基金管理人向基金托管人发送基金销售服务费划款指令，基金托管人复核后于次月前</w:t>
      </w:r>
      <w:r>
        <w:rPr>
          <w:rFonts w:hint="eastAsia"/>
          <w:bCs/>
          <w:sz w:val="24"/>
        </w:rPr>
        <w:t xml:space="preserve">5 </w:t>
      </w:r>
      <w:proofErr w:type="gramStart"/>
      <w:r>
        <w:rPr>
          <w:rFonts w:hint="eastAsia"/>
          <w:bCs/>
          <w:sz w:val="24"/>
        </w:rPr>
        <w:t>个</w:t>
      </w:r>
      <w:proofErr w:type="gramEnd"/>
      <w:r>
        <w:rPr>
          <w:rFonts w:hint="eastAsia"/>
          <w:bCs/>
          <w:sz w:val="24"/>
        </w:rPr>
        <w:t>工作日内从基金财产中一次性支付给注册登记机构，由注册登记机构代付给销售机构。若遇法定节假日、休息日或不可抗力致使无法按时支付的，支付日期顺延至最近可支付日支付。</w:t>
      </w:r>
    </w:p>
    <w:p w14:paraId="137FBA9B" w14:textId="77777777" w:rsidR="00566744" w:rsidRDefault="00000000">
      <w:pPr>
        <w:spacing w:line="360" w:lineRule="auto"/>
        <w:ind w:firstLineChars="177" w:firstLine="425"/>
        <w:rPr>
          <w:rFonts w:ascii="宋体" w:hAnsi="宋体" w:hint="eastAsia"/>
          <w:color w:val="000000"/>
          <w:kern w:val="0"/>
          <w:sz w:val="24"/>
        </w:rPr>
      </w:pPr>
      <w:r>
        <w:rPr>
          <w:bCs/>
          <w:sz w:val="24"/>
        </w:rPr>
        <w:t>上述</w:t>
      </w:r>
      <w:proofErr w:type="gramStart"/>
      <w:r>
        <w:rPr>
          <w:rFonts w:hint="eastAsia"/>
          <w:bCs/>
          <w:sz w:val="24"/>
        </w:rPr>
        <w:t>“</w:t>
      </w:r>
      <w:proofErr w:type="gramEnd"/>
      <w:r>
        <w:rPr>
          <w:bCs/>
          <w:sz w:val="24"/>
        </w:rPr>
        <w:t>一、基金费用的种类</w:t>
      </w:r>
      <w:r>
        <w:rPr>
          <w:rFonts w:hint="eastAsia"/>
          <w:bCs/>
          <w:sz w:val="24"/>
        </w:rPr>
        <w:t>“</w:t>
      </w:r>
      <w:r>
        <w:rPr>
          <w:bCs/>
          <w:sz w:val="24"/>
        </w:rPr>
        <w:t>中第</w:t>
      </w:r>
      <w:r>
        <w:rPr>
          <w:bCs/>
          <w:sz w:val="24"/>
        </w:rPr>
        <w:t>4</w:t>
      </w:r>
      <w:r>
        <w:rPr>
          <w:bCs/>
          <w:sz w:val="24"/>
        </w:rPr>
        <w:t>－</w:t>
      </w:r>
      <w:r>
        <w:rPr>
          <w:bCs/>
          <w:sz w:val="24"/>
        </w:rPr>
        <w:t>10</w:t>
      </w:r>
      <w:r>
        <w:rPr>
          <w:bCs/>
          <w:sz w:val="24"/>
        </w:rPr>
        <w:t>项费用</w:t>
      </w:r>
      <w:r>
        <w:rPr>
          <w:bCs/>
          <w:sz w:val="24"/>
        </w:rPr>
        <w:t>”</w:t>
      </w:r>
      <w:r>
        <w:rPr>
          <w:bCs/>
          <w:sz w:val="24"/>
        </w:rPr>
        <w:t>，根据有关法规及相应协议规定，按费用实际支出金额列入当期费用，由基金托管人从基金财产中支付。</w:t>
      </w:r>
    </w:p>
    <w:p w14:paraId="26269B23" w14:textId="77777777" w:rsidR="00566744" w:rsidRDefault="00000000">
      <w:pPr>
        <w:spacing w:line="360" w:lineRule="auto"/>
        <w:ind w:firstLineChars="177" w:firstLine="425"/>
        <w:rPr>
          <w:rFonts w:ascii="宋体" w:hAnsi="宋体" w:hint="eastAsia"/>
          <w:color w:val="000000"/>
          <w:kern w:val="0"/>
          <w:sz w:val="24"/>
        </w:rPr>
      </w:pPr>
      <w:r>
        <w:rPr>
          <w:rFonts w:ascii="宋体" w:hAnsi="宋体" w:hint="eastAsia"/>
          <w:color w:val="000000"/>
          <w:kern w:val="0"/>
          <w:sz w:val="24"/>
        </w:rPr>
        <w:t>（三）不列入基金费用的项目</w:t>
      </w:r>
    </w:p>
    <w:p w14:paraId="321A447D" w14:textId="77777777" w:rsidR="00566744" w:rsidRDefault="00000000">
      <w:pPr>
        <w:spacing w:line="360" w:lineRule="auto"/>
        <w:ind w:firstLineChars="177" w:firstLine="425"/>
        <w:rPr>
          <w:rFonts w:ascii="宋体" w:hAnsi="宋体" w:hint="eastAsia"/>
          <w:bCs/>
          <w:sz w:val="24"/>
        </w:rPr>
      </w:pPr>
      <w:r>
        <w:rPr>
          <w:rFonts w:ascii="宋体" w:hAnsi="宋体"/>
          <w:color w:val="000000"/>
          <w:kern w:val="0"/>
          <w:sz w:val="24"/>
        </w:rPr>
        <w:t>下列费用不</w:t>
      </w:r>
      <w:r>
        <w:rPr>
          <w:rFonts w:ascii="宋体" w:hAnsi="宋体"/>
          <w:bCs/>
          <w:sz w:val="24"/>
        </w:rPr>
        <w:t>列入基金费用：</w:t>
      </w:r>
    </w:p>
    <w:p w14:paraId="34C240C9" w14:textId="77777777" w:rsidR="00566744" w:rsidRDefault="00000000">
      <w:pPr>
        <w:spacing w:line="360" w:lineRule="auto"/>
        <w:ind w:firstLineChars="200" w:firstLine="480"/>
        <w:rPr>
          <w:bCs/>
          <w:sz w:val="24"/>
        </w:rPr>
      </w:pPr>
      <w:r>
        <w:rPr>
          <w:bCs/>
          <w:sz w:val="24"/>
        </w:rPr>
        <w:t>1</w:t>
      </w:r>
      <w:r>
        <w:rPr>
          <w:bCs/>
          <w:sz w:val="24"/>
        </w:rPr>
        <w:t>、基金管理人和基金托管人因未履行或未完全履行义务导致的费用支出或基金财产的损失；</w:t>
      </w:r>
    </w:p>
    <w:p w14:paraId="1B3C1C8A" w14:textId="77777777" w:rsidR="00566744" w:rsidRDefault="00000000">
      <w:pPr>
        <w:spacing w:line="360" w:lineRule="auto"/>
        <w:ind w:firstLineChars="200" w:firstLine="480"/>
        <w:rPr>
          <w:bCs/>
          <w:sz w:val="24"/>
        </w:rPr>
      </w:pPr>
      <w:r>
        <w:rPr>
          <w:bCs/>
          <w:sz w:val="24"/>
        </w:rPr>
        <w:t>2</w:t>
      </w:r>
      <w:r>
        <w:rPr>
          <w:bCs/>
          <w:sz w:val="24"/>
        </w:rPr>
        <w:t>、基金管理人和基金托管人处理与基金运作无关的事项发生的费用；</w:t>
      </w:r>
    </w:p>
    <w:p w14:paraId="6C1F927A" w14:textId="77777777" w:rsidR="00566744" w:rsidRDefault="00000000">
      <w:pPr>
        <w:spacing w:line="360" w:lineRule="auto"/>
        <w:ind w:firstLineChars="200" w:firstLine="480"/>
        <w:rPr>
          <w:bCs/>
          <w:sz w:val="24"/>
        </w:rPr>
      </w:pPr>
      <w:r>
        <w:rPr>
          <w:bCs/>
          <w:sz w:val="24"/>
        </w:rPr>
        <w:t>3</w:t>
      </w:r>
      <w:r>
        <w:rPr>
          <w:bCs/>
          <w:sz w:val="24"/>
        </w:rPr>
        <w:t>、《基金合同》生效前的相关费用；</w:t>
      </w:r>
    </w:p>
    <w:p w14:paraId="124342F1" w14:textId="77777777" w:rsidR="00566744" w:rsidRDefault="00000000">
      <w:pPr>
        <w:spacing w:line="360" w:lineRule="auto"/>
        <w:ind w:firstLineChars="200" w:firstLine="480"/>
        <w:rPr>
          <w:rFonts w:ascii="宋体" w:hAnsi="宋体" w:hint="eastAsia"/>
          <w:bCs/>
          <w:sz w:val="24"/>
        </w:rPr>
      </w:pPr>
      <w:r>
        <w:rPr>
          <w:bCs/>
          <w:sz w:val="24"/>
        </w:rPr>
        <w:t>4</w:t>
      </w:r>
      <w:r>
        <w:rPr>
          <w:bCs/>
          <w:sz w:val="24"/>
        </w:rPr>
        <w:t>、其他根据相关法律法规及中国证监会的有关规定不得列入基金费用的项目。</w:t>
      </w:r>
    </w:p>
    <w:p w14:paraId="396BCB54" w14:textId="77777777" w:rsidR="00566744" w:rsidRDefault="00000000">
      <w:pPr>
        <w:spacing w:line="372" w:lineRule="auto"/>
        <w:ind w:firstLineChars="200" w:firstLine="480"/>
        <w:rPr>
          <w:rFonts w:ascii="宋体" w:hAnsi="宋体" w:hint="eastAsia"/>
          <w:color w:val="000000"/>
          <w:kern w:val="0"/>
          <w:sz w:val="24"/>
        </w:rPr>
      </w:pPr>
      <w:r>
        <w:rPr>
          <w:rFonts w:ascii="宋体" w:hAnsi="宋体" w:hint="eastAsia"/>
          <w:color w:val="000000"/>
          <w:kern w:val="0"/>
          <w:sz w:val="24"/>
        </w:rPr>
        <w:t>（四）基金税收</w:t>
      </w:r>
    </w:p>
    <w:p w14:paraId="77641CB2" w14:textId="77777777" w:rsidR="00566744" w:rsidRDefault="00000000">
      <w:pPr>
        <w:spacing w:line="372" w:lineRule="auto"/>
        <w:ind w:firstLineChars="200" w:firstLine="480"/>
        <w:rPr>
          <w:rFonts w:ascii="宋体" w:hAnsi="宋体" w:hint="eastAsia"/>
          <w:color w:val="000000"/>
          <w:kern w:val="0"/>
          <w:sz w:val="24"/>
        </w:rPr>
      </w:pPr>
      <w:r>
        <w:rPr>
          <w:rFonts w:ascii="宋体" w:hAnsi="宋体" w:hint="eastAsia"/>
          <w:color w:val="000000"/>
          <w:kern w:val="0"/>
          <w:sz w:val="24"/>
        </w:rPr>
        <w:t>本基金运作过程中涉及的各纳税主体，其纳税义务按国家税收法律、法规执行。</w:t>
      </w:r>
    </w:p>
    <w:p w14:paraId="56ADC7EE" w14:textId="77777777" w:rsidR="00566744" w:rsidRDefault="00000000">
      <w:pPr>
        <w:pStyle w:val="1"/>
        <w:pageBreakBefore/>
        <w:spacing w:beforeLines="50" w:before="120" w:afterLines="50" w:after="120" w:line="360" w:lineRule="auto"/>
        <w:ind w:firstLine="420"/>
        <w:jc w:val="center"/>
        <w:rPr>
          <w:rFonts w:ascii="宋体" w:hAnsi="宋体" w:hint="eastAsia"/>
          <w:color w:val="000000"/>
          <w:kern w:val="0"/>
          <w:sz w:val="24"/>
        </w:rPr>
      </w:pPr>
      <w:bookmarkStart w:id="105" w:name="_Hlt88827255"/>
      <w:bookmarkStart w:id="106" w:name="_Toc78378595"/>
      <w:bookmarkStart w:id="107" w:name="_Toc256666923"/>
      <w:bookmarkStart w:id="108" w:name="_Toc30252"/>
      <w:bookmarkStart w:id="109" w:name="_Toc256666803"/>
      <w:bookmarkStart w:id="110" w:name="_Toc482624803"/>
      <w:bookmarkEnd w:id="105"/>
      <w:r>
        <w:rPr>
          <w:rFonts w:ascii="宋体" w:hAnsi="宋体" w:hint="eastAsia"/>
          <w:color w:val="000000"/>
          <w:kern w:val="0"/>
          <w:sz w:val="24"/>
          <w:szCs w:val="24"/>
        </w:rPr>
        <w:lastRenderedPageBreak/>
        <w:t>第十五部分</w:t>
      </w:r>
      <w:r>
        <w:rPr>
          <w:rFonts w:ascii="宋体" w:hAnsi="宋体"/>
          <w:color w:val="000000"/>
          <w:kern w:val="0"/>
          <w:sz w:val="24"/>
          <w:szCs w:val="24"/>
        </w:rPr>
        <w:t xml:space="preserve">  </w:t>
      </w:r>
      <w:r>
        <w:rPr>
          <w:rFonts w:ascii="宋体" w:hAnsi="宋体" w:hint="eastAsia"/>
          <w:color w:val="000000"/>
          <w:kern w:val="0"/>
          <w:sz w:val="24"/>
          <w:szCs w:val="24"/>
        </w:rPr>
        <w:t>基金的会计与审计</w:t>
      </w:r>
      <w:bookmarkEnd w:id="106"/>
      <w:bookmarkEnd w:id="107"/>
      <w:bookmarkEnd w:id="108"/>
      <w:bookmarkEnd w:id="109"/>
      <w:bookmarkEnd w:id="110"/>
    </w:p>
    <w:p w14:paraId="63DBEB9F"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（一）基金会计政策</w:t>
      </w:r>
    </w:p>
    <w:p w14:paraId="06EB1DC3" w14:textId="77777777" w:rsidR="00566744" w:rsidRDefault="00000000">
      <w:pPr>
        <w:spacing w:line="360" w:lineRule="auto"/>
        <w:ind w:firstLineChars="200" w:firstLine="480"/>
        <w:rPr>
          <w:rFonts w:ascii="宋体" w:hAnsi="宋体" w:hint="eastAsia"/>
          <w:bCs/>
          <w:sz w:val="24"/>
        </w:rPr>
      </w:pPr>
      <w:r>
        <w:rPr>
          <w:rFonts w:ascii="宋体" w:hAnsi="宋体"/>
          <w:bCs/>
          <w:sz w:val="24"/>
        </w:rPr>
        <w:t>1、基金管理人为本基金的基金会计责任方；</w:t>
      </w:r>
    </w:p>
    <w:p w14:paraId="04E18401" w14:textId="77777777" w:rsidR="00566744" w:rsidRDefault="00000000">
      <w:pPr>
        <w:spacing w:line="360" w:lineRule="auto"/>
        <w:ind w:firstLineChars="200" w:firstLine="480"/>
        <w:rPr>
          <w:rFonts w:ascii="宋体" w:hAnsi="宋体" w:hint="eastAsia"/>
          <w:bCs/>
          <w:sz w:val="24"/>
        </w:rPr>
      </w:pPr>
      <w:r>
        <w:rPr>
          <w:rFonts w:ascii="宋体" w:hAnsi="宋体"/>
          <w:bCs/>
          <w:sz w:val="24"/>
        </w:rPr>
        <w:t>2、基金的会计年度为公历年度的1月1日至12月31日；基金首次募集的会计年度按如下原则：如果基金合同生效少于2个月，可以并入下一个会计年度</w:t>
      </w:r>
      <w:r>
        <w:rPr>
          <w:rFonts w:ascii="宋体" w:hAnsi="宋体" w:hint="eastAsia"/>
          <w:bCs/>
          <w:sz w:val="24"/>
        </w:rPr>
        <w:t>披露</w:t>
      </w:r>
      <w:r>
        <w:rPr>
          <w:rFonts w:ascii="宋体" w:hAnsi="宋体"/>
          <w:bCs/>
          <w:sz w:val="24"/>
        </w:rPr>
        <w:t>；</w:t>
      </w:r>
    </w:p>
    <w:p w14:paraId="5A91DCC0" w14:textId="77777777" w:rsidR="00566744" w:rsidRDefault="00000000">
      <w:pPr>
        <w:spacing w:line="360" w:lineRule="auto"/>
        <w:ind w:firstLineChars="200" w:firstLine="480"/>
        <w:rPr>
          <w:rFonts w:ascii="宋体" w:hAnsi="宋体" w:hint="eastAsia"/>
          <w:bCs/>
          <w:sz w:val="24"/>
        </w:rPr>
      </w:pPr>
      <w:r>
        <w:rPr>
          <w:rFonts w:ascii="宋体" w:hAnsi="宋体"/>
          <w:bCs/>
          <w:sz w:val="24"/>
        </w:rPr>
        <w:t>3、基金核算以人民币为记账本位币，以人民币元为记账单位；</w:t>
      </w:r>
    </w:p>
    <w:p w14:paraId="28CE890B" w14:textId="77777777" w:rsidR="00566744" w:rsidRDefault="00000000">
      <w:pPr>
        <w:spacing w:line="360" w:lineRule="auto"/>
        <w:ind w:firstLineChars="200" w:firstLine="480"/>
        <w:rPr>
          <w:rFonts w:ascii="宋体" w:hAnsi="宋体" w:hint="eastAsia"/>
          <w:bCs/>
          <w:sz w:val="24"/>
        </w:rPr>
      </w:pPr>
      <w:r>
        <w:rPr>
          <w:rFonts w:ascii="宋体" w:hAnsi="宋体"/>
          <w:bCs/>
          <w:sz w:val="24"/>
        </w:rPr>
        <w:t>4、会计制度执行国家有关会计制度；</w:t>
      </w:r>
    </w:p>
    <w:p w14:paraId="166C35ED" w14:textId="77777777" w:rsidR="00566744" w:rsidRDefault="00000000">
      <w:pPr>
        <w:spacing w:line="360" w:lineRule="auto"/>
        <w:ind w:firstLineChars="200" w:firstLine="480"/>
        <w:rPr>
          <w:rFonts w:ascii="宋体" w:hAnsi="宋体" w:hint="eastAsia"/>
          <w:bCs/>
          <w:sz w:val="24"/>
        </w:rPr>
      </w:pPr>
      <w:r>
        <w:rPr>
          <w:rFonts w:ascii="宋体" w:hAnsi="宋体"/>
          <w:bCs/>
          <w:sz w:val="24"/>
        </w:rPr>
        <w:t>5、本基金独立建账、独立核算；</w:t>
      </w:r>
    </w:p>
    <w:p w14:paraId="505D9126" w14:textId="77777777" w:rsidR="00566744" w:rsidRDefault="00000000">
      <w:pPr>
        <w:spacing w:line="360" w:lineRule="auto"/>
        <w:ind w:firstLineChars="200" w:firstLine="480"/>
        <w:rPr>
          <w:rFonts w:ascii="宋体" w:hAnsi="宋体" w:hint="eastAsia"/>
          <w:bCs/>
          <w:sz w:val="24"/>
        </w:rPr>
      </w:pPr>
      <w:r>
        <w:rPr>
          <w:rFonts w:ascii="宋体" w:hAnsi="宋体"/>
          <w:bCs/>
          <w:sz w:val="24"/>
        </w:rPr>
        <w:t>6、基金管理人及基金托管人各自保留完整的会计账目、凭证并进行日常的会计核算，按照有关规定编制基金会计报表；</w:t>
      </w:r>
    </w:p>
    <w:p w14:paraId="309646A8" w14:textId="77777777" w:rsidR="00566744" w:rsidRDefault="00000000">
      <w:pPr>
        <w:spacing w:line="360" w:lineRule="auto"/>
        <w:ind w:firstLineChars="200" w:firstLine="480"/>
        <w:rPr>
          <w:bCs/>
          <w:sz w:val="24"/>
        </w:rPr>
      </w:pPr>
      <w:r>
        <w:rPr>
          <w:rFonts w:ascii="宋体" w:hAnsi="宋体"/>
          <w:bCs/>
          <w:sz w:val="24"/>
        </w:rPr>
        <w:t>7、基金托管人每月与基金管理人就基金的会计核算、报表编制等进行核对并以</w:t>
      </w:r>
      <w:r>
        <w:rPr>
          <w:rFonts w:ascii="宋体" w:hAnsi="宋体" w:hint="eastAsia"/>
          <w:bCs/>
          <w:sz w:val="24"/>
        </w:rPr>
        <w:t>书面</w:t>
      </w:r>
      <w:r>
        <w:rPr>
          <w:rFonts w:hint="eastAsia"/>
          <w:bCs/>
          <w:sz w:val="24"/>
        </w:rPr>
        <w:t>方式确认</w:t>
      </w:r>
      <w:r>
        <w:rPr>
          <w:bCs/>
          <w:sz w:val="24"/>
        </w:rPr>
        <w:t>。</w:t>
      </w:r>
    </w:p>
    <w:p w14:paraId="10216B6F"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（二）基金的年度审计</w:t>
      </w:r>
    </w:p>
    <w:p w14:paraId="6D2330FA"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1、基金管理人聘请与基金管理人、基金托管人相互独立的、</w:t>
      </w:r>
      <w:r>
        <w:rPr>
          <w:rFonts w:hint="eastAsia"/>
          <w:bCs/>
          <w:sz w:val="24"/>
        </w:rPr>
        <w:t>具有证券、期货相关业务资格的会计师事务所</w:t>
      </w:r>
      <w:r>
        <w:rPr>
          <w:rFonts w:ascii="宋体" w:hAnsi="宋体" w:hint="eastAsia"/>
          <w:color w:val="000000"/>
          <w:kern w:val="0"/>
          <w:sz w:val="24"/>
        </w:rPr>
        <w:t>及其注册会计师对本基金的年度财务报表进行审计；</w:t>
      </w:r>
    </w:p>
    <w:p w14:paraId="7A1AD4BD"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2、会计师事务所更换经办注册会计师，应事先征得基金管理人同意；</w:t>
      </w:r>
    </w:p>
    <w:p w14:paraId="7260427B"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3、基金管理人认为有充足理由更换会计师事务所，须通报基金托管人。更换会计师事务所需在2个工作日内在指定媒介公告。</w:t>
      </w:r>
    </w:p>
    <w:p w14:paraId="71E35135" w14:textId="77777777" w:rsidR="00566744" w:rsidRDefault="00566744">
      <w:pPr>
        <w:spacing w:line="360" w:lineRule="auto"/>
        <w:ind w:firstLineChars="200" w:firstLine="480"/>
        <w:rPr>
          <w:rFonts w:ascii="宋体" w:hAnsi="宋体" w:hint="eastAsia"/>
          <w:color w:val="000000"/>
          <w:kern w:val="0"/>
          <w:sz w:val="24"/>
        </w:rPr>
      </w:pPr>
    </w:p>
    <w:p w14:paraId="38AF4714" w14:textId="77777777" w:rsidR="00566744" w:rsidRDefault="00566744">
      <w:pPr>
        <w:spacing w:line="360" w:lineRule="auto"/>
        <w:ind w:firstLineChars="200" w:firstLine="480"/>
        <w:rPr>
          <w:rFonts w:ascii="宋体" w:hAnsi="宋体" w:hint="eastAsia"/>
          <w:color w:val="000000"/>
          <w:kern w:val="0"/>
          <w:sz w:val="24"/>
        </w:rPr>
      </w:pPr>
    </w:p>
    <w:p w14:paraId="3746A89A" w14:textId="77777777" w:rsidR="00566744" w:rsidRDefault="00566744">
      <w:pPr>
        <w:spacing w:line="360" w:lineRule="auto"/>
        <w:ind w:firstLineChars="200" w:firstLine="480"/>
        <w:rPr>
          <w:rFonts w:ascii="宋体" w:hAnsi="宋体" w:hint="eastAsia"/>
          <w:color w:val="000000"/>
          <w:kern w:val="0"/>
          <w:sz w:val="24"/>
        </w:rPr>
      </w:pPr>
    </w:p>
    <w:p w14:paraId="2CBEE9B9" w14:textId="77777777" w:rsidR="00566744" w:rsidRDefault="00566744">
      <w:pPr>
        <w:spacing w:line="360" w:lineRule="auto"/>
        <w:ind w:firstLineChars="200" w:firstLine="480"/>
        <w:rPr>
          <w:rFonts w:ascii="宋体" w:hAnsi="宋体" w:hint="eastAsia"/>
          <w:color w:val="000000"/>
          <w:kern w:val="0"/>
          <w:sz w:val="24"/>
        </w:rPr>
      </w:pPr>
    </w:p>
    <w:p w14:paraId="33192684" w14:textId="77777777" w:rsidR="00566744" w:rsidRDefault="00566744">
      <w:pPr>
        <w:spacing w:line="360" w:lineRule="auto"/>
        <w:ind w:firstLineChars="200" w:firstLine="480"/>
        <w:rPr>
          <w:rFonts w:ascii="宋体" w:hAnsi="宋体" w:hint="eastAsia"/>
          <w:color w:val="000000"/>
          <w:kern w:val="0"/>
          <w:sz w:val="24"/>
        </w:rPr>
      </w:pPr>
    </w:p>
    <w:p w14:paraId="66E7544B" w14:textId="77777777" w:rsidR="00566744" w:rsidRDefault="00566744">
      <w:pPr>
        <w:spacing w:line="360" w:lineRule="auto"/>
        <w:ind w:firstLineChars="200" w:firstLine="480"/>
        <w:rPr>
          <w:rFonts w:ascii="宋体" w:hAnsi="宋体" w:hint="eastAsia"/>
          <w:color w:val="000000"/>
          <w:kern w:val="0"/>
          <w:sz w:val="24"/>
        </w:rPr>
      </w:pPr>
    </w:p>
    <w:p w14:paraId="53999FE1" w14:textId="77777777" w:rsidR="00566744" w:rsidRDefault="00566744">
      <w:pPr>
        <w:spacing w:line="360" w:lineRule="auto"/>
        <w:ind w:firstLineChars="200" w:firstLine="480"/>
        <w:rPr>
          <w:rFonts w:ascii="宋体" w:hAnsi="宋体" w:hint="eastAsia"/>
          <w:color w:val="000000"/>
          <w:kern w:val="0"/>
          <w:sz w:val="24"/>
        </w:rPr>
      </w:pPr>
    </w:p>
    <w:p w14:paraId="47976463" w14:textId="77777777" w:rsidR="00566744" w:rsidRDefault="00566744">
      <w:pPr>
        <w:spacing w:line="360" w:lineRule="auto"/>
        <w:ind w:firstLineChars="200" w:firstLine="480"/>
        <w:rPr>
          <w:rFonts w:ascii="宋体" w:hAnsi="宋体" w:hint="eastAsia"/>
          <w:color w:val="000000"/>
          <w:kern w:val="0"/>
          <w:sz w:val="24"/>
        </w:rPr>
      </w:pPr>
    </w:p>
    <w:p w14:paraId="15F30827" w14:textId="77777777" w:rsidR="00566744" w:rsidRDefault="00000000">
      <w:pPr>
        <w:pStyle w:val="1"/>
        <w:spacing w:line="360" w:lineRule="auto"/>
        <w:jc w:val="center"/>
        <w:rPr>
          <w:rFonts w:ascii="宋体" w:hAnsi="宋体" w:hint="eastAsia"/>
          <w:color w:val="000000"/>
          <w:kern w:val="0"/>
          <w:sz w:val="24"/>
          <w:szCs w:val="24"/>
        </w:rPr>
      </w:pPr>
      <w:bookmarkStart w:id="111" w:name="_Toc22438"/>
      <w:bookmarkStart w:id="112" w:name="_Toc482624804"/>
      <w:bookmarkStart w:id="113" w:name="_Toc78378596"/>
      <w:bookmarkStart w:id="114" w:name="_Toc256666804"/>
      <w:bookmarkStart w:id="115" w:name="_Toc256666924"/>
      <w:r>
        <w:rPr>
          <w:rFonts w:ascii="宋体" w:hAnsi="宋体" w:hint="eastAsia"/>
          <w:color w:val="000000"/>
          <w:kern w:val="0"/>
          <w:sz w:val="24"/>
          <w:szCs w:val="24"/>
        </w:rPr>
        <w:lastRenderedPageBreak/>
        <w:t>第十六部分  基金的信息披露</w:t>
      </w:r>
      <w:bookmarkEnd w:id="111"/>
      <w:bookmarkEnd w:id="112"/>
      <w:bookmarkEnd w:id="113"/>
      <w:bookmarkEnd w:id="114"/>
      <w:bookmarkEnd w:id="115"/>
    </w:p>
    <w:p w14:paraId="278C8002" w14:textId="77777777" w:rsidR="00566744" w:rsidRDefault="00000000">
      <w:pPr>
        <w:spacing w:line="360" w:lineRule="auto"/>
        <w:ind w:firstLineChars="200" w:firstLine="480"/>
        <w:rPr>
          <w:bCs/>
          <w:sz w:val="24"/>
        </w:rPr>
      </w:pPr>
      <w:bookmarkStart w:id="116" w:name="_Hlt88828869"/>
      <w:bookmarkEnd w:id="116"/>
      <w:r>
        <w:rPr>
          <w:rFonts w:hint="eastAsia"/>
          <w:bCs/>
          <w:sz w:val="24"/>
        </w:rPr>
        <w:t>（一）</w:t>
      </w:r>
      <w:r>
        <w:rPr>
          <w:bCs/>
          <w:sz w:val="24"/>
        </w:rPr>
        <w:t>本基金的信息披露应符合《基金法》、《运作办法》、《信息披露办法》、《基金合同》及其他有关规定。</w:t>
      </w:r>
    </w:p>
    <w:p w14:paraId="54179D46" w14:textId="77777777" w:rsidR="00566744" w:rsidRDefault="00000000">
      <w:pPr>
        <w:spacing w:line="360" w:lineRule="auto"/>
        <w:ind w:firstLineChars="200" w:firstLine="480"/>
        <w:rPr>
          <w:bCs/>
          <w:sz w:val="24"/>
        </w:rPr>
      </w:pPr>
      <w:r>
        <w:rPr>
          <w:rFonts w:hint="eastAsia"/>
          <w:bCs/>
          <w:sz w:val="24"/>
        </w:rPr>
        <w:t>（二）</w:t>
      </w:r>
      <w:r>
        <w:rPr>
          <w:bCs/>
          <w:sz w:val="24"/>
        </w:rPr>
        <w:t>信息披露义务人</w:t>
      </w:r>
    </w:p>
    <w:p w14:paraId="28F96A63" w14:textId="77777777" w:rsidR="00566744" w:rsidRDefault="00000000">
      <w:pPr>
        <w:spacing w:line="360" w:lineRule="auto"/>
        <w:ind w:firstLineChars="200" w:firstLine="480"/>
        <w:rPr>
          <w:bCs/>
          <w:sz w:val="24"/>
        </w:rPr>
      </w:pPr>
      <w:r>
        <w:rPr>
          <w:bCs/>
          <w:sz w:val="24"/>
        </w:rPr>
        <w:t>本基金信息披露义务人包括基金管理人、基金托管人、召集基金份额持有人大会的基金份额持有人等法律法规和中国证监会规定的自然人、法人和</w:t>
      </w:r>
      <w:r>
        <w:rPr>
          <w:rFonts w:hint="eastAsia"/>
          <w:bCs/>
          <w:sz w:val="24"/>
        </w:rPr>
        <w:t>非法人</w:t>
      </w:r>
      <w:r>
        <w:rPr>
          <w:bCs/>
          <w:sz w:val="24"/>
        </w:rPr>
        <w:t>组织。</w:t>
      </w:r>
    </w:p>
    <w:p w14:paraId="03731749" w14:textId="77777777" w:rsidR="00566744" w:rsidRDefault="00000000">
      <w:pPr>
        <w:spacing w:line="360" w:lineRule="auto"/>
        <w:ind w:firstLineChars="200" w:firstLine="480"/>
        <w:rPr>
          <w:bCs/>
          <w:sz w:val="24"/>
        </w:rPr>
      </w:pPr>
      <w:r>
        <w:rPr>
          <w:rFonts w:hint="eastAsia"/>
          <w:bCs/>
          <w:sz w:val="24"/>
        </w:rPr>
        <w:t>本基金信息披露义务人以保护基金份额持有人利益为根本出发点，</w:t>
      </w:r>
      <w:r>
        <w:rPr>
          <w:bCs/>
          <w:sz w:val="24"/>
        </w:rPr>
        <w:t>按照法律法规和中国证监会的规定披露基金信息，并保证所披露信息的真实性、准确性和完整性</w:t>
      </w:r>
      <w:r>
        <w:rPr>
          <w:rFonts w:hint="eastAsia"/>
          <w:bCs/>
          <w:sz w:val="24"/>
        </w:rPr>
        <w:t>、及时性、简明性和易得性</w:t>
      </w:r>
      <w:r>
        <w:rPr>
          <w:bCs/>
          <w:sz w:val="24"/>
        </w:rPr>
        <w:t>。</w:t>
      </w:r>
    </w:p>
    <w:p w14:paraId="7150EB49" w14:textId="77777777" w:rsidR="00566744" w:rsidRDefault="00000000">
      <w:pPr>
        <w:spacing w:line="360" w:lineRule="auto"/>
        <w:ind w:firstLineChars="200" w:firstLine="480"/>
        <w:rPr>
          <w:rFonts w:ascii="宋体" w:hAnsi="宋体" w:hint="eastAsia"/>
          <w:sz w:val="24"/>
        </w:rPr>
      </w:pPr>
      <w:r>
        <w:rPr>
          <w:bCs/>
          <w:sz w:val="24"/>
        </w:rPr>
        <w:t>本基金信息披露义务人应当在中国证监会规定时间内，将应予披露的基金信息通过中国证监会指定的媒介和基金管理人、基金托管人的互联网网站（以下简称</w:t>
      </w:r>
      <w:r>
        <w:rPr>
          <w:bCs/>
          <w:sz w:val="24"/>
        </w:rPr>
        <w:t>“</w:t>
      </w:r>
      <w:r>
        <w:rPr>
          <w:bCs/>
          <w:sz w:val="24"/>
        </w:rPr>
        <w:t>网站</w:t>
      </w:r>
      <w:r>
        <w:rPr>
          <w:bCs/>
          <w:sz w:val="24"/>
        </w:rPr>
        <w:t>”</w:t>
      </w:r>
      <w:r>
        <w:rPr>
          <w:bCs/>
          <w:sz w:val="24"/>
        </w:rPr>
        <w:t>）等媒介披露，并保证基金投资者能够按照《基金合同》约定的时间和方式查阅或者复制公开披露的信息资料。</w:t>
      </w:r>
    </w:p>
    <w:p w14:paraId="485F5052" w14:textId="77777777" w:rsidR="00566744" w:rsidRDefault="00000000">
      <w:pPr>
        <w:spacing w:line="360" w:lineRule="auto"/>
        <w:ind w:firstLineChars="200" w:firstLine="480"/>
        <w:rPr>
          <w:bCs/>
          <w:sz w:val="24"/>
        </w:rPr>
      </w:pPr>
      <w:r>
        <w:rPr>
          <w:rFonts w:hint="eastAsia"/>
          <w:bCs/>
          <w:sz w:val="24"/>
        </w:rPr>
        <w:t>（三）</w:t>
      </w:r>
      <w:r>
        <w:rPr>
          <w:bCs/>
          <w:sz w:val="24"/>
        </w:rPr>
        <w:t>本基金信息披露义务人承诺公开披露的基金信息，不得有下列行为：</w:t>
      </w:r>
    </w:p>
    <w:p w14:paraId="0B993CEC" w14:textId="77777777" w:rsidR="00566744" w:rsidRDefault="00000000">
      <w:pPr>
        <w:spacing w:line="360" w:lineRule="auto"/>
        <w:ind w:firstLineChars="200" w:firstLine="480"/>
        <w:rPr>
          <w:bCs/>
          <w:sz w:val="24"/>
        </w:rPr>
      </w:pPr>
      <w:r>
        <w:rPr>
          <w:bCs/>
          <w:sz w:val="24"/>
        </w:rPr>
        <w:t>1</w:t>
      </w:r>
      <w:r>
        <w:rPr>
          <w:bCs/>
          <w:sz w:val="24"/>
        </w:rPr>
        <w:t>、虚假记载、误导性陈述或者重大遗漏；</w:t>
      </w:r>
    </w:p>
    <w:p w14:paraId="10C2E920" w14:textId="77777777" w:rsidR="00566744" w:rsidRDefault="00000000">
      <w:pPr>
        <w:spacing w:line="360" w:lineRule="auto"/>
        <w:ind w:firstLineChars="200" w:firstLine="480"/>
        <w:rPr>
          <w:bCs/>
          <w:sz w:val="24"/>
        </w:rPr>
      </w:pPr>
      <w:r>
        <w:rPr>
          <w:bCs/>
          <w:sz w:val="24"/>
        </w:rPr>
        <w:t>2</w:t>
      </w:r>
      <w:r>
        <w:rPr>
          <w:bCs/>
          <w:sz w:val="24"/>
        </w:rPr>
        <w:t>、对证券投资业绩进行预测；</w:t>
      </w:r>
    </w:p>
    <w:p w14:paraId="20763DBA" w14:textId="77777777" w:rsidR="00566744" w:rsidRDefault="00000000">
      <w:pPr>
        <w:spacing w:line="360" w:lineRule="auto"/>
        <w:ind w:firstLineChars="200" w:firstLine="480"/>
        <w:rPr>
          <w:bCs/>
          <w:sz w:val="24"/>
        </w:rPr>
      </w:pPr>
      <w:r>
        <w:rPr>
          <w:bCs/>
          <w:sz w:val="24"/>
        </w:rPr>
        <w:t>3</w:t>
      </w:r>
      <w:r>
        <w:rPr>
          <w:bCs/>
          <w:sz w:val="24"/>
        </w:rPr>
        <w:t>、违规承诺收益或者承担损失；</w:t>
      </w:r>
    </w:p>
    <w:p w14:paraId="732ADEE3" w14:textId="77777777" w:rsidR="00566744" w:rsidRDefault="00000000">
      <w:pPr>
        <w:spacing w:line="360" w:lineRule="auto"/>
        <w:ind w:firstLineChars="200" w:firstLine="480"/>
        <w:rPr>
          <w:bCs/>
          <w:sz w:val="24"/>
        </w:rPr>
      </w:pPr>
      <w:r>
        <w:rPr>
          <w:bCs/>
          <w:sz w:val="24"/>
        </w:rPr>
        <w:t>4</w:t>
      </w:r>
      <w:r>
        <w:rPr>
          <w:bCs/>
          <w:sz w:val="24"/>
        </w:rPr>
        <w:t>、诋毁其他基金管理人、基金托管人或者基金销售机构；</w:t>
      </w:r>
    </w:p>
    <w:p w14:paraId="4EB58DE5" w14:textId="77777777" w:rsidR="00566744" w:rsidRDefault="00000000">
      <w:pPr>
        <w:spacing w:line="360" w:lineRule="auto"/>
        <w:ind w:firstLineChars="200" w:firstLine="480"/>
        <w:rPr>
          <w:bCs/>
          <w:sz w:val="24"/>
        </w:rPr>
      </w:pPr>
      <w:r>
        <w:rPr>
          <w:bCs/>
          <w:sz w:val="24"/>
        </w:rPr>
        <w:t>5</w:t>
      </w:r>
      <w:r>
        <w:rPr>
          <w:bCs/>
          <w:sz w:val="24"/>
        </w:rPr>
        <w:t>、登载任何自然人、法人或者</w:t>
      </w:r>
      <w:r>
        <w:rPr>
          <w:rFonts w:hint="eastAsia"/>
          <w:bCs/>
          <w:sz w:val="24"/>
        </w:rPr>
        <w:t>非法人</w:t>
      </w:r>
      <w:r>
        <w:rPr>
          <w:bCs/>
          <w:sz w:val="24"/>
        </w:rPr>
        <w:t>组织的祝贺性、恭维性或推荐性的文字；</w:t>
      </w:r>
    </w:p>
    <w:p w14:paraId="26116588" w14:textId="77777777" w:rsidR="00566744" w:rsidRDefault="00000000">
      <w:pPr>
        <w:spacing w:line="360" w:lineRule="auto"/>
        <w:ind w:firstLineChars="200" w:firstLine="480"/>
        <w:rPr>
          <w:bCs/>
          <w:sz w:val="24"/>
        </w:rPr>
      </w:pPr>
      <w:r>
        <w:rPr>
          <w:bCs/>
          <w:sz w:val="24"/>
        </w:rPr>
        <w:t>6</w:t>
      </w:r>
      <w:r>
        <w:rPr>
          <w:bCs/>
          <w:sz w:val="24"/>
        </w:rPr>
        <w:t>、中国证监会禁止的其他行为。</w:t>
      </w:r>
    </w:p>
    <w:p w14:paraId="0470D5FF" w14:textId="77777777" w:rsidR="00566744" w:rsidRDefault="00000000">
      <w:pPr>
        <w:spacing w:line="360" w:lineRule="auto"/>
        <w:ind w:firstLineChars="200" w:firstLine="480"/>
        <w:rPr>
          <w:bCs/>
          <w:sz w:val="24"/>
        </w:rPr>
      </w:pPr>
      <w:r>
        <w:rPr>
          <w:rFonts w:hint="eastAsia"/>
          <w:bCs/>
          <w:sz w:val="24"/>
        </w:rPr>
        <w:t>（四）</w:t>
      </w:r>
      <w:r>
        <w:rPr>
          <w:bCs/>
          <w:sz w:val="24"/>
        </w:rPr>
        <w:t>本基金公开披露的信息应采用中文文本。</w:t>
      </w:r>
      <w:r>
        <w:rPr>
          <w:rFonts w:hint="eastAsia"/>
          <w:bCs/>
          <w:sz w:val="24"/>
        </w:rPr>
        <w:t>如同时采用外文文本的，基金信息披露义务人应保证不同文本的内容一致。不同文本之间发生歧义的，以中文文本为准。</w:t>
      </w:r>
    </w:p>
    <w:p w14:paraId="77CE44F7" w14:textId="77777777" w:rsidR="00566744" w:rsidRDefault="00000000">
      <w:pPr>
        <w:spacing w:line="360" w:lineRule="auto"/>
        <w:ind w:firstLineChars="200" w:firstLine="480"/>
        <w:rPr>
          <w:bCs/>
          <w:sz w:val="24"/>
        </w:rPr>
      </w:pPr>
      <w:r>
        <w:rPr>
          <w:bCs/>
          <w:sz w:val="24"/>
        </w:rPr>
        <w:t>本基金公开披露的信息采用阿拉伯数字；除特别说明外，货币单位为人民币元。</w:t>
      </w:r>
    </w:p>
    <w:p w14:paraId="3F38B3D0" w14:textId="77777777" w:rsidR="00566744" w:rsidRDefault="00000000">
      <w:pPr>
        <w:spacing w:line="360" w:lineRule="auto"/>
        <w:ind w:firstLineChars="200" w:firstLine="480"/>
        <w:rPr>
          <w:bCs/>
          <w:sz w:val="24"/>
        </w:rPr>
      </w:pPr>
      <w:r>
        <w:rPr>
          <w:rFonts w:hint="eastAsia"/>
          <w:bCs/>
          <w:sz w:val="24"/>
        </w:rPr>
        <w:t>（五）</w:t>
      </w:r>
      <w:r>
        <w:rPr>
          <w:bCs/>
          <w:sz w:val="24"/>
        </w:rPr>
        <w:t>公开披露的基金信息</w:t>
      </w:r>
    </w:p>
    <w:p w14:paraId="7D57049B" w14:textId="77777777" w:rsidR="00566744" w:rsidRDefault="00000000">
      <w:pPr>
        <w:spacing w:line="360" w:lineRule="auto"/>
        <w:ind w:firstLineChars="200" w:firstLine="480"/>
        <w:rPr>
          <w:rFonts w:ascii="宋体" w:hAnsi="宋体" w:hint="eastAsia"/>
          <w:sz w:val="24"/>
        </w:rPr>
      </w:pPr>
      <w:r>
        <w:rPr>
          <w:bCs/>
          <w:sz w:val="24"/>
        </w:rPr>
        <w:t>公开披露的基金信息包括：</w:t>
      </w:r>
    </w:p>
    <w:p w14:paraId="0E58AA8B" w14:textId="77777777" w:rsidR="00566744" w:rsidRDefault="00000000">
      <w:pPr>
        <w:spacing w:line="360" w:lineRule="auto"/>
        <w:ind w:firstLineChars="200" w:firstLine="480"/>
        <w:rPr>
          <w:rFonts w:ascii="宋体" w:hAnsi="宋体" w:hint="eastAsia"/>
          <w:sz w:val="24"/>
        </w:rPr>
      </w:pPr>
      <w:r>
        <w:rPr>
          <w:rFonts w:ascii="宋体" w:hAnsi="宋体" w:hint="eastAsia"/>
          <w:sz w:val="24"/>
        </w:rPr>
        <w:t>1、基金招募说明书、基金合同、基金托管协议</w:t>
      </w:r>
      <w:r>
        <w:rPr>
          <w:rFonts w:hint="eastAsia"/>
          <w:bCs/>
          <w:sz w:val="24"/>
        </w:rPr>
        <w:t>、基金产品资料概要</w:t>
      </w:r>
    </w:p>
    <w:p w14:paraId="7A935043" w14:textId="77777777" w:rsidR="00566744" w:rsidRDefault="00000000">
      <w:pPr>
        <w:spacing w:line="360" w:lineRule="auto"/>
        <w:ind w:firstLineChars="200" w:firstLine="480"/>
        <w:rPr>
          <w:rFonts w:ascii="宋体" w:hAnsi="宋体" w:hint="eastAsia"/>
          <w:bCs/>
          <w:sz w:val="24"/>
        </w:rPr>
      </w:pPr>
      <w:r>
        <w:rPr>
          <w:rFonts w:ascii="宋体" w:hAnsi="宋体" w:hint="eastAsia"/>
          <w:bCs/>
          <w:sz w:val="24"/>
        </w:rPr>
        <w:lastRenderedPageBreak/>
        <w:t>（1）《</w:t>
      </w:r>
      <w:r>
        <w:rPr>
          <w:rFonts w:ascii="宋体" w:hAnsi="宋体"/>
          <w:bCs/>
          <w:sz w:val="24"/>
        </w:rPr>
        <w:t>基金合同</w:t>
      </w:r>
      <w:r>
        <w:rPr>
          <w:rFonts w:ascii="宋体" w:hAnsi="宋体" w:hint="eastAsia"/>
          <w:bCs/>
          <w:sz w:val="24"/>
        </w:rPr>
        <w:t>》</w:t>
      </w:r>
      <w:r>
        <w:rPr>
          <w:rFonts w:ascii="宋体" w:hAnsi="宋体"/>
          <w:bCs/>
          <w:sz w:val="24"/>
        </w:rPr>
        <w:t>是界定合同当事人的各项权利、义务关系，明确基金份额持有人大会召开的规则及具体程序，说明基金产品的特性等涉及基金投资</w:t>
      </w:r>
      <w:r>
        <w:rPr>
          <w:rFonts w:ascii="宋体" w:hAnsi="宋体" w:hint="eastAsia"/>
          <w:bCs/>
          <w:sz w:val="24"/>
        </w:rPr>
        <w:t>人</w:t>
      </w:r>
      <w:r>
        <w:rPr>
          <w:rFonts w:ascii="宋体" w:hAnsi="宋体"/>
          <w:bCs/>
          <w:sz w:val="24"/>
        </w:rPr>
        <w:t>重大利益的事项的法律文件</w:t>
      </w:r>
      <w:r>
        <w:rPr>
          <w:rFonts w:ascii="宋体" w:hAnsi="宋体" w:hint="eastAsia"/>
          <w:bCs/>
          <w:sz w:val="24"/>
        </w:rPr>
        <w:t>。</w:t>
      </w:r>
    </w:p>
    <w:p w14:paraId="007B1C45" w14:textId="77777777" w:rsidR="00566744" w:rsidRDefault="00000000">
      <w:pPr>
        <w:spacing w:line="360" w:lineRule="auto"/>
        <w:ind w:firstLineChars="200" w:firstLine="480"/>
        <w:rPr>
          <w:rFonts w:ascii="宋体" w:hAnsi="宋体" w:hint="eastAsia"/>
          <w:bCs/>
          <w:sz w:val="24"/>
        </w:rPr>
      </w:pPr>
      <w:r>
        <w:rPr>
          <w:rFonts w:ascii="宋体" w:hAnsi="宋体" w:hint="eastAsia"/>
          <w:bCs/>
          <w:sz w:val="24"/>
        </w:rPr>
        <w:t>（2）</w:t>
      </w:r>
      <w:r>
        <w:rPr>
          <w:rFonts w:ascii="宋体" w:hAnsi="宋体"/>
          <w:bCs/>
          <w:sz w:val="24"/>
        </w:rPr>
        <w:t>基金招募说明书应当最大限度地披露影响基金投资</w:t>
      </w:r>
      <w:r>
        <w:rPr>
          <w:rFonts w:ascii="宋体" w:hAnsi="宋体" w:hint="eastAsia"/>
          <w:bCs/>
          <w:sz w:val="24"/>
        </w:rPr>
        <w:t>人</w:t>
      </w:r>
      <w:r>
        <w:rPr>
          <w:rFonts w:ascii="宋体" w:hAnsi="宋体"/>
          <w:bCs/>
          <w:sz w:val="24"/>
        </w:rPr>
        <w:t>决策的全部事项，说明基金认购、申购和赎回安排、基金投资、基金产品特性、风险揭示、信息披露及基金份额持有人服务等内容。</w:t>
      </w:r>
      <w:r>
        <w:rPr>
          <w:rFonts w:ascii="宋体" w:hAnsi="宋体" w:hint="eastAsia"/>
          <w:bCs/>
          <w:sz w:val="24"/>
        </w:rPr>
        <w:t>《</w:t>
      </w:r>
      <w:r>
        <w:rPr>
          <w:rFonts w:ascii="宋体" w:hAnsi="宋体"/>
          <w:bCs/>
          <w:sz w:val="24"/>
        </w:rPr>
        <w:t>基金合同</w:t>
      </w:r>
      <w:r>
        <w:rPr>
          <w:rFonts w:ascii="宋体" w:hAnsi="宋体" w:hint="eastAsia"/>
          <w:bCs/>
          <w:sz w:val="24"/>
        </w:rPr>
        <w:t>》</w:t>
      </w:r>
      <w:r>
        <w:rPr>
          <w:rFonts w:ascii="宋体" w:hAnsi="宋体"/>
          <w:bCs/>
          <w:sz w:val="24"/>
        </w:rPr>
        <w:t>生效后，</w:t>
      </w:r>
      <w:r>
        <w:rPr>
          <w:rFonts w:hint="eastAsia"/>
          <w:bCs/>
          <w:sz w:val="24"/>
        </w:rPr>
        <w:t>基金招募说明书的信息发生重大变更的，基金管理人应当在三个工作日内，更新基金招募说明书并登载在指定网站上；基金招募说明书其他信息发生变更的，基金管理人至少每年更新一次。基金终止运作的，基金管理人不再更新基金招募说明书。</w:t>
      </w:r>
    </w:p>
    <w:p w14:paraId="0DF83559" w14:textId="77777777" w:rsidR="00566744" w:rsidRDefault="00000000">
      <w:pPr>
        <w:spacing w:line="360" w:lineRule="auto"/>
        <w:ind w:firstLineChars="200" w:firstLine="480"/>
        <w:rPr>
          <w:bCs/>
          <w:sz w:val="24"/>
        </w:rPr>
      </w:pPr>
      <w:r>
        <w:rPr>
          <w:rFonts w:ascii="宋体" w:hAnsi="宋体" w:hint="eastAsia"/>
          <w:bCs/>
          <w:sz w:val="24"/>
        </w:rPr>
        <w:t>（3）</w:t>
      </w:r>
      <w:r>
        <w:rPr>
          <w:rFonts w:ascii="宋体" w:hAnsi="宋体"/>
          <w:bCs/>
          <w:sz w:val="24"/>
        </w:rPr>
        <w:t>基金托管协议是界定基金托管人和基金管理人在基金财产保管及基金运作监督等活</w:t>
      </w:r>
      <w:r>
        <w:rPr>
          <w:bCs/>
          <w:sz w:val="24"/>
        </w:rPr>
        <w:t>动中的权利、义务关系的法律文件</w:t>
      </w:r>
      <w:r>
        <w:rPr>
          <w:rFonts w:hint="eastAsia"/>
          <w:bCs/>
          <w:sz w:val="24"/>
        </w:rPr>
        <w:t>。</w:t>
      </w:r>
    </w:p>
    <w:p w14:paraId="0623463E" w14:textId="19415288" w:rsidR="00566744" w:rsidRDefault="00000000">
      <w:pPr>
        <w:spacing w:line="360" w:lineRule="auto"/>
        <w:ind w:firstLineChars="250" w:firstLine="600"/>
        <w:rPr>
          <w:bCs/>
          <w:sz w:val="24"/>
        </w:rPr>
      </w:pPr>
      <w:r>
        <w:rPr>
          <w:rFonts w:ascii="宋体" w:hAnsi="宋体"/>
          <w:bCs/>
          <w:sz w:val="24"/>
        </w:rPr>
        <w:t>(4)</w:t>
      </w:r>
      <w:r>
        <w:rPr>
          <w:rFonts w:hint="eastAsia"/>
          <w:bCs/>
          <w:sz w:val="24"/>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指定网站及基金销售机构网站或营业网点；基金产品资料概要其他信息发生变更的，基金管理人至少每年更新一次。基金终止运作的，基金管理人不再更新基金产品资料概要。</w:t>
      </w:r>
    </w:p>
    <w:p w14:paraId="124A6C44" w14:textId="7A07E9D1" w:rsidR="00566744" w:rsidRDefault="00000000">
      <w:pPr>
        <w:spacing w:line="360" w:lineRule="auto"/>
        <w:ind w:firstLineChars="250" w:firstLine="600"/>
        <w:rPr>
          <w:rFonts w:ascii="宋体" w:hAnsi="宋体" w:hint="eastAsia"/>
          <w:sz w:val="24"/>
        </w:rPr>
      </w:pPr>
      <w:r>
        <w:rPr>
          <w:rFonts w:ascii="宋体" w:hAnsi="宋体"/>
          <w:bCs/>
          <w:sz w:val="24"/>
        </w:rPr>
        <w:t>(5)</w:t>
      </w:r>
      <w:r>
        <w:rPr>
          <w:rFonts w:ascii="宋体" w:hAnsi="宋体" w:hint="eastAsia"/>
          <w:bCs/>
          <w:sz w:val="24"/>
        </w:rPr>
        <w:t>基金募集申请经中国证监会注册后，基金管理人应当在基金份额发售的</w:t>
      </w:r>
      <w:r>
        <w:rPr>
          <w:rFonts w:hint="eastAsia"/>
          <w:bCs/>
          <w:sz w:val="24"/>
        </w:rPr>
        <w:t>三日前，将基金份额发售公告、基金招募说明书提示性公告和基金合同提示性公告登载在指定报刊上，将基金份额发售公告、基金招募说明书、基金产品资料概要、《基金合同》和基金托管协议登载在指定网站上，并将基金产品资料概要登载在基金销售机构网站或营业网点；基金托管人应当同时将基金合同、基金托管协议登载在网站上。</w:t>
      </w:r>
    </w:p>
    <w:p w14:paraId="4C281D38" w14:textId="77777777" w:rsidR="00566744" w:rsidRDefault="00000000">
      <w:pPr>
        <w:spacing w:line="360" w:lineRule="auto"/>
        <w:ind w:firstLineChars="200" w:firstLine="480"/>
        <w:rPr>
          <w:rFonts w:ascii="宋体" w:hAnsi="宋体" w:hint="eastAsia"/>
          <w:sz w:val="24"/>
        </w:rPr>
      </w:pPr>
      <w:r>
        <w:rPr>
          <w:rFonts w:ascii="宋体" w:hAnsi="宋体" w:hint="eastAsia"/>
          <w:sz w:val="24"/>
        </w:rPr>
        <w:t>2、基金份额发售公告</w:t>
      </w:r>
    </w:p>
    <w:p w14:paraId="39F5CB7E" w14:textId="77777777" w:rsidR="00566744" w:rsidRDefault="00000000">
      <w:pPr>
        <w:spacing w:line="360" w:lineRule="auto"/>
        <w:ind w:firstLineChars="200" w:firstLine="480"/>
        <w:rPr>
          <w:rFonts w:ascii="宋体" w:hAnsi="宋体" w:hint="eastAsia"/>
          <w:sz w:val="24"/>
        </w:rPr>
      </w:pPr>
      <w:r>
        <w:rPr>
          <w:rFonts w:ascii="宋体" w:hAnsi="宋体" w:hint="eastAsia"/>
          <w:sz w:val="24"/>
        </w:rPr>
        <w:t>基金管理人应当就基金份额发售的具体事宜编制基金份额发售公告，并在披露招募说明书的当日登载于指定媒介上。</w:t>
      </w:r>
    </w:p>
    <w:p w14:paraId="258C7059" w14:textId="77777777" w:rsidR="00566744" w:rsidRDefault="00000000">
      <w:pPr>
        <w:spacing w:line="360" w:lineRule="auto"/>
        <w:ind w:firstLineChars="200" w:firstLine="480"/>
        <w:rPr>
          <w:rFonts w:ascii="宋体" w:hAnsi="宋体" w:hint="eastAsia"/>
          <w:sz w:val="24"/>
        </w:rPr>
      </w:pPr>
      <w:r>
        <w:rPr>
          <w:rFonts w:ascii="宋体" w:hAnsi="宋体" w:hint="eastAsia"/>
          <w:sz w:val="24"/>
        </w:rPr>
        <w:t>3、基金合同生效公告</w:t>
      </w:r>
    </w:p>
    <w:p w14:paraId="17BEDC6D" w14:textId="77777777" w:rsidR="00566744" w:rsidRDefault="00000000">
      <w:pPr>
        <w:spacing w:line="360" w:lineRule="auto"/>
        <w:ind w:firstLineChars="200" w:firstLine="480"/>
        <w:rPr>
          <w:rFonts w:ascii="宋体" w:hAnsi="宋体" w:hint="eastAsia"/>
          <w:sz w:val="24"/>
        </w:rPr>
      </w:pPr>
      <w:r>
        <w:rPr>
          <w:rFonts w:ascii="宋体" w:hAnsi="宋体" w:hint="eastAsia"/>
          <w:sz w:val="24"/>
        </w:rPr>
        <w:t>基金管理人应当在收到中国证监会确认文件的次日在指定媒介上登载基金合同生效公告。</w:t>
      </w:r>
    </w:p>
    <w:p w14:paraId="101B1020" w14:textId="77777777" w:rsidR="00566744" w:rsidRDefault="00000000">
      <w:pPr>
        <w:spacing w:line="360" w:lineRule="auto"/>
        <w:ind w:firstLineChars="177" w:firstLine="425"/>
        <w:rPr>
          <w:rFonts w:ascii="宋体" w:hAnsi="宋体" w:hint="eastAsia"/>
          <w:sz w:val="24"/>
        </w:rPr>
      </w:pPr>
      <w:r>
        <w:rPr>
          <w:rFonts w:ascii="宋体" w:hAnsi="宋体" w:hint="eastAsia"/>
          <w:sz w:val="24"/>
        </w:rPr>
        <w:lastRenderedPageBreak/>
        <w:t>4、</w:t>
      </w:r>
      <w:r>
        <w:rPr>
          <w:bCs/>
          <w:sz w:val="24"/>
        </w:rPr>
        <w:t>基金</w:t>
      </w:r>
      <w:r>
        <w:rPr>
          <w:rFonts w:hint="eastAsia"/>
          <w:bCs/>
          <w:sz w:val="24"/>
        </w:rPr>
        <w:t>净值信息</w:t>
      </w:r>
    </w:p>
    <w:p w14:paraId="79465CE2" w14:textId="77777777" w:rsidR="00566744" w:rsidRDefault="00000000">
      <w:pPr>
        <w:spacing w:line="360" w:lineRule="auto"/>
        <w:ind w:firstLineChars="177" w:firstLine="425"/>
        <w:rPr>
          <w:bCs/>
          <w:sz w:val="24"/>
        </w:rPr>
      </w:pPr>
      <w:r>
        <w:rPr>
          <w:rFonts w:ascii="宋体" w:hAnsi="宋体" w:hint="eastAsia"/>
          <w:sz w:val="24"/>
        </w:rPr>
        <w:t>（1）</w:t>
      </w:r>
      <w:r>
        <w:rPr>
          <w:rFonts w:hint="eastAsia"/>
          <w:bCs/>
          <w:sz w:val="24"/>
        </w:rPr>
        <w:t>本基金的基金合同生效后，在开始办理基金份额申购或者赎回前，基金管理人将至少每周在指定网站披露一次基金资产净值、各类基金份额的每万份基金已实现收益和</w:t>
      </w:r>
      <w:proofErr w:type="gramStart"/>
      <w:r>
        <w:rPr>
          <w:rFonts w:hint="eastAsia"/>
          <w:bCs/>
          <w:sz w:val="24"/>
        </w:rPr>
        <w:t>7</w:t>
      </w:r>
      <w:r>
        <w:rPr>
          <w:rFonts w:hint="eastAsia"/>
          <w:bCs/>
          <w:sz w:val="24"/>
        </w:rPr>
        <w:t>日年化收益率</w:t>
      </w:r>
      <w:proofErr w:type="gramEnd"/>
      <w:r>
        <w:rPr>
          <w:rFonts w:hint="eastAsia"/>
          <w:bCs/>
          <w:sz w:val="24"/>
        </w:rPr>
        <w:t>；</w:t>
      </w:r>
    </w:p>
    <w:p w14:paraId="1B665253" w14:textId="77777777" w:rsidR="00566744" w:rsidRDefault="00000000">
      <w:pPr>
        <w:spacing w:line="360" w:lineRule="auto"/>
        <w:ind w:firstLineChars="177" w:firstLine="425"/>
        <w:rPr>
          <w:bCs/>
          <w:sz w:val="24"/>
        </w:rPr>
      </w:pPr>
      <w:r>
        <w:rPr>
          <w:rFonts w:hint="eastAsia"/>
          <w:bCs/>
          <w:sz w:val="24"/>
        </w:rPr>
        <w:t>每万份基金已实现收益和</w:t>
      </w:r>
      <w:proofErr w:type="gramStart"/>
      <w:r>
        <w:rPr>
          <w:bCs/>
          <w:sz w:val="24"/>
        </w:rPr>
        <w:t>7</w:t>
      </w:r>
      <w:r>
        <w:rPr>
          <w:rFonts w:hint="eastAsia"/>
          <w:bCs/>
          <w:sz w:val="24"/>
        </w:rPr>
        <w:t>日年化收益率</w:t>
      </w:r>
      <w:proofErr w:type="gramEnd"/>
      <w:r>
        <w:rPr>
          <w:rFonts w:hint="eastAsia"/>
          <w:bCs/>
          <w:sz w:val="24"/>
        </w:rPr>
        <w:t>的计算方法如下：</w:t>
      </w:r>
    </w:p>
    <w:p w14:paraId="3F70F652" w14:textId="77777777" w:rsidR="00566744" w:rsidRDefault="00000000">
      <w:pPr>
        <w:spacing w:line="360" w:lineRule="auto"/>
        <w:ind w:firstLineChars="177" w:firstLine="425"/>
        <w:rPr>
          <w:bCs/>
          <w:sz w:val="24"/>
        </w:rPr>
      </w:pPr>
      <w:r>
        <w:rPr>
          <w:rFonts w:hint="eastAsia"/>
          <w:bCs/>
          <w:sz w:val="24"/>
        </w:rPr>
        <w:t>日每万份基金已实现收益＝当日基金份额的已实现收益</w:t>
      </w:r>
      <w:r>
        <w:rPr>
          <w:bCs/>
          <w:sz w:val="24"/>
        </w:rPr>
        <w:t>/</w:t>
      </w:r>
      <w:r>
        <w:rPr>
          <w:rFonts w:hint="eastAsia"/>
          <w:bCs/>
          <w:sz w:val="24"/>
        </w:rPr>
        <w:t>当日基金份额总额</w:t>
      </w:r>
      <w:r>
        <w:rPr>
          <w:bCs/>
          <w:sz w:val="24"/>
        </w:rPr>
        <w:t>×10000</w:t>
      </w:r>
    </w:p>
    <w:p w14:paraId="6BA67C28" w14:textId="77777777" w:rsidR="00566744" w:rsidRDefault="00000000">
      <w:pPr>
        <w:spacing w:line="360" w:lineRule="auto"/>
        <w:ind w:firstLineChars="177" w:firstLine="425"/>
        <w:rPr>
          <w:bCs/>
          <w:sz w:val="24"/>
        </w:rPr>
      </w:pPr>
      <w:proofErr w:type="gramStart"/>
      <w:r>
        <w:rPr>
          <w:bCs/>
          <w:sz w:val="24"/>
        </w:rPr>
        <w:t>7</w:t>
      </w:r>
      <w:r>
        <w:rPr>
          <w:rFonts w:hint="eastAsia"/>
          <w:bCs/>
          <w:sz w:val="24"/>
        </w:rPr>
        <w:t>日年化收益率</w:t>
      </w:r>
      <w:proofErr w:type="gramEnd"/>
      <w:r>
        <w:rPr>
          <w:rFonts w:hint="eastAsia"/>
          <w:bCs/>
          <w:sz w:val="24"/>
        </w:rPr>
        <w:t>的计算方法</w:t>
      </w:r>
      <w:r>
        <w:rPr>
          <w:bCs/>
          <w:sz w:val="24"/>
        </w:rPr>
        <w:t>:</w:t>
      </w:r>
    </w:p>
    <w:p w14:paraId="6CF5F899" w14:textId="77777777" w:rsidR="00566744" w:rsidRDefault="00000000">
      <w:pPr>
        <w:spacing w:line="360" w:lineRule="auto"/>
        <w:ind w:firstLineChars="177" w:firstLine="425"/>
        <w:rPr>
          <w:rFonts w:ascii="宋体" w:hAnsi="宋体" w:hint="eastAsia"/>
          <w:sz w:val="24"/>
        </w:rPr>
      </w:pPr>
      <w:proofErr w:type="gramStart"/>
      <w:r>
        <w:rPr>
          <w:bCs/>
          <w:sz w:val="24"/>
        </w:rPr>
        <w:t>7</w:t>
      </w:r>
      <w:r>
        <w:rPr>
          <w:rFonts w:hint="eastAsia"/>
          <w:bCs/>
          <w:sz w:val="24"/>
        </w:rPr>
        <w:t>日年化收益率</w:t>
      </w:r>
      <w:proofErr w:type="gramEnd"/>
      <w:r>
        <w:rPr>
          <w:rFonts w:hint="eastAsia"/>
          <w:bCs/>
          <w:sz w:val="24"/>
        </w:rPr>
        <w:t>以最近七个自然日的每万份基金已实现收益按每日复利折算出的年收益率。计算公式为：</w:t>
      </w:r>
    </w:p>
    <w:p w14:paraId="334EFF57" w14:textId="77777777" w:rsidR="00566744" w:rsidRDefault="00000000">
      <w:pPr>
        <w:spacing w:line="360" w:lineRule="auto"/>
        <w:ind w:firstLineChars="177" w:firstLine="425"/>
        <w:jc w:val="center"/>
        <w:rPr>
          <w:rFonts w:ascii="宋体" w:hAnsi="宋体" w:hint="eastAsia"/>
          <w:sz w:val="24"/>
        </w:rPr>
      </w:pPr>
      <w:r>
        <w:rPr>
          <w:rFonts w:ascii="宋体" w:hAnsi="宋体"/>
          <w:noProof/>
          <w:sz w:val="24"/>
        </w:rPr>
        <w:drawing>
          <wp:inline distT="0" distB="0" distL="0" distR="0" wp14:anchorId="45BC76BC" wp14:editId="6A23E4CF">
            <wp:extent cx="3257550" cy="742950"/>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7" cstate="print"/>
                    <a:srcRect/>
                    <a:stretch>
                      <a:fillRect/>
                    </a:stretch>
                  </pic:blipFill>
                  <pic:spPr>
                    <a:xfrm>
                      <a:off x="0" y="0"/>
                      <a:ext cx="3257550" cy="742950"/>
                    </a:xfrm>
                    <a:prstGeom prst="rect">
                      <a:avLst/>
                    </a:prstGeom>
                    <a:noFill/>
                    <a:ln w="9525">
                      <a:noFill/>
                      <a:miter lim="800000"/>
                      <a:headEnd/>
                      <a:tailEnd/>
                    </a:ln>
                  </pic:spPr>
                </pic:pic>
              </a:graphicData>
            </a:graphic>
          </wp:inline>
        </w:drawing>
      </w:r>
    </w:p>
    <w:p w14:paraId="78A68CE3" w14:textId="77777777" w:rsidR="00566744" w:rsidRDefault="00000000">
      <w:pPr>
        <w:spacing w:line="360" w:lineRule="auto"/>
        <w:ind w:firstLineChars="177" w:firstLine="425"/>
        <w:rPr>
          <w:rFonts w:ascii="宋体" w:hAnsi="宋体" w:hint="eastAsia"/>
          <w:sz w:val="24"/>
        </w:rPr>
      </w:pPr>
      <w:r>
        <w:rPr>
          <w:rFonts w:ascii="宋体" w:hAnsi="宋体" w:hint="eastAsia"/>
          <w:sz w:val="24"/>
        </w:rPr>
        <w:t>其中，</w:t>
      </w:r>
      <w:r>
        <w:rPr>
          <w:rFonts w:ascii="宋体" w:hAnsi="宋体"/>
          <w:sz w:val="24"/>
        </w:rPr>
        <w:t>Ri</w:t>
      </w:r>
      <w:r>
        <w:rPr>
          <w:rFonts w:ascii="宋体" w:hAnsi="宋体" w:hint="eastAsia"/>
          <w:sz w:val="24"/>
        </w:rPr>
        <w:t>为最近第</w:t>
      </w:r>
      <w:proofErr w:type="spellStart"/>
      <w:r>
        <w:rPr>
          <w:rFonts w:ascii="宋体" w:hAnsi="宋体"/>
          <w:sz w:val="24"/>
        </w:rPr>
        <w:t>i</w:t>
      </w:r>
      <w:proofErr w:type="spellEnd"/>
      <w:proofErr w:type="gramStart"/>
      <w:r>
        <w:rPr>
          <w:rFonts w:ascii="宋体" w:hAnsi="宋体" w:hint="eastAsia"/>
          <w:sz w:val="24"/>
        </w:rPr>
        <w:t>个</w:t>
      </w:r>
      <w:proofErr w:type="gramEnd"/>
      <w:r>
        <w:rPr>
          <w:rFonts w:ascii="宋体" w:hAnsi="宋体" w:hint="eastAsia"/>
          <w:sz w:val="24"/>
        </w:rPr>
        <w:t>自然日</w:t>
      </w:r>
      <w:r>
        <w:rPr>
          <w:rFonts w:ascii="宋体" w:hAnsi="宋体"/>
          <w:sz w:val="24"/>
        </w:rPr>
        <w:t>(</w:t>
      </w:r>
      <w:r>
        <w:rPr>
          <w:rFonts w:ascii="宋体" w:hAnsi="宋体" w:hint="eastAsia"/>
          <w:sz w:val="24"/>
        </w:rPr>
        <w:t>包括计算当日</w:t>
      </w:r>
      <w:r>
        <w:rPr>
          <w:rFonts w:ascii="宋体" w:hAnsi="宋体"/>
          <w:sz w:val="24"/>
        </w:rPr>
        <w:t>)</w:t>
      </w:r>
      <w:r>
        <w:rPr>
          <w:rFonts w:ascii="宋体" w:hAnsi="宋体" w:hint="eastAsia"/>
          <w:sz w:val="24"/>
        </w:rPr>
        <w:t>的每万份基金已实现收益。</w:t>
      </w:r>
    </w:p>
    <w:p w14:paraId="2877C9F7" w14:textId="77777777" w:rsidR="00566744" w:rsidRDefault="00000000">
      <w:pPr>
        <w:spacing w:line="360" w:lineRule="auto"/>
        <w:ind w:firstLineChars="177" w:firstLine="425"/>
        <w:rPr>
          <w:rFonts w:ascii="宋体" w:hAnsi="宋体" w:hint="eastAsia"/>
          <w:sz w:val="24"/>
        </w:rPr>
      </w:pPr>
      <w:r>
        <w:rPr>
          <w:rFonts w:ascii="宋体" w:hAnsi="宋体" w:hint="eastAsia"/>
          <w:sz w:val="24"/>
        </w:rPr>
        <w:t>每万份基金已实现收益采用四舍五入保留至小数点后第</w:t>
      </w:r>
      <w:r>
        <w:rPr>
          <w:rFonts w:ascii="宋体" w:hAnsi="宋体"/>
          <w:sz w:val="24"/>
        </w:rPr>
        <w:t>4</w:t>
      </w:r>
      <w:r>
        <w:rPr>
          <w:rFonts w:ascii="宋体" w:hAnsi="宋体" w:hint="eastAsia"/>
          <w:sz w:val="24"/>
        </w:rPr>
        <w:t>位，</w:t>
      </w:r>
      <w:proofErr w:type="gramStart"/>
      <w:r>
        <w:rPr>
          <w:rFonts w:ascii="宋体" w:hAnsi="宋体"/>
          <w:sz w:val="24"/>
        </w:rPr>
        <w:t>7</w:t>
      </w:r>
      <w:r>
        <w:rPr>
          <w:rFonts w:ascii="宋体" w:hAnsi="宋体" w:hint="eastAsia"/>
          <w:sz w:val="24"/>
        </w:rPr>
        <w:t>日年化收益率</w:t>
      </w:r>
      <w:proofErr w:type="gramEnd"/>
      <w:r>
        <w:rPr>
          <w:rFonts w:ascii="宋体" w:hAnsi="宋体" w:hint="eastAsia"/>
          <w:sz w:val="24"/>
        </w:rPr>
        <w:t>采用四舍五入保留至百分号内小数点后第</w:t>
      </w:r>
      <w:r>
        <w:rPr>
          <w:rFonts w:ascii="宋体" w:hAnsi="宋体"/>
          <w:sz w:val="24"/>
        </w:rPr>
        <w:t>3</w:t>
      </w:r>
      <w:r>
        <w:rPr>
          <w:rFonts w:ascii="宋体" w:hAnsi="宋体" w:hint="eastAsia"/>
          <w:sz w:val="24"/>
        </w:rPr>
        <w:t>位。如果基金成立不足7日，按类似规则计算。</w:t>
      </w:r>
    </w:p>
    <w:p w14:paraId="168BD8FB" w14:textId="77777777" w:rsidR="00566744" w:rsidRDefault="00000000">
      <w:pPr>
        <w:spacing w:line="360" w:lineRule="auto"/>
        <w:ind w:firstLineChars="177" w:firstLine="425"/>
        <w:rPr>
          <w:rFonts w:ascii="宋体" w:hAnsi="宋体" w:hint="eastAsia"/>
          <w:sz w:val="24"/>
        </w:rPr>
      </w:pPr>
      <w:r>
        <w:rPr>
          <w:rFonts w:ascii="宋体" w:hAnsi="宋体" w:hint="eastAsia"/>
          <w:sz w:val="24"/>
        </w:rPr>
        <w:t>（2）</w:t>
      </w:r>
      <w:r>
        <w:rPr>
          <w:rFonts w:hint="eastAsia"/>
          <w:bCs/>
          <w:sz w:val="24"/>
        </w:rPr>
        <w:t>在开始办理基金份额申购或者赎回后，基金管理人应当在不晚于每个开放日的次日，通过指定网站、基金销售机构网站或营业网点，披露开放日各类</w:t>
      </w:r>
      <w:r>
        <w:rPr>
          <w:bCs/>
          <w:sz w:val="24"/>
        </w:rPr>
        <w:t>基金份额</w:t>
      </w:r>
      <w:r>
        <w:rPr>
          <w:rFonts w:hint="eastAsia"/>
          <w:bCs/>
          <w:sz w:val="24"/>
        </w:rPr>
        <w:t>的每万份基金已实现收益和</w:t>
      </w:r>
      <w:proofErr w:type="gramStart"/>
      <w:r>
        <w:rPr>
          <w:bCs/>
          <w:sz w:val="24"/>
        </w:rPr>
        <w:t>7</w:t>
      </w:r>
      <w:r>
        <w:rPr>
          <w:rFonts w:hint="eastAsia"/>
          <w:bCs/>
          <w:sz w:val="24"/>
        </w:rPr>
        <w:t>日年化收益率</w:t>
      </w:r>
      <w:proofErr w:type="gramEnd"/>
      <w:r>
        <w:rPr>
          <w:rFonts w:hint="eastAsia"/>
          <w:bCs/>
          <w:sz w:val="24"/>
        </w:rPr>
        <w:t>，若遇法定节假日，应于节假日结束后第二个自然日，披露节假日期间各类</w:t>
      </w:r>
      <w:r>
        <w:rPr>
          <w:bCs/>
          <w:sz w:val="24"/>
        </w:rPr>
        <w:t>基金份额</w:t>
      </w:r>
      <w:r>
        <w:rPr>
          <w:rFonts w:hint="eastAsia"/>
          <w:bCs/>
          <w:sz w:val="24"/>
        </w:rPr>
        <w:t>的每万份基金已实现收益和节假日最后一日的</w:t>
      </w:r>
      <w:proofErr w:type="gramStart"/>
      <w:r>
        <w:rPr>
          <w:bCs/>
          <w:sz w:val="24"/>
        </w:rPr>
        <w:t>7</w:t>
      </w:r>
      <w:r>
        <w:rPr>
          <w:rFonts w:hint="eastAsia"/>
          <w:bCs/>
          <w:sz w:val="24"/>
        </w:rPr>
        <w:t>日年化收益率</w:t>
      </w:r>
      <w:proofErr w:type="gramEnd"/>
      <w:r>
        <w:rPr>
          <w:rFonts w:hint="eastAsia"/>
          <w:bCs/>
          <w:sz w:val="24"/>
        </w:rPr>
        <w:t>，以及节假日后首个开放日各类</w:t>
      </w:r>
      <w:r>
        <w:rPr>
          <w:bCs/>
          <w:sz w:val="24"/>
        </w:rPr>
        <w:t>基金份额</w:t>
      </w:r>
      <w:r>
        <w:rPr>
          <w:rFonts w:hint="eastAsia"/>
          <w:bCs/>
          <w:sz w:val="24"/>
        </w:rPr>
        <w:t>的每万份基金已实现收益和</w:t>
      </w:r>
      <w:proofErr w:type="gramStart"/>
      <w:r>
        <w:rPr>
          <w:bCs/>
          <w:sz w:val="24"/>
        </w:rPr>
        <w:t>7</w:t>
      </w:r>
      <w:r>
        <w:rPr>
          <w:rFonts w:hint="eastAsia"/>
          <w:bCs/>
          <w:sz w:val="24"/>
        </w:rPr>
        <w:t>日年化收益率</w:t>
      </w:r>
      <w:proofErr w:type="gramEnd"/>
      <w:r>
        <w:rPr>
          <w:rFonts w:hint="eastAsia"/>
          <w:bCs/>
          <w:sz w:val="24"/>
        </w:rPr>
        <w:t>。经中国证监会同意，可以适当延迟计算或公告。法律法规另有规定的，从其规定。</w:t>
      </w:r>
    </w:p>
    <w:p w14:paraId="0E0FDD45" w14:textId="77777777" w:rsidR="00566744" w:rsidRDefault="00000000">
      <w:pPr>
        <w:spacing w:line="360" w:lineRule="auto"/>
        <w:ind w:firstLineChars="177" w:firstLine="425"/>
        <w:rPr>
          <w:rFonts w:ascii="宋体" w:hAnsi="宋体" w:hint="eastAsia"/>
          <w:sz w:val="24"/>
        </w:rPr>
      </w:pPr>
      <w:r>
        <w:rPr>
          <w:rFonts w:ascii="宋体" w:hAnsi="宋体" w:hint="eastAsia"/>
          <w:sz w:val="24"/>
        </w:rPr>
        <w:t>（3）</w:t>
      </w:r>
      <w:r>
        <w:rPr>
          <w:rFonts w:hint="eastAsia"/>
          <w:bCs/>
          <w:sz w:val="24"/>
        </w:rPr>
        <w:t>基金管理人应在不晚于半年度和年度最后一日的次日，在指定网站披露半年度和年度最后一日的基金资产净值、各类基金份额的每万份基金已实现收益和</w:t>
      </w:r>
      <w:proofErr w:type="gramStart"/>
      <w:r>
        <w:rPr>
          <w:rFonts w:hint="eastAsia"/>
          <w:bCs/>
          <w:sz w:val="24"/>
        </w:rPr>
        <w:t>7</w:t>
      </w:r>
      <w:r>
        <w:rPr>
          <w:rFonts w:hint="eastAsia"/>
          <w:bCs/>
          <w:sz w:val="24"/>
        </w:rPr>
        <w:t>日年化收益率</w:t>
      </w:r>
      <w:proofErr w:type="gramEnd"/>
      <w:r>
        <w:rPr>
          <w:rFonts w:hint="eastAsia"/>
          <w:bCs/>
          <w:sz w:val="24"/>
        </w:rPr>
        <w:t>。</w:t>
      </w:r>
    </w:p>
    <w:p w14:paraId="11A84981" w14:textId="77777777" w:rsidR="00566744" w:rsidRDefault="00000000">
      <w:pPr>
        <w:spacing w:line="360" w:lineRule="auto"/>
        <w:ind w:firstLineChars="177" w:firstLine="425"/>
        <w:rPr>
          <w:rFonts w:ascii="宋体" w:hAnsi="宋体" w:hint="eastAsia"/>
          <w:sz w:val="24"/>
        </w:rPr>
      </w:pPr>
      <w:r>
        <w:rPr>
          <w:rFonts w:ascii="宋体" w:hAnsi="宋体" w:hint="eastAsia"/>
          <w:sz w:val="24"/>
        </w:rPr>
        <w:t>5、基金定期报告，包括基金年度报告、基金中期报告和基金季度报告。</w:t>
      </w:r>
    </w:p>
    <w:p w14:paraId="00189E80" w14:textId="77777777" w:rsidR="00566744" w:rsidRDefault="00000000">
      <w:pPr>
        <w:spacing w:line="360" w:lineRule="auto"/>
        <w:ind w:firstLineChars="200" w:firstLine="480"/>
        <w:rPr>
          <w:rFonts w:ascii="宋体" w:hAnsi="宋体" w:hint="eastAsia"/>
          <w:sz w:val="24"/>
        </w:rPr>
      </w:pPr>
      <w:r>
        <w:rPr>
          <w:rFonts w:ascii="宋体" w:hAnsi="宋体" w:hint="eastAsia"/>
          <w:sz w:val="24"/>
        </w:rPr>
        <w:lastRenderedPageBreak/>
        <w:t>如报告期内出现单一投资者持有基金份额达到或超过基金总份额</w:t>
      </w:r>
      <w:r>
        <w:rPr>
          <w:rFonts w:ascii="宋体" w:hAnsi="宋体"/>
          <w:sz w:val="24"/>
        </w:rPr>
        <w:t>20%</w:t>
      </w:r>
      <w:r>
        <w:rPr>
          <w:rFonts w:ascii="宋体" w:hAnsi="宋体" w:hint="eastAsia"/>
          <w:sz w:val="24"/>
        </w:rPr>
        <w:t>的情形</w:t>
      </w:r>
      <w:r>
        <w:rPr>
          <w:rFonts w:ascii="宋体" w:hAnsi="宋体"/>
          <w:sz w:val="24"/>
        </w:rPr>
        <w:t xml:space="preserve">, </w:t>
      </w:r>
      <w:r>
        <w:rPr>
          <w:rFonts w:ascii="宋体" w:hAnsi="宋体" w:hint="eastAsia"/>
          <w:sz w:val="24"/>
        </w:rPr>
        <w:t>为保障其他投资者利益</w:t>
      </w:r>
      <w:r>
        <w:rPr>
          <w:rFonts w:ascii="宋体" w:hAnsi="宋体"/>
          <w:sz w:val="24"/>
        </w:rPr>
        <w:t xml:space="preserve">, </w:t>
      </w:r>
      <w:r>
        <w:rPr>
          <w:rFonts w:ascii="宋体" w:hAnsi="宋体" w:hint="eastAsia"/>
          <w:sz w:val="24"/>
        </w:rPr>
        <w:t>基金管理人至少应当在定期报告</w:t>
      </w:r>
      <w:proofErr w:type="gramStart"/>
      <w:r>
        <w:rPr>
          <w:rFonts w:ascii="宋体" w:hAnsi="宋体" w:hint="eastAsia"/>
          <w:sz w:val="24"/>
        </w:rPr>
        <w:t>”</w:t>
      </w:r>
      <w:proofErr w:type="gramEnd"/>
      <w:r>
        <w:rPr>
          <w:rFonts w:ascii="宋体" w:hAnsi="宋体" w:hint="eastAsia"/>
          <w:sz w:val="24"/>
        </w:rPr>
        <w:t>影响投资者决策的其他重要信息</w:t>
      </w:r>
      <w:proofErr w:type="gramStart"/>
      <w:r>
        <w:rPr>
          <w:rFonts w:ascii="宋体" w:hAnsi="宋体" w:hint="eastAsia"/>
          <w:sz w:val="24"/>
        </w:rPr>
        <w:t>”</w:t>
      </w:r>
      <w:proofErr w:type="gramEnd"/>
      <w:r>
        <w:rPr>
          <w:rFonts w:ascii="宋体" w:hAnsi="宋体" w:hint="eastAsia"/>
          <w:sz w:val="24"/>
        </w:rPr>
        <w:t>项下披露该投资者的类别、报告期末持有份额及占比、报告期内持有份额变化情况及本基金的特有风险</w:t>
      </w:r>
      <w:r>
        <w:rPr>
          <w:rFonts w:ascii="宋体" w:hAnsi="宋体"/>
          <w:sz w:val="24"/>
        </w:rPr>
        <w:t xml:space="preserve">, </w:t>
      </w:r>
      <w:r>
        <w:rPr>
          <w:rFonts w:ascii="宋体" w:hAnsi="宋体" w:hint="eastAsia"/>
          <w:sz w:val="24"/>
        </w:rPr>
        <w:t>中国证监会认定的特殊情形除外。</w:t>
      </w:r>
    </w:p>
    <w:p w14:paraId="4B8556A9" w14:textId="77777777" w:rsidR="00566744" w:rsidRDefault="00000000">
      <w:pPr>
        <w:spacing w:line="360" w:lineRule="auto"/>
        <w:ind w:firstLineChars="200" w:firstLine="480"/>
        <w:rPr>
          <w:rFonts w:ascii="宋体" w:hAnsi="宋体" w:hint="eastAsia"/>
          <w:sz w:val="24"/>
        </w:rPr>
      </w:pPr>
      <w:r>
        <w:rPr>
          <w:rFonts w:ascii="宋体" w:hAnsi="宋体" w:hint="eastAsia"/>
          <w:sz w:val="24"/>
        </w:rPr>
        <w:t>本基金持续运作过程中</w:t>
      </w:r>
      <w:r>
        <w:rPr>
          <w:rFonts w:ascii="宋体" w:hAnsi="宋体"/>
          <w:sz w:val="24"/>
        </w:rPr>
        <w:t xml:space="preserve">, </w:t>
      </w:r>
      <w:r>
        <w:rPr>
          <w:rFonts w:ascii="宋体" w:hAnsi="宋体" w:hint="eastAsia"/>
          <w:sz w:val="24"/>
        </w:rPr>
        <w:t>应当在基金年度报告和中期报告中披露基金组合资产情况及其流动性风险分析等。</w:t>
      </w:r>
    </w:p>
    <w:p w14:paraId="555A7A25" w14:textId="77777777" w:rsidR="00566744" w:rsidRDefault="00000000">
      <w:pPr>
        <w:spacing w:line="360" w:lineRule="auto"/>
        <w:ind w:firstLineChars="200" w:firstLine="480"/>
        <w:rPr>
          <w:rFonts w:ascii="宋体" w:hAnsi="宋体" w:hint="eastAsia"/>
          <w:sz w:val="24"/>
        </w:rPr>
      </w:pPr>
      <w:r>
        <w:rPr>
          <w:rFonts w:ascii="宋体" w:hAnsi="宋体" w:hint="eastAsia"/>
          <w:sz w:val="24"/>
        </w:rPr>
        <w:t>本基金应当在年度报告、中期报告中至少披露报告期末基金前</w:t>
      </w:r>
      <w:r>
        <w:rPr>
          <w:rFonts w:ascii="宋体" w:hAnsi="宋体"/>
          <w:sz w:val="24"/>
        </w:rPr>
        <w:t>10</w:t>
      </w:r>
      <w:r>
        <w:rPr>
          <w:rFonts w:ascii="宋体" w:hAnsi="宋体" w:hint="eastAsia"/>
          <w:sz w:val="24"/>
        </w:rPr>
        <w:t>名基金份额持有人的类别、持有份额及占总份额的比例等信息。</w:t>
      </w:r>
    </w:p>
    <w:p w14:paraId="0B0CC260" w14:textId="77777777" w:rsidR="00566744" w:rsidRDefault="00000000">
      <w:pPr>
        <w:spacing w:line="360" w:lineRule="auto"/>
        <w:ind w:firstLineChars="200" w:firstLine="480"/>
        <w:rPr>
          <w:rFonts w:ascii="宋体" w:hAnsi="宋体" w:hint="eastAsia"/>
          <w:sz w:val="24"/>
        </w:rPr>
      </w:pPr>
      <w:r>
        <w:rPr>
          <w:rFonts w:ascii="宋体" w:hAnsi="宋体" w:hint="eastAsia"/>
          <w:sz w:val="24"/>
        </w:rPr>
        <w:t>基金管理人应当在每年结束之日起</w:t>
      </w:r>
      <w:r>
        <w:rPr>
          <w:rFonts w:hint="eastAsia"/>
          <w:bCs/>
          <w:sz w:val="24"/>
        </w:rPr>
        <w:t>三个月</w:t>
      </w:r>
      <w:r>
        <w:rPr>
          <w:rFonts w:ascii="宋体" w:hAnsi="宋体" w:hint="eastAsia"/>
          <w:sz w:val="24"/>
        </w:rPr>
        <w:t>内，编制完成基金年度报告，</w:t>
      </w:r>
      <w:r>
        <w:rPr>
          <w:rFonts w:hint="eastAsia"/>
          <w:bCs/>
          <w:sz w:val="24"/>
        </w:rPr>
        <w:t>将年度报告登载在指定网站上，将年度报告提示性公告登载在指定报刊上。基金年度报告中的财务会计报告应当经过具有证券、期货相关业务资格的会计师事务所审计。</w:t>
      </w:r>
    </w:p>
    <w:p w14:paraId="038983B1" w14:textId="77777777" w:rsidR="00566744" w:rsidRDefault="00000000">
      <w:pPr>
        <w:spacing w:line="360" w:lineRule="auto"/>
        <w:ind w:firstLineChars="200" w:firstLine="480"/>
        <w:rPr>
          <w:rFonts w:ascii="宋体" w:hAnsi="宋体" w:hint="eastAsia"/>
          <w:sz w:val="24"/>
        </w:rPr>
      </w:pPr>
      <w:r>
        <w:rPr>
          <w:rFonts w:hint="eastAsia"/>
          <w:bCs/>
          <w:sz w:val="24"/>
        </w:rPr>
        <w:t>基金管理人应当在上半年结束之日起两个月内，编制完成基金中期报告，将中期报告登载在指定网站上，并将中期报告提示性公告登载在指定报刊上。</w:t>
      </w:r>
    </w:p>
    <w:p w14:paraId="4D8DD439" w14:textId="77777777" w:rsidR="00566744" w:rsidRDefault="00000000">
      <w:pPr>
        <w:spacing w:line="360" w:lineRule="auto"/>
        <w:ind w:firstLineChars="200" w:firstLine="480"/>
        <w:rPr>
          <w:rFonts w:ascii="宋体" w:hAnsi="宋体" w:hint="eastAsia"/>
          <w:sz w:val="24"/>
        </w:rPr>
      </w:pPr>
      <w:r>
        <w:rPr>
          <w:rFonts w:ascii="宋体" w:hAnsi="宋体" w:hint="eastAsia"/>
          <w:sz w:val="24"/>
        </w:rPr>
        <w:t>基金管理人应当在每个季度结束之日起15个工作日内，编制完成基金季度报告，</w:t>
      </w:r>
      <w:r>
        <w:rPr>
          <w:rFonts w:hint="eastAsia"/>
          <w:bCs/>
          <w:sz w:val="24"/>
        </w:rPr>
        <w:t>将季度报告登载在指定网站上，并将季度报告提示性公告登载在指定报刊上。</w:t>
      </w:r>
    </w:p>
    <w:p w14:paraId="55136E04" w14:textId="77777777" w:rsidR="00566744" w:rsidRDefault="00000000">
      <w:pPr>
        <w:spacing w:line="360" w:lineRule="auto"/>
        <w:ind w:firstLineChars="200" w:firstLine="480"/>
        <w:rPr>
          <w:rFonts w:ascii="宋体" w:hAnsi="宋体" w:hint="eastAsia"/>
          <w:sz w:val="24"/>
        </w:rPr>
      </w:pPr>
      <w:r>
        <w:rPr>
          <w:rFonts w:ascii="宋体" w:hAnsi="宋体" w:hint="eastAsia"/>
          <w:sz w:val="24"/>
        </w:rPr>
        <w:t>《基金合同》生效不足2个月的，</w:t>
      </w:r>
      <w:r>
        <w:rPr>
          <w:rFonts w:hint="eastAsia"/>
          <w:bCs/>
          <w:sz w:val="24"/>
        </w:rPr>
        <w:t>基金管理人可以不编制当期季度报告、中期报告或者年度报告。</w:t>
      </w:r>
    </w:p>
    <w:p w14:paraId="65706B17" w14:textId="77777777" w:rsidR="00566744" w:rsidRDefault="00000000">
      <w:pPr>
        <w:spacing w:line="360" w:lineRule="auto"/>
        <w:ind w:firstLineChars="200" w:firstLine="480"/>
        <w:rPr>
          <w:rFonts w:ascii="宋体" w:hAnsi="宋体" w:hint="eastAsia"/>
          <w:sz w:val="24"/>
        </w:rPr>
      </w:pPr>
      <w:r>
        <w:rPr>
          <w:rFonts w:ascii="宋体" w:hAnsi="宋体"/>
          <w:sz w:val="24"/>
        </w:rPr>
        <w:t>6</w:t>
      </w:r>
      <w:r>
        <w:rPr>
          <w:rFonts w:ascii="宋体" w:hAnsi="宋体" w:hint="eastAsia"/>
          <w:sz w:val="24"/>
        </w:rPr>
        <w:t>、临时报告</w:t>
      </w:r>
    </w:p>
    <w:p w14:paraId="24C930D1" w14:textId="77777777" w:rsidR="00566744" w:rsidRDefault="00000000">
      <w:pPr>
        <w:spacing w:line="360" w:lineRule="auto"/>
        <w:ind w:firstLineChars="200" w:firstLine="480"/>
        <w:rPr>
          <w:rFonts w:ascii="宋体" w:hAnsi="宋体" w:hint="eastAsia"/>
          <w:sz w:val="24"/>
        </w:rPr>
      </w:pPr>
      <w:r>
        <w:rPr>
          <w:rFonts w:hint="eastAsia"/>
          <w:bCs/>
          <w:sz w:val="24"/>
        </w:rPr>
        <w:t>本基金发生重大事件，有关信息披露义务人应在</w:t>
      </w:r>
      <w:r>
        <w:rPr>
          <w:rFonts w:hint="eastAsia"/>
          <w:bCs/>
          <w:sz w:val="24"/>
        </w:rPr>
        <w:t>2</w:t>
      </w:r>
      <w:r>
        <w:rPr>
          <w:rFonts w:hint="eastAsia"/>
          <w:bCs/>
          <w:sz w:val="24"/>
        </w:rPr>
        <w:t>日内编制临时报告书，并登载在指定报刊和指定网站上。</w:t>
      </w:r>
    </w:p>
    <w:p w14:paraId="55628523" w14:textId="77777777" w:rsidR="00566744" w:rsidRDefault="00000000">
      <w:pPr>
        <w:spacing w:line="360" w:lineRule="auto"/>
        <w:ind w:firstLineChars="200" w:firstLine="480"/>
        <w:rPr>
          <w:rFonts w:ascii="宋体" w:hAnsi="宋体" w:hint="eastAsia"/>
          <w:sz w:val="24"/>
        </w:rPr>
      </w:pPr>
      <w:r>
        <w:rPr>
          <w:rFonts w:ascii="宋体" w:hAnsi="宋体" w:hint="eastAsia"/>
          <w:sz w:val="24"/>
        </w:rPr>
        <w:t>前款所称重大事件，是指可能对基金份额持有人权益或者基金资产净值的价格产生重大影响的下列事件，包括：</w:t>
      </w:r>
    </w:p>
    <w:p w14:paraId="3F9A66EF" w14:textId="77777777" w:rsidR="00566744" w:rsidRDefault="00000000">
      <w:pPr>
        <w:spacing w:line="360" w:lineRule="auto"/>
        <w:ind w:firstLineChars="200" w:firstLine="480"/>
        <w:rPr>
          <w:bCs/>
          <w:sz w:val="24"/>
        </w:rPr>
      </w:pPr>
      <w:r>
        <w:rPr>
          <w:rFonts w:hint="eastAsia"/>
          <w:bCs/>
          <w:sz w:val="24"/>
        </w:rPr>
        <w:t>1</w:t>
      </w:r>
      <w:r>
        <w:rPr>
          <w:rFonts w:hint="eastAsia"/>
          <w:bCs/>
          <w:sz w:val="24"/>
        </w:rPr>
        <w:t>、基金份额持有人大会的召开及决定的事项；</w:t>
      </w:r>
    </w:p>
    <w:p w14:paraId="216BA2C9" w14:textId="77777777" w:rsidR="00566744" w:rsidRDefault="00000000">
      <w:pPr>
        <w:spacing w:line="360" w:lineRule="auto"/>
        <w:ind w:firstLineChars="200" w:firstLine="480"/>
        <w:rPr>
          <w:bCs/>
          <w:sz w:val="24"/>
        </w:rPr>
      </w:pPr>
      <w:r>
        <w:rPr>
          <w:rFonts w:hint="eastAsia"/>
          <w:bCs/>
          <w:sz w:val="24"/>
        </w:rPr>
        <w:t>2</w:t>
      </w:r>
      <w:r>
        <w:rPr>
          <w:rFonts w:hint="eastAsia"/>
          <w:bCs/>
          <w:sz w:val="24"/>
        </w:rPr>
        <w:t>、基金终止上市交易、基金合同终止、基金清算；</w:t>
      </w:r>
    </w:p>
    <w:p w14:paraId="3950C932" w14:textId="77777777" w:rsidR="00566744" w:rsidRDefault="00000000">
      <w:pPr>
        <w:spacing w:line="360" w:lineRule="auto"/>
        <w:ind w:firstLineChars="200" w:firstLine="480"/>
        <w:rPr>
          <w:bCs/>
          <w:sz w:val="24"/>
        </w:rPr>
      </w:pPr>
      <w:r>
        <w:rPr>
          <w:rFonts w:hint="eastAsia"/>
          <w:bCs/>
          <w:sz w:val="24"/>
        </w:rPr>
        <w:t>3</w:t>
      </w:r>
      <w:r>
        <w:rPr>
          <w:rFonts w:hint="eastAsia"/>
          <w:bCs/>
          <w:sz w:val="24"/>
        </w:rPr>
        <w:t>、转换基金运作方式、基金合并；</w:t>
      </w:r>
    </w:p>
    <w:p w14:paraId="6B434446" w14:textId="77777777" w:rsidR="00566744" w:rsidRDefault="00000000">
      <w:pPr>
        <w:spacing w:line="360" w:lineRule="auto"/>
        <w:ind w:firstLineChars="200" w:firstLine="480"/>
        <w:rPr>
          <w:bCs/>
          <w:sz w:val="24"/>
        </w:rPr>
      </w:pPr>
      <w:r>
        <w:rPr>
          <w:rFonts w:hint="eastAsia"/>
          <w:bCs/>
          <w:sz w:val="24"/>
        </w:rPr>
        <w:t>4</w:t>
      </w:r>
      <w:r>
        <w:rPr>
          <w:rFonts w:hint="eastAsia"/>
          <w:bCs/>
          <w:sz w:val="24"/>
        </w:rPr>
        <w:t>、更换基金管理人、基金托管人、基金份额登记机构，基金改聘会计师事务所；</w:t>
      </w:r>
    </w:p>
    <w:p w14:paraId="0E9F2BB7" w14:textId="77777777" w:rsidR="00566744" w:rsidRDefault="00000000">
      <w:pPr>
        <w:spacing w:line="360" w:lineRule="auto"/>
        <w:ind w:firstLineChars="200" w:firstLine="480"/>
        <w:rPr>
          <w:bCs/>
          <w:sz w:val="24"/>
        </w:rPr>
      </w:pPr>
      <w:r>
        <w:rPr>
          <w:rFonts w:hint="eastAsia"/>
          <w:bCs/>
          <w:sz w:val="24"/>
        </w:rPr>
        <w:t>5</w:t>
      </w:r>
      <w:r>
        <w:rPr>
          <w:rFonts w:hint="eastAsia"/>
          <w:bCs/>
          <w:sz w:val="24"/>
        </w:rPr>
        <w:t>、基金管理人委托基金服务机构代为办理基金的份额登记、核算、估值等事项，基金托管人委托基金服务机构代为办理基金的核算、估值、复核等事项；</w:t>
      </w:r>
    </w:p>
    <w:p w14:paraId="0B5CCFBE" w14:textId="77777777" w:rsidR="00566744" w:rsidRDefault="00000000">
      <w:pPr>
        <w:spacing w:line="360" w:lineRule="auto"/>
        <w:ind w:firstLineChars="200" w:firstLine="480"/>
        <w:rPr>
          <w:bCs/>
          <w:sz w:val="24"/>
        </w:rPr>
      </w:pPr>
      <w:r>
        <w:rPr>
          <w:rFonts w:hint="eastAsia"/>
          <w:bCs/>
          <w:sz w:val="24"/>
        </w:rPr>
        <w:lastRenderedPageBreak/>
        <w:t>6</w:t>
      </w:r>
      <w:r>
        <w:rPr>
          <w:rFonts w:hint="eastAsia"/>
          <w:bCs/>
          <w:sz w:val="24"/>
        </w:rPr>
        <w:t>、基金管理人、基金托管人的法定名称、住所发生变更；</w:t>
      </w:r>
    </w:p>
    <w:p w14:paraId="029A71B6" w14:textId="77777777" w:rsidR="00566744" w:rsidRDefault="00000000">
      <w:pPr>
        <w:spacing w:line="360" w:lineRule="auto"/>
        <w:ind w:firstLineChars="200" w:firstLine="480"/>
        <w:rPr>
          <w:bCs/>
          <w:sz w:val="24"/>
        </w:rPr>
      </w:pPr>
      <w:r>
        <w:rPr>
          <w:rFonts w:hint="eastAsia"/>
          <w:bCs/>
          <w:sz w:val="24"/>
        </w:rPr>
        <w:t>7</w:t>
      </w:r>
      <w:r>
        <w:rPr>
          <w:rFonts w:hint="eastAsia"/>
          <w:bCs/>
          <w:sz w:val="24"/>
        </w:rPr>
        <w:t>、基金管理人变更持有百分之五以上股权的股东、基金管理人的实际控制人变更；</w:t>
      </w:r>
    </w:p>
    <w:p w14:paraId="7A0903BE" w14:textId="77777777" w:rsidR="00566744" w:rsidRDefault="00000000">
      <w:pPr>
        <w:spacing w:line="360" w:lineRule="auto"/>
        <w:ind w:firstLineChars="200" w:firstLine="480"/>
        <w:rPr>
          <w:bCs/>
          <w:sz w:val="24"/>
        </w:rPr>
      </w:pPr>
      <w:r>
        <w:rPr>
          <w:rFonts w:hint="eastAsia"/>
          <w:bCs/>
          <w:sz w:val="24"/>
        </w:rPr>
        <w:t>8</w:t>
      </w:r>
      <w:r>
        <w:rPr>
          <w:rFonts w:hint="eastAsia"/>
          <w:bCs/>
          <w:sz w:val="24"/>
        </w:rPr>
        <w:t>、基金募集期延长或提前结束募集；</w:t>
      </w:r>
    </w:p>
    <w:p w14:paraId="46E18BCF" w14:textId="77777777" w:rsidR="00566744" w:rsidRDefault="00000000">
      <w:pPr>
        <w:spacing w:line="360" w:lineRule="auto"/>
        <w:ind w:firstLineChars="200" w:firstLine="480"/>
        <w:rPr>
          <w:bCs/>
          <w:sz w:val="24"/>
        </w:rPr>
      </w:pPr>
      <w:r>
        <w:rPr>
          <w:rFonts w:hint="eastAsia"/>
          <w:bCs/>
          <w:sz w:val="24"/>
        </w:rPr>
        <w:t>9</w:t>
      </w:r>
      <w:r>
        <w:rPr>
          <w:rFonts w:hint="eastAsia"/>
          <w:bCs/>
          <w:sz w:val="24"/>
        </w:rPr>
        <w:t>、基金管理人的高级管理人员、基金经理和基金托管人专门基金托管部门负责人发生变动；</w:t>
      </w:r>
    </w:p>
    <w:p w14:paraId="55BD5173" w14:textId="77777777" w:rsidR="00566744" w:rsidRDefault="00000000">
      <w:pPr>
        <w:spacing w:line="360" w:lineRule="auto"/>
        <w:ind w:firstLineChars="200" w:firstLine="480"/>
        <w:rPr>
          <w:bCs/>
          <w:sz w:val="24"/>
        </w:rPr>
      </w:pPr>
      <w:r>
        <w:rPr>
          <w:rFonts w:hint="eastAsia"/>
          <w:bCs/>
          <w:sz w:val="24"/>
        </w:rPr>
        <w:t>10</w:t>
      </w:r>
      <w:r>
        <w:rPr>
          <w:rFonts w:hint="eastAsia"/>
          <w:bCs/>
          <w:sz w:val="24"/>
        </w:rPr>
        <w:t>、基金管理人的董事在最近</w:t>
      </w:r>
      <w:r>
        <w:rPr>
          <w:rFonts w:hint="eastAsia"/>
          <w:bCs/>
          <w:sz w:val="24"/>
        </w:rPr>
        <w:t>12</w:t>
      </w:r>
      <w:r>
        <w:rPr>
          <w:rFonts w:hint="eastAsia"/>
          <w:bCs/>
          <w:sz w:val="24"/>
        </w:rPr>
        <w:t>个月内变更超过百分之五十，基金管理人、基金托管人专门基金托管部门的主要业务人员在最近</w:t>
      </w:r>
      <w:r>
        <w:rPr>
          <w:rFonts w:hint="eastAsia"/>
          <w:bCs/>
          <w:sz w:val="24"/>
        </w:rPr>
        <w:t>12</w:t>
      </w:r>
      <w:r>
        <w:rPr>
          <w:rFonts w:hint="eastAsia"/>
          <w:bCs/>
          <w:sz w:val="24"/>
        </w:rPr>
        <w:t>个月内，变动超过百分之三十；</w:t>
      </w:r>
    </w:p>
    <w:p w14:paraId="5AEA8D08" w14:textId="77777777" w:rsidR="00566744" w:rsidRDefault="00000000">
      <w:pPr>
        <w:spacing w:line="360" w:lineRule="auto"/>
        <w:ind w:firstLineChars="200" w:firstLine="480"/>
        <w:rPr>
          <w:bCs/>
          <w:sz w:val="24"/>
        </w:rPr>
      </w:pPr>
      <w:r>
        <w:rPr>
          <w:rFonts w:hint="eastAsia"/>
          <w:bCs/>
          <w:sz w:val="24"/>
        </w:rPr>
        <w:t>11</w:t>
      </w:r>
      <w:r>
        <w:rPr>
          <w:rFonts w:hint="eastAsia"/>
          <w:bCs/>
          <w:sz w:val="24"/>
        </w:rPr>
        <w:t>、涉及基金财产、基金管理业务、基金托管业务的诉讼或仲裁；</w:t>
      </w:r>
    </w:p>
    <w:p w14:paraId="73314717" w14:textId="77777777" w:rsidR="00566744" w:rsidRDefault="00000000">
      <w:pPr>
        <w:spacing w:line="360" w:lineRule="auto"/>
        <w:ind w:firstLineChars="200" w:firstLine="480"/>
        <w:rPr>
          <w:bCs/>
          <w:sz w:val="24"/>
        </w:rPr>
      </w:pPr>
      <w:r>
        <w:rPr>
          <w:rFonts w:hint="eastAsia"/>
          <w:bCs/>
          <w:sz w:val="24"/>
        </w:rPr>
        <w:t>12</w:t>
      </w:r>
      <w:r>
        <w:rPr>
          <w:rFonts w:hint="eastAsia"/>
          <w:bCs/>
          <w:sz w:val="24"/>
        </w:rPr>
        <w:t>、基金管理人或其高级管理人员、基金经理因基金管理业务相关行为受到重大行政处罚、刑事处罚，基金托管人或其专门基金托管部门负责人因基金托管业务相关行为受到重大行政处罚、刑事处罚；</w:t>
      </w:r>
    </w:p>
    <w:p w14:paraId="44813FBB" w14:textId="77777777" w:rsidR="00566744" w:rsidRDefault="00000000">
      <w:pPr>
        <w:spacing w:line="360" w:lineRule="auto"/>
        <w:ind w:firstLineChars="200" w:firstLine="480"/>
        <w:rPr>
          <w:bCs/>
          <w:sz w:val="24"/>
        </w:rPr>
      </w:pPr>
      <w:r>
        <w:rPr>
          <w:rFonts w:hint="eastAsia"/>
          <w:bCs/>
          <w:sz w:val="24"/>
        </w:rPr>
        <w:t>13</w:t>
      </w:r>
      <w:r>
        <w:rPr>
          <w:rFonts w:hint="eastAsia"/>
          <w:bCs/>
          <w:sz w:val="24"/>
        </w:rPr>
        <w:t>、基金管理人运用基金财产买卖基金管理人、基金托管人及其控股股东、实际控制人或者与其有重大利害关系的公司发行的证券或者承销期内承销的证券，或者从事其他重大关联交易事项，中国证监会另有规定的情形除外；</w:t>
      </w:r>
    </w:p>
    <w:p w14:paraId="2D76C4DF" w14:textId="77777777" w:rsidR="00566744" w:rsidRDefault="00000000">
      <w:pPr>
        <w:spacing w:line="360" w:lineRule="auto"/>
        <w:ind w:firstLineChars="200" w:firstLine="480"/>
        <w:rPr>
          <w:bCs/>
          <w:sz w:val="24"/>
        </w:rPr>
      </w:pPr>
      <w:r>
        <w:rPr>
          <w:rFonts w:hint="eastAsia"/>
          <w:bCs/>
          <w:sz w:val="24"/>
        </w:rPr>
        <w:t>14</w:t>
      </w:r>
      <w:r>
        <w:rPr>
          <w:rFonts w:hint="eastAsia"/>
          <w:bCs/>
          <w:sz w:val="24"/>
        </w:rPr>
        <w:t>、基金收益分配事项；</w:t>
      </w:r>
    </w:p>
    <w:p w14:paraId="406B73FB" w14:textId="77777777" w:rsidR="00566744" w:rsidRDefault="00000000">
      <w:pPr>
        <w:spacing w:line="360" w:lineRule="auto"/>
        <w:ind w:firstLineChars="200" w:firstLine="480"/>
        <w:rPr>
          <w:bCs/>
          <w:sz w:val="24"/>
        </w:rPr>
      </w:pPr>
      <w:r>
        <w:rPr>
          <w:bCs/>
          <w:sz w:val="24"/>
        </w:rPr>
        <w:t>15</w:t>
      </w:r>
      <w:r>
        <w:rPr>
          <w:bCs/>
          <w:sz w:val="24"/>
        </w:rPr>
        <w:t>、管理费、托管费</w:t>
      </w:r>
      <w:r>
        <w:rPr>
          <w:rFonts w:hint="eastAsia"/>
          <w:bCs/>
          <w:sz w:val="24"/>
        </w:rPr>
        <w:t>、申购费、赎回费</w:t>
      </w:r>
      <w:r>
        <w:rPr>
          <w:bCs/>
          <w:sz w:val="24"/>
        </w:rPr>
        <w:t>等费用计提标准、计提方式和费率发生变更；</w:t>
      </w:r>
    </w:p>
    <w:p w14:paraId="754D3D45" w14:textId="77777777" w:rsidR="00566744" w:rsidRDefault="00000000">
      <w:pPr>
        <w:spacing w:line="360" w:lineRule="auto"/>
        <w:ind w:firstLineChars="200" w:firstLine="480"/>
        <w:rPr>
          <w:bCs/>
          <w:sz w:val="24"/>
        </w:rPr>
      </w:pPr>
      <w:r>
        <w:rPr>
          <w:bCs/>
          <w:sz w:val="24"/>
        </w:rPr>
        <w:t>16</w:t>
      </w:r>
      <w:r>
        <w:rPr>
          <w:bCs/>
          <w:sz w:val="24"/>
        </w:rPr>
        <w:t>、基金</w:t>
      </w:r>
      <w:r>
        <w:rPr>
          <w:rFonts w:hint="eastAsia"/>
          <w:bCs/>
          <w:sz w:val="24"/>
        </w:rPr>
        <w:t>资产</w:t>
      </w:r>
      <w:r>
        <w:rPr>
          <w:bCs/>
          <w:sz w:val="24"/>
        </w:rPr>
        <w:t>净值计价错误</w:t>
      </w:r>
      <w:proofErr w:type="gramStart"/>
      <w:r>
        <w:rPr>
          <w:bCs/>
          <w:sz w:val="24"/>
        </w:rPr>
        <w:t>达基金</w:t>
      </w:r>
      <w:proofErr w:type="gramEnd"/>
      <w:r>
        <w:rPr>
          <w:rFonts w:hint="eastAsia"/>
          <w:bCs/>
          <w:sz w:val="24"/>
        </w:rPr>
        <w:t>资产</w:t>
      </w:r>
      <w:r>
        <w:rPr>
          <w:bCs/>
          <w:sz w:val="24"/>
        </w:rPr>
        <w:t>净值百分之零点五；</w:t>
      </w:r>
    </w:p>
    <w:p w14:paraId="2F347F25" w14:textId="77777777" w:rsidR="00566744" w:rsidRDefault="00000000">
      <w:pPr>
        <w:spacing w:line="360" w:lineRule="auto"/>
        <w:ind w:firstLineChars="200" w:firstLine="480"/>
        <w:rPr>
          <w:bCs/>
          <w:sz w:val="24"/>
        </w:rPr>
      </w:pPr>
      <w:r>
        <w:rPr>
          <w:rFonts w:hint="eastAsia"/>
          <w:bCs/>
          <w:sz w:val="24"/>
        </w:rPr>
        <w:t>17</w:t>
      </w:r>
      <w:r>
        <w:rPr>
          <w:rFonts w:hint="eastAsia"/>
          <w:bCs/>
          <w:sz w:val="24"/>
        </w:rPr>
        <w:t>、本基金开始办理申购、赎回；</w:t>
      </w:r>
    </w:p>
    <w:p w14:paraId="0BFE8AAE" w14:textId="77777777" w:rsidR="00566744" w:rsidRDefault="00000000">
      <w:pPr>
        <w:spacing w:line="360" w:lineRule="auto"/>
        <w:ind w:firstLineChars="200" w:firstLine="480"/>
        <w:rPr>
          <w:bCs/>
          <w:sz w:val="24"/>
        </w:rPr>
      </w:pPr>
      <w:r>
        <w:rPr>
          <w:rFonts w:hint="eastAsia"/>
          <w:bCs/>
          <w:sz w:val="24"/>
        </w:rPr>
        <w:t>18</w:t>
      </w:r>
      <w:r>
        <w:rPr>
          <w:rFonts w:hint="eastAsia"/>
          <w:bCs/>
          <w:sz w:val="24"/>
        </w:rPr>
        <w:t>、本基金暂定接受申购、赎回申请或重新接受申购、赎回申请；</w:t>
      </w:r>
    </w:p>
    <w:p w14:paraId="3F1AFFB1" w14:textId="77777777" w:rsidR="00566744" w:rsidRDefault="00000000">
      <w:pPr>
        <w:spacing w:line="360" w:lineRule="auto"/>
        <w:ind w:firstLineChars="200" w:firstLine="480"/>
        <w:rPr>
          <w:bCs/>
          <w:sz w:val="24"/>
        </w:rPr>
      </w:pPr>
      <w:r>
        <w:rPr>
          <w:rFonts w:hint="eastAsia"/>
          <w:bCs/>
          <w:sz w:val="24"/>
        </w:rPr>
        <w:t>19</w:t>
      </w:r>
      <w:r>
        <w:rPr>
          <w:rFonts w:hint="eastAsia"/>
          <w:bCs/>
          <w:sz w:val="24"/>
        </w:rPr>
        <w:t>、基金变更标的指数；</w:t>
      </w:r>
    </w:p>
    <w:p w14:paraId="09CFF1E9" w14:textId="77777777" w:rsidR="00566744" w:rsidRDefault="00000000">
      <w:pPr>
        <w:spacing w:line="360" w:lineRule="auto"/>
        <w:ind w:firstLineChars="200" w:firstLine="480"/>
        <w:rPr>
          <w:bCs/>
          <w:sz w:val="24"/>
        </w:rPr>
      </w:pPr>
      <w:r>
        <w:rPr>
          <w:rFonts w:hint="eastAsia"/>
          <w:bCs/>
          <w:sz w:val="24"/>
        </w:rPr>
        <w:t>20</w:t>
      </w:r>
      <w:r>
        <w:rPr>
          <w:rFonts w:hint="eastAsia"/>
          <w:bCs/>
          <w:sz w:val="24"/>
        </w:rPr>
        <w:t>、基金份额停牌、复牌、暂停上市、恢复上市或终止上市交易；</w:t>
      </w:r>
    </w:p>
    <w:p w14:paraId="09802B80" w14:textId="77777777" w:rsidR="00566744" w:rsidRDefault="00000000">
      <w:pPr>
        <w:spacing w:line="360" w:lineRule="auto"/>
        <w:ind w:firstLineChars="200" w:firstLine="480"/>
        <w:rPr>
          <w:bCs/>
          <w:sz w:val="24"/>
        </w:rPr>
      </w:pPr>
      <w:r>
        <w:rPr>
          <w:rFonts w:hint="eastAsia"/>
          <w:bCs/>
          <w:sz w:val="24"/>
        </w:rPr>
        <w:t>21</w:t>
      </w:r>
      <w:r>
        <w:rPr>
          <w:rFonts w:hint="eastAsia"/>
          <w:bCs/>
          <w:sz w:val="24"/>
        </w:rPr>
        <w:t>、调整最小申购赎回单位、申购赎回方式及申购对价、赎回对价组成；</w:t>
      </w:r>
    </w:p>
    <w:p w14:paraId="1511754A" w14:textId="77777777" w:rsidR="00566744" w:rsidRDefault="00000000">
      <w:pPr>
        <w:spacing w:line="360" w:lineRule="auto"/>
        <w:ind w:firstLineChars="200" w:firstLine="480"/>
        <w:rPr>
          <w:bCs/>
          <w:sz w:val="24"/>
        </w:rPr>
      </w:pPr>
      <w:r>
        <w:rPr>
          <w:rFonts w:hint="eastAsia"/>
          <w:bCs/>
          <w:sz w:val="24"/>
        </w:rPr>
        <w:t>22</w:t>
      </w:r>
      <w:r>
        <w:rPr>
          <w:rFonts w:hint="eastAsia"/>
          <w:bCs/>
          <w:sz w:val="24"/>
        </w:rPr>
        <w:t>、调整基金份额类别的设置；</w:t>
      </w:r>
    </w:p>
    <w:p w14:paraId="59CD5CAA" w14:textId="77777777" w:rsidR="00566744" w:rsidRDefault="00000000">
      <w:pPr>
        <w:spacing w:line="360" w:lineRule="auto"/>
        <w:ind w:firstLineChars="200" w:firstLine="480"/>
        <w:rPr>
          <w:bCs/>
          <w:sz w:val="24"/>
        </w:rPr>
      </w:pPr>
      <w:r>
        <w:rPr>
          <w:rFonts w:hint="eastAsia"/>
          <w:bCs/>
          <w:sz w:val="24"/>
        </w:rPr>
        <w:t>23</w:t>
      </w:r>
      <w:r>
        <w:rPr>
          <w:rFonts w:hint="eastAsia"/>
          <w:bCs/>
          <w:sz w:val="24"/>
        </w:rPr>
        <w:t>、基金推出新业务或服务；</w:t>
      </w:r>
    </w:p>
    <w:p w14:paraId="3668DC38" w14:textId="77777777" w:rsidR="00566744" w:rsidRDefault="00000000">
      <w:pPr>
        <w:spacing w:line="360" w:lineRule="auto"/>
        <w:ind w:firstLineChars="200" w:firstLine="480"/>
        <w:rPr>
          <w:bCs/>
          <w:sz w:val="24"/>
        </w:rPr>
      </w:pPr>
      <w:r>
        <w:rPr>
          <w:rFonts w:hint="eastAsia"/>
          <w:bCs/>
          <w:sz w:val="24"/>
        </w:rPr>
        <w:t>24</w:t>
      </w:r>
      <w:r>
        <w:rPr>
          <w:rFonts w:hint="eastAsia"/>
          <w:bCs/>
          <w:sz w:val="24"/>
        </w:rPr>
        <w:t>、基金信息披露义务人认为可能对基金份额持有人权益或者基金份额的价格产生重大影响的其他事项或中国证监会规定的其他事项。</w:t>
      </w:r>
    </w:p>
    <w:p w14:paraId="6FD530D9" w14:textId="77777777" w:rsidR="00566744" w:rsidRDefault="00000000">
      <w:pPr>
        <w:spacing w:line="360" w:lineRule="auto"/>
        <w:ind w:firstLineChars="200" w:firstLine="480"/>
        <w:rPr>
          <w:rFonts w:ascii="宋体" w:hAnsi="宋体" w:hint="eastAsia"/>
          <w:sz w:val="24"/>
        </w:rPr>
      </w:pPr>
      <w:r>
        <w:rPr>
          <w:rFonts w:ascii="宋体" w:hAnsi="宋体"/>
          <w:sz w:val="24"/>
        </w:rPr>
        <w:lastRenderedPageBreak/>
        <w:t>7</w:t>
      </w:r>
      <w:r>
        <w:rPr>
          <w:rFonts w:ascii="宋体" w:hAnsi="宋体" w:hint="eastAsia"/>
          <w:sz w:val="24"/>
        </w:rPr>
        <w:t>、澄清公告</w:t>
      </w:r>
    </w:p>
    <w:p w14:paraId="60BFF33C" w14:textId="77777777" w:rsidR="00566744" w:rsidRDefault="00000000">
      <w:pPr>
        <w:spacing w:line="360" w:lineRule="auto"/>
        <w:ind w:firstLineChars="200" w:firstLine="480"/>
        <w:rPr>
          <w:rFonts w:ascii="宋体" w:hAnsi="宋体" w:hint="eastAsia"/>
          <w:sz w:val="24"/>
        </w:rPr>
      </w:pPr>
      <w:r>
        <w:rPr>
          <w:rFonts w:hint="eastAsia"/>
          <w:bCs/>
          <w:sz w:val="24"/>
        </w:rPr>
        <w:t>在基金合同期限内，任何公共媒体中出现的或者在市场上流传的消息可能对基金份额价格产生误导性影响或者引起较大波动，以及可能损害基金份额持有人权益的，相关信息披露义务人知悉后应当立即对该消息进行公开澄清，并将有关情况立即报告中国证监会、基金上市交易的证券交易所。</w:t>
      </w:r>
    </w:p>
    <w:p w14:paraId="3EE32F1F" w14:textId="77777777" w:rsidR="00566744" w:rsidRDefault="00000000">
      <w:pPr>
        <w:spacing w:line="360" w:lineRule="auto"/>
        <w:ind w:firstLineChars="200" w:firstLine="480"/>
        <w:rPr>
          <w:rFonts w:ascii="宋体" w:hAnsi="宋体" w:hint="eastAsia"/>
          <w:sz w:val="24"/>
        </w:rPr>
      </w:pPr>
      <w:r>
        <w:rPr>
          <w:rFonts w:ascii="宋体" w:hAnsi="宋体" w:hint="eastAsia"/>
          <w:sz w:val="24"/>
        </w:rPr>
        <w:t>8、</w:t>
      </w:r>
      <w:r>
        <w:rPr>
          <w:rFonts w:ascii="宋体" w:hAnsi="宋体"/>
          <w:sz w:val="24"/>
        </w:rPr>
        <w:t>清算报告</w:t>
      </w:r>
    </w:p>
    <w:p w14:paraId="2C938870" w14:textId="77777777" w:rsidR="00566744" w:rsidRDefault="00000000">
      <w:pPr>
        <w:spacing w:line="360" w:lineRule="auto"/>
        <w:ind w:firstLineChars="200" w:firstLine="480"/>
        <w:rPr>
          <w:rFonts w:ascii="宋体" w:hAnsi="宋体" w:hint="eastAsia"/>
          <w:sz w:val="24"/>
        </w:rPr>
      </w:pPr>
      <w:r>
        <w:rPr>
          <w:rFonts w:hint="eastAsia"/>
          <w:bCs/>
          <w:sz w:val="24"/>
        </w:rPr>
        <w:t>基金合同终止的，基金管理人应当依法组织基金财产清算小组对基金财产进行清算并</w:t>
      </w:r>
      <w:proofErr w:type="gramStart"/>
      <w:r>
        <w:rPr>
          <w:rFonts w:hint="eastAsia"/>
          <w:bCs/>
          <w:sz w:val="24"/>
        </w:rPr>
        <w:t>作出</w:t>
      </w:r>
      <w:proofErr w:type="gramEnd"/>
      <w:r>
        <w:rPr>
          <w:rFonts w:hint="eastAsia"/>
          <w:bCs/>
          <w:sz w:val="24"/>
        </w:rPr>
        <w:t>清算报告。基金财产清算小组应当将清算报告登载在指定网站上，并将清算报告提示性公告登载在指定报刊上。</w:t>
      </w:r>
    </w:p>
    <w:p w14:paraId="32E5F1CD" w14:textId="77777777" w:rsidR="00566744" w:rsidRDefault="00000000">
      <w:pPr>
        <w:spacing w:line="360" w:lineRule="auto"/>
        <w:ind w:firstLineChars="200" w:firstLine="480"/>
        <w:rPr>
          <w:bCs/>
          <w:sz w:val="24"/>
        </w:rPr>
      </w:pPr>
      <w:r>
        <w:rPr>
          <w:rFonts w:ascii="宋体" w:hAnsi="宋体"/>
          <w:bCs/>
          <w:sz w:val="24"/>
        </w:rPr>
        <w:t>9</w:t>
      </w:r>
      <w:r>
        <w:rPr>
          <w:rFonts w:ascii="宋体" w:hAnsi="宋体" w:hint="eastAsia"/>
          <w:bCs/>
          <w:sz w:val="24"/>
        </w:rPr>
        <w:t>、</w:t>
      </w:r>
      <w:r>
        <w:rPr>
          <w:bCs/>
          <w:sz w:val="24"/>
        </w:rPr>
        <w:t>基金份额持有人大会决议</w:t>
      </w:r>
    </w:p>
    <w:p w14:paraId="3A7A1965" w14:textId="77777777" w:rsidR="00566744" w:rsidRDefault="00000000">
      <w:pPr>
        <w:spacing w:line="360" w:lineRule="auto"/>
        <w:ind w:firstLineChars="200" w:firstLine="480"/>
        <w:rPr>
          <w:bCs/>
          <w:sz w:val="24"/>
        </w:rPr>
      </w:pPr>
      <w:r>
        <w:rPr>
          <w:bCs/>
          <w:sz w:val="24"/>
        </w:rPr>
        <w:t>基金份额持有人大会决定的事项，应当依法报</w:t>
      </w:r>
      <w:r>
        <w:rPr>
          <w:rFonts w:hint="eastAsia"/>
          <w:bCs/>
          <w:sz w:val="24"/>
        </w:rPr>
        <w:t>中国证监会</w:t>
      </w:r>
      <w:r>
        <w:rPr>
          <w:bCs/>
          <w:sz w:val="24"/>
        </w:rPr>
        <w:t>备案，并予以公告。</w:t>
      </w:r>
    </w:p>
    <w:p w14:paraId="792CFBF3" w14:textId="77777777" w:rsidR="00566744" w:rsidRDefault="00000000">
      <w:pPr>
        <w:spacing w:line="360" w:lineRule="auto"/>
        <w:ind w:firstLineChars="200" w:firstLine="480"/>
        <w:rPr>
          <w:bCs/>
          <w:sz w:val="24"/>
        </w:rPr>
      </w:pPr>
      <w:r>
        <w:rPr>
          <w:rFonts w:ascii="宋体" w:hAnsi="宋体"/>
          <w:bCs/>
          <w:sz w:val="24"/>
        </w:rPr>
        <w:t>10</w:t>
      </w:r>
      <w:r>
        <w:rPr>
          <w:rFonts w:ascii="宋体" w:hAnsi="宋体" w:hint="eastAsia"/>
          <w:bCs/>
          <w:sz w:val="24"/>
        </w:rPr>
        <w:t>、</w:t>
      </w:r>
      <w:r>
        <w:rPr>
          <w:rFonts w:hint="eastAsia"/>
          <w:bCs/>
          <w:sz w:val="24"/>
        </w:rPr>
        <w:t>资产支持证券的投资情况</w:t>
      </w:r>
    </w:p>
    <w:p w14:paraId="4DCA8553" w14:textId="77777777" w:rsidR="00566744" w:rsidRDefault="00000000">
      <w:pPr>
        <w:spacing w:line="360" w:lineRule="auto"/>
        <w:ind w:firstLineChars="200" w:firstLine="480"/>
        <w:rPr>
          <w:rFonts w:ascii="宋体" w:hAnsi="宋体" w:hint="eastAsia"/>
          <w:bCs/>
          <w:sz w:val="24"/>
        </w:rPr>
      </w:pPr>
      <w:r>
        <w:rPr>
          <w:rFonts w:ascii="宋体" w:hAnsi="宋体" w:hint="eastAsia"/>
          <w:bCs/>
          <w:sz w:val="24"/>
        </w:rPr>
        <w:t>本基金投资资产支持证券，基金管理人应在基金年报及中期报告中披露其持有的资产支持证券总额、资产支持证券市值占基金净资产的比例和报告期内所有的资产支持证券明细。基金管理人应在基金季度报告中披露其持有的资产支持证券总额、资产支持证券市值占基金净资产的比例和报告期末按市值占基金净资产比例大小排序的前10名资产支持证券明细。</w:t>
      </w:r>
    </w:p>
    <w:p w14:paraId="6D69984B" w14:textId="77777777" w:rsidR="00566744" w:rsidRDefault="00000000">
      <w:pPr>
        <w:spacing w:line="360" w:lineRule="auto"/>
        <w:ind w:firstLineChars="200" w:firstLine="480"/>
        <w:rPr>
          <w:bCs/>
          <w:sz w:val="24"/>
        </w:rPr>
      </w:pPr>
      <w:r>
        <w:rPr>
          <w:rFonts w:ascii="宋体" w:hAnsi="宋体" w:hint="eastAsia"/>
          <w:sz w:val="24"/>
        </w:rPr>
        <w:t>1</w:t>
      </w:r>
      <w:r>
        <w:rPr>
          <w:rFonts w:ascii="宋体" w:hAnsi="宋体"/>
          <w:sz w:val="24"/>
        </w:rPr>
        <w:t>1</w:t>
      </w:r>
      <w:r>
        <w:rPr>
          <w:rFonts w:ascii="宋体" w:hAnsi="宋体" w:hint="eastAsia"/>
          <w:sz w:val="24"/>
        </w:rPr>
        <w:t>、中国证监会规定的其他信息。</w:t>
      </w:r>
    </w:p>
    <w:p w14:paraId="0704589B" w14:textId="77777777" w:rsidR="00566744" w:rsidRDefault="00000000">
      <w:pPr>
        <w:spacing w:line="360" w:lineRule="auto"/>
        <w:ind w:firstLineChars="200" w:firstLine="480"/>
        <w:rPr>
          <w:bCs/>
          <w:sz w:val="24"/>
        </w:rPr>
      </w:pPr>
      <w:r>
        <w:rPr>
          <w:rFonts w:ascii="宋体" w:hAnsi="宋体" w:hint="eastAsia"/>
          <w:sz w:val="24"/>
        </w:rPr>
        <w:t>（六）</w:t>
      </w:r>
      <w:r>
        <w:rPr>
          <w:bCs/>
          <w:sz w:val="24"/>
        </w:rPr>
        <w:t>信息披露事务管理</w:t>
      </w:r>
    </w:p>
    <w:p w14:paraId="4CC7E064" w14:textId="77777777" w:rsidR="00566744" w:rsidRDefault="00000000">
      <w:pPr>
        <w:spacing w:line="360" w:lineRule="auto"/>
        <w:ind w:firstLineChars="200" w:firstLine="480"/>
        <w:rPr>
          <w:bCs/>
          <w:sz w:val="24"/>
        </w:rPr>
      </w:pPr>
      <w:r>
        <w:rPr>
          <w:bCs/>
          <w:sz w:val="24"/>
        </w:rPr>
        <w:t>基金管理人、基金托管人应当建立健全信息披露管理制度，指定</w:t>
      </w:r>
      <w:r>
        <w:rPr>
          <w:rFonts w:hint="eastAsia"/>
          <w:bCs/>
          <w:sz w:val="24"/>
        </w:rPr>
        <w:t>专门部门及</w:t>
      </w:r>
      <w:r>
        <w:rPr>
          <w:bCs/>
          <w:sz w:val="24"/>
        </w:rPr>
        <w:t>高级管理人员负责管理信息披露事务。</w:t>
      </w:r>
    </w:p>
    <w:p w14:paraId="2AF82B01" w14:textId="77777777" w:rsidR="00566744" w:rsidRDefault="00000000">
      <w:pPr>
        <w:spacing w:line="360" w:lineRule="auto"/>
        <w:ind w:firstLineChars="200" w:firstLine="480"/>
        <w:rPr>
          <w:bCs/>
          <w:sz w:val="24"/>
        </w:rPr>
      </w:pPr>
      <w:r>
        <w:rPr>
          <w:bCs/>
          <w:sz w:val="24"/>
        </w:rPr>
        <w:t>基金信息披露义务人公开披露基金信息，应当符合中国证监会相关基金信息披露内容与格式准则</w:t>
      </w:r>
      <w:r>
        <w:rPr>
          <w:rFonts w:hint="eastAsia"/>
          <w:bCs/>
          <w:sz w:val="24"/>
        </w:rPr>
        <w:t>等</w:t>
      </w:r>
      <w:r>
        <w:rPr>
          <w:bCs/>
          <w:sz w:val="24"/>
        </w:rPr>
        <w:t>法规的规定。</w:t>
      </w:r>
    </w:p>
    <w:p w14:paraId="0D969491" w14:textId="77777777" w:rsidR="00566744" w:rsidRDefault="00000000">
      <w:pPr>
        <w:spacing w:line="360" w:lineRule="auto"/>
        <w:ind w:firstLineChars="200" w:firstLine="480"/>
        <w:rPr>
          <w:bCs/>
          <w:sz w:val="24"/>
        </w:rPr>
      </w:pPr>
      <w:r>
        <w:rPr>
          <w:bCs/>
          <w:sz w:val="24"/>
        </w:rPr>
        <w:t>基金托管人应当按照相关法律法规、中国证监会的规定和《基金合同》的约定，对基金管理人编制的基金资产净值、</w:t>
      </w:r>
      <w:r>
        <w:rPr>
          <w:rFonts w:hint="eastAsia"/>
          <w:bCs/>
          <w:sz w:val="24"/>
        </w:rPr>
        <w:t>各类基金份额的每万份基金已实现收益、</w:t>
      </w:r>
      <w:proofErr w:type="gramStart"/>
      <w:r>
        <w:rPr>
          <w:rFonts w:hint="eastAsia"/>
          <w:bCs/>
          <w:sz w:val="24"/>
        </w:rPr>
        <w:t>7</w:t>
      </w:r>
      <w:r>
        <w:rPr>
          <w:rFonts w:hint="eastAsia"/>
          <w:bCs/>
          <w:sz w:val="24"/>
        </w:rPr>
        <w:t>日年化收益率</w:t>
      </w:r>
      <w:proofErr w:type="gramEnd"/>
      <w:r>
        <w:rPr>
          <w:rFonts w:hint="eastAsia"/>
          <w:bCs/>
          <w:sz w:val="24"/>
        </w:rPr>
        <w:t>、</w:t>
      </w:r>
      <w:r>
        <w:rPr>
          <w:bCs/>
          <w:sz w:val="24"/>
        </w:rPr>
        <w:t>基金定期报告</w:t>
      </w:r>
      <w:r>
        <w:rPr>
          <w:rFonts w:hint="eastAsia"/>
          <w:bCs/>
          <w:sz w:val="24"/>
        </w:rPr>
        <w:t>、更新</w:t>
      </w:r>
      <w:r>
        <w:rPr>
          <w:bCs/>
          <w:sz w:val="24"/>
        </w:rPr>
        <w:t>的招募说明书、</w:t>
      </w:r>
      <w:r>
        <w:rPr>
          <w:rFonts w:hint="eastAsia"/>
          <w:bCs/>
          <w:sz w:val="24"/>
        </w:rPr>
        <w:t>基金</w:t>
      </w:r>
      <w:r>
        <w:rPr>
          <w:bCs/>
          <w:sz w:val="24"/>
        </w:rPr>
        <w:t>产品资料概要、</w:t>
      </w:r>
      <w:r>
        <w:rPr>
          <w:rFonts w:hint="eastAsia"/>
          <w:bCs/>
          <w:sz w:val="24"/>
        </w:rPr>
        <w:t>基金</w:t>
      </w:r>
      <w:r>
        <w:rPr>
          <w:bCs/>
          <w:sz w:val="24"/>
        </w:rPr>
        <w:t>清算报告等公开披露的相关基金信息进行复核、审查，并向基金管理人</w:t>
      </w:r>
      <w:r>
        <w:rPr>
          <w:rFonts w:hint="eastAsia"/>
          <w:bCs/>
          <w:sz w:val="24"/>
        </w:rPr>
        <w:t>进行书面</w:t>
      </w:r>
      <w:r>
        <w:rPr>
          <w:bCs/>
          <w:sz w:val="24"/>
        </w:rPr>
        <w:t>或电子确认</w:t>
      </w:r>
      <w:r>
        <w:rPr>
          <w:rFonts w:hint="eastAsia"/>
          <w:bCs/>
          <w:sz w:val="24"/>
        </w:rPr>
        <w:t>。</w:t>
      </w:r>
    </w:p>
    <w:p w14:paraId="64CE31ED" w14:textId="77777777" w:rsidR="00566744" w:rsidRDefault="00000000">
      <w:pPr>
        <w:spacing w:line="360" w:lineRule="auto"/>
        <w:ind w:firstLineChars="200" w:firstLine="480"/>
        <w:rPr>
          <w:bCs/>
          <w:sz w:val="24"/>
        </w:rPr>
      </w:pPr>
      <w:r>
        <w:rPr>
          <w:bCs/>
          <w:sz w:val="24"/>
        </w:rPr>
        <w:lastRenderedPageBreak/>
        <w:t>基金管理人、基金托管人</w:t>
      </w:r>
      <w:r>
        <w:rPr>
          <w:rFonts w:hint="eastAsia"/>
          <w:bCs/>
          <w:sz w:val="24"/>
        </w:rPr>
        <w:t>应当在指定报刊中选择一家报刊披露本基金信息。基金管理人、基金托管人应当向中国证监会基金电子披露网站报送拟披露的基金信息，并保证相关报送信息的真实、准确、完整、及时。</w:t>
      </w:r>
    </w:p>
    <w:p w14:paraId="555E343A" w14:textId="77777777" w:rsidR="00566744" w:rsidRDefault="00000000">
      <w:pPr>
        <w:spacing w:line="360" w:lineRule="auto"/>
        <w:ind w:firstLineChars="200" w:firstLine="480"/>
        <w:rPr>
          <w:bCs/>
          <w:sz w:val="24"/>
        </w:rPr>
      </w:pPr>
      <w:r>
        <w:rPr>
          <w:bCs/>
          <w:sz w:val="24"/>
        </w:rPr>
        <w:t>基金管理人、基金托管人除依法在指定媒介上披露信息外，还可以根据需要在其他公共媒介披露信息，但是其他公共媒介不得早于指定媒介披露信息，并且在不同媒介上披露同一信息的内容应当一致。</w:t>
      </w:r>
    </w:p>
    <w:p w14:paraId="1A067AD3" w14:textId="77777777" w:rsidR="00566744" w:rsidRDefault="00000000">
      <w:pPr>
        <w:spacing w:line="360" w:lineRule="auto"/>
        <w:ind w:firstLineChars="200" w:firstLine="480"/>
        <w:rPr>
          <w:bCs/>
          <w:sz w:val="24"/>
        </w:rPr>
      </w:pPr>
      <w:r>
        <w:rPr>
          <w:rFonts w:hint="eastAsia"/>
          <w:bCs/>
          <w:sz w:val="24"/>
        </w:rPr>
        <w:t>基金管理人、基金托管人除按法律法规要求披露信息外、也可着眼于为投资者决策提供有用信息的角度，在保证公平对待投资者、</w:t>
      </w:r>
      <w:proofErr w:type="gramStart"/>
      <w:r>
        <w:rPr>
          <w:rFonts w:hint="eastAsia"/>
          <w:bCs/>
          <w:sz w:val="24"/>
        </w:rPr>
        <w:t>不</w:t>
      </w:r>
      <w:proofErr w:type="gramEnd"/>
      <w:r>
        <w:rPr>
          <w:rFonts w:hint="eastAsia"/>
          <w:bCs/>
          <w:sz w:val="24"/>
        </w:rPr>
        <w:t>误导投资者、不影响基金正常投资操作的前提下，自主提升信息披露服务的质量。具体要求应当符合中国证监会及自律规则的相关规定。前述自主披露如产生信息披露费用，该费用不得从基金财产中列支。</w:t>
      </w:r>
    </w:p>
    <w:p w14:paraId="05A2BDC2" w14:textId="77777777" w:rsidR="00566744" w:rsidRDefault="00000000">
      <w:pPr>
        <w:spacing w:line="360" w:lineRule="auto"/>
        <w:ind w:firstLineChars="200" w:firstLine="480"/>
        <w:rPr>
          <w:rFonts w:ascii="宋体" w:hAnsi="宋体" w:hint="eastAsia"/>
          <w:bCs/>
          <w:sz w:val="24"/>
        </w:rPr>
      </w:pPr>
      <w:r>
        <w:rPr>
          <w:bCs/>
          <w:sz w:val="24"/>
        </w:rPr>
        <w:t>为基金信息披露义务人公开披露的基金信息出具审计报告、法律意见书的专业机构，应当制作工作底稿，并将相关档案至少保存到</w:t>
      </w:r>
      <w:r>
        <w:rPr>
          <w:rFonts w:hint="eastAsia"/>
          <w:bCs/>
          <w:sz w:val="24"/>
        </w:rPr>
        <w:t>《</w:t>
      </w:r>
      <w:r>
        <w:rPr>
          <w:bCs/>
          <w:sz w:val="24"/>
        </w:rPr>
        <w:t>基金合同</w:t>
      </w:r>
      <w:r>
        <w:rPr>
          <w:rFonts w:hint="eastAsia"/>
          <w:bCs/>
          <w:sz w:val="24"/>
        </w:rPr>
        <w:t>》</w:t>
      </w:r>
      <w:r>
        <w:rPr>
          <w:rFonts w:ascii="宋体" w:hAnsi="宋体"/>
          <w:bCs/>
          <w:sz w:val="24"/>
        </w:rPr>
        <w:t>终止后</w:t>
      </w:r>
      <w:r>
        <w:rPr>
          <w:rFonts w:ascii="宋体" w:hAnsi="宋体" w:hint="eastAsia"/>
          <w:bCs/>
          <w:sz w:val="24"/>
        </w:rPr>
        <w:t>10</w:t>
      </w:r>
      <w:r>
        <w:rPr>
          <w:rFonts w:ascii="宋体" w:hAnsi="宋体"/>
          <w:bCs/>
          <w:sz w:val="24"/>
        </w:rPr>
        <w:t>年。</w:t>
      </w:r>
    </w:p>
    <w:p w14:paraId="4F566B6E" w14:textId="77777777" w:rsidR="00566744" w:rsidRDefault="00000000">
      <w:pPr>
        <w:spacing w:line="360" w:lineRule="auto"/>
        <w:ind w:firstLineChars="200" w:firstLine="480"/>
        <w:rPr>
          <w:rFonts w:ascii="宋体" w:hAnsi="宋体" w:hint="eastAsia"/>
          <w:sz w:val="24"/>
        </w:rPr>
      </w:pPr>
      <w:r>
        <w:rPr>
          <w:rFonts w:ascii="宋体" w:hAnsi="宋体" w:hint="eastAsia"/>
          <w:sz w:val="24"/>
        </w:rPr>
        <w:t>（七）信息披露文件的存放与查阅</w:t>
      </w:r>
    </w:p>
    <w:p w14:paraId="41643E64" w14:textId="77777777" w:rsidR="00566744" w:rsidRDefault="00000000">
      <w:pPr>
        <w:spacing w:line="360" w:lineRule="auto"/>
        <w:ind w:firstLineChars="200" w:firstLine="480"/>
        <w:rPr>
          <w:rFonts w:ascii="宋体" w:hAnsi="宋体" w:hint="eastAsia"/>
          <w:sz w:val="24"/>
        </w:rPr>
      </w:pPr>
      <w:r>
        <w:rPr>
          <w:rFonts w:hint="eastAsia"/>
          <w:bCs/>
          <w:sz w:val="24"/>
        </w:rPr>
        <w:t>依法必须披露的信息发布后，基金管理人、基金托管人应当按照相关法律法规规定将信息置备于公司住所、基金上市交易的证券交易所，供社会公众查阅、复制。</w:t>
      </w:r>
    </w:p>
    <w:p w14:paraId="3DBA5D97" w14:textId="77777777" w:rsidR="00566744" w:rsidRDefault="00000000">
      <w:pPr>
        <w:spacing w:line="360" w:lineRule="auto"/>
        <w:ind w:firstLineChars="200" w:firstLine="480"/>
        <w:rPr>
          <w:bCs/>
          <w:sz w:val="24"/>
        </w:rPr>
      </w:pPr>
      <w:r>
        <w:rPr>
          <w:rFonts w:hint="eastAsia"/>
          <w:bCs/>
          <w:sz w:val="24"/>
        </w:rPr>
        <w:t>（八</w:t>
      </w:r>
      <w:r>
        <w:rPr>
          <w:bCs/>
          <w:sz w:val="24"/>
        </w:rPr>
        <w:t>）</w:t>
      </w:r>
      <w:r>
        <w:rPr>
          <w:rFonts w:hint="eastAsia"/>
          <w:bCs/>
          <w:sz w:val="24"/>
        </w:rPr>
        <w:t>暂停或延迟信息披露的情形</w:t>
      </w:r>
    </w:p>
    <w:p w14:paraId="31A54CD6" w14:textId="77777777" w:rsidR="00566744" w:rsidRDefault="00000000">
      <w:pPr>
        <w:spacing w:line="360" w:lineRule="auto"/>
        <w:ind w:firstLineChars="200" w:firstLine="480"/>
        <w:rPr>
          <w:bCs/>
          <w:sz w:val="24"/>
        </w:rPr>
      </w:pPr>
      <w:r>
        <w:rPr>
          <w:rFonts w:hint="eastAsia"/>
          <w:bCs/>
          <w:sz w:val="24"/>
        </w:rPr>
        <w:t>1</w:t>
      </w:r>
      <w:r>
        <w:rPr>
          <w:rFonts w:hint="eastAsia"/>
          <w:bCs/>
          <w:sz w:val="24"/>
        </w:rPr>
        <w:t>、基金投资所涉及的证券交易所遇法定节假日或因其他原因暂停营业时；</w:t>
      </w:r>
    </w:p>
    <w:p w14:paraId="2D81858F" w14:textId="77777777" w:rsidR="00566744" w:rsidRDefault="00000000">
      <w:pPr>
        <w:spacing w:line="360" w:lineRule="auto"/>
        <w:ind w:firstLineChars="200" w:firstLine="480"/>
        <w:rPr>
          <w:bCs/>
          <w:sz w:val="24"/>
        </w:rPr>
      </w:pPr>
      <w:r>
        <w:rPr>
          <w:rFonts w:hint="eastAsia"/>
          <w:bCs/>
          <w:sz w:val="24"/>
        </w:rPr>
        <w:t>2</w:t>
      </w:r>
      <w:r>
        <w:rPr>
          <w:rFonts w:hint="eastAsia"/>
          <w:bCs/>
          <w:sz w:val="24"/>
        </w:rPr>
        <w:t>、发生暂停估值的情形；</w:t>
      </w:r>
    </w:p>
    <w:p w14:paraId="5CED944B" w14:textId="77777777" w:rsidR="00566744" w:rsidRDefault="00000000">
      <w:pPr>
        <w:spacing w:line="360" w:lineRule="auto"/>
        <w:ind w:firstLineChars="200" w:firstLine="480"/>
        <w:rPr>
          <w:bCs/>
          <w:sz w:val="24"/>
        </w:rPr>
      </w:pPr>
      <w:r>
        <w:rPr>
          <w:rFonts w:hint="eastAsia"/>
          <w:bCs/>
          <w:sz w:val="24"/>
        </w:rPr>
        <w:t>3</w:t>
      </w:r>
      <w:r>
        <w:rPr>
          <w:rFonts w:hint="eastAsia"/>
          <w:bCs/>
          <w:sz w:val="24"/>
        </w:rPr>
        <w:t>、法律法规规定、中国证监会或基金合同认定的其他情形。</w:t>
      </w:r>
    </w:p>
    <w:p w14:paraId="215ED6D1" w14:textId="77777777" w:rsidR="00566744" w:rsidRDefault="00566744">
      <w:pPr>
        <w:spacing w:line="360" w:lineRule="auto"/>
        <w:rPr>
          <w:bCs/>
          <w:sz w:val="24"/>
        </w:rPr>
      </w:pPr>
    </w:p>
    <w:p w14:paraId="4E63D409" w14:textId="77777777" w:rsidR="00566744" w:rsidRDefault="00566744">
      <w:pPr>
        <w:pStyle w:val="1"/>
        <w:spacing w:beforeLines="50" w:before="120" w:afterLines="50" w:after="120" w:line="360" w:lineRule="auto"/>
        <w:ind w:firstLine="420"/>
        <w:jc w:val="center"/>
        <w:rPr>
          <w:rFonts w:ascii="宋体" w:hAnsi="宋体" w:hint="eastAsia"/>
          <w:color w:val="000000"/>
          <w:kern w:val="0"/>
          <w:sz w:val="24"/>
          <w:szCs w:val="24"/>
        </w:rPr>
        <w:sectPr w:rsidR="00566744">
          <w:pgSz w:w="12240" w:h="15840"/>
          <w:pgMar w:top="1440" w:right="1800" w:bottom="1440" w:left="1800" w:header="720" w:footer="720" w:gutter="0"/>
          <w:cols w:space="720"/>
          <w:docGrid w:linePitch="286"/>
        </w:sectPr>
      </w:pPr>
    </w:p>
    <w:p w14:paraId="66CA3B61" w14:textId="77777777" w:rsidR="00566744" w:rsidRDefault="00000000">
      <w:pPr>
        <w:pStyle w:val="1"/>
        <w:spacing w:line="360" w:lineRule="auto"/>
        <w:jc w:val="center"/>
        <w:rPr>
          <w:rFonts w:ascii="宋体" w:hAnsi="宋体" w:hint="eastAsia"/>
          <w:color w:val="000000"/>
          <w:kern w:val="0"/>
          <w:sz w:val="24"/>
          <w:szCs w:val="24"/>
        </w:rPr>
      </w:pPr>
      <w:bookmarkStart w:id="117" w:name="_Toc31843"/>
      <w:bookmarkStart w:id="118" w:name="_Toc482624805"/>
      <w:bookmarkStart w:id="119" w:name="_Toc78378597"/>
      <w:r>
        <w:rPr>
          <w:rFonts w:ascii="宋体" w:hAnsi="宋体" w:hint="eastAsia"/>
          <w:color w:val="000000"/>
          <w:kern w:val="0"/>
          <w:sz w:val="24"/>
          <w:szCs w:val="24"/>
        </w:rPr>
        <w:lastRenderedPageBreak/>
        <w:t>第十七部分  基金的风险揭示</w:t>
      </w:r>
      <w:bookmarkEnd w:id="117"/>
      <w:bookmarkEnd w:id="118"/>
      <w:bookmarkEnd w:id="119"/>
    </w:p>
    <w:p w14:paraId="7754D778" w14:textId="77777777" w:rsidR="00566744" w:rsidRDefault="00000000">
      <w:pPr>
        <w:spacing w:line="360" w:lineRule="auto"/>
        <w:ind w:firstLineChars="200" w:firstLine="480"/>
        <w:rPr>
          <w:rFonts w:ascii="宋体" w:hAnsi="宋体" w:hint="eastAsia"/>
          <w:sz w:val="24"/>
        </w:rPr>
      </w:pPr>
      <w:r>
        <w:rPr>
          <w:rFonts w:ascii="宋体" w:hAnsi="宋体" w:hint="eastAsia"/>
          <w:sz w:val="24"/>
        </w:rPr>
        <w:t>本基金的风险主要包括：市场风险、信用风险、管理风险、流动性风险、操作和技术风险、合</w:t>
      </w:r>
      <w:proofErr w:type="gramStart"/>
      <w:r>
        <w:rPr>
          <w:rFonts w:ascii="宋体" w:hAnsi="宋体" w:hint="eastAsia"/>
          <w:sz w:val="24"/>
        </w:rPr>
        <w:t>规</w:t>
      </w:r>
      <w:proofErr w:type="gramEnd"/>
      <w:r>
        <w:rPr>
          <w:rFonts w:ascii="宋体" w:hAnsi="宋体" w:hint="eastAsia"/>
          <w:sz w:val="24"/>
        </w:rPr>
        <w:t>性风险、本基金特有的风险及其他风险。本基金本着科学、严谨的原则，对风险的识别、评估和控制的全过程进行管理。</w:t>
      </w:r>
    </w:p>
    <w:p w14:paraId="0CDB11A1" w14:textId="77777777" w:rsidR="00566744" w:rsidRDefault="00000000">
      <w:pPr>
        <w:numPr>
          <w:ilvl w:val="0"/>
          <w:numId w:val="8"/>
        </w:numPr>
        <w:spacing w:line="360" w:lineRule="auto"/>
        <w:rPr>
          <w:rFonts w:ascii="宋体" w:hAnsi="宋体" w:hint="eastAsia"/>
          <w:sz w:val="24"/>
        </w:rPr>
      </w:pPr>
      <w:r>
        <w:rPr>
          <w:rFonts w:ascii="宋体" w:hAnsi="宋体" w:hint="eastAsia"/>
          <w:sz w:val="24"/>
        </w:rPr>
        <w:t xml:space="preserve">市场风险 </w:t>
      </w:r>
    </w:p>
    <w:p w14:paraId="4B400ADB" w14:textId="77777777" w:rsidR="00566744" w:rsidRDefault="00000000">
      <w:pPr>
        <w:spacing w:line="360" w:lineRule="auto"/>
        <w:ind w:firstLineChars="177" w:firstLine="425"/>
        <w:rPr>
          <w:rFonts w:ascii="宋体" w:hAnsi="宋体" w:hint="eastAsia"/>
          <w:sz w:val="24"/>
        </w:rPr>
      </w:pPr>
      <w:r>
        <w:rPr>
          <w:rFonts w:ascii="宋体" w:hAnsi="宋体" w:hint="eastAsia"/>
          <w:sz w:val="24"/>
        </w:rPr>
        <w:t xml:space="preserve">基金主要投资于证券市场，而证券市场价格因受到经济因素、政治因素、投资心理和交易制度等各种因素的影响而产生波动，从而导致基金收益水平发生变化，产生风险。主要的风险因素包括： </w:t>
      </w:r>
    </w:p>
    <w:p w14:paraId="72ED4454" w14:textId="77777777" w:rsidR="00566744" w:rsidRDefault="00000000">
      <w:pPr>
        <w:spacing w:line="360" w:lineRule="auto"/>
        <w:ind w:firstLineChars="177" w:firstLine="425"/>
        <w:rPr>
          <w:rFonts w:ascii="宋体" w:hAnsi="宋体" w:hint="eastAsia"/>
          <w:sz w:val="24"/>
        </w:rPr>
      </w:pPr>
      <w:r>
        <w:rPr>
          <w:rFonts w:ascii="宋体" w:hAnsi="宋体" w:hint="eastAsia"/>
          <w:sz w:val="24"/>
        </w:rPr>
        <w:t>1、政策风险因财政政策、货币政策、产业政策、地区发展政策等国家宏观政策发生变化，导致市场价格波动，影响基金收益而产生风险。</w:t>
      </w:r>
    </w:p>
    <w:p w14:paraId="13634361" w14:textId="77777777" w:rsidR="00566744" w:rsidRDefault="00000000">
      <w:pPr>
        <w:spacing w:line="360" w:lineRule="auto"/>
        <w:ind w:firstLineChars="177" w:firstLine="425"/>
        <w:rPr>
          <w:rFonts w:ascii="宋体" w:hAnsi="宋体" w:hint="eastAsia"/>
          <w:sz w:val="24"/>
        </w:rPr>
      </w:pPr>
      <w:r>
        <w:rPr>
          <w:rFonts w:ascii="宋体" w:hAnsi="宋体" w:hint="eastAsia"/>
          <w:sz w:val="24"/>
        </w:rPr>
        <w:t>2、经济周期风险随着经济运行的周期性变化，证券市场的收益水平也呈周期性变化，基金投资的收益水平也会随之变化，从而产生风险。</w:t>
      </w:r>
    </w:p>
    <w:p w14:paraId="621C9343" w14:textId="77777777" w:rsidR="00566744" w:rsidRDefault="00000000">
      <w:pPr>
        <w:spacing w:line="360" w:lineRule="auto"/>
        <w:ind w:firstLineChars="177" w:firstLine="425"/>
        <w:rPr>
          <w:rFonts w:ascii="宋体" w:hAnsi="宋体" w:hint="eastAsia"/>
          <w:sz w:val="24"/>
        </w:rPr>
      </w:pPr>
      <w:r>
        <w:rPr>
          <w:rFonts w:ascii="宋体" w:hAnsi="宋体" w:hint="eastAsia"/>
          <w:sz w:val="24"/>
        </w:rPr>
        <w:t>3、利率风险金融市场利率的波动会导致证券市场价格和收益率的变动。利率直接影响着债券的价格和收益率，引起基金收益水平的变化。特别是短期利率变化以及货币市场投资工具市场价格的相关波动，会影响基金组合投资业绩。</w:t>
      </w:r>
    </w:p>
    <w:p w14:paraId="7D4A65ED" w14:textId="77777777" w:rsidR="00566744" w:rsidRDefault="00000000">
      <w:pPr>
        <w:spacing w:line="360" w:lineRule="auto"/>
        <w:ind w:firstLineChars="177" w:firstLine="425"/>
        <w:rPr>
          <w:rFonts w:ascii="宋体" w:hAnsi="宋体" w:hint="eastAsia"/>
          <w:sz w:val="24"/>
        </w:rPr>
      </w:pPr>
      <w:r>
        <w:rPr>
          <w:rFonts w:ascii="宋体" w:hAnsi="宋体" w:hint="eastAsia"/>
          <w:sz w:val="24"/>
        </w:rPr>
        <w:t>4、通货膨胀风险基金投资的目的是基金资产的保值增值，如果发生通货膨胀，基金投资于证券所获得的收益可能会被通货膨胀抵消，从而影响基金资产的保值增值。</w:t>
      </w:r>
    </w:p>
    <w:p w14:paraId="2A352737" w14:textId="77777777" w:rsidR="00566744" w:rsidRDefault="00000000">
      <w:pPr>
        <w:spacing w:line="360" w:lineRule="auto"/>
        <w:ind w:firstLineChars="177" w:firstLine="425"/>
        <w:rPr>
          <w:rFonts w:ascii="宋体" w:hAnsi="宋体" w:hint="eastAsia"/>
          <w:sz w:val="24"/>
        </w:rPr>
      </w:pPr>
      <w:r>
        <w:rPr>
          <w:rFonts w:ascii="宋体" w:hAnsi="宋体" w:hint="eastAsia"/>
          <w:sz w:val="24"/>
        </w:rPr>
        <w:t>5、债券收益率曲线变动的风险债券收益率曲线变动风险是指与收益率曲线非平行移动有关的风险，单一的</w:t>
      </w:r>
      <w:proofErr w:type="gramStart"/>
      <w:r>
        <w:rPr>
          <w:rFonts w:ascii="宋体" w:hAnsi="宋体" w:hint="eastAsia"/>
          <w:sz w:val="24"/>
        </w:rPr>
        <w:t>久期指标</w:t>
      </w:r>
      <w:proofErr w:type="gramEnd"/>
      <w:r>
        <w:rPr>
          <w:rFonts w:ascii="宋体" w:hAnsi="宋体" w:hint="eastAsia"/>
          <w:sz w:val="24"/>
        </w:rPr>
        <w:t>并不能充分反映这一风险的存在。</w:t>
      </w:r>
    </w:p>
    <w:p w14:paraId="542E3508" w14:textId="77777777" w:rsidR="00566744" w:rsidRDefault="00000000">
      <w:pPr>
        <w:spacing w:line="360" w:lineRule="auto"/>
        <w:ind w:firstLineChars="177" w:firstLine="425"/>
        <w:rPr>
          <w:rFonts w:ascii="宋体" w:hAnsi="宋体" w:hint="eastAsia"/>
          <w:sz w:val="24"/>
        </w:rPr>
      </w:pPr>
      <w:r>
        <w:rPr>
          <w:rFonts w:ascii="宋体" w:hAnsi="宋体" w:hint="eastAsia"/>
          <w:sz w:val="24"/>
        </w:rPr>
        <w:t>6、再投资风险市场利率下降将影响固定收益类证券利息收入的再投资收益率，这与利率上升所带来的价格风险互为消长。</w:t>
      </w:r>
    </w:p>
    <w:p w14:paraId="0BB55BC3" w14:textId="77777777" w:rsidR="00566744" w:rsidRDefault="00000000">
      <w:pPr>
        <w:numPr>
          <w:ilvl w:val="0"/>
          <w:numId w:val="8"/>
        </w:numPr>
        <w:spacing w:line="360" w:lineRule="auto"/>
        <w:rPr>
          <w:rFonts w:ascii="宋体" w:hAnsi="宋体" w:hint="eastAsia"/>
          <w:sz w:val="24"/>
        </w:rPr>
      </w:pPr>
      <w:r>
        <w:rPr>
          <w:rFonts w:ascii="宋体" w:hAnsi="宋体" w:hint="eastAsia"/>
          <w:sz w:val="24"/>
        </w:rPr>
        <w:t xml:space="preserve">信用风险 </w:t>
      </w:r>
    </w:p>
    <w:p w14:paraId="478DF1E0" w14:textId="77777777" w:rsidR="00566744" w:rsidRDefault="00000000">
      <w:pPr>
        <w:spacing w:line="360" w:lineRule="auto"/>
        <w:ind w:firstLineChars="177" w:firstLine="425"/>
        <w:rPr>
          <w:rFonts w:ascii="宋体" w:hAnsi="宋体" w:hint="eastAsia"/>
          <w:sz w:val="24"/>
        </w:rPr>
      </w:pPr>
      <w:r>
        <w:rPr>
          <w:rFonts w:ascii="宋体" w:hAnsi="宋体" w:hint="eastAsia"/>
          <w:sz w:val="24"/>
        </w:rPr>
        <w:t>信用风险主要指债券、资产支持证券、短期融资</w:t>
      </w:r>
      <w:proofErr w:type="gramStart"/>
      <w:r>
        <w:rPr>
          <w:rFonts w:ascii="宋体" w:hAnsi="宋体" w:hint="eastAsia"/>
          <w:sz w:val="24"/>
        </w:rPr>
        <w:t>券</w:t>
      </w:r>
      <w:proofErr w:type="gramEnd"/>
      <w:r>
        <w:rPr>
          <w:rFonts w:ascii="宋体" w:hAnsi="宋体" w:hint="eastAsia"/>
          <w:sz w:val="24"/>
        </w:rPr>
        <w:t xml:space="preserve">等信用证券发行主体信用状况恶化， 到期不能履行合约进行兑付的风险，另外，信用风险也包括证券交易对手因违约而产生的证券交割风险。 </w:t>
      </w:r>
    </w:p>
    <w:p w14:paraId="2B84F465" w14:textId="77777777" w:rsidR="00566744" w:rsidRDefault="00000000">
      <w:pPr>
        <w:numPr>
          <w:ilvl w:val="0"/>
          <w:numId w:val="8"/>
        </w:numPr>
        <w:spacing w:line="360" w:lineRule="auto"/>
        <w:rPr>
          <w:rFonts w:ascii="宋体" w:hAnsi="宋体" w:hint="eastAsia"/>
          <w:sz w:val="24"/>
        </w:rPr>
      </w:pPr>
      <w:r>
        <w:rPr>
          <w:rFonts w:ascii="宋体" w:hAnsi="宋体" w:hint="eastAsia"/>
          <w:sz w:val="24"/>
        </w:rPr>
        <w:lastRenderedPageBreak/>
        <w:t xml:space="preserve">流动性风险 </w:t>
      </w:r>
    </w:p>
    <w:p w14:paraId="26A08E40" w14:textId="77777777" w:rsidR="00566744" w:rsidRDefault="00000000">
      <w:pPr>
        <w:spacing w:line="360" w:lineRule="auto"/>
        <w:ind w:firstLineChars="177" w:firstLine="425"/>
        <w:rPr>
          <w:rFonts w:ascii="宋体" w:hAnsi="宋体" w:hint="eastAsia"/>
          <w:sz w:val="24"/>
        </w:rPr>
      </w:pPr>
      <w:r>
        <w:rPr>
          <w:rFonts w:ascii="宋体" w:hAnsi="宋体" w:hint="eastAsia"/>
          <w:sz w:val="24"/>
        </w:rPr>
        <w:t>流动性风险是指因证券市场交易量不足，导致证券不能迅速、低成本地变现的风险。流动性风险还包括基金出现巨额赎回，致使没有足够的现金应付赎回支付所引致的风险。</w:t>
      </w:r>
    </w:p>
    <w:p w14:paraId="787DF2A1" w14:textId="77777777" w:rsidR="00566744" w:rsidRDefault="00000000">
      <w:pPr>
        <w:numPr>
          <w:ilvl w:val="0"/>
          <w:numId w:val="8"/>
        </w:numPr>
        <w:spacing w:line="360" w:lineRule="auto"/>
        <w:rPr>
          <w:rFonts w:ascii="宋体" w:hAnsi="宋体" w:hint="eastAsia"/>
          <w:sz w:val="24"/>
        </w:rPr>
      </w:pPr>
      <w:r>
        <w:rPr>
          <w:rFonts w:ascii="宋体" w:hAnsi="宋体" w:hint="eastAsia"/>
          <w:sz w:val="24"/>
        </w:rPr>
        <w:t xml:space="preserve">操作风险 </w:t>
      </w:r>
    </w:p>
    <w:p w14:paraId="12D21256" w14:textId="77777777" w:rsidR="00566744" w:rsidRDefault="00000000">
      <w:pPr>
        <w:spacing w:line="360" w:lineRule="auto"/>
        <w:ind w:firstLineChars="177" w:firstLine="425"/>
        <w:rPr>
          <w:rFonts w:ascii="宋体" w:hAnsi="宋体" w:hint="eastAsia"/>
          <w:sz w:val="24"/>
        </w:rPr>
      </w:pPr>
      <w:r>
        <w:rPr>
          <w:rFonts w:ascii="宋体" w:hAnsi="宋体" w:hint="eastAsia"/>
          <w:sz w:val="24"/>
        </w:rPr>
        <w:t xml:space="preserve">操作风险是指基金运作过程中，因内部控制存在缺陷或者人为因素造成操作失误或违反操作规程等引致的风险，例如，越权违规交易、会计部门欺诈、交易错误、IT系统故障等风险。 </w:t>
      </w:r>
    </w:p>
    <w:p w14:paraId="20162CDC" w14:textId="77777777" w:rsidR="00566744" w:rsidRDefault="00000000">
      <w:pPr>
        <w:numPr>
          <w:ilvl w:val="0"/>
          <w:numId w:val="8"/>
        </w:numPr>
        <w:spacing w:line="360" w:lineRule="auto"/>
        <w:rPr>
          <w:rFonts w:ascii="宋体" w:hAnsi="宋体" w:hint="eastAsia"/>
          <w:sz w:val="24"/>
        </w:rPr>
      </w:pPr>
      <w:r>
        <w:rPr>
          <w:rFonts w:ascii="宋体" w:hAnsi="宋体" w:hint="eastAsia"/>
          <w:sz w:val="24"/>
        </w:rPr>
        <w:t>管理风险</w:t>
      </w:r>
    </w:p>
    <w:p w14:paraId="0DC3AF91" w14:textId="77777777" w:rsidR="00566744" w:rsidRDefault="00000000">
      <w:pPr>
        <w:spacing w:line="360" w:lineRule="auto"/>
        <w:ind w:firstLineChars="177" w:firstLine="425"/>
        <w:rPr>
          <w:rFonts w:ascii="宋体" w:hAnsi="宋体" w:hint="eastAsia"/>
          <w:sz w:val="24"/>
        </w:rPr>
      </w:pPr>
      <w:r>
        <w:rPr>
          <w:rFonts w:ascii="宋体" w:hAnsi="宋体" w:hint="eastAsia"/>
          <w:sz w:val="24"/>
        </w:rPr>
        <w:t>在基金管理运作过程中，基金管理人的研究水平、投资管理水平直接影响基金收益水平，如果基金管理人对经济形势和证券市场判断不准确、获取的信息不充分、投资操作出现失误等，都会影响基金的收益水平。</w:t>
      </w:r>
    </w:p>
    <w:p w14:paraId="273317A2" w14:textId="77777777" w:rsidR="00566744" w:rsidRDefault="00000000">
      <w:pPr>
        <w:numPr>
          <w:ilvl w:val="0"/>
          <w:numId w:val="8"/>
        </w:numPr>
        <w:spacing w:line="360" w:lineRule="auto"/>
        <w:rPr>
          <w:rFonts w:ascii="宋体" w:hAnsi="宋体" w:hint="eastAsia"/>
          <w:sz w:val="24"/>
        </w:rPr>
      </w:pPr>
      <w:r>
        <w:rPr>
          <w:rFonts w:ascii="宋体" w:hAnsi="宋体" w:hint="eastAsia"/>
          <w:sz w:val="24"/>
        </w:rPr>
        <w:t>合</w:t>
      </w:r>
      <w:proofErr w:type="gramStart"/>
      <w:r>
        <w:rPr>
          <w:rFonts w:ascii="宋体" w:hAnsi="宋体" w:hint="eastAsia"/>
          <w:sz w:val="24"/>
        </w:rPr>
        <w:t>规</w:t>
      </w:r>
      <w:proofErr w:type="gramEnd"/>
      <w:r>
        <w:rPr>
          <w:rFonts w:ascii="宋体" w:hAnsi="宋体" w:hint="eastAsia"/>
          <w:sz w:val="24"/>
        </w:rPr>
        <w:t xml:space="preserve">性风险 </w:t>
      </w:r>
    </w:p>
    <w:p w14:paraId="6E1E600A" w14:textId="77777777" w:rsidR="00566744" w:rsidRDefault="00000000">
      <w:pPr>
        <w:spacing w:line="360" w:lineRule="auto"/>
        <w:ind w:firstLineChars="177" w:firstLine="425"/>
        <w:rPr>
          <w:rFonts w:ascii="宋体" w:hAnsi="宋体" w:hint="eastAsia"/>
          <w:sz w:val="24"/>
        </w:rPr>
      </w:pPr>
      <w:r>
        <w:rPr>
          <w:rFonts w:ascii="宋体" w:hAnsi="宋体" w:hint="eastAsia"/>
          <w:sz w:val="24"/>
        </w:rPr>
        <w:t>合</w:t>
      </w:r>
      <w:proofErr w:type="gramStart"/>
      <w:r>
        <w:rPr>
          <w:rFonts w:ascii="宋体" w:hAnsi="宋体" w:hint="eastAsia"/>
          <w:sz w:val="24"/>
        </w:rPr>
        <w:t>规</w:t>
      </w:r>
      <w:proofErr w:type="gramEnd"/>
      <w:r>
        <w:rPr>
          <w:rFonts w:ascii="宋体" w:hAnsi="宋体" w:hint="eastAsia"/>
          <w:sz w:val="24"/>
        </w:rPr>
        <w:t>风险指基金管理或运作过程中，违反国家法律、法规的规定，或者违反基金合同有关规定的风险。</w:t>
      </w:r>
    </w:p>
    <w:p w14:paraId="1E5756B2" w14:textId="77777777" w:rsidR="00566744" w:rsidRDefault="00000000">
      <w:pPr>
        <w:numPr>
          <w:ilvl w:val="0"/>
          <w:numId w:val="8"/>
        </w:numPr>
        <w:spacing w:line="360" w:lineRule="auto"/>
        <w:rPr>
          <w:rFonts w:ascii="宋体" w:hAnsi="宋体" w:hint="eastAsia"/>
          <w:sz w:val="24"/>
        </w:rPr>
      </w:pPr>
      <w:r>
        <w:rPr>
          <w:rFonts w:ascii="宋体" w:hAnsi="宋体" w:hint="eastAsia"/>
          <w:sz w:val="24"/>
        </w:rPr>
        <w:t>本基金的特有风险</w:t>
      </w:r>
    </w:p>
    <w:p w14:paraId="17A5B645" w14:textId="77777777" w:rsidR="00566744" w:rsidRDefault="00000000">
      <w:pPr>
        <w:spacing w:line="360" w:lineRule="auto"/>
        <w:ind w:firstLineChars="177" w:firstLine="425"/>
        <w:rPr>
          <w:rFonts w:ascii="宋体" w:hAnsi="宋体" w:hint="eastAsia"/>
          <w:sz w:val="24"/>
        </w:rPr>
      </w:pPr>
      <w:r>
        <w:rPr>
          <w:rFonts w:ascii="宋体" w:hAnsi="宋体" w:hint="eastAsia"/>
          <w:sz w:val="24"/>
        </w:rPr>
        <w:t xml:space="preserve">本基金投资于货币市场工具，可能面临较高流动性风险以及货币市场利率波动的系统性风险。货币市场利率的波动会影响基金的再投资收益，并影响到基金资产公允价值的变动。同时为应对赎回进行资产变现时，可能会由于货币市场工具交易量不足而面临流动性风险。 </w:t>
      </w:r>
    </w:p>
    <w:p w14:paraId="4B4E331B" w14:textId="77777777" w:rsidR="00566744" w:rsidRDefault="00000000">
      <w:pPr>
        <w:numPr>
          <w:ilvl w:val="0"/>
          <w:numId w:val="8"/>
        </w:numPr>
        <w:spacing w:line="360" w:lineRule="auto"/>
        <w:rPr>
          <w:rFonts w:ascii="宋体" w:hAnsi="宋体" w:hint="eastAsia"/>
          <w:sz w:val="24"/>
        </w:rPr>
      </w:pPr>
      <w:r>
        <w:rPr>
          <w:rFonts w:ascii="宋体" w:hAnsi="宋体" w:hint="eastAsia"/>
          <w:sz w:val="24"/>
        </w:rPr>
        <w:t xml:space="preserve">其它风险 </w:t>
      </w:r>
    </w:p>
    <w:p w14:paraId="120B7BF0" w14:textId="77777777" w:rsidR="00566744" w:rsidRDefault="00000000">
      <w:pPr>
        <w:spacing w:line="360" w:lineRule="auto"/>
        <w:ind w:firstLineChars="177" w:firstLine="425"/>
        <w:rPr>
          <w:rFonts w:ascii="宋体" w:hAnsi="宋体" w:hint="eastAsia"/>
          <w:sz w:val="24"/>
        </w:rPr>
      </w:pPr>
      <w:r>
        <w:rPr>
          <w:rFonts w:ascii="宋体" w:hAnsi="宋体" w:hint="eastAsia"/>
          <w:sz w:val="24"/>
        </w:rPr>
        <w:t xml:space="preserve">1、在符合本基金投资理念的新型投资工具出现和发展后，如果投资于这些工具，基金可能会面临一些特殊的风险； </w:t>
      </w:r>
    </w:p>
    <w:p w14:paraId="5D9E5398" w14:textId="77777777" w:rsidR="00566744" w:rsidRDefault="00000000">
      <w:pPr>
        <w:spacing w:line="360" w:lineRule="auto"/>
        <w:ind w:firstLineChars="177" w:firstLine="425"/>
        <w:rPr>
          <w:rFonts w:ascii="宋体" w:hAnsi="宋体" w:hint="eastAsia"/>
          <w:sz w:val="24"/>
        </w:rPr>
      </w:pPr>
      <w:r>
        <w:rPr>
          <w:rFonts w:ascii="宋体" w:hAnsi="宋体" w:hint="eastAsia"/>
          <w:sz w:val="24"/>
        </w:rPr>
        <w:t xml:space="preserve">2、因技术因素而产生的风险，如计算机系统不可靠产生的风险； </w:t>
      </w:r>
    </w:p>
    <w:p w14:paraId="1DF9CAE8" w14:textId="77777777" w:rsidR="00566744" w:rsidRDefault="00000000">
      <w:pPr>
        <w:spacing w:line="360" w:lineRule="auto"/>
        <w:ind w:firstLineChars="177" w:firstLine="425"/>
        <w:rPr>
          <w:rFonts w:ascii="宋体" w:hAnsi="宋体" w:hint="eastAsia"/>
          <w:sz w:val="24"/>
        </w:rPr>
      </w:pPr>
      <w:r>
        <w:rPr>
          <w:rFonts w:ascii="宋体" w:hAnsi="宋体" w:hint="eastAsia"/>
          <w:sz w:val="24"/>
        </w:rPr>
        <w:t xml:space="preserve">3、因基金业务快速发展而在制度建设、人员配备、内控制度建立等方面不完善而产生的风险； </w:t>
      </w:r>
    </w:p>
    <w:p w14:paraId="12E9F436" w14:textId="77777777" w:rsidR="00566744" w:rsidRDefault="00000000">
      <w:pPr>
        <w:spacing w:line="360" w:lineRule="auto"/>
        <w:ind w:firstLineChars="177" w:firstLine="425"/>
        <w:rPr>
          <w:rFonts w:ascii="宋体" w:hAnsi="宋体" w:hint="eastAsia"/>
          <w:sz w:val="24"/>
        </w:rPr>
      </w:pPr>
      <w:r>
        <w:rPr>
          <w:rFonts w:ascii="宋体" w:hAnsi="宋体" w:hint="eastAsia"/>
          <w:sz w:val="24"/>
        </w:rPr>
        <w:t>4、因人为因素而产生的风险，如内幕交易、欺诈行为等产生的风险；</w:t>
      </w:r>
    </w:p>
    <w:p w14:paraId="344A6B7F" w14:textId="77777777" w:rsidR="00566744" w:rsidRDefault="00000000">
      <w:pPr>
        <w:spacing w:line="360" w:lineRule="auto"/>
        <w:ind w:firstLineChars="200" w:firstLine="480"/>
        <w:rPr>
          <w:rFonts w:ascii="宋体" w:hAnsi="宋体" w:hint="eastAsia"/>
          <w:sz w:val="24"/>
        </w:rPr>
      </w:pPr>
      <w:r>
        <w:rPr>
          <w:rFonts w:ascii="宋体" w:hAnsi="宋体" w:hint="eastAsia"/>
          <w:sz w:val="24"/>
        </w:rPr>
        <w:t xml:space="preserve">5、对主要业务人员如基金经理的依赖可能产生的风险； </w:t>
      </w:r>
    </w:p>
    <w:p w14:paraId="260AC39A" w14:textId="77777777" w:rsidR="00566744" w:rsidRDefault="00000000">
      <w:pPr>
        <w:spacing w:line="360" w:lineRule="auto"/>
        <w:ind w:firstLineChars="200" w:firstLine="480"/>
        <w:rPr>
          <w:rFonts w:ascii="宋体" w:hAnsi="宋体" w:hint="eastAsia"/>
          <w:sz w:val="24"/>
        </w:rPr>
      </w:pPr>
      <w:r>
        <w:rPr>
          <w:rFonts w:ascii="宋体" w:hAnsi="宋体" w:hint="eastAsia"/>
          <w:sz w:val="24"/>
        </w:rPr>
        <w:lastRenderedPageBreak/>
        <w:t xml:space="preserve">6、战争、自然灾害等不可抗力可能导致基金资产的损失，影响基金收益水平，从而带来风险； </w:t>
      </w:r>
    </w:p>
    <w:p w14:paraId="05FEA3F8" w14:textId="77777777" w:rsidR="00566744" w:rsidRDefault="00000000">
      <w:pPr>
        <w:spacing w:line="360" w:lineRule="auto"/>
        <w:ind w:firstLineChars="200" w:firstLine="480"/>
        <w:rPr>
          <w:rFonts w:ascii="宋体" w:hAnsi="宋体" w:hint="eastAsia"/>
          <w:sz w:val="24"/>
        </w:rPr>
      </w:pPr>
      <w:r>
        <w:rPr>
          <w:rFonts w:ascii="宋体" w:hAnsi="宋体" w:hint="eastAsia"/>
          <w:sz w:val="24"/>
        </w:rPr>
        <w:t>7、其他意外导致的风险。</w:t>
      </w:r>
    </w:p>
    <w:p w14:paraId="14E51D57" w14:textId="77777777" w:rsidR="00566744" w:rsidRDefault="00566744">
      <w:pPr>
        <w:pStyle w:val="1"/>
        <w:spacing w:beforeLines="50" w:before="120" w:afterLines="50" w:after="120" w:line="360" w:lineRule="auto"/>
        <w:ind w:firstLine="420"/>
        <w:jc w:val="center"/>
        <w:rPr>
          <w:rFonts w:ascii="宋体" w:hAnsi="宋体" w:hint="eastAsia"/>
          <w:color w:val="000000"/>
          <w:kern w:val="0"/>
          <w:sz w:val="24"/>
          <w:szCs w:val="24"/>
        </w:rPr>
        <w:sectPr w:rsidR="00566744">
          <w:pgSz w:w="12240" w:h="15840"/>
          <w:pgMar w:top="1440" w:right="1800" w:bottom="1440" w:left="1800" w:header="720" w:footer="720" w:gutter="0"/>
          <w:cols w:space="720"/>
          <w:docGrid w:linePitch="286"/>
        </w:sectPr>
      </w:pPr>
      <w:bookmarkStart w:id="120" w:name="_Toc256666925"/>
      <w:bookmarkStart w:id="121" w:name="_Toc256666805"/>
    </w:p>
    <w:p w14:paraId="34A34795" w14:textId="77777777" w:rsidR="00566744" w:rsidRDefault="00000000">
      <w:pPr>
        <w:pStyle w:val="1"/>
        <w:spacing w:line="360" w:lineRule="auto"/>
        <w:jc w:val="center"/>
        <w:rPr>
          <w:rFonts w:ascii="宋体" w:hAnsi="宋体" w:hint="eastAsia"/>
          <w:color w:val="000000"/>
          <w:kern w:val="0"/>
          <w:sz w:val="24"/>
          <w:szCs w:val="24"/>
        </w:rPr>
      </w:pPr>
      <w:bookmarkStart w:id="122" w:name="_Toc78378598"/>
      <w:bookmarkStart w:id="123" w:name="_Toc482624806"/>
      <w:bookmarkStart w:id="124" w:name="_Toc4507"/>
      <w:r>
        <w:rPr>
          <w:rFonts w:ascii="宋体" w:hAnsi="宋体" w:hint="eastAsia"/>
          <w:color w:val="000000"/>
          <w:kern w:val="0"/>
          <w:sz w:val="24"/>
          <w:szCs w:val="24"/>
        </w:rPr>
        <w:lastRenderedPageBreak/>
        <w:t>第十八部分  基金合同的变更、终止与基金财产的清算</w:t>
      </w:r>
      <w:bookmarkEnd w:id="120"/>
      <w:bookmarkEnd w:id="121"/>
      <w:bookmarkEnd w:id="122"/>
      <w:bookmarkEnd w:id="123"/>
      <w:bookmarkEnd w:id="124"/>
    </w:p>
    <w:p w14:paraId="76FDE2B6" w14:textId="77777777" w:rsidR="00566744" w:rsidRDefault="00000000">
      <w:pPr>
        <w:spacing w:line="360" w:lineRule="auto"/>
        <w:ind w:firstLineChars="200" w:firstLine="480"/>
        <w:rPr>
          <w:rFonts w:ascii="宋体" w:hAnsi="宋体" w:hint="eastAsia"/>
          <w:color w:val="000000"/>
          <w:kern w:val="0"/>
          <w:sz w:val="24"/>
        </w:rPr>
      </w:pPr>
      <w:bookmarkStart w:id="125" w:name="_Toc88969313"/>
      <w:r>
        <w:rPr>
          <w:rFonts w:ascii="宋体" w:hAnsi="宋体" w:hint="eastAsia"/>
          <w:color w:val="000000"/>
          <w:kern w:val="0"/>
          <w:sz w:val="24"/>
        </w:rPr>
        <w:t>（一）《基金合同》的变更</w:t>
      </w:r>
    </w:p>
    <w:p w14:paraId="04EF5A2E"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1、变更基金合同涉及法律法规规定或基金合同约定应经基金份额持有人大会决议通过的事项的，应召</w:t>
      </w:r>
      <w:proofErr w:type="gramStart"/>
      <w:r>
        <w:rPr>
          <w:rFonts w:ascii="宋体" w:hAnsi="宋体" w:hint="eastAsia"/>
          <w:color w:val="000000"/>
          <w:kern w:val="0"/>
          <w:sz w:val="24"/>
        </w:rPr>
        <w:t>开基金</w:t>
      </w:r>
      <w:proofErr w:type="gramEnd"/>
      <w:r>
        <w:rPr>
          <w:rFonts w:ascii="宋体" w:hAnsi="宋体" w:hint="eastAsia"/>
          <w:color w:val="000000"/>
          <w:kern w:val="0"/>
          <w:sz w:val="24"/>
        </w:rPr>
        <w:t>份额持有人大会决议通过。对于可不经基金份额持有人大会决议通过的事项，由基金管理人和基金托管人同意后变更并公告，并报中国证监会备案。</w:t>
      </w:r>
    </w:p>
    <w:p w14:paraId="6D634623" w14:textId="77777777" w:rsidR="00566744" w:rsidRDefault="00000000">
      <w:pPr>
        <w:spacing w:line="360" w:lineRule="auto"/>
        <w:ind w:firstLineChars="200" w:firstLine="480"/>
        <w:rPr>
          <w:rFonts w:ascii="宋体" w:hAnsi="宋体" w:hint="eastAsia"/>
          <w:color w:val="000000"/>
          <w:kern w:val="0"/>
          <w:sz w:val="24"/>
        </w:rPr>
      </w:pPr>
      <w:r>
        <w:rPr>
          <w:bCs/>
          <w:sz w:val="24"/>
        </w:rPr>
        <w:t>2</w:t>
      </w:r>
      <w:r>
        <w:rPr>
          <w:bCs/>
          <w:sz w:val="24"/>
        </w:rPr>
        <w:t>、</w:t>
      </w:r>
      <w:r>
        <w:rPr>
          <w:rFonts w:hint="eastAsia"/>
          <w:bCs/>
          <w:sz w:val="24"/>
        </w:rPr>
        <w:t>关于《基金合同》变更的基金份额持有人大会决议自生效后方可执行，决议生效后依照《信息披露办法》的有关规定在指定媒介公告</w:t>
      </w:r>
      <w:r>
        <w:rPr>
          <w:bCs/>
          <w:sz w:val="24"/>
        </w:rPr>
        <w:t>。</w:t>
      </w:r>
    </w:p>
    <w:p w14:paraId="1486AC19"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（二）基金合同的终止事由</w:t>
      </w:r>
    </w:p>
    <w:p w14:paraId="0D84E678"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有下列情形之一的，《基金合同》应当终止：</w:t>
      </w:r>
    </w:p>
    <w:p w14:paraId="3E8A4397"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1、基金份额持有人大会决定终止的；</w:t>
      </w:r>
    </w:p>
    <w:p w14:paraId="594FC1F5"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2、基金管理人、基金托管人职责终止，在6个月内没有新基金管理人、新基金托管人承接的；</w:t>
      </w:r>
    </w:p>
    <w:p w14:paraId="63D0C67E"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3、《基金合同》约定的其他情形；</w:t>
      </w:r>
    </w:p>
    <w:p w14:paraId="5B5BBE97"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4、相关法律法规和中国证监会规定的其他情况。</w:t>
      </w:r>
    </w:p>
    <w:p w14:paraId="69AB997E"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（三）基金财产的清算</w:t>
      </w:r>
    </w:p>
    <w:p w14:paraId="772C7387"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1、基金财产清算小组：自出现《基金合同》终止事由之日起30个工作日内成立清算小组，基金管理人组织基金财产清算小组并在中国证监会的监督下进行基金清算。</w:t>
      </w:r>
    </w:p>
    <w:p w14:paraId="7F58EC70"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2、基金财产清算小组组成：基金财产清算小组成员由基金管理人、基金托管人、</w:t>
      </w:r>
      <w:r>
        <w:rPr>
          <w:rFonts w:hint="eastAsia"/>
          <w:bCs/>
          <w:sz w:val="24"/>
        </w:rPr>
        <w:t>具有证券、期货相关业务资格的</w:t>
      </w:r>
      <w:r>
        <w:rPr>
          <w:rFonts w:ascii="宋体" w:hAnsi="宋体" w:hint="eastAsia"/>
          <w:color w:val="000000"/>
          <w:kern w:val="0"/>
          <w:sz w:val="24"/>
        </w:rPr>
        <w:t>注册会计师、律师以及中国证监会指定的人员组成。基金财产清算小组可以聘用必要的工作人员。</w:t>
      </w:r>
    </w:p>
    <w:p w14:paraId="11738232"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3、基金财产清算小组职责：基金财产清算小组负责基金财产的保管、清理、估价、变现和分配。基金财产清算小组可以依法进行必要的民事活动。</w:t>
      </w:r>
    </w:p>
    <w:p w14:paraId="1756753C"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4、基金财产清算程序：</w:t>
      </w:r>
    </w:p>
    <w:p w14:paraId="6ADC33B2"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（1）《基金合同》终止情形出现时，由基金财产清算小组统一接管基金；</w:t>
      </w:r>
    </w:p>
    <w:p w14:paraId="1CB816A6"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lastRenderedPageBreak/>
        <w:t>（2）对基金财产和债权债务进行清理和确认；</w:t>
      </w:r>
    </w:p>
    <w:p w14:paraId="5D498FD5"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（3）对基金财产进行估值和变现；</w:t>
      </w:r>
    </w:p>
    <w:p w14:paraId="6A1FBAB0"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（4）制作清算报告；</w:t>
      </w:r>
    </w:p>
    <w:p w14:paraId="5E49E9BF"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（5）聘请</w:t>
      </w:r>
      <w:r>
        <w:rPr>
          <w:rFonts w:hint="eastAsia"/>
          <w:bCs/>
          <w:sz w:val="24"/>
        </w:rPr>
        <w:t>具有证券、期货相关业务资格的</w:t>
      </w:r>
      <w:r>
        <w:rPr>
          <w:rFonts w:ascii="宋体" w:hAnsi="宋体" w:hint="eastAsia"/>
          <w:color w:val="000000"/>
          <w:kern w:val="0"/>
          <w:sz w:val="24"/>
        </w:rPr>
        <w:t>会计师事务所对清算报告进行外部审计，聘请律师事务所对清算报告出具法律意见书；</w:t>
      </w:r>
    </w:p>
    <w:p w14:paraId="54992F3C"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（6）将清算报告报中国证监会备案并公告；</w:t>
      </w:r>
    </w:p>
    <w:p w14:paraId="13B5EB63"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（7）对基金剩余财产进行分配。</w:t>
      </w:r>
    </w:p>
    <w:p w14:paraId="4513FF98"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5、基金财产清算的期限为6个月，但因本基金所持证券的流动性受到限制而不能及时变现的，清算期限相应顺延。</w:t>
      </w:r>
    </w:p>
    <w:p w14:paraId="2B4140C3" w14:textId="77777777" w:rsidR="00566744" w:rsidRDefault="00000000">
      <w:pPr>
        <w:spacing w:line="360" w:lineRule="auto"/>
        <w:ind w:firstLineChars="200" w:firstLine="480"/>
        <w:rPr>
          <w:bCs/>
          <w:sz w:val="24"/>
        </w:rPr>
      </w:pPr>
      <w:r>
        <w:rPr>
          <w:rFonts w:ascii="宋体" w:hAnsi="宋体" w:hint="eastAsia"/>
          <w:color w:val="000000"/>
          <w:kern w:val="0"/>
          <w:sz w:val="24"/>
        </w:rPr>
        <w:t>（</w:t>
      </w:r>
      <w:r>
        <w:rPr>
          <w:rFonts w:ascii="宋体" w:hAnsi="宋体"/>
          <w:color w:val="000000"/>
          <w:kern w:val="0"/>
          <w:sz w:val="24"/>
        </w:rPr>
        <w:t>四）</w:t>
      </w:r>
      <w:r>
        <w:rPr>
          <w:bCs/>
          <w:sz w:val="24"/>
        </w:rPr>
        <w:t>清算费用</w:t>
      </w:r>
    </w:p>
    <w:p w14:paraId="015E4AD1" w14:textId="77777777" w:rsidR="00566744" w:rsidRDefault="00000000">
      <w:pPr>
        <w:spacing w:line="360" w:lineRule="auto"/>
        <w:ind w:firstLineChars="200" w:firstLine="480"/>
        <w:rPr>
          <w:bCs/>
          <w:sz w:val="24"/>
        </w:rPr>
      </w:pPr>
      <w:r>
        <w:rPr>
          <w:bCs/>
          <w:sz w:val="24"/>
        </w:rPr>
        <w:t>清算费用是指基金财产清算小组在进行基金清算过程中发生的所有合理费用，清算费用由基金财产清算小组优先从基金</w:t>
      </w:r>
      <w:r>
        <w:rPr>
          <w:rFonts w:hint="eastAsia"/>
          <w:bCs/>
          <w:sz w:val="24"/>
        </w:rPr>
        <w:t>剩余</w:t>
      </w:r>
      <w:r>
        <w:rPr>
          <w:bCs/>
          <w:sz w:val="24"/>
        </w:rPr>
        <w:t>财产中支付。</w:t>
      </w:r>
    </w:p>
    <w:p w14:paraId="1968DC77" w14:textId="77777777" w:rsidR="00566744" w:rsidRDefault="00000000">
      <w:pPr>
        <w:spacing w:line="360" w:lineRule="auto"/>
        <w:ind w:firstLineChars="200" w:firstLine="480"/>
        <w:rPr>
          <w:bCs/>
          <w:sz w:val="24"/>
        </w:rPr>
      </w:pPr>
      <w:r>
        <w:rPr>
          <w:rFonts w:hint="eastAsia"/>
          <w:bCs/>
          <w:sz w:val="24"/>
        </w:rPr>
        <w:t>（五</w:t>
      </w:r>
      <w:r>
        <w:rPr>
          <w:bCs/>
          <w:sz w:val="24"/>
        </w:rPr>
        <w:t>）基金财产清算剩余资产的分配</w:t>
      </w:r>
    </w:p>
    <w:p w14:paraId="66DE7EF8" w14:textId="77777777" w:rsidR="00566744" w:rsidRDefault="00000000">
      <w:pPr>
        <w:spacing w:line="360" w:lineRule="auto"/>
        <w:ind w:firstLineChars="200" w:firstLine="480"/>
        <w:rPr>
          <w:bCs/>
          <w:sz w:val="24"/>
        </w:rPr>
      </w:pPr>
      <w:r>
        <w:rPr>
          <w:bCs/>
          <w:sz w:val="24"/>
        </w:rPr>
        <w:t>依据基金财产清算的分配方案，将基金财产清算后的全部剩余资产扣除基金财产清算费用、交纳所欠税款并清偿基金债务后，按基金份额持有人持有的基金份额比例进行分配。</w:t>
      </w:r>
    </w:p>
    <w:p w14:paraId="00B9EF37" w14:textId="77777777" w:rsidR="00566744" w:rsidRDefault="00000000">
      <w:pPr>
        <w:spacing w:line="360" w:lineRule="auto"/>
        <w:ind w:firstLineChars="200" w:firstLine="480"/>
        <w:rPr>
          <w:bCs/>
          <w:sz w:val="24"/>
        </w:rPr>
      </w:pPr>
      <w:r>
        <w:rPr>
          <w:rFonts w:hint="eastAsia"/>
          <w:bCs/>
          <w:sz w:val="24"/>
        </w:rPr>
        <w:t>（</w:t>
      </w:r>
      <w:r>
        <w:rPr>
          <w:bCs/>
          <w:sz w:val="24"/>
        </w:rPr>
        <w:t>六）基金财产清算的公告</w:t>
      </w:r>
    </w:p>
    <w:p w14:paraId="781AB731" w14:textId="77777777" w:rsidR="00566744" w:rsidRDefault="00000000">
      <w:pPr>
        <w:spacing w:line="360" w:lineRule="auto"/>
        <w:ind w:firstLineChars="200" w:firstLine="480"/>
        <w:rPr>
          <w:bCs/>
          <w:sz w:val="24"/>
        </w:rPr>
      </w:pPr>
      <w:r>
        <w:rPr>
          <w:bCs/>
          <w:sz w:val="24"/>
        </w:rPr>
        <w:t>清算过程中的有关重大事项须及时公告；基金财产清算报告经</w:t>
      </w:r>
      <w:r>
        <w:rPr>
          <w:rFonts w:hint="eastAsia"/>
          <w:bCs/>
          <w:sz w:val="24"/>
        </w:rPr>
        <w:t>具有证券、期货相关业务资格的</w:t>
      </w:r>
      <w:r>
        <w:rPr>
          <w:bCs/>
          <w:sz w:val="24"/>
        </w:rPr>
        <w:t>会计师事务所审计并由律师事务所出具法律意见书后报中国证监会备案并公告。基金财产清算公告于基金财产清算报告报中国证监会备案后</w:t>
      </w:r>
      <w:r>
        <w:rPr>
          <w:bCs/>
          <w:sz w:val="24"/>
        </w:rPr>
        <w:t>5</w:t>
      </w:r>
      <w:r>
        <w:rPr>
          <w:bCs/>
          <w:sz w:val="24"/>
        </w:rPr>
        <w:t>个工作日内由基金财产清算小组进行公告。</w:t>
      </w:r>
    </w:p>
    <w:p w14:paraId="33F2C512" w14:textId="77777777" w:rsidR="00566744" w:rsidRDefault="00000000">
      <w:pPr>
        <w:spacing w:line="360" w:lineRule="auto"/>
        <w:ind w:firstLineChars="200" w:firstLine="480"/>
        <w:rPr>
          <w:bCs/>
          <w:sz w:val="24"/>
        </w:rPr>
      </w:pPr>
      <w:r>
        <w:rPr>
          <w:rFonts w:hint="eastAsia"/>
          <w:bCs/>
          <w:sz w:val="24"/>
        </w:rPr>
        <w:t>（</w:t>
      </w:r>
      <w:r>
        <w:rPr>
          <w:bCs/>
          <w:sz w:val="24"/>
        </w:rPr>
        <w:t>七）基金财产清算账册及文件的保存</w:t>
      </w:r>
    </w:p>
    <w:p w14:paraId="037F02B5" w14:textId="77777777" w:rsidR="00566744" w:rsidRDefault="00000000">
      <w:pPr>
        <w:spacing w:line="360" w:lineRule="auto"/>
        <w:ind w:firstLineChars="200" w:firstLine="480"/>
        <w:rPr>
          <w:rFonts w:ascii="宋体" w:hAnsi="宋体" w:hint="eastAsia"/>
          <w:color w:val="000000"/>
          <w:kern w:val="0"/>
          <w:sz w:val="24"/>
        </w:rPr>
      </w:pPr>
      <w:r>
        <w:rPr>
          <w:bCs/>
          <w:sz w:val="24"/>
        </w:rPr>
        <w:t>基金财产清算账册及有关文件由基金托管人保存</w:t>
      </w:r>
      <w:r>
        <w:rPr>
          <w:bCs/>
          <w:sz w:val="24"/>
        </w:rPr>
        <w:t>15</w:t>
      </w:r>
      <w:r>
        <w:rPr>
          <w:bCs/>
          <w:sz w:val="24"/>
        </w:rPr>
        <w:t>年以上。</w:t>
      </w:r>
    </w:p>
    <w:p w14:paraId="3A9791F3" w14:textId="77777777" w:rsidR="00566744" w:rsidRDefault="00566744">
      <w:pPr>
        <w:spacing w:line="360" w:lineRule="auto"/>
        <w:ind w:firstLineChars="200" w:firstLine="480"/>
        <w:rPr>
          <w:rFonts w:ascii="宋体" w:hAnsi="宋体" w:hint="eastAsia"/>
          <w:color w:val="000000"/>
          <w:kern w:val="0"/>
          <w:sz w:val="24"/>
        </w:rPr>
      </w:pPr>
    </w:p>
    <w:p w14:paraId="63C6F9F5" w14:textId="77777777" w:rsidR="00566744" w:rsidRDefault="00566744">
      <w:pPr>
        <w:spacing w:line="360" w:lineRule="auto"/>
        <w:ind w:firstLineChars="200" w:firstLine="480"/>
        <w:rPr>
          <w:rFonts w:ascii="宋体" w:hAnsi="宋体" w:hint="eastAsia"/>
          <w:color w:val="000000"/>
          <w:kern w:val="0"/>
          <w:sz w:val="24"/>
        </w:rPr>
      </w:pPr>
    </w:p>
    <w:p w14:paraId="63700E4F" w14:textId="77777777" w:rsidR="00566744" w:rsidRDefault="00566744">
      <w:pPr>
        <w:spacing w:line="360" w:lineRule="auto"/>
        <w:ind w:firstLineChars="200" w:firstLine="480"/>
        <w:rPr>
          <w:rFonts w:ascii="宋体" w:hAnsi="宋体" w:hint="eastAsia"/>
          <w:color w:val="000000"/>
          <w:kern w:val="0"/>
          <w:sz w:val="24"/>
        </w:rPr>
      </w:pPr>
    </w:p>
    <w:p w14:paraId="5CE1D286" w14:textId="77777777" w:rsidR="00566744" w:rsidRDefault="00566744">
      <w:pPr>
        <w:spacing w:line="360" w:lineRule="auto"/>
        <w:ind w:firstLineChars="200" w:firstLine="480"/>
        <w:rPr>
          <w:rFonts w:ascii="宋体" w:hAnsi="宋体" w:hint="eastAsia"/>
          <w:color w:val="000000"/>
          <w:kern w:val="0"/>
          <w:sz w:val="24"/>
        </w:rPr>
      </w:pPr>
    </w:p>
    <w:p w14:paraId="5E56591C" w14:textId="77777777" w:rsidR="00566744" w:rsidRDefault="00566744">
      <w:pPr>
        <w:spacing w:line="360" w:lineRule="auto"/>
        <w:ind w:firstLineChars="200" w:firstLine="480"/>
        <w:rPr>
          <w:rFonts w:ascii="宋体" w:hAnsi="宋体" w:hint="eastAsia"/>
          <w:color w:val="000000"/>
          <w:kern w:val="0"/>
          <w:sz w:val="24"/>
        </w:rPr>
      </w:pPr>
    </w:p>
    <w:p w14:paraId="31A57FBC" w14:textId="77777777" w:rsidR="00566744" w:rsidRDefault="00000000">
      <w:pPr>
        <w:pStyle w:val="1"/>
        <w:spacing w:line="360" w:lineRule="auto"/>
        <w:jc w:val="center"/>
        <w:rPr>
          <w:rFonts w:ascii="宋体" w:hAnsi="宋体" w:hint="eastAsia"/>
          <w:color w:val="000000"/>
          <w:kern w:val="0"/>
          <w:sz w:val="24"/>
          <w:szCs w:val="24"/>
        </w:rPr>
      </w:pPr>
      <w:bookmarkStart w:id="126" w:name="_Toc256666806"/>
      <w:bookmarkStart w:id="127" w:name="_Toc78378599"/>
      <w:bookmarkStart w:id="128" w:name="_Toc256666926"/>
      <w:bookmarkStart w:id="129" w:name="_Toc27351"/>
      <w:bookmarkStart w:id="130" w:name="_Toc482624807"/>
      <w:bookmarkEnd w:id="125"/>
      <w:r>
        <w:rPr>
          <w:rFonts w:ascii="宋体" w:hAnsi="宋体" w:hint="eastAsia"/>
          <w:color w:val="000000"/>
          <w:kern w:val="0"/>
          <w:sz w:val="24"/>
          <w:szCs w:val="24"/>
        </w:rPr>
        <w:lastRenderedPageBreak/>
        <w:t>第十九部分  基金合同的内容摘要</w:t>
      </w:r>
      <w:bookmarkEnd w:id="126"/>
      <w:bookmarkEnd w:id="127"/>
      <w:bookmarkEnd w:id="128"/>
      <w:bookmarkEnd w:id="129"/>
      <w:bookmarkEnd w:id="130"/>
    </w:p>
    <w:p w14:paraId="35220CBD" w14:textId="77777777" w:rsidR="00566744" w:rsidRDefault="00000000">
      <w:pPr>
        <w:spacing w:line="360" w:lineRule="auto"/>
        <w:ind w:firstLineChars="200" w:firstLine="480"/>
        <w:rPr>
          <w:rFonts w:ascii="宋体" w:hAnsi="宋体" w:hint="eastAsia"/>
          <w:bCs/>
          <w:sz w:val="24"/>
        </w:rPr>
      </w:pPr>
      <w:r>
        <w:rPr>
          <w:rFonts w:ascii="宋体" w:hAnsi="宋体" w:hint="eastAsia"/>
          <w:bCs/>
          <w:sz w:val="24"/>
        </w:rPr>
        <w:t>（一</w:t>
      </w:r>
      <w:r>
        <w:rPr>
          <w:rFonts w:ascii="宋体" w:hAnsi="宋体"/>
          <w:bCs/>
          <w:sz w:val="24"/>
        </w:rPr>
        <w:t>）</w:t>
      </w:r>
      <w:r>
        <w:rPr>
          <w:rFonts w:ascii="宋体" w:hAnsi="宋体" w:hint="eastAsia"/>
          <w:bCs/>
          <w:sz w:val="24"/>
        </w:rPr>
        <w:t>基金份额持有人、基金管理人和基金托管人的权利、义务</w:t>
      </w:r>
    </w:p>
    <w:p w14:paraId="764F8666" w14:textId="77777777" w:rsidR="00566744" w:rsidRDefault="00000000">
      <w:pPr>
        <w:spacing w:line="360" w:lineRule="auto"/>
        <w:ind w:firstLineChars="200" w:firstLine="480"/>
        <w:rPr>
          <w:bCs/>
          <w:sz w:val="24"/>
        </w:rPr>
      </w:pPr>
      <w:r>
        <w:rPr>
          <w:rFonts w:hint="eastAsia"/>
          <w:bCs/>
          <w:sz w:val="24"/>
        </w:rPr>
        <w:t>一</w:t>
      </w:r>
      <w:r>
        <w:rPr>
          <w:bCs/>
          <w:sz w:val="24"/>
        </w:rPr>
        <w:t>、</w:t>
      </w:r>
      <w:r>
        <w:rPr>
          <w:bCs/>
          <w:sz w:val="24"/>
        </w:rPr>
        <w:tab/>
      </w:r>
      <w:r>
        <w:rPr>
          <w:bCs/>
          <w:sz w:val="24"/>
        </w:rPr>
        <w:t>基金管理人的权利与义务</w:t>
      </w:r>
    </w:p>
    <w:p w14:paraId="63E3EBCB" w14:textId="77777777" w:rsidR="00566744" w:rsidRDefault="00000000">
      <w:pPr>
        <w:spacing w:line="360" w:lineRule="auto"/>
        <w:ind w:firstLineChars="200" w:firstLine="480"/>
        <w:rPr>
          <w:bCs/>
          <w:sz w:val="24"/>
        </w:rPr>
      </w:pPr>
      <w:r>
        <w:rPr>
          <w:bCs/>
          <w:sz w:val="24"/>
        </w:rPr>
        <w:t>1</w:t>
      </w:r>
      <w:r>
        <w:rPr>
          <w:bCs/>
          <w:sz w:val="24"/>
        </w:rPr>
        <w:t>、根据《基金法》、《运作办法》及其他有关规定，基金管理人的权利包括但不限于：</w:t>
      </w:r>
    </w:p>
    <w:p w14:paraId="39D9A496" w14:textId="77777777" w:rsidR="00566744" w:rsidRDefault="00000000">
      <w:pPr>
        <w:spacing w:line="360" w:lineRule="auto"/>
        <w:ind w:firstLineChars="200" w:firstLine="480"/>
        <w:rPr>
          <w:bCs/>
          <w:sz w:val="24"/>
        </w:rPr>
      </w:pPr>
      <w:r>
        <w:rPr>
          <w:bCs/>
          <w:sz w:val="24"/>
        </w:rPr>
        <w:t>（</w:t>
      </w:r>
      <w:r>
        <w:rPr>
          <w:bCs/>
          <w:sz w:val="24"/>
        </w:rPr>
        <w:t>1</w:t>
      </w:r>
      <w:r>
        <w:rPr>
          <w:bCs/>
          <w:sz w:val="24"/>
        </w:rPr>
        <w:t>）依法募集基金；</w:t>
      </w:r>
    </w:p>
    <w:p w14:paraId="6D8BE029" w14:textId="77777777" w:rsidR="00566744" w:rsidRDefault="00000000">
      <w:pPr>
        <w:spacing w:line="360" w:lineRule="auto"/>
        <w:ind w:firstLineChars="200" w:firstLine="480"/>
        <w:rPr>
          <w:bCs/>
          <w:sz w:val="24"/>
        </w:rPr>
      </w:pPr>
      <w:r>
        <w:rPr>
          <w:bCs/>
          <w:sz w:val="24"/>
        </w:rPr>
        <w:t>（</w:t>
      </w:r>
      <w:r>
        <w:rPr>
          <w:bCs/>
          <w:sz w:val="24"/>
        </w:rPr>
        <w:t>2</w:t>
      </w:r>
      <w:r>
        <w:rPr>
          <w:bCs/>
          <w:sz w:val="24"/>
        </w:rPr>
        <w:t>）自《基金合同》生效之日起，根据法律法规和《基金合同》独立运用并管理基金财产；</w:t>
      </w:r>
    </w:p>
    <w:p w14:paraId="2A2384A6" w14:textId="77777777" w:rsidR="00566744" w:rsidRDefault="00000000">
      <w:pPr>
        <w:spacing w:line="360" w:lineRule="auto"/>
        <w:ind w:firstLineChars="200" w:firstLine="480"/>
        <w:rPr>
          <w:bCs/>
          <w:sz w:val="24"/>
        </w:rPr>
      </w:pPr>
      <w:r>
        <w:rPr>
          <w:bCs/>
          <w:sz w:val="24"/>
        </w:rPr>
        <w:t>（</w:t>
      </w:r>
      <w:r>
        <w:rPr>
          <w:bCs/>
          <w:sz w:val="24"/>
        </w:rPr>
        <w:t>3</w:t>
      </w:r>
      <w:r>
        <w:rPr>
          <w:bCs/>
          <w:sz w:val="24"/>
        </w:rPr>
        <w:t>）依照《基金合同》收取基金管理费以及法律法规规定或中国证监会批准的其他费用；</w:t>
      </w:r>
    </w:p>
    <w:p w14:paraId="2FA4A29B" w14:textId="77777777" w:rsidR="00566744" w:rsidRDefault="00000000">
      <w:pPr>
        <w:spacing w:line="360" w:lineRule="auto"/>
        <w:ind w:firstLineChars="200" w:firstLine="480"/>
        <w:rPr>
          <w:bCs/>
          <w:sz w:val="24"/>
        </w:rPr>
      </w:pPr>
      <w:r>
        <w:rPr>
          <w:bCs/>
          <w:sz w:val="24"/>
        </w:rPr>
        <w:t>（</w:t>
      </w:r>
      <w:r>
        <w:rPr>
          <w:bCs/>
          <w:sz w:val="24"/>
        </w:rPr>
        <w:t>4</w:t>
      </w:r>
      <w:r>
        <w:rPr>
          <w:bCs/>
          <w:sz w:val="24"/>
        </w:rPr>
        <w:t>）销售基金份额；</w:t>
      </w:r>
    </w:p>
    <w:p w14:paraId="59FEE707" w14:textId="77777777" w:rsidR="00566744" w:rsidRDefault="00000000">
      <w:pPr>
        <w:spacing w:line="360" w:lineRule="auto"/>
        <w:ind w:firstLineChars="200" w:firstLine="480"/>
        <w:rPr>
          <w:bCs/>
          <w:sz w:val="24"/>
        </w:rPr>
      </w:pPr>
      <w:r>
        <w:rPr>
          <w:bCs/>
          <w:sz w:val="24"/>
        </w:rPr>
        <w:t>（</w:t>
      </w:r>
      <w:r>
        <w:rPr>
          <w:bCs/>
          <w:sz w:val="24"/>
        </w:rPr>
        <w:t>5</w:t>
      </w:r>
      <w:r>
        <w:rPr>
          <w:bCs/>
          <w:sz w:val="24"/>
        </w:rPr>
        <w:t>）召集基金份额持有人大会；</w:t>
      </w:r>
    </w:p>
    <w:p w14:paraId="22F1E5C4" w14:textId="77777777" w:rsidR="00566744" w:rsidRDefault="00000000">
      <w:pPr>
        <w:spacing w:line="360" w:lineRule="auto"/>
        <w:ind w:firstLineChars="200" w:firstLine="480"/>
        <w:rPr>
          <w:bCs/>
          <w:sz w:val="24"/>
        </w:rPr>
      </w:pPr>
      <w:r>
        <w:rPr>
          <w:bCs/>
          <w:sz w:val="24"/>
        </w:rPr>
        <w:t>（</w:t>
      </w:r>
      <w:r>
        <w:rPr>
          <w:bCs/>
          <w:sz w:val="24"/>
        </w:rPr>
        <w:t>6</w:t>
      </w:r>
      <w:r>
        <w:rPr>
          <w:bCs/>
          <w:sz w:val="24"/>
        </w:rPr>
        <w:t>）依据《基金合同》及有关法律规定监督基金托管人，如认为基金托管人违反了《基金合同》及国家有关法律规定，应呈报中国证监会和其他监管部门，并采取必要措施保护基金投资者的利益；</w:t>
      </w:r>
    </w:p>
    <w:p w14:paraId="35084B19" w14:textId="77777777" w:rsidR="00566744" w:rsidRDefault="00000000">
      <w:pPr>
        <w:spacing w:line="360" w:lineRule="auto"/>
        <w:ind w:firstLineChars="200" w:firstLine="480"/>
        <w:rPr>
          <w:bCs/>
          <w:sz w:val="24"/>
        </w:rPr>
      </w:pPr>
      <w:r>
        <w:rPr>
          <w:bCs/>
          <w:sz w:val="24"/>
        </w:rPr>
        <w:t>（</w:t>
      </w:r>
      <w:r>
        <w:rPr>
          <w:bCs/>
          <w:sz w:val="24"/>
        </w:rPr>
        <w:t>7</w:t>
      </w:r>
      <w:r>
        <w:rPr>
          <w:bCs/>
          <w:sz w:val="24"/>
        </w:rPr>
        <w:t>）在基金托管人更换时，提名新的基金托管人；</w:t>
      </w:r>
    </w:p>
    <w:p w14:paraId="1A35CF15" w14:textId="77777777" w:rsidR="00566744" w:rsidRDefault="00000000">
      <w:pPr>
        <w:spacing w:line="360" w:lineRule="auto"/>
        <w:ind w:firstLineChars="200" w:firstLine="480"/>
        <w:rPr>
          <w:bCs/>
          <w:sz w:val="24"/>
        </w:rPr>
      </w:pPr>
      <w:r>
        <w:rPr>
          <w:bCs/>
          <w:sz w:val="24"/>
        </w:rPr>
        <w:t>（</w:t>
      </w:r>
      <w:r>
        <w:rPr>
          <w:bCs/>
          <w:sz w:val="24"/>
        </w:rPr>
        <w:t>8</w:t>
      </w:r>
      <w:r>
        <w:rPr>
          <w:bCs/>
          <w:sz w:val="24"/>
        </w:rPr>
        <w:t>）选择、更换基金销售机构，对基金销售机构的相关行为进行监督和处理；</w:t>
      </w:r>
    </w:p>
    <w:p w14:paraId="1D5619AB" w14:textId="77777777" w:rsidR="00566744" w:rsidRDefault="00000000">
      <w:pPr>
        <w:spacing w:line="360" w:lineRule="auto"/>
        <w:ind w:firstLineChars="200" w:firstLine="480"/>
        <w:rPr>
          <w:bCs/>
          <w:sz w:val="24"/>
        </w:rPr>
      </w:pPr>
      <w:r>
        <w:rPr>
          <w:bCs/>
          <w:sz w:val="24"/>
        </w:rPr>
        <w:t>（</w:t>
      </w:r>
      <w:r>
        <w:rPr>
          <w:bCs/>
          <w:sz w:val="24"/>
        </w:rPr>
        <w:t>9</w:t>
      </w:r>
      <w:r>
        <w:rPr>
          <w:bCs/>
          <w:sz w:val="24"/>
        </w:rPr>
        <w:t>）担任或委托其他符合条件的机构担任基金登记机构办理基金登记业务并获得《基金合同》规定的费用；</w:t>
      </w:r>
    </w:p>
    <w:p w14:paraId="0B238213" w14:textId="77777777" w:rsidR="00566744" w:rsidRDefault="00000000">
      <w:pPr>
        <w:spacing w:line="360" w:lineRule="auto"/>
        <w:ind w:firstLineChars="200" w:firstLine="480"/>
        <w:rPr>
          <w:bCs/>
          <w:sz w:val="24"/>
        </w:rPr>
      </w:pPr>
      <w:r>
        <w:rPr>
          <w:bCs/>
          <w:sz w:val="24"/>
        </w:rPr>
        <w:t>（</w:t>
      </w:r>
      <w:r>
        <w:rPr>
          <w:bCs/>
          <w:sz w:val="24"/>
        </w:rPr>
        <w:t>10</w:t>
      </w:r>
      <w:r>
        <w:rPr>
          <w:bCs/>
          <w:sz w:val="24"/>
        </w:rPr>
        <w:t>）依据《基金合同》及有关法律规定决定基金收益的分配方案；</w:t>
      </w:r>
      <w:r>
        <w:rPr>
          <w:bCs/>
          <w:sz w:val="24"/>
        </w:rPr>
        <w:tab/>
      </w:r>
    </w:p>
    <w:p w14:paraId="6C41DB48" w14:textId="77777777" w:rsidR="00566744" w:rsidRDefault="00000000">
      <w:pPr>
        <w:spacing w:line="360" w:lineRule="auto"/>
        <w:ind w:firstLineChars="200" w:firstLine="480"/>
        <w:rPr>
          <w:bCs/>
          <w:sz w:val="24"/>
        </w:rPr>
      </w:pPr>
      <w:r>
        <w:rPr>
          <w:bCs/>
          <w:sz w:val="24"/>
        </w:rPr>
        <w:t>（</w:t>
      </w:r>
      <w:r>
        <w:rPr>
          <w:bCs/>
          <w:sz w:val="24"/>
        </w:rPr>
        <w:t>11</w:t>
      </w:r>
      <w:r>
        <w:rPr>
          <w:bCs/>
          <w:sz w:val="24"/>
        </w:rPr>
        <w:t>）在《基金合同》约定的范围内，拒绝或暂停受理申购与赎回申请；</w:t>
      </w:r>
    </w:p>
    <w:p w14:paraId="358644D4" w14:textId="77777777" w:rsidR="00566744" w:rsidRDefault="00000000">
      <w:pPr>
        <w:spacing w:line="360" w:lineRule="auto"/>
        <w:ind w:firstLineChars="200" w:firstLine="480"/>
        <w:rPr>
          <w:bCs/>
          <w:sz w:val="24"/>
        </w:rPr>
      </w:pPr>
      <w:r>
        <w:rPr>
          <w:bCs/>
          <w:sz w:val="24"/>
        </w:rPr>
        <w:t>（</w:t>
      </w:r>
      <w:r>
        <w:rPr>
          <w:bCs/>
          <w:sz w:val="24"/>
        </w:rPr>
        <w:t>12</w:t>
      </w:r>
      <w:r>
        <w:rPr>
          <w:bCs/>
          <w:sz w:val="24"/>
        </w:rPr>
        <w:t>）依照法律法规为基金的利益行使因基金财产投资于证券所产生的权利；</w:t>
      </w:r>
    </w:p>
    <w:p w14:paraId="7B0B539A" w14:textId="77777777" w:rsidR="00566744" w:rsidRDefault="00000000">
      <w:pPr>
        <w:spacing w:line="360" w:lineRule="auto"/>
        <w:ind w:firstLineChars="200" w:firstLine="480"/>
        <w:rPr>
          <w:bCs/>
          <w:sz w:val="24"/>
        </w:rPr>
      </w:pPr>
      <w:r>
        <w:rPr>
          <w:bCs/>
          <w:sz w:val="24"/>
        </w:rPr>
        <w:t>（</w:t>
      </w:r>
      <w:r>
        <w:rPr>
          <w:bCs/>
          <w:sz w:val="24"/>
        </w:rPr>
        <w:t>13</w:t>
      </w:r>
      <w:r>
        <w:rPr>
          <w:bCs/>
          <w:sz w:val="24"/>
        </w:rPr>
        <w:t>）在法律法规允许的前提下，为基金的利益依法为基金进行融资；</w:t>
      </w:r>
    </w:p>
    <w:p w14:paraId="7C932BEF" w14:textId="77777777" w:rsidR="00566744" w:rsidRDefault="00000000">
      <w:pPr>
        <w:spacing w:line="360" w:lineRule="auto"/>
        <w:ind w:firstLineChars="200" w:firstLine="480"/>
        <w:rPr>
          <w:bCs/>
          <w:sz w:val="24"/>
        </w:rPr>
      </w:pPr>
      <w:r>
        <w:rPr>
          <w:bCs/>
          <w:sz w:val="24"/>
        </w:rPr>
        <w:t>（</w:t>
      </w:r>
      <w:r>
        <w:rPr>
          <w:bCs/>
          <w:sz w:val="24"/>
        </w:rPr>
        <w:t>14</w:t>
      </w:r>
      <w:r>
        <w:rPr>
          <w:bCs/>
          <w:sz w:val="24"/>
        </w:rPr>
        <w:t>）以基金管理人的名义，代表基金份额持有人的利益行使诉讼权利或者实施其他法律行为；</w:t>
      </w:r>
      <w:r>
        <w:rPr>
          <w:bCs/>
          <w:sz w:val="24"/>
        </w:rPr>
        <w:tab/>
      </w:r>
    </w:p>
    <w:p w14:paraId="35096CBB" w14:textId="77777777" w:rsidR="00566744" w:rsidRDefault="00000000">
      <w:pPr>
        <w:spacing w:line="360" w:lineRule="auto"/>
        <w:ind w:firstLineChars="200" w:firstLine="480"/>
        <w:rPr>
          <w:bCs/>
          <w:sz w:val="24"/>
        </w:rPr>
      </w:pPr>
      <w:r>
        <w:rPr>
          <w:bCs/>
          <w:sz w:val="24"/>
        </w:rPr>
        <w:t>（</w:t>
      </w:r>
      <w:r>
        <w:rPr>
          <w:bCs/>
          <w:sz w:val="24"/>
        </w:rPr>
        <w:t>15</w:t>
      </w:r>
      <w:r>
        <w:rPr>
          <w:bCs/>
          <w:sz w:val="24"/>
        </w:rPr>
        <w:t>）选择、更换律师事务所、会计师事务所、证券经纪商或其他为基金提供服务的外部机构；</w:t>
      </w:r>
      <w:r>
        <w:rPr>
          <w:bCs/>
          <w:sz w:val="24"/>
        </w:rPr>
        <w:tab/>
      </w:r>
    </w:p>
    <w:p w14:paraId="459D13FB" w14:textId="77777777" w:rsidR="00566744" w:rsidRDefault="00000000">
      <w:pPr>
        <w:spacing w:line="360" w:lineRule="auto"/>
        <w:ind w:firstLineChars="200" w:firstLine="480"/>
        <w:rPr>
          <w:bCs/>
          <w:sz w:val="24"/>
        </w:rPr>
      </w:pPr>
      <w:r>
        <w:rPr>
          <w:bCs/>
          <w:sz w:val="24"/>
        </w:rPr>
        <w:lastRenderedPageBreak/>
        <w:t>（</w:t>
      </w:r>
      <w:r>
        <w:rPr>
          <w:bCs/>
          <w:sz w:val="24"/>
        </w:rPr>
        <w:t>16</w:t>
      </w:r>
      <w:r>
        <w:rPr>
          <w:bCs/>
          <w:sz w:val="24"/>
        </w:rPr>
        <w:t>）在符合有关法律、法规的前提下，制订和调整有关基金认购、申购、赎回、转换和</w:t>
      </w:r>
      <w:proofErr w:type="gramStart"/>
      <w:r>
        <w:rPr>
          <w:bCs/>
          <w:sz w:val="24"/>
        </w:rPr>
        <w:t>非交易</w:t>
      </w:r>
      <w:proofErr w:type="gramEnd"/>
      <w:r>
        <w:rPr>
          <w:bCs/>
          <w:sz w:val="24"/>
        </w:rPr>
        <w:t>过户</w:t>
      </w:r>
      <w:r>
        <w:rPr>
          <w:rFonts w:hint="eastAsia"/>
          <w:bCs/>
          <w:sz w:val="24"/>
        </w:rPr>
        <w:t>等</w:t>
      </w:r>
      <w:r>
        <w:rPr>
          <w:bCs/>
          <w:sz w:val="24"/>
        </w:rPr>
        <w:t>业务规则；</w:t>
      </w:r>
    </w:p>
    <w:p w14:paraId="36145A0D" w14:textId="77777777" w:rsidR="00566744" w:rsidRDefault="00000000">
      <w:pPr>
        <w:spacing w:line="360" w:lineRule="auto"/>
        <w:ind w:firstLineChars="200" w:firstLine="480"/>
        <w:rPr>
          <w:bCs/>
          <w:sz w:val="24"/>
        </w:rPr>
      </w:pPr>
      <w:r>
        <w:rPr>
          <w:bCs/>
          <w:sz w:val="24"/>
        </w:rPr>
        <w:t>（</w:t>
      </w:r>
      <w:r>
        <w:rPr>
          <w:bCs/>
          <w:sz w:val="24"/>
        </w:rPr>
        <w:t>17</w:t>
      </w:r>
      <w:r>
        <w:rPr>
          <w:bCs/>
          <w:sz w:val="24"/>
        </w:rPr>
        <w:t>）法律法规及中国证监会规定的和《基金合同》约定的其他权利。</w:t>
      </w:r>
    </w:p>
    <w:p w14:paraId="45CF84B5" w14:textId="77777777" w:rsidR="00566744" w:rsidRDefault="00000000">
      <w:pPr>
        <w:spacing w:line="440" w:lineRule="atLeast"/>
        <w:ind w:firstLineChars="200" w:firstLine="480"/>
        <w:rPr>
          <w:bCs/>
          <w:sz w:val="24"/>
        </w:rPr>
      </w:pPr>
      <w:r>
        <w:rPr>
          <w:bCs/>
          <w:sz w:val="24"/>
        </w:rPr>
        <w:t>2</w:t>
      </w:r>
      <w:r>
        <w:rPr>
          <w:bCs/>
          <w:sz w:val="24"/>
        </w:rPr>
        <w:t>、根据《基金法》、《运作办法》及其他有关规定，基金管理人的义务包括但不限于：</w:t>
      </w:r>
    </w:p>
    <w:p w14:paraId="4522E161" w14:textId="77777777" w:rsidR="00566744" w:rsidRDefault="00000000">
      <w:pPr>
        <w:spacing w:line="440" w:lineRule="atLeast"/>
        <w:ind w:firstLineChars="200" w:firstLine="480"/>
        <w:rPr>
          <w:bCs/>
          <w:sz w:val="24"/>
        </w:rPr>
      </w:pPr>
      <w:r>
        <w:rPr>
          <w:bCs/>
          <w:sz w:val="24"/>
        </w:rPr>
        <w:t>（</w:t>
      </w:r>
      <w:r>
        <w:rPr>
          <w:bCs/>
          <w:sz w:val="24"/>
        </w:rPr>
        <w:t>1</w:t>
      </w:r>
      <w:r>
        <w:rPr>
          <w:bCs/>
          <w:sz w:val="24"/>
        </w:rPr>
        <w:t>）依法募集</w:t>
      </w:r>
      <w:r>
        <w:rPr>
          <w:rFonts w:hint="eastAsia"/>
          <w:bCs/>
          <w:sz w:val="24"/>
        </w:rPr>
        <w:t>资金</w:t>
      </w:r>
      <w:r>
        <w:rPr>
          <w:bCs/>
          <w:sz w:val="24"/>
        </w:rPr>
        <w:t>，办理基金份额的发售和登记事宜；</w:t>
      </w:r>
    </w:p>
    <w:p w14:paraId="662D26F8" w14:textId="77777777" w:rsidR="00566744" w:rsidRDefault="00000000">
      <w:pPr>
        <w:spacing w:line="440" w:lineRule="atLeast"/>
        <w:ind w:firstLineChars="200" w:firstLine="480"/>
        <w:rPr>
          <w:bCs/>
          <w:sz w:val="24"/>
        </w:rPr>
      </w:pPr>
      <w:r>
        <w:rPr>
          <w:bCs/>
          <w:sz w:val="24"/>
        </w:rPr>
        <w:t>（</w:t>
      </w:r>
      <w:r>
        <w:rPr>
          <w:bCs/>
          <w:sz w:val="24"/>
        </w:rPr>
        <w:t>2</w:t>
      </w:r>
      <w:r>
        <w:rPr>
          <w:bCs/>
          <w:sz w:val="24"/>
        </w:rPr>
        <w:t>）办理基金备案手续；</w:t>
      </w:r>
    </w:p>
    <w:p w14:paraId="6D3CE509" w14:textId="77777777" w:rsidR="00566744" w:rsidRDefault="00000000">
      <w:pPr>
        <w:spacing w:line="440" w:lineRule="atLeast"/>
        <w:ind w:firstLineChars="200" w:firstLine="480"/>
        <w:rPr>
          <w:bCs/>
          <w:sz w:val="24"/>
        </w:rPr>
      </w:pPr>
      <w:r>
        <w:rPr>
          <w:bCs/>
          <w:sz w:val="24"/>
        </w:rPr>
        <w:t>（</w:t>
      </w:r>
      <w:r>
        <w:rPr>
          <w:bCs/>
          <w:sz w:val="24"/>
        </w:rPr>
        <w:t>3</w:t>
      </w:r>
      <w:r>
        <w:rPr>
          <w:bCs/>
          <w:sz w:val="24"/>
        </w:rPr>
        <w:t>）自《基金合同》生效之日起</w:t>
      </w:r>
      <w:r>
        <w:rPr>
          <w:rFonts w:hint="eastAsia"/>
          <w:bCs/>
          <w:sz w:val="24"/>
        </w:rPr>
        <w:t>，</w:t>
      </w:r>
      <w:r>
        <w:rPr>
          <w:bCs/>
          <w:sz w:val="24"/>
        </w:rPr>
        <w:t>以诚实信用、谨慎勤勉的原则管理和运用基金财产；</w:t>
      </w:r>
    </w:p>
    <w:p w14:paraId="542B8E84" w14:textId="77777777" w:rsidR="00566744" w:rsidRDefault="00000000">
      <w:pPr>
        <w:spacing w:line="440" w:lineRule="atLeast"/>
        <w:ind w:firstLineChars="200" w:firstLine="480"/>
        <w:rPr>
          <w:bCs/>
          <w:sz w:val="24"/>
        </w:rPr>
      </w:pPr>
      <w:r>
        <w:rPr>
          <w:bCs/>
          <w:sz w:val="24"/>
        </w:rPr>
        <w:t>（</w:t>
      </w:r>
      <w:r>
        <w:rPr>
          <w:bCs/>
          <w:sz w:val="24"/>
        </w:rPr>
        <w:t>4</w:t>
      </w:r>
      <w:r>
        <w:rPr>
          <w:bCs/>
          <w:sz w:val="24"/>
        </w:rPr>
        <w:t>）配备足够的具有专业资格的人员进行基金投资分析、决策，以专业化的经营方式管理和运作基金财产；</w:t>
      </w:r>
    </w:p>
    <w:p w14:paraId="26074EB9" w14:textId="77777777" w:rsidR="00566744" w:rsidRDefault="00000000">
      <w:pPr>
        <w:spacing w:line="440" w:lineRule="atLeast"/>
        <w:ind w:firstLineChars="200" w:firstLine="480"/>
        <w:rPr>
          <w:bCs/>
          <w:sz w:val="24"/>
        </w:rPr>
      </w:pPr>
      <w:r>
        <w:rPr>
          <w:bCs/>
          <w:sz w:val="24"/>
        </w:rPr>
        <w:t>（</w:t>
      </w:r>
      <w:r>
        <w:rPr>
          <w:bCs/>
          <w:sz w:val="24"/>
        </w:rPr>
        <w:t>5</w:t>
      </w:r>
      <w:r>
        <w:rPr>
          <w:bCs/>
          <w:sz w:val="24"/>
        </w:rPr>
        <w:t>）建立健全内部风险控制、监察与稽核、财务管理及人事管理等制度，保证所管理的基金财产和基金管理人的财产相互独立</w:t>
      </w:r>
      <w:r>
        <w:rPr>
          <w:rFonts w:hint="eastAsia"/>
          <w:bCs/>
          <w:sz w:val="24"/>
        </w:rPr>
        <w:t>，</w:t>
      </w:r>
      <w:r>
        <w:rPr>
          <w:bCs/>
          <w:sz w:val="24"/>
        </w:rPr>
        <w:t>对所管理的不同基金分别管理，分别记账，进行证券投资；</w:t>
      </w:r>
    </w:p>
    <w:p w14:paraId="0163D0D9" w14:textId="77777777" w:rsidR="00566744" w:rsidRDefault="00000000">
      <w:pPr>
        <w:spacing w:line="440" w:lineRule="atLeast"/>
        <w:ind w:firstLineChars="200" w:firstLine="480"/>
        <w:rPr>
          <w:bCs/>
          <w:sz w:val="24"/>
        </w:rPr>
      </w:pPr>
      <w:r>
        <w:rPr>
          <w:bCs/>
          <w:sz w:val="24"/>
        </w:rPr>
        <w:t>（</w:t>
      </w:r>
      <w:r>
        <w:rPr>
          <w:bCs/>
          <w:sz w:val="24"/>
        </w:rPr>
        <w:t>6</w:t>
      </w:r>
      <w:r>
        <w:rPr>
          <w:bCs/>
          <w:sz w:val="24"/>
        </w:rPr>
        <w:t>）除依据《基金法》、《基金合同》及其他有关规定外</w:t>
      </w:r>
      <w:r>
        <w:rPr>
          <w:rFonts w:hint="eastAsia"/>
          <w:bCs/>
          <w:sz w:val="24"/>
        </w:rPr>
        <w:t>，</w:t>
      </w:r>
      <w:r>
        <w:rPr>
          <w:bCs/>
          <w:sz w:val="24"/>
        </w:rPr>
        <w:t>不得利用基金财产为自己及任何第三人谋取利益，不得委托第三人运作基金财产；</w:t>
      </w:r>
    </w:p>
    <w:p w14:paraId="6D4FCCCD" w14:textId="77777777" w:rsidR="00566744" w:rsidRDefault="00000000">
      <w:pPr>
        <w:spacing w:line="440" w:lineRule="atLeast"/>
        <w:ind w:firstLineChars="200" w:firstLine="480"/>
        <w:rPr>
          <w:bCs/>
          <w:sz w:val="24"/>
        </w:rPr>
      </w:pPr>
      <w:r>
        <w:rPr>
          <w:bCs/>
          <w:sz w:val="24"/>
        </w:rPr>
        <w:t>（</w:t>
      </w:r>
      <w:r>
        <w:rPr>
          <w:bCs/>
          <w:sz w:val="24"/>
        </w:rPr>
        <w:t>7</w:t>
      </w:r>
      <w:r>
        <w:rPr>
          <w:bCs/>
          <w:sz w:val="24"/>
        </w:rPr>
        <w:t>）依法接受基金托管人的监督；</w:t>
      </w:r>
    </w:p>
    <w:p w14:paraId="2970C89D" w14:textId="77777777" w:rsidR="00566744" w:rsidRDefault="00000000">
      <w:pPr>
        <w:spacing w:line="440" w:lineRule="atLeast"/>
        <w:ind w:firstLineChars="200" w:firstLine="480"/>
        <w:rPr>
          <w:bCs/>
          <w:sz w:val="24"/>
        </w:rPr>
      </w:pPr>
      <w:r>
        <w:rPr>
          <w:bCs/>
          <w:sz w:val="24"/>
        </w:rPr>
        <w:t>（</w:t>
      </w:r>
      <w:r>
        <w:rPr>
          <w:bCs/>
          <w:sz w:val="24"/>
        </w:rPr>
        <w:t>8</w:t>
      </w:r>
      <w:r>
        <w:rPr>
          <w:bCs/>
          <w:sz w:val="24"/>
        </w:rPr>
        <w:t>）采取适当合理的措施使计算基金份额认购、申购、赎回和注销价格的方法符合《基金合同》等法律文件的规定，按有关规定计算并公告基金</w:t>
      </w:r>
      <w:r>
        <w:rPr>
          <w:rFonts w:hint="eastAsia"/>
          <w:bCs/>
          <w:sz w:val="24"/>
        </w:rPr>
        <w:t>净值信息</w:t>
      </w:r>
      <w:r>
        <w:rPr>
          <w:bCs/>
          <w:sz w:val="24"/>
        </w:rPr>
        <w:t>；</w:t>
      </w:r>
    </w:p>
    <w:p w14:paraId="66CD02E1" w14:textId="77777777" w:rsidR="00566744" w:rsidRDefault="00000000">
      <w:pPr>
        <w:spacing w:line="440" w:lineRule="atLeast"/>
        <w:ind w:firstLineChars="200" w:firstLine="480"/>
        <w:rPr>
          <w:bCs/>
          <w:sz w:val="24"/>
        </w:rPr>
      </w:pPr>
      <w:r>
        <w:rPr>
          <w:bCs/>
          <w:sz w:val="24"/>
        </w:rPr>
        <w:t>（</w:t>
      </w:r>
      <w:r>
        <w:rPr>
          <w:bCs/>
          <w:sz w:val="24"/>
        </w:rPr>
        <w:t>9</w:t>
      </w:r>
      <w:r>
        <w:rPr>
          <w:bCs/>
          <w:sz w:val="24"/>
        </w:rPr>
        <w:t>）进行基金会计核算并编制基金财务会计报告；</w:t>
      </w:r>
    </w:p>
    <w:p w14:paraId="61F45564" w14:textId="77777777" w:rsidR="00566744" w:rsidRDefault="00000000">
      <w:pPr>
        <w:spacing w:line="440" w:lineRule="atLeast"/>
        <w:ind w:firstLineChars="200" w:firstLine="480"/>
        <w:rPr>
          <w:bCs/>
          <w:sz w:val="24"/>
        </w:rPr>
      </w:pPr>
      <w:r>
        <w:rPr>
          <w:bCs/>
          <w:sz w:val="24"/>
        </w:rPr>
        <w:t>（</w:t>
      </w:r>
      <w:r>
        <w:rPr>
          <w:bCs/>
          <w:sz w:val="24"/>
        </w:rPr>
        <w:t>10</w:t>
      </w:r>
      <w:r>
        <w:rPr>
          <w:bCs/>
          <w:sz w:val="24"/>
        </w:rPr>
        <w:t>）编制季度</w:t>
      </w:r>
      <w:r>
        <w:rPr>
          <w:rFonts w:hint="eastAsia"/>
          <w:bCs/>
          <w:sz w:val="24"/>
        </w:rPr>
        <w:t>报告、</w:t>
      </w:r>
      <w:r>
        <w:rPr>
          <w:bCs/>
          <w:sz w:val="24"/>
        </w:rPr>
        <w:t>中期报告和年度基金报告；</w:t>
      </w:r>
    </w:p>
    <w:p w14:paraId="757CCD7E" w14:textId="77777777" w:rsidR="00566744" w:rsidRDefault="00000000">
      <w:pPr>
        <w:spacing w:line="440" w:lineRule="atLeast"/>
        <w:ind w:firstLineChars="200" w:firstLine="480"/>
        <w:rPr>
          <w:bCs/>
          <w:sz w:val="24"/>
        </w:rPr>
      </w:pPr>
      <w:r>
        <w:rPr>
          <w:bCs/>
          <w:sz w:val="24"/>
        </w:rPr>
        <w:t>（</w:t>
      </w:r>
      <w:r>
        <w:rPr>
          <w:bCs/>
          <w:sz w:val="24"/>
        </w:rPr>
        <w:t>11</w:t>
      </w:r>
      <w:r>
        <w:rPr>
          <w:bCs/>
          <w:sz w:val="24"/>
        </w:rPr>
        <w:t>）严格按照《基金法》、《基金合同》及其他有关规定，履行信息披露及报告义务；</w:t>
      </w:r>
    </w:p>
    <w:p w14:paraId="4FE457C1" w14:textId="77777777" w:rsidR="00566744" w:rsidRDefault="00000000">
      <w:pPr>
        <w:spacing w:line="440" w:lineRule="atLeast"/>
        <w:ind w:firstLineChars="200" w:firstLine="480"/>
        <w:rPr>
          <w:bCs/>
          <w:sz w:val="24"/>
        </w:rPr>
      </w:pPr>
      <w:r>
        <w:rPr>
          <w:bCs/>
          <w:sz w:val="24"/>
        </w:rPr>
        <w:t>（</w:t>
      </w:r>
      <w:r>
        <w:rPr>
          <w:bCs/>
          <w:sz w:val="24"/>
        </w:rPr>
        <w:t>12</w:t>
      </w:r>
      <w:r>
        <w:rPr>
          <w:bCs/>
          <w:sz w:val="24"/>
        </w:rPr>
        <w:t>）保守基金商业秘密，不泄露基金投资计划、投资意向等。除《基金法》、《基金合同》及其他有关规定另有规定外，在基金信息公开披露前应予保密，不向他人泄露；</w:t>
      </w:r>
    </w:p>
    <w:p w14:paraId="0607600F" w14:textId="77777777" w:rsidR="00566744" w:rsidRDefault="00000000">
      <w:pPr>
        <w:spacing w:line="440" w:lineRule="atLeast"/>
        <w:ind w:firstLineChars="200" w:firstLine="480"/>
        <w:rPr>
          <w:bCs/>
          <w:sz w:val="24"/>
        </w:rPr>
      </w:pPr>
      <w:r>
        <w:rPr>
          <w:bCs/>
          <w:sz w:val="24"/>
        </w:rPr>
        <w:t>（</w:t>
      </w:r>
      <w:r>
        <w:rPr>
          <w:bCs/>
          <w:sz w:val="24"/>
        </w:rPr>
        <w:t>13</w:t>
      </w:r>
      <w:r>
        <w:rPr>
          <w:bCs/>
          <w:sz w:val="24"/>
        </w:rPr>
        <w:t>）按《基金合同》的约定确定基金收益分配方案，及时向基金份额持有人分配基金收益；</w:t>
      </w:r>
    </w:p>
    <w:p w14:paraId="63FCC3DD" w14:textId="77777777" w:rsidR="00566744" w:rsidRDefault="00000000">
      <w:pPr>
        <w:spacing w:line="360" w:lineRule="auto"/>
        <w:ind w:firstLineChars="200" w:firstLine="480"/>
        <w:rPr>
          <w:bCs/>
          <w:sz w:val="24"/>
        </w:rPr>
      </w:pPr>
      <w:r>
        <w:rPr>
          <w:bCs/>
          <w:sz w:val="24"/>
        </w:rPr>
        <w:t>（</w:t>
      </w:r>
      <w:r>
        <w:rPr>
          <w:bCs/>
          <w:sz w:val="24"/>
        </w:rPr>
        <w:t>14</w:t>
      </w:r>
      <w:r>
        <w:rPr>
          <w:bCs/>
          <w:sz w:val="24"/>
        </w:rPr>
        <w:t>）按规定受理申购与赎回申请，及时、足额支付赎回款项；</w:t>
      </w:r>
    </w:p>
    <w:p w14:paraId="72F2D9C3" w14:textId="77777777" w:rsidR="00566744" w:rsidRDefault="00000000">
      <w:pPr>
        <w:spacing w:line="360" w:lineRule="auto"/>
        <w:ind w:firstLineChars="200" w:firstLine="480"/>
        <w:rPr>
          <w:bCs/>
          <w:sz w:val="24"/>
        </w:rPr>
      </w:pPr>
      <w:r>
        <w:rPr>
          <w:bCs/>
          <w:sz w:val="24"/>
        </w:rPr>
        <w:lastRenderedPageBreak/>
        <w:t>（</w:t>
      </w:r>
      <w:r>
        <w:rPr>
          <w:bCs/>
          <w:sz w:val="24"/>
        </w:rPr>
        <w:t>15</w:t>
      </w:r>
      <w:r>
        <w:rPr>
          <w:bCs/>
          <w:sz w:val="24"/>
        </w:rPr>
        <w:t>）依据《基金法》、《基金合同》及其他有关规定召集基金份额持有人大会或配合基金托管人、基金份额持有人依法召集基金份额持有人大会；</w:t>
      </w:r>
    </w:p>
    <w:p w14:paraId="6998FDEE" w14:textId="77777777" w:rsidR="00566744" w:rsidRDefault="00000000">
      <w:pPr>
        <w:spacing w:line="360" w:lineRule="auto"/>
        <w:ind w:firstLineChars="200" w:firstLine="480"/>
        <w:rPr>
          <w:bCs/>
          <w:sz w:val="24"/>
        </w:rPr>
      </w:pPr>
      <w:r>
        <w:rPr>
          <w:bCs/>
          <w:sz w:val="24"/>
        </w:rPr>
        <w:t>（</w:t>
      </w:r>
      <w:r>
        <w:rPr>
          <w:bCs/>
          <w:sz w:val="24"/>
        </w:rPr>
        <w:t>16</w:t>
      </w:r>
      <w:r>
        <w:rPr>
          <w:bCs/>
          <w:sz w:val="24"/>
        </w:rPr>
        <w:t>）按规定保存基金财产管理业务活动的会计账册、报表、记录和其他相关资料</w:t>
      </w:r>
      <w:r>
        <w:rPr>
          <w:bCs/>
          <w:sz w:val="24"/>
        </w:rPr>
        <w:t>15</w:t>
      </w:r>
      <w:r>
        <w:rPr>
          <w:bCs/>
          <w:sz w:val="24"/>
        </w:rPr>
        <w:t>年以上；</w:t>
      </w:r>
    </w:p>
    <w:p w14:paraId="2D528979" w14:textId="77777777" w:rsidR="00566744" w:rsidRDefault="00000000">
      <w:pPr>
        <w:spacing w:line="360" w:lineRule="auto"/>
        <w:ind w:firstLineChars="200" w:firstLine="480"/>
        <w:rPr>
          <w:bCs/>
          <w:sz w:val="24"/>
        </w:rPr>
      </w:pPr>
      <w:r>
        <w:rPr>
          <w:bCs/>
          <w:sz w:val="24"/>
        </w:rPr>
        <w:t>（</w:t>
      </w:r>
      <w:r>
        <w:rPr>
          <w:bCs/>
          <w:sz w:val="24"/>
        </w:rPr>
        <w:t>17</w:t>
      </w:r>
      <w:r>
        <w:rPr>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5270C404" w14:textId="77777777" w:rsidR="00566744" w:rsidRDefault="00000000">
      <w:pPr>
        <w:spacing w:line="360" w:lineRule="auto"/>
        <w:ind w:firstLineChars="200" w:firstLine="480"/>
        <w:rPr>
          <w:bCs/>
          <w:sz w:val="24"/>
        </w:rPr>
      </w:pPr>
      <w:r>
        <w:rPr>
          <w:bCs/>
          <w:sz w:val="24"/>
        </w:rPr>
        <w:t>（</w:t>
      </w:r>
      <w:r>
        <w:rPr>
          <w:bCs/>
          <w:sz w:val="24"/>
        </w:rPr>
        <w:t>18</w:t>
      </w:r>
      <w:r>
        <w:rPr>
          <w:bCs/>
          <w:sz w:val="24"/>
        </w:rPr>
        <w:t>）组织并参加基金财产清算小组</w:t>
      </w:r>
      <w:r>
        <w:rPr>
          <w:rFonts w:hint="eastAsia"/>
          <w:bCs/>
          <w:sz w:val="24"/>
        </w:rPr>
        <w:t>，</w:t>
      </w:r>
      <w:r>
        <w:rPr>
          <w:bCs/>
          <w:sz w:val="24"/>
        </w:rPr>
        <w:t>参与基金财产的保管、清理、估价、变现和分配；</w:t>
      </w:r>
    </w:p>
    <w:p w14:paraId="4B1CBE38" w14:textId="77777777" w:rsidR="00566744" w:rsidRDefault="00000000">
      <w:pPr>
        <w:spacing w:line="360" w:lineRule="auto"/>
        <w:ind w:firstLineChars="200" w:firstLine="480"/>
        <w:rPr>
          <w:bCs/>
          <w:sz w:val="24"/>
        </w:rPr>
      </w:pPr>
      <w:r>
        <w:rPr>
          <w:bCs/>
          <w:sz w:val="24"/>
        </w:rPr>
        <w:t>（</w:t>
      </w:r>
      <w:r>
        <w:rPr>
          <w:bCs/>
          <w:sz w:val="24"/>
        </w:rPr>
        <w:t>19</w:t>
      </w:r>
      <w:r>
        <w:rPr>
          <w:bCs/>
          <w:sz w:val="24"/>
        </w:rPr>
        <w:t>）面临解散、依法被撤销或者被依法宣告破产时，及时报告中国证监会并通知基金托管人；</w:t>
      </w:r>
    </w:p>
    <w:p w14:paraId="28BA5259" w14:textId="77777777" w:rsidR="00566744" w:rsidRDefault="00000000">
      <w:pPr>
        <w:spacing w:line="360" w:lineRule="auto"/>
        <w:ind w:firstLineChars="200" w:firstLine="480"/>
        <w:rPr>
          <w:bCs/>
          <w:sz w:val="24"/>
        </w:rPr>
      </w:pPr>
      <w:r>
        <w:rPr>
          <w:bCs/>
          <w:sz w:val="24"/>
        </w:rPr>
        <w:t>（</w:t>
      </w:r>
      <w:r>
        <w:rPr>
          <w:bCs/>
          <w:sz w:val="24"/>
        </w:rPr>
        <w:t>20</w:t>
      </w:r>
      <w:r>
        <w:rPr>
          <w:bCs/>
          <w:sz w:val="24"/>
        </w:rPr>
        <w:t>）因违反《基金合同》导致基金财产的损失或损害基金份额持有人合法权益时，应当承担赔偿责任，其赔偿责任不因其退任而免除；</w:t>
      </w:r>
    </w:p>
    <w:p w14:paraId="0EF5D84F" w14:textId="77777777" w:rsidR="00566744" w:rsidRDefault="00000000">
      <w:pPr>
        <w:spacing w:line="360" w:lineRule="auto"/>
        <w:ind w:firstLineChars="200" w:firstLine="480"/>
        <w:rPr>
          <w:bCs/>
          <w:sz w:val="24"/>
        </w:rPr>
      </w:pPr>
      <w:r>
        <w:rPr>
          <w:bCs/>
          <w:sz w:val="24"/>
        </w:rPr>
        <w:t>（</w:t>
      </w:r>
      <w:r>
        <w:rPr>
          <w:bCs/>
          <w:sz w:val="24"/>
        </w:rPr>
        <w:t>21</w:t>
      </w:r>
      <w:r>
        <w:rPr>
          <w:bCs/>
          <w:sz w:val="24"/>
        </w:rPr>
        <w:t>）监督基金托管人按法律法规和《基金合同》规定履行自己的义务，基金托管人违反《基金合同》造成基金财产损失时，基金管理人应为基金份额持有人利益向基金托管人追偿；</w:t>
      </w:r>
    </w:p>
    <w:p w14:paraId="0877F61D" w14:textId="77777777" w:rsidR="00566744" w:rsidRDefault="00000000">
      <w:pPr>
        <w:spacing w:line="360" w:lineRule="auto"/>
        <w:ind w:firstLineChars="200" w:firstLine="480"/>
        <w:rPr>
          <w:bCs/>
          <w:sz w:val="24"/>
        </w:rPr>
      </w:pPr>
      <w:r>
        <w:rPr>
          <w:bCs/>
          <w:sz w:val="24"/>
        </w:rPr>
        <w:t>（</w:t>
      </w:r>
      <w:r>
        <w:rPr>
          <w:bCs/>
          <w:sz w:val="24"/>
        </w:rPr>
        <w:t>22</w:t>
      </w:r>
      <w:r>
        <w:rPr>
          <w:bCs/>
          <w:sz w:val="24"/>
        </w:rPr>
        <w:t>）当基金管理人将其义务委托第三方处理时，应当对第三方处理有关基金事务的行为承担责任；</w:t>
      </w:r>
    </w:p>
    <w:p w14:paraId="7D297ED6" w14:textId="77777777" w:rsidR="00566744" w:rsidRDefault="00000000">
      <w:pPr>
        <w:spacing w:line="360" w:lineRule="auto"/>
        <w:ind w:firstLineChars="200" w:firstLine="480"/>
        <w:rPr>
          <w:bCs/>
          <w:sz w:val="24"/>
        </w:rPr>
      </w:pPr>
      <w:r>
        <w:rPr>
          <w:bCs/>
          <w:sz w:val="24"/>
        </w:rPr>
        <w:t>（</w:t>
      </w:r>
      <w:r>
        <w:rPr>
          <w:bCs/>
          <w:sz w:val="24"/>
        </w:rPr>
        <w:t>23</w:t>
      </w:r>
      <w:r>
        <w:rPr>
          <w:bCs/>
          <w:sz w:val="24"/>
        </w:rPr>
        <w:t>）以基金管理人名义，代表基金份额持有人利益行使诉讼权利或实施其他法律行为；</w:t>
      </w:r>
      <w:r>
        <w:rPr>
          <w:bCs/>
          <w:sz w:val="24"/>
        </w:rPr>
        <w:tab/>
      </w:r>
    </w:p>
    <w:p w14:paraId="3BF3E2CF" w14:textId="77777777" w:rsidR="00566744" w:rsidRDefault="00000000">
      <w:pPr>
        <w:spacing w:line="360" w:lineRule="auto"/>
        <w:ind w:firstLineChars="200" w:firstLine="480"/>
        <w:rPr>
          <w:bCs/>
          <w:sz w:val="24"/>
        </w:rPr>
      </w:pPr>
      <w:r>
        <w:rPr>
          <w:bCs/>
          <w:sz w:val="24"/>
        </w:rPr>
        <w:t>（</w:t>
      </w:r>
      <w:r>
        <w:rPr>
          <w:bCs/>
          <w:sz w:val="24"/>
        </w:rPr>
        <w:t>24</w:t>
      </w:r>
      <w:r>
        <w:rPr>
          <w:bCs/>
          <w:sz w:val="24"/>
        </w:rPr>
        <w:t>）基金管理人在募集期间未能达到基金的备案条件，《基金合同》不能生效，基金管理人承担全部募集费用，将已募集资金并加计银行同期</w:t>
      </w:r>
      <w:r>
        <w:rPr>
          <w:rFonts w:hint="eastAsia"/>
          <w:bCs/>
          <w:sz w:val="24"/>
        </w:rPr>
        <w:t>活期</w:t>
      </w:r>
      <w:r>
        <w:rPr>
          <w:bCs/>
          <w:sz w:val="24"/>
        </w:rPr>
        <w:t>存款利息在基金募集期结束后</w:t>
      </w:r>
      <w:r>
        <w:rPr>
          <w:bCs/>
          <w:sz w:val="24"/>
        </w:rPr>
        <w:t>30</w:t>
      </w:r>
      <w:r>
        <w:rPr>
          <w:bCs/>
          <w:sz w:val="24"/>
        </w:rPr>
        <w:t>日内退还基金认购人；</w:t>
      </w:r>
    </w:p>
    <w:p w14:paraId="1650FDD6" w14:textId="77777777" w:rsidR="00566744" w:rsidRDefault="00000000">
      <w:pPr>
        <w:spacing w:line="360" w:lineRule="auto"/>
        <w:ind w:firstLineChars="200" w:firstLine="480"/>
        <w:rPr>
          <w:bCs/>
          <w:sz w:val="24"/>
        </w:rPr>
      </w:pPr>
      <w:r>
        <w:rPr>
          <w:bCs/>
          <w:sz w:val="24"/>
        </w:rPr>
        <w:t>（</w:t>
      </w:r>
      <w:r>
        <w:rPr>
          <w:bCs/>
          <w:sz w:val="24"/>
        </w:rPr>
        <w:t>25</w:t>
      </w:r>
      <w:r>
        <w:rPr>
          <w:bCs/>
          <w:sz w:val="24"/>
        </w:rPr>
        <w:t>）执行生效的基金份额持有人大会的</w:t>
      </w:r>
      <w:r>
        <w:rPr>
          <w:rFonts w:hint="eastAsia"/>
          <w:bCs/>
          <w:sz w:val="24"/>
        </w:rPr>
        <w:t>决议</w:t>
      </w:r>
      <w:r>
        <w:rPr>
          <w:bCs/>
          <w:sz w:val="24"/>
        </w:rPr>
        <w:t>；</w:t>
      </w:r>
    </w:p>
    <w:p w14:paraId="3C26BE07" w14:textId="77777777" w:rsidR="00566744" w:rsidRDefault="00000000">
      <w:pPr>
        <w:spacing w:line="360" w:lineRule="auto"/>
        <w:ind w:firstLineChars="200" w:firstLine="480"/>
        <w:rPr>
          <w:bCs/>
          <w:sz w:val="24"/>
        </w:rPr>
      </w:pPr>
      <w:r>
        <w:rPr>
          <w:bCs/>
          <w:sz w:val="24"/>
        </w:rPr>
        <w:t>（</w:t>
      </w:r>
      <w:r>
        <w:rPr>
          <w:bCs/>
          <w:sz w:val="24"/>
        </w:rPr>
        <w:t>26</w:t>
      </w:r>
      <w:r>
        <w:rPr>
          <w:bCs/>
          <w:sz w:val="24"/>
        </w:rPr>
        <w:t>）建立并保存基金份额持有人名册；</w:t>
      </w:r>
    </w:p>
    <w:p w14:paraId="3554F0BB" w14:textId="77777777" w:rsidR="00566744" w:rsidRDefault="00000000">
      <w:pPr>
        <w:spacing w:line="360" w:lineRule="auto"/>
        <w:ind w:firstLineChars="200" w:firstLine="480"/>
        <w:rPr>
          <w:bCs/>
          <w:sz w:val="24"/>
        </w:rPr>
      </w:pPr>
      <w:r>
        <w:rPr>
          <w:bCs/>
          <w:sz w:val="24"/>
        </w:rPr>
        <w:t>（</w:t>
      </w:r>
      <w:r>
        <w:rPr>
          <w:bCs/>
          <w:sz w:val="24"/>
        </w:rPr>
        <w:t>27</w:t>
      </w:r>
      <w:r>
        <w:rPr>
          <w:bCs/>
          <w:sz w:val="24"/>
        </w:rPr>
        <w:t>）法律法规及中国证监会规定的和《基金合同》约定的其他义务。</w:t>
      </w:r>
    </w:p>
    <w:p w14:paraId="16A3F5C6" w14:textId="77777777" w:rsidR="00566744" w:rsidRDefault="00000000">
      <w:pPr>
        <w:spacing w:line="360" w:lineRule="auto"/>
        <w:ind w:firstLineChars="200" w:firstLine="480"/>
        <w:rPr>
          <w:bCs/>
          <w:sz w:val="24"/>
        </w:rPr>
      </w:pPr>
      <w:r>
        <w:rPr>
          <w:rFonts w:hint="eastAsia"/>
          <w:bCs/>
          <w:sz w:val="24"/>
        </w:rPr>
        <w:t>二、</w:t>
      </w:r>
      <w:r>
        <w:rPr>
          <w:bCs/>
          <w:sz w:val="24"/>
        </w:rPr>
        <w:t>基金托管人的权利与义务</w:t>
      </w:r>
    </w:p>
    <w:p w14:paraId="2B187D7B" w14:textId="77777777" w:rsidR="00566744" w:rsidRDefault="00000000">
      <w:pPr>
        <w:spacing w:line="360" w:lineRule="auto"/>
        <w:ind w:firstLineChars="200" w:firstLine="480"/>
        <w:rPr>
          <w:bCs/>
          <w:sz w:val="24"/>
        </w:rPr>
      </w:pPr>
      <w:r>
        <w:rPr>
          <w:bCs/>
          <w:sz w:val="24"/>
        </w:rPr>
        <w:t>1</w:t>
      </w:r>
      <w:r>
        <w:rPr>
          <w:bCs/>
          <w:sz w:val="24"/>
        </w:rPr>
        <w:t>、根据《基金法》、《运作办法》及其他有关规定，基金托管人的权利包括但</w:t>
      </w:r>
      <w:r>
        <w:rPr>
          <w:bCs/>
          <w:sz w:val="24"/>
        </w:rPr>
        <w:lastRenderedPageBreak/>
        <w:t>不限于：</w:t>
      </w:r>
    </w:p>
    <w:p w14:paraId="65929546" w14:textId="77777777" w:rsidR="00566744" w:rsidRDefault="00000000">
      <w:pPr>
        <w:spacing w:line="360" w:lineRule="auto"/>
        <w:ind w:firstLineChars="200" w:firstLine="480"/>
        <w:rPr>
          <w:bCs/>
          <w:sz w:val="24"/>
        </w:rPr>
      </w:pPr>
      <w:r>
        <w:rPr>
          <w:bCs/>
          <w:sz w:val="24"/>
        </w:rPr>
        <w:t>（</w:t>
      </w:r>
      <w:r>
        <w:rPr>
          <w:bCs/>
          <w:sz w:val="24"/>
        </w:rPr>
        <w:t>1</w:t>
      </w:r>
      <w:r>
        <w:rPr>
          <w:bCs/>
          <w:sz w:val="24"/>
        </w:rPr>
        <w:t>）自《基金合同》生效之日起，依法</w:t>
      </w:r>
      <w:proofErr w:type="gramStart"/>
      <w:r>
        <w:rPr>
          <w:bCs/>
          <w:sz w:val="24"/>
        </w:rPr>
        <w:t>律法规</w:t>
      </w:r>
      <w:proofErr w:type="gramEnd"/>
      <w:r>
        <w:rPr>
          <w:bCs/>
          <w:sz w:val="24"/>
        </w:rPr>
        <w:t>和《基金合同》的规定安全保管基金财产；</w:t>
      </w:r>
    </w:p>
    <w:p w14:paraId="4375841C" w14:textId="77777777" w:rsidR="00566744" w:rsidRDefault="00000000">
      <w:pPr>
        <w:spacing w:line="360" w:lineRule="auto"/>
        <w:ind w:firstLineChars="200" w:firstLine="480"/>
        <w:rPr>
          <w:bCs/>
          <w:sz w:val="24"/>
        </w:rPr>
      </w:pPr>
      <w:r>
        <w:rPr>
          <w:bCs/>
          <w:sz w:val="24"/>
        </w:rPr>
        <w:t>（</w:t>
      </w:r>
      <w:r>
        <w:rPr>
          <w:bCs/>
          <w:sz w:val="24"/>
        </w:rPr>
        <w:t>2</w:t>
      </w:r>
      <w:r>
        <w:rPr>
          <w:bCs/>
          <w:sz w:val="24"/>
        </w:rPr>
        <w:t>）依《基金合同》约定获得基金托管费以及法律法规规定或监管部门批准的其他费用；</w:t>
      </w:r>
    </w:p>
    <w:p w14:paraId="0E59EC4F" w14:textId="77777777" w:rsidR="00566744" w:rsidRDefault="00000000">
      <w:pPr>
        <w:spacing w:line="360" w:lineRule="auto"/>
        <w:ind w:firstLineChars="200" w:firstLine="480"/>
        <w:rPr>
          <w:bCs/>
          <w:sz w:val="24"/>
        </w:rPr>
      </w:pPr>
      <w:r>
        <w:rPr>
          <w:bCs/>
          <w:sz w:val="24"/>
        </w:rPr>
        <w:t>（</w:t>
      </w:r>
      <w:r>
        <w:rPr>
          <w:bCs/>
          <w:sz w:val="24"/>
        </w:rPr>
        <w:t>3</w:t>
      </w:r>
      <w:r>
        <w:rPr>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2ACB46C7" w14:textId="77777777" w:rsidR="00566744" w:rsidRDefault="00000000">
      <w:pPr>
        <w:spacing w:line="360" w:lineRule="auto"/>
        <w:ind w:firstLineChars="200" w:firstLine="480"/>
        <w:rPr>
          <w:bCs/>
          <w:sz w:val="24"/>
        </w:rPr>
      </w:pPr>
      <w:r>
        <w:rPr>
          <w:bCs/>
          <w:sz w:val="24"/>
        </w:rPr>
        <w:t>（</w:t>
      </w:r>
      <w:r>
        <w:rPr>
          <w:bCs/>
          <w:sz w:val="24"/>
        </w:rPr>
        <w:t>4</w:t>
      </w:r>
      <w:r>
        <w:rPr>
          <w:bCs/>
          <w:sz w:val="24"/>
        </w:rPr>
        <w:t>）根据相关市场规则，为基金开设证券</w:t>
      </w:r>
      <w:r>
        <w:rPr>
          <w:rFonts w:hint="eastAsia"/>
          <w:bCs/>
          <w:sz w:val="24"/>
        </w:rPr>
        <w:t>账户</w:t>
      </w:r>
      <w:r>
        <w:rPr>
          <w:bCs/>
          <w:sz w:val="24"/>
        </w:rPr>
        <w:t>、为基金办理证券交易资金清算</w:t>
      </w:r>
      <w:r>
        <w:rPr>
          <w:rFonts w:hint="eastAsia"/>
          <w:bCs/>
          <w:sz w:val="24"/>
        </w:rPr>
        <w:t>；</w:t>
      </w:r>
    </w:p>
    <w:p w14:paraId="5366FCFC" w14:textId="77777777" w:rsidR="00566744" w:rsidRDefault="00000000">
      <w:pPr>
        <w:spacing w:line="360" w:lineRule="auto"/>
        <w:ind w:firstLineChars="200" w:firstLine="480"/>
        <w:rPr>
          <w:bCs/>
          <w:sz w:val="24"/>
        </w:rPr>
      </w:pPr>
      <w:r>
        <w:rPr>
          <w:bCs/>
          <w:sz w:val="24"/>
        </w:rPr>
        <w:t>（</w:t>
      </w:r>
      <w:r>
        <w:rPr>
          <w:bCs/>
          <w:sz w:val="24"/>
        </w:rPr>
        <w:t>5</w:t>
      </w:r>
      <w:r>
        <w:rPr>
          <w:bCs/>
          <w:sz w:val="24"/>
        </w:rPr>
        <w:t>）提议召开或召集基金份额持有人大会；</w:t>
      </w:r>
    </w:p>
    <w:p w14:paraId="31042E55" w14:textId="77777777" w:rsidR="00566744" w:rsidRDefault="00000000">
      <w:pPr>
        <w:spacing w:line="360" w:lineRule="auto"/>
        <w:ind w:firstLineChars="200" w:firstLine="480"/>
        <w:rPr>
          <w:bCs/>
          <w:sz w:val="24"/>
        </w:rPr>
      </w:pPr>
      <w:r>
        <w:rPr>
          <w:bCs/>
          <w:sz w:val="24"/>
        </w:rPr>
        <w:t>（</w:t>
      </w:r>
      <w:r>
        <w:rPr>
          <w:bCs/>
          <w:sz w:val="24"/>
        </w:rPr>
        <w:t>6</w:t>
      </w:r>
      <w:r>
        <w:rPr>
          <w:bCs/>
          <w:sz w:val="24"/>
        </w:rPr>
        <w:t>）在基金管理人更换时，提名新的基金管理人；</w:t>
      </w:r>
    </w:p>
    <w:p w14:paraId="0872441B" w14:textId="77777777" w:rsidR="00566744" w:rsidRDefault="00000000">
      <w:pPr>
        <w:spacing w:line="360" w:lineRule="auto"/>
        <w:ind w:firstLineChars="200" w:firstLine="480"/>
        <w:rPr>
          <w:bCs/>
          <w:sz w:val="24"/>
        </w:rPr>
      </w:pPr>
      <w:r>
        <w:rPr>
          <w:bCs/>
          <w:sz w:val="24"/>
        </w:rPr>
        <w:t>（</w:t>
      </w:r>
      <w:r>
        <w:rPr>
          <w:bCs/>
          <w:sz w:val="24"/>
        </w:rPr>
        <w:t>7</w:t>
      </w:r>
      <w:r>
        <w:rPr>
          <w:bCs/>
          <w:sz w:val="24"/>
        </w:rPr>
        <w:t>）</w:t>
      </w:r>
      <w:r>
        <w:rPr>
          <w:rFonts w:hint="eastAsia"/>
          <w:bCs/>
          <w:sz w:val="24"/>
        </w:rPr>
        <w:t>法律法规及中国证监会规定的和《基金合同》约定的其他</w:t>
      </w:r>
      <w:r>
        <w:rPr>
          <w:bCs/>
          <w:sz w:val="24"/>
        </w:rPr>
        <w:t>权利。</w:t>
      </w:r>
    </w:p>
    <w:p w14:paraId="22AB6F64" w14:textId="77777777" w:rsidR="00566744" w:rsidRDefault="00000000">
      <w:pPr>
        <w:spacing w:line="360" w:lineRule="auto"/>
        <w:ind w:firstLineChars="200" w:firstLine="480"/>
        <w:rPr>
          <w:bCs/>
          <w:sz w:val="24"/>
        </w:rPr>
      </w:pPr>
      <w:r>
        <w:rPr>
          <w:bCs/>
          <w:sz w:val="24"/>
        </w:rPr>
        <w:t>2</w:t>
      </w:r>
      <w:r>
        <w:rPr>
          <w:bCs/>
          <w:sz w:val="24"/>
        </w:rPr>
        <w:t>、根据《基金法》、《运作办法》及其他有关规定，基金托管人的义务包括但不限于：</w:t>
      </w:r>
    </w:p>
    <w:p w14:paraId="25DD0FEB" w14:textId="77777777" w:rsidR="00566744" w:rsidRDefault="00000000">
      <w:pPr>
        <w:spacing w:line="360" w:lineRule="auto"/>
        <w:ind w:firstLineChars="200" w:firstLine="480"/>
        <w:rPr>
          <w:bCs/>
          <w:sz w:val="24"/>
        </w:rPr>
      </w:pPr>
      <w:r>
        <w:rPr>
          <w:bCs/>
          <w:sz w:val="24"/>
        </w:rPr>
        <w:t>（</w:t>
      </w:r>
      <w:r>
        <w:rPr>
          <w:bCs/>
          <w:sz w:val="24"/>
        </w:rPr>
        <w:t>1</w:t>
      </w:r>
      <w:r>
        <w:rPr>
          <w:bCs/>
          <w:sz w:val="24"/>
        </w:rPr>
        <w:t>）以诚实信用、勤勉尽责的原则持有并安全保管基金财产；</w:t>
      </w:r>
    </w:p>
    <w:p w14:paraId="2CB873E1" w14:textId="77777777" w:rsidR="00566744" w:rsidRDefault="00000000">
      <w:pPr>
        <w:spacing w:line="360" w:lineRule="auto"/>
        <w:ind w:firstLineChars="200" w:firstLine="480"/>
        <w:rPr>
          <w:bCs/>
          <w:sz w:val="24"/>
        </w:rPr>
      </w:pPr>
      <w:r>
        <w:rPr>
          <w:bCs/>
          <w:sz w:val="24"/>
        </w:rPr>
        <w:t>（</w:t>
      </w:r>
      <w:r>
        <w:rPr>
          <w:bCs/>
          <w:sz w:val="24"/>
        </w:rPr>
        <w:t>2</w:t>
      </w:r>
      <w:r>
        <w:rPr>
          <w:bCs/>
          <w:sz w:val="24"/>
        </w:rPr>
        <w:t>）设立专门的基金托管部门，具有符合要求的营业场所，配备足够的、合格的熟悉基金托管业务的专职人员，负责基金财产托管事宜；</w:t>
      </w:r>
    </w:p>
    <w:p w14:paraId="3B42397C" w14:textId="77777777" w:rsidR="00566744" w:rsidRDefault="00000000">
      <w:pPr>
        <w:spacing w:line="360" w:lineRule="auto"/>
        <w:ind w:firstLineChars="200" w:firstLine="480"/>
        <w:rPr>
          <w:bCs/>
          <w:sz w:val="24"/>
        </w:rPr>
      </w:pPr>
      <w:r>
        <w:rPr>
          <w:bCs/>
          <w:sz w:val="24"/>
        </w:rPr>
        <w:t>（</w:t>
      </w:r>
      <w:r>
        <w:rPr>
          <w:bCs/>
          <w:sz w:val="24"/>
        </w:rPr>
        <w:t>3</w:t>
      </w:r>
      <w:r>
        <w:rPr>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76A40D1B" w14:textId="77777777" w:rsidR="00566744" w:rsidRDefault="00000000">
      <w:pPr>
        <w:spacing w:line="360" w:lineRule="auto"/>
        <w:ind w:firstLineChars="200" w:firstLine="480"/>
        <w:rPr>
          <w:bCs/>
          <w:sz w:val="24"/>
        </w:rPr>
      </w:pPr>
      <w:r>
        <w:rPr>
          <w:bCs/>
          <w:sz w:val="24"/>
        </w:rPr>
        <w:t>（</w:t>
      </w:r>
      <w:r>
        <w:rPr>
          <w:bCs/>
          <w:sz w:val="24"/>
        </w:rPr>
        <w:t>4</w:t>
      </w:r>
      <w:r>
        <w:rPr>
          <w:bCs/>
          <w:sz w:val="24"/>
        </w:rPr>
        <w:t>）除依据《基金法》、《基金合同》及其他有关规定外，不得利用基金财产为自己及任何第三人谋取利益，不得委托第三人托管基金财产；</w:t>
      </w:r>
    </w:p>
    <w:p w14:paraId="0E97B475" w14:textId="77777777" w:rsidR="00566744" w:rsidRDefault="00000000">
      <w:pPr>
        <w:spacing w:line="360" w:lineRule="auto"/>
        <w:ind w:firstLineChars="200" w:firstLine="480"/>
        <w:rPr>
          <w:bCs/>
          <w:sz w:val="24"/>
        </w:rPr>
      </w:pPr>
      <w:r>
        <w:rPr>
          <w:bCs/>
          <w:sz w:val="24"/>
        </w:rPr>
        <w:t>（</w:t>
      </w:r>
      <w:r>
        <w:rPr>
          <w:bCs/>
          <w:sz w:val="24"/>
        </w:rPr>
        <w:t>5</w:t>
      </w:r>
      <w:r>
        <w:rPr>
          <w:bCs/>
          <w:sz w:val="24"/>
        </w:rPr>
        <w:t>）保管由基金管理人代表基金签订的与基金有关的重大合同及有关凭证；</w:t>
      </w:r>
    </w:p>
    <w:p w14:paraId="6CF2927D" w14:textId="77777777" w:rsidR="00566744" w:rsidRDefault="00000000">
      <w:pPr>
        <w:spacing w:line="360" w:lineRule="auto"/>
        <w:ind w:firstLineChars="200" w:firstLine="480"/>
        <w:rPr>
          <w:bCs/>
          <w:sz w:val="24"/>
        </w:rPr>
      </w:pPr>
      <w:r>
        <w:rPr>
          <w:bCs/>
          <w:sz w:val="24"/>
        </w:rPr>
        <w:t>（</w:t>
      </w:r>
      <w:r>
        <w:rPr>
          <w:bCs/>
          <w:sz w:val="24"/>
        </w:rPr>
        <w:t>6</w:t>
      </w:r>
      <w:r>
        <w:rPr>
          <w:bCs/>
          <w:sz w:val="24"/>
        </w:rPr>
        <w:t>）按规定开设基金财产的资金账户和证券账户</w:t>
      </w:r>
      <w:r>
        <w:rPr>
          <w:bCs/>
          <w:sz w:val="24"/>
        </w:rPr>
        <w:t>,</w:t>
      </w:r>
      <w:r>
        <w:rPr>
          <w:bCs/>
          <w:sz w:val="24"/>
        </w:rPr>
        <w:t>按照《基金合同》的约定，根据基金管理人的投资指令，及时办理清算、交割事宜；</w:t>
      </w:r>
    </w:p>
    <w:p w14:paraId="30EAC923" w14:textId="77777777" w:rsidR="00566744" w:rsidRDefault="00000000">
      <w:pPr>
        <w:spacing w:line="360" w:lineRule="auto"/>
        <w:ind w:firstLineChars="200" w:firstLine="480"/>
        <w:rPr>
          <w:bCs/>
          <w:sz w:val="24"/>
        </w:rPr>
      </w:pPr>
      <w:r>
        <w:rPr>
          <w:bCs/>
          <w:sz w:val="24"/>
        </w:rPr>
        <w:t>（</w:t>
      </w:r>
      <w:r>
        <w:rPr>
          <w:bCs/>
          <w:sz w:val="24"/>
        </w:rPr>
        <w:t>7</w:t>
      </w:r>
      <w:r>
        <w:rPr>
          <w:bCs/>
          <w:sz w:val="24"/>
        </w:rPr>
        <w:t>）保守基金商业秘密，除《基金法》、《基金合同》及其他有关规定另有规定外，在基金信息公开披露前予以保密，不得向他人泄露；</w:t>
      </w:r>
    </w:p>
    <w:p w14:paraId="3A3303C7" w14:textId="77777777" w:rsidR="00566744" w:rsidRDefault="00000000">
      <w:pPr>
        <w:spacing w:line="360" w:lineRule="auto"/>
        <w:ind w:firstLineChars="200" w:firstLine="480"/>
        <w:rPr>
          <w:bCs/>
          <w:sz w:val="24"/>
        </w:rPr>
      </w:pPr>
      <w:r>
        <w:rPr>
          <w:bCs/>
          <w:sz w:val="24"/>
        </w:rPr>
        <w:lastRenderedPageBreak/>
        <w:t>（</w:t>
      </w:r>
      <w:r>
        <w:rPr>
          <w:bCs/>
          <w:sz w:val="24"/>
        </w:rPr>
        <w:t>8</w:t>
      </w:r>
      <w:r>
        <w:rPr>
          <w:bCs/>
          <w:sz w:val="24"/>
        </w:rPr>
        <w:t>）复核、审查基金管理人计算的基金</w:t>
      </w:r>
      <w:r>
        <w:rPr>
          <w:rFonts w:hint="eastAsia"/>
          <w:bCs/>
          <w:sz w:val="24"/>
        </w:rPr>
        <w:t>净值信息</w:t>
      </w:r>
      <w:r>
        <w:rPr>
          <w:bCs/>
          <w:sz w:val="24"/>
        </w:rPr>
        <w:t>；</w:t>
      </w:r>
    </w:p>
    <w:p w14:paraId="5224CEBF" w14:textId="77777777" w:rsidR="00566744" w:rsidRDefault="00000000">
      <w:pPr>
        <w:spacing w:line="360" w:lineRule="auto"/>
        <w:ind w:firstLineChars="200" w:firstLine="480"/>
        <w:rPr>
          <w:bCs/>
          <w:sz w:val="24"/>
        </w:rPr>
      </w:pPr>
      <w:r>
        <w:rPr>
          <w:bCs/>
          <w:sz w:val="24"/>
        </w:rPr>
        <w:t>（</w:t>
      </w:r>
      <w:r>
        <w:rPr>
          <w:bCs/>
          <w:sz w:val="24"/>
        </w:rPr>
        <w:t>9</w:t>
      </w:r>
      <w:r>
        <w:rPr>
          <w:bCs/>
          <w:sz w:val="24"/>
        </w:rPr>
        <w:t>）办理与基金托管业务活动有关的信息披露事项；</w:t>
      </w:r>
    </w:p>
    <w:p w14:paraId="691C4CFA" w14:textId="77777777" w:rsidR="00566744" w:rsidRDefault="00000000">
      <w:pPr>
        <w:spacing w:line="360" w:lineRule="auto"/>
        <w:ind w:firstLineChars="200" w:firstLine="480"/>
        <w:rPr>
          <w:bCs/>
          <w:sz w:val="24"/>
        </w:rPr>
      </w:pPr>
      <w:r>
        <w:rPr>
          <w:bCs/>
          <w:sz w:val="24"/>
        </w:rPr>
        <w:t>（</w:t>
      </w:r>
      <w:r>
        <w:rPr>
          <w:bCs/>
          <w:sz w:val="24"/>
        </w:rPr>
        <w:t>10</w:t>
      </w:r>
      <w:r>
        <w:rPr>
          <w:bCs/>
          <w:sz w:val="24"/>
        </w:rPr>
        <w:t>）对基金财务会计报告、</w:t>
      </w:r>
      <w:r>
        <w:rPr>
          <w:rFonts w:hint="eastAsia"/>
          <w:bCs/>
          <w:sz w:val="24"/>
        </w:rPr>
        <w:t>季度报告、中期报告</w:t>
      </w:r>
      <w:r>
        <w:rPr>
          <w:bCs/>
          <w:sz w:val="24"/>
        </w:rPr>
        <w:t>和年度报告出具意见，说明基金管理人在各重要方面的运作是否严格按照《基金合同》的规定进行；如果基金管理人有未执行《基金合同》规定的行为，还应当说明基金托管人是否采取了适当的措施；</w:t>
      </w:r>
    </w:p>
    <w:p w14:paraId="7DC1F99E" w14:textId="77777777" w:rsidR="00566744" w:rsidRDefault="00000000">
      <w:pPr>
        <w:spacing w:line="360" w:lineRule="auto"/>
        <w:ind w:firstLineChars="200" w:firstLine="480"/>
        <w:rPr>
          <w:bCs/>
          <w:sz w:val="24"/>
        </w:rPr>
      </w:pPr>
      <w:r>
        <w:rPr>
          <w:bCs/>
          <w:sz w:val="24"/>
        </w:rPr>
        <w:t>（</w:t>
      </w:r>
      <w:r>
        <w:rPr>
          <w:bCs/>
          <w:sz w:val="24"/>
        </w:rPr>
        <w:t>11</w:t>
      </w:r>
      <w:r>
        <w:rPr>
          <w:bCs/>
          <w:sz w:val="24"/>
        </w:rPr>
        <w:t>）保存基金托管业务活动的记录、账册、报表和其他相关资料</w:t>
      </w:r>
      <w:r>
        <w:t>15</w:t>
      </w:r>
      <w:r>
        <w:rPr>
          <w:bCs/>
          <w:sz w:val="24"/>
        </w:rPr>
        <w:t>年以上；</w:t>
      </w:r>
    </w:p>
    <w:p w14:paraId="15922AB2" w14:textId="77777777" w:rsidR="00566744" w:rsidRDefault="00000000">
      <w:pPr>
        <w:spacing w:line="360" w:lineRule="auto"/>
        <w:ind w:firstLineChars="200" w:firstLine="480"/>
        <w:rPr>
          <w:bCs/>
          <w:sz w:val="24"/>
        </w:rPr>
      </w:pPr>
      <w:r>
        <w:rPr>
          <w:bCs/>
          <w:sz w:val="24"/>
        </w:rPr>
        <w:t>（</w:t>
      </w:r>
      <w:r>
        <w:rPr>
          <w:bCs/>
          <w:sz w:val="24"/>
        </w:rPr>
        <w:t>12</w:t>
      </w:r>
      <w:r>
        <w:rPr>
          <w:bCs/>
          <w:sz w:val="24"/>
        </w:rPr>
        <w:t>）</w:t>
      </w:r>
      <w:r>
        <w:rPr>
          <w:rFonts w:hint="eastAsia"/>
          <w:bCs/>
          <w:sz w:val="24"/>
        </w:rPr>
        <w:t>从基金管理人或其委托的登记机构处接受</w:t>
      </w:r>
      <w:r>
        <w:rPr>
          <w:bCs/>
          <w:sz w:val="24"/>
        </w:rPr>
        <w:t>并保存基金份额持有人名册；</w:t>
      </w:r>
    </w:p>
    <w:p w14:paraId="237CB1BA" w14:textId="77777777" w:rsidR="00566744" w:rsidRDefault="00000000">
      <w:pPr>
        <w:spacing w:line="360" w:lineRule="auto"/>
        <w:ind w:firstLineChars="200" w:firstLine="480"/>
        <w:rPr>
          <w:bCs/>
          <w:sz w:val="24"/>
        </w:rPr>
      </w:pPr>
      <w:r>
        <w:rPr>
          <w:bCs/>
          <w:sz w:val="24"/>
        </w:rPr>
        <w:t>（</w:t>
      </w:r>
      <w:r>
        <w:rPr>
          <w:bCs/>
          <w:sz w:val="24"/>
        </w:rPr>
        <w:t>13</w:t>
      </w:r>
      <w:r>
        <w:rPr>
          <w:bCs/>
          <w:sz w:val="24"/>
        </w:rPr>
        <w:t>）按规定制作相关账册并与基金管理人核对；</w:t>
      </w:r>
    </w:p>
    <w:p w14:paraId="01BAF5DB" w14:textId="77777777" w:rsidR="00566744" w:rsidRDefault="00000000">
      <w:pPr>
        <w:spacing w:line="360" w:lineRule="auto"/>
        <w:ind w:firstLineChars="200" w:firstLine="480"/>
        <w:rPr>
          <w:bCs/>
          <w:sz w:val="24"/>
        </w:rPr>
      </w:pPr>
      <w:r>
        <w:rPr>
          <w:bCs/>
          <w:sz w:val="24"/>
        </w:rPr>
        <w:t>（</w:t>
      </w:r>
      <w:r>
        <w:rPr>
          <w:bCs/>
          <w:sz w:val="24"/>
        </w:rPr>
        <w:t>14</w:t>
      </w:r>
      <w:r>
        <w:rPr>
          <w:bCs/>
          <w:sz w:val="24"/>
        </w:rPr>
        <w:t>）依据基金管理人的指令或有关规定向基金份额持有人支付基金收益和赎回款项；</w:t>
      </w:r>
    </w:p>
    <w:p w14:paraId="7C767865" w14:textId="77777777" w:rsidR="00566744" w:rsidRDefault="00000000">
      <w:pPr>
        <w:spacing w:line="360" w:lineRule="auto"/>
        <w:ind w:firstLineChars="200" w:firstLine="480"/>
        <w:rPr>
          <w:bCs/>
          <w:sz w:val="24"/>
        </w:rPr>
      </w:pPr>
      <w:r>
        <w:rPr>
          <w:bCs/>
          <w:sz w:val="24"/>
        </w:rPr>
        <w:t>（</w:t>
      </w:r>
      <w:r>
        <w:rPr>
          <w:bCs/>
          <w:sz w:val="24"/>
        </w:rPr>
        <w:t>15</w:t>
      </w:r>
      <w:r>
        <w:rPr>
          <w:bCs/>
          <w:sz w:val="24"/>
        </w:rPr>
        <w:t>）依据《基金法》、《基金合同》及其他有关规定，召集基金份额持有人大会或配合基金份额持有人依法召集基金份额持有人大会；</w:t>
      </w:r>
    </w:p>
    <w:p w14:paraId="67F5B07B" w14:textId="77777777" w:rsidR="00566744" w:rsidRDefault="00000000">
      <w:pPr>
        <w:spacing w:line="360" w:lineRule="auto"/>
        <w:ind w:firstLineChars="200" w:firstLine="480"/>
        <w:rPr>
          <w:bCs/>
          <w:sz w:val="24"/>
        </w:rPr>
      </w:pPr>
      <w:r>
        <w:rPr>
          <w:bCs/>
          <w:sz w:val="24"/>
        </w:rPr>
        <w:t>（</w:t>
      </w:r>
      <w:r>
        <w:rPr>
          <w:bCs/>
          <w:sz w:val="24"/>
        </w:rPr>
        <w:t>16</w:t>
      </w:r>
      <w:r>
        <w:rPr>
          <w:bCs/>
          <w:sz w:val="24"/>
        </w:rPr>
        <w:t>）按照法律法规和《基金合同》的规定监督基金管理人的投资运作；</w:t>
      </w:r>
    </w:p>
    <w:p w14:paraId="57803DEB" w14:textId="77777777" w:rsidR="00566744" w:rsidRDefault="00000000">
      <w:pPr>
        <w:spacing w:line="360" w:lineRule="auto"/>
        <w:ind w:firstLineChars="200" w:firstLine="480"/>
        <w:rPr>
          <w:bCs/>
          <w:sz w:val="24"/>
        </w:rPr>
      </w:pPr>
      <w:r>
        <w:rPr>
          <w:bCs/>
          <w:sz w:val="24"/>
        </w:rPr>
        <w:t>（</w:t>
      </w:r>
      <w:r>
        <w:rPr>
          <w:bCs/>
          <w:sz w:val="24"/>
        </w:rPr>
        <w:t>17</w:t>
      </w:r>
      <w:r>
        <w:rPr>
          <w:bCs/>
          <w:sz w:val="24"/>
        </w:rPr>
        <w:t>）参加基金财产清算小组，参与基金财产的保管、清理、估价、变现和分配；</w:t>
      </w:r>
    </w:p>
    <w:p w14:paraId="6DD4350A" w14:textId="77777777" w:rsidR="00566744" w:rsidRDefault="00000000">
      <w:pPr>
        <w:spacing w:line="360" w:lineRule="auto"/>
        <w:ind w:firstLineChars="200" w:firstLine="480"/>
        <w:rPr>
          <w:bCs/>
          <w:sz w:val="24"/>
        </w:rPr>
      </w:pPr>
      <w:r>
        <w:rPr>
          <w:bCs/>
          <w:sz w:val="24"/>
        </w:rPr>
        <w:t>（</w:t>
      </w:r>
      <w:r>
        <w:rPr>
          <w:bCs/>
          <w:sz w:val="24"/>
        </w:rPr>
        <w:t>18</w:t>
      </w:r>
      <w:r>
        <w:rPr>
          <w:bCs/>
          <w:sz w:val="24"/>
        </w:rPr>
        <w:t>）面临解散、依法被撤销或者被依法宣告破产时，及时报告中国证监会和银行监管机构，并通知基金管理人；</w:t>
      </w:r>
    </w:p>
    <w:p w14:paraId="0103A437" w14:textId="77777777" w:rsidR="00566744" w:rsidRDefault="00000000">
      <w:pPr>
        <w:spacing w:line="360" w:lineRule="auto"/>
        <w:ind w:firstLineChars="200" w:firstLine="480"/>
        <w:rPr>
          <w:bCs/>
          <w:sz w:val="24"/>
        </w:rPr>
      </w:pPr>
      <w:r>
        <w:rPr>
          <w:bCs/>
          <w:sz w:val="24"/>
        </w:rPr>
        <w:t>（</w:t>
      </w:r>
      <w:r>
        <w:rPr>
          <w:bCs/>
          <w:sz w:val="24"/>
        </w:rPr>
        <w:t>19</w:t>
      </w:r>
      <w:r>
        <w:rPr>
          <w:bCs/>
          <w:sz w:val="24"/>
        </w:rPr>
        <w:t>）因违反《基金合同》导致基金财产损失时，应承担赔偿责任，其赔偿责任不因其退任而免除；</w:t>
      </w:r>
    </w:p>
    <w:p w14:paraId="03BF94E5" w14:textId="77777777" w:rsidR="00566744" w:rsidRDefault="00000000">
      <w:pPr>
        <w:spacing w:line="360" w:lineRule="auto"/>
        <w:ind w:firstLineChars="200" w:firstLine="480"/>
        <w:rPr>
          <w:bCs/>
          <w:sz w:val="24"/>
        </w:rPr>
      </w:pPr>
      <w:r>
        <w:rPr>
          <w:bCs/>
          <w:sz w:val="24"/>
        </w:rPr>
        <w:t>（</w:t>
      </w:r>
      <w:r>
        <w:rPr>
          <w:bCs/>
          <w:sz w:val="24"/>
        </w:rPr>
        <w:t>20</w:t>
      </w:r>
      <w:r>
        <w:rPr>
          <w:bCs/>
          <w:sz w:val="24"/>
        </w:rPr>
        <w:t>）按规定监督基金管理人按法律法规和《基金合同》规定履行自己的义务，基金管理人因违反《基金合同》造成基金财产损失时，应为基金份额持有人利益向基金管理人追偿；</w:t>
      </w:r>
    </w:p>
    <w:p w14:paraId="67BFD089" w14:textId="77777777" w:rsidR="00566744" w:rsidRDefault="00000000">
      <w:pPr>
        <w:spacing w:line="360" w:lineRule="auto"/>
        <w:ind w:firstLineChars="200" w:firstLine="480"/>
        <w:rPr>
          <w:bCs/>
          <w:sz w:val="24"/>
        </w:rPr>
      </w:pPr>
      <w:r>
        <w:rPr>
          <w:bCs/>
          <w:sz w:val="24"/>
        </w:rPr>
        <w:t>（</w:t>
      </w:r>
      <w:r>
        <w:rPr>
          <w:bCs/>
          <w:sz w:val="24"/>
        </w:rPr>
        <w:t>21</w:t>
      </w:r>
      <w:r>
        <w:rPr>
          <w:bCs/>
          <w:sz w:val="24"/>
        </w:rPr>
        <w:t>）执行生效的基金份额持有人大会的</w:t>
      </w:r>
      <w:r>
        <w:rPr>
          <w:rFonts w:hint="eastAsia"/>
          <w:bCs/>
          <w:sz w:val="24"/>
        </w:rPr>
        <w:t>决议</w:t>
      </w:r>
      <w:r>
        <w:rPr>
          <w:bCs/>
          <w:sz w:val="24"/>
        </w:rPr>
        <w:t>；</w:t>
      </w:r>
    </w:p>
    <w:p w14:paraId="44AFF7B6" w14:textId="77777777" w:rsidR="00566744" w:rsidRDefault="00000000">
      <w:pPr>
        <w:spacing w:line="360" w:lineRule="auto"/>
        <w:ind w:firstLineChars="200" w:firstLine="480"/>
        <w:rPr>
          <w:bCs/>
          <w:sz w:val="24"/>
        </w:rPr>
      </w:pPr>
      <w:r>
        <w:rPr>
          <w:bCs/>
          <w:sz w:val="24"/>
        </w:rPr>
        <w:t>（</w:t>
      </w:r>
      <w:r>
        <w:rPr>
          <w:bCs/>
          <w:sz w:val="24"/>
        </w:rPr>
        <w:t>22</w:t>
      </w:r>
      <w:r>
        <w:rPr>
          <w:bCs/>
          <w:sz w:val="24"/>
        </w:rPr>
        <w:t>）法律法规及中国证监会规定的和《基金合同》约定的其他义务。</w:t>
      </w:r>
    </w:p>
    <w:p w14:paraId="2DBED6D6" w14:textId="77777777" w:rsidR="00566744" w:rsidRDefault="00000000">
      <w:pPr>
        <w:spacing w:line="360" w:lineRule="auto"/>
        <w:ind w:firstLineChars="200" w:firstLine="480"/>
        <w:rPr>
          <w:bCs/>
          <w:sz w:val="24"/>
        </w:rPr>
      </w:pPr>
      <w:r>
        <w:rPr>
          <w:rFonts w:hint="eastAsia"/>
          <w:bCs/>
          <w:sz w:val="24"/>
        </w:rPr>
        <w:t>三、</w:t>
      </w:r>
      <w:r>
        <w:rPr>
          <w:bCs/>
          <w:sz w:val="24"/>
        </w:rPr>
        <w:t>基金份额持有人</w:t>
      </w:r>
    </w:p>
    <w:p w14:paraId="0D44A1CB" w14:textId="77777777" w:rsidR="00566744" w:rsidRDefault="00000000">
      <w:pPr>
        <w:spacing w:line="360" w:lineRule="auto"/>
        <w:ind w:firstLineChars="200" w:firstLine="480"/>
        <w:rPr>
          <w:bCs/>
          <w:sz w:val="24"/>
        </w:rPr>
      </w:pPr>
      <w:r>
        <w:rPr>
          <w:bCs/>
          <w:sz w:val="24"/>
        </w:rPr>
        <w:t>基金投资者</w:t>
      </w:r>
      <w:r>
        <w:rPr>
          <w:rFonts w:hint="eastAsia"/>
          <w:bCs/>
          <w:sz w:val="24"/>
        </w:rPr>
        <w:t>持有</w:t>
      </w:r>
      <w:r>
        <w:rPr>
          <w:bCs/>
          <w:sz w:val="24"/>
        </w:rPr>
        <w:t>本</w:t>
      </w:r>
      <w:proofErr w:type="gramStart"/>
      <w:r>
        <w:rPr>
          <w:bCs/>
          <w:sz w:val="24"/>
        </w:rPr>
        <w:t>基金基金</w:t>
      </w:r>
      <w:proofErr w:type="gramEnd"/>
      <w:r>
        <w:rPr>
          <w:bCs/>
          <w:sz w:val="24"/>
        </w:rPr>
        <w:t>份额的行为即视为对《基金合同》的承认和接受，基金投资者</w:t>
      </w:r>
      <w:proofErr w:type="gramStart"/>
      <w:r>
        <w:rPr>
          <w:bCs/>
          <w:sz w:val="24"/>
        </w:rPr>
        <w:t>自依据</w:t>
      </w:r>
      <w:proofErr w:type="gramEnd"/>
      <w:r>
        <w:rPr>
          <w:bCs/>
          <w:sz w:val="24"/>
        </w:rPr>
        <w:t>《基金合同》取得基金份额，即成为本基金份额持有人和《基金</w:t>
      </w:r>
      <w:r>
        <w:rPr>
          <w:bCs/>
          <w:sz w:val="24"/>
        </w:rPr>
        <w:lastRenderedPageBreak/>
        <w:t>合同》的当事人，直至其不再持有本基金的基金份额。基金份额持有人作为《基金合同》当事人并不以在《基金合同》上书面签章或签字为必要条件。</w:t>
      </w:r>
    </w:p>
    <w:p w14:paraId="1CFF9841" w14:textId="77777777" w:rsidR="00566744" w:rsidRDefault="00000000">
      <w:pPr>
        <w:spacing w:line="360" w:lineRule="auto"/>
        <w:ind w:firstLineChars="200" w:firstLine="480"/>
        <w:rPr>
          <w:bCs/>
          <w:sz w:val="24"/>
        </w:rPr>
      </w:pPr>
      <w:r>
        <w:rPr>
          <w:bCs/>
          <w:sz w:val="24"/>
        </w:rPr>
        <w:t>每份基金份额具有同等的合法权益。</w:t>
      </w:r>
    </w:p>
    <w:p w14:paraId="1480AF3C" w14:textId="77777777" w:rsidR="00566744" w:rsidRDefault="00000000">
      <w:pPr>
        <w:spacing w:line="360" w:lineRule="auto"/>
        <w:ind w:firstLineChars="200" w:firstLine="480"/>
        <w:rPr>
          <w:bCs/>
          <w:sz w:val="24"/>
        </w:rPr>
      </w:pPr>
      <w:r>
        <w:rPr>
          <w:bCs/>
          <w:sz w:val="24"/>
        </w:rPr>
        <w:t>1</w:t>
      </w:r>
      <w:r>
        <w:rPr>
          <w:bCs/>
          <w:sz w:val="24"/>
        </w:rPr>
        <w:t>、根据《基金法》、《运作办法》及其他有关规定，基金份额持有人的权利包括但不限于：</w:t>
      </w:r>
    </w:p>
    <w:p w14:paraId="27CF5E6D" w14:textId="77777777" w:rsidR="00566744" w:rsidRDefault="00000000">
      <w:pPr>
        <w:spacing w:line="360" w:lineRule="auto"/>
        <w:ind w:firstLineChars="200" w:firstLine="480"/>
        <w:rPr>
          <w:bCs/>
          <w:sz w:val="24"/>
        </w:rPr>
      </w:pPr>
      <w:r>
        <w:rPr>
          <w:rFonts w:hint="eastAsia"/>
          <w:bCs/>
          <w:sz w:val="24"/>
        </w:rPr>
        <w:t>（</w:t>
      </w:r>
      <w:r>
        <w:rPr>
          <w:rFonts w:hint="eastAsia"/>
          <w:bCs/>
          <w:sz w:val="24"/>
        </w:rPr>
        <w:t>1</w:t>
      </w:r>
      <w:r>
        <w:rPr>
          <w:rFonts w:hint="eastAsia"/>
          <w:bCs/>
          <w:sz w:val="24"/>
        </w:rPr>
        <w:t>）分享基金财产收益；</w:t>
      </w:r>
    </w:p>
    <w:p w14:paraId="596635F7" w14:textId="77777777" w:rsidR="00566744" w:rsidRDefault="00000000">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）参与分配清算后的剩余基金财产；</w:t>
      </w:r>
    </w:p>
    <w:p w14:paraId="413131AD" w14:textId="77777777" w:rsidR="00566744" w:rsidRDefault="00000000">
      <w:pPr>
        <w:spacing w:line="360" w:lineRule="auto"/>
        <w:ind w:firstLineChars="200" w:firstLine="480"/>
        <w:rPr>
          <w:bCs/>
          <w:sz w:val="24"/>
        </w:rPr>
      </w:pPr>
      <w:r>
        <w:rPr>
          <w:rFonts w:hint="eastAsia"/>
          <w:bCs/>
          <w:sz w:val="24"/>
        </w:rPr>
        <w:t>（</w:t>
      </w:r>
      <w:r>
        <w:rPr>
          <w:rFonts w:hint="eastAsia"/>
          <w:bCs/>
          <w:sz w:val="24"/>
        </w:rPr>
        <w:t>3</w:t>
      </w:r>
      <w:r>
        <w:rPr>
          <w:rFonts w:hint="eastAsia"/>
          <w:bCs/>
          <w:sz w:val="24"/>
        </w:rPr>
        <w:t>）依法转让或者申请赎回其持有的基金份额；</w:t>
      </w:r>
    </w:p>
    <w:p w14:paraId="174B97BC" w14:textId="77777777" w:rsidR="00566744" w:rsidRDefault="00000000">
      <w:pPr>
        <w:tabs>
          <w:tab w:val="left" w:pos="993"/>
        </w:tabs>
        <w:spacing w:line="360" w:lineRule="auto"/>
        <w:ind w:firstLineChars="200" w:firstLine="480"/>
        <w:rPr>
          <w:bCs/>
          <w:sz w:val="24"/>
        </w:rPr>
      </w:pPr>
      <w:r>
        <w:rPr>
          <w:rFonts w:hint="eastAsia"/>
          <w:bCs/>
          <w:sz w:val="24"/>
        </w:rPr>
        <w:t>（</w:t>
      </w:r>
      <w:r>
        <w:rPr>
          <w:rFonts w:hint="eastAsia"/>
          <w:bCs/>
          <w:sz w:val="24"/>
        </w:rPr>
        <w:t>4</w:t>
      </w:r>
      <w:r>
        <w:rPr>
          <w:rFonts w:hint="eastAsia"/>
          <w:bCs/>
          <w:sz w:val="24"/>
        </w:rPr>
        <w:t>）按照规定要求召开基金份额持有人大会或者召集基金份额持有人大会；</w:t>
      </w:r>
    </w:p>
    <w:p w14:paraId="4A08D1A0" w14:textId="77777777" w:rsidR="00566744" w:rsidRDefault="00000000">
      <w:pPr>
        <w:spacing w:line="360" w:lineRule="auto"/>
        <w:ind w:firstLineChars="200" w:firstLine="480"/>
        <w:rPr>
          <w:bCs/>
          <w:sz w:val="24"/>
        </w:rPr>
      </w:pPr>
      <w:r>
        <w:rPr>
          <w:rFonts w:hint="eastAsia"/>
          <w:bCs/>
          <w:sz w:val="24"/>
        </w:rPr>
        <w:t>（</w:t>
      </w:r>
      <w:r>
        <w:rPr>
          <w:rFonts w:hint="eastAsia"/>
          <w:bCs/>
          <w:sz w:val="24"/>
        </w:rPr>
        <w:t>5</w:t>
      </w:r>
      <w:r>
        <w:rPr>
          <w:rFonts w:hint="eastAsia"/>
          <w:bCs/>
          <w:sz w:val="24"/>
        </w:rPr>
        <w:t>）对基金份额持有人大会审议事项行使表决权；</w:t>
      </w:r>
    </w:p>
    <w:p w14:paraId="4F5EC828" w14:textId="77777777" w:rsidR="00566744" w:rsidRDefault="00000000">
      <w:pPr>
        <w:spacing w:line="360" w:lineRule="auto"/>
        <w:ind w:firstLineChars="200" w:firstLine="480"/>
        <w:rPr>
          <w:bCs/>
          <w:sz w:val="24"/>
        </w:rPr>
      </w:pPr>
      <w:r>
        <w:rPr>
          <w:rFonts w:hint="eastAsia"/>
          <w:bCs/>
          <w:sz w:val="24"/>
        </w:rPr>
        <w:t>（</w:t>
      </w:r>
      <w:r>
        <w:rPr>
          <w:rFonts w:hint="eastAsia"/>
          <w:bCs/>
          <w:sz w:val="24"/>
        </w:rPr>
        <w:t>6</w:t>
      </w:r>
      <w:r>
        <w:rPr>
          <w:rFonts w:hint="eastAsia"/>
          <w:bCs/>
          <w:sz w:val="24"/>
        </w:rPr>
        <w:t>）对基金管理人、基金托管人、基金服务机构损害其合法权益的行为依法提起诉讼；</w:t>
      </w:r>
    </w:p>
    <w:p w14:paraId="023188FE" w14:textId="77777777" w:rsidR="00566744" w:rsidRDefault="00000000">
      <w:pPr>
        <w:spacing w:line="360" w:lineRule="auto"/>
        <w:ind w:firstLineChars="200" w:firstLine="480"/>
        <w:rPr>
          <w:bCs/>
          <w:sz w:val="24"/>
        </w:rPr>
      </w:pPr>
      <w:r>
        <w:rPr>
          <w:rFonts w:hint="eastAsia"/>
          <w:bCs/>
          <w:sz w:val="24"/>
        </w:rPr>
        <w:t>（</w:t>
      </w:r>
      <w:r>
        <w:rPr>
          <w:rFonts w:hint="eastAsia"/>
          <w:bCs/>
          <w:sz w:val="24"/>
        </w:rPr>
        <w:t>7</w:t>
      </w:r>
      <w:r>
        <w:rPr>
          <w:rFonts w:hint="eastAsia"/>
          <w:bCs/>
          <w:sz w:val="24"/>
        </w:rPr>
        <w:t>）</w:t>
      </w:r>
      <w:r>
        <w:rPr>
          <w:bCs/>
          <w:sz w:val="24"/>
        </w:rPr>
        <w:t>法律法规及中国证监会规定的和</w:t>
      </w:r>
      <w:r>
        <w:rPr>
          <w:rFonts w:hint="eastAsia"/>
          <w:bCs/>
          <w:sz w:val="24"/>
        </w:rPr>
        <w:t>《基金合同》约定的其他权利。</w:t>
      </w:r>
    </w:p>
    <w:p w14:paraId="41611F50" w14:textId="77777777" w:rsidR="00566744" w:rsidRDefault="00000000">
      <w:pPr>
        <w:spacing w:line="360" w:lineRule="auto"/>
        <w:ind w:firstLineChars="200" w:firstLine="480"/>
        <w:rPr>
          <w:bCs/>
          <w:sz w:val="24"/>
        </w:rPr>
      </w:pPr>
      <w:r>
        <w:rPr>
          <w:bCs/>
          <w:sz w:val="24"/>
        </w:rPr>
        <w:t>2</w:t>
      </w:r>
      <w:r>
        <w:rPr>
          <w:bCs/>
          <w:sz w:val="24"/>
        </w:rPr>
        <w:t>、根据《基金法》、《运作办法》及其他有关规定，基金份额持有人的义务包括但不限于：</w:t>
      </w:r>
    </w:p>
    <w:p w14:paraId="45FB0BE4" w14:textId="77777777" w:rsidR="00566744" w:rsidRDefault="00000000">
      <w:pPr>
        <w:spacing w:line="360" w:lineRule="auto"/>
        <w:ind w:firstLineChars="200" w:firstLine="480"/>
        <w:rPr>
          <w:bCs/>
          <w:sz w:val="24"/>
        </w:rPr>
      </w:pPr>
      <w:r>
        <w:rPr>
          <w:bCs/>
          <w:sz w:val="24"/>
        </w:rPr>
        <w:t>（</w:t>
      </w:r>
      <w:r>
        <w:rPr>
          <w:bCs/>
          <w:sz w:val="24"/>
        </w:rPr>
        <w:t>1</w:t>
      </w:r>
      <w:r>
        <w:rPr>
          <w:bCs/>
          <w:sz w:val="24"/>
        </w:rPr>
        <w:t>）认真阅读并遵守《基金合同》</w:t>
      </w:r>
      <w:r>
        <w:rPr>
          <w:rFonts w:hint="eastAsia"/>
          <w:bCs/>
          <w:sz w:val="24"/>
        </w:rPr>
        <w:t>、招募说明书等信息披露文件</w:t>
      </w:r>
      <w:r>
        <w:rPr>
          <w:bCs/>
          <w:sz w:val="24"/>
        </w:rPr>
        <w:t>；</w:t>
      </w:r>
    </w:p>
    <w:p w14:paraId="4B0413C7" w14:textId="77777777" w:rsidR="00566744" w:rsidRDefault="00000000">
      <w:pPr>
        <w:spacing w:line="360" w:lineRule="auto"/>
        <w:ind w:firstLineChars="200" w:firstLine="480"/>
        <w:rPr>
          <w:bCs/>
          <w:sz w:val="24"/>
        </w:rPr>
      </w:pPr>
      <w:r>
        <w:rPr>
          <w:bCs/>
          <w:sz w:val="24"/>
        </w:rPr>
        <w:t>（</w:t>
      </w:r>
      <w:r>
        <w:rPr>
          <w:bCs/>
          <w:sz w:val="24"/>
        </w:rPr>
        <w:t>2</w:t>
      </w:r>
      <w:r>
        <w:rPr>
          <w:bCs/>
          <w:sz w:val="24"/>
        </w:rPr>
        <w:t>）了解所投资基金产品，了解自身风险承受能力，自行承担投资风险；</w:t>
      </w:r>
    </w:p>
    <w:p w14:paraId="76778CFC" w14:textId="77777777" w:rsidR="00566744" w:rsidRDefault="00000000">
      <w:pPr>
        <w:spacing w:line="360" w:lineRule="auto"/>
        <w:ind w:firstLineChars="200" w:firstLine="480"/>
        <w:rPr>
          <w:bCs/>
          <w:sz w:val="24"/>
        </w:rPr>
      </w:pPr>
      <w:r>
        <w:rPr>
          <w:bCs/>
          <w:sz w:val="24"/>
        </w:rPr>
        <w:t>（</w:t>
      </w:r>
      <w:r>
        <w:rPr>
          <w:bCs/>
          <w:sz w:val="24"/>
        </w:rPr>
        <w:t>3</w:t>
      </w:r>
      <w:r>
        <w:rPr>
          <w:bCs/>
          <w:sz w:val="24"/>
        </w:rPr>
        <w:t>）关注基金信息披露，及时行使权利和履行义务；</w:t>
      </w:r>
    </w:p>
    <w:p w14:paraId="63689BA0" w14:textId="77777777" w:rsidR="00566744" w:rsidRDefault="00000000">
      <w:pPr>
        <w:spacing w:line="360" w:lineRule="auto"/>
        <w:ind w:firstLineChars="200" w:firstLine="480"/>
        <w:rPr>
          <w:bCs/>
          <w:sz w:val="24"/>
        </w:rPr>
      </w:pPr>
      <w:r>
        <w:rPr>
          <w:bCs/>
          <w:sz w:val="24"/>
        </w:rPr>
        <w:t>（</w:t>
      </w:r>
      <w:r>
        <w:rPr>
          <w:bCs/>
          <w:sz w:val="24"/>
        </w:rPr>
        <w:t>4</w:t>
      </w:r>
      <w:r>
        <w:rPr>
          <w:bCs/>
          <w:sz w:val="24"/>
        </w:rPr>
        <w:t>）</w:t>
      </w:r>
      <w:r>
        <w:rPr>
          <w:rFonts w:hint="eastAsia"/>
          <w:bCs/>
          <w:sz w:val="24"/>
        </w:rPr>
        <w:t>缴纳</w:t>
      </w:r>
      <w:r>
        <w:rPr>
          <w:bCs/>
          <w:sz w:val="24"/>
        </w:rPr>
        <w:t>基金认购、申购款项及法律法规和《基金合同》所规定的费用；</w:t>
      </w:r>
    </w:p>
    <w:p w14:paraId="3F274189" w14:textId="77777777" w:rsidR="00566744" w:rsidRDefault="00000000">
      <w:pPr>
        <w:spacing w:line="360" w:lineRule="auto"/>
        <w:ind w:firstLineChars="200" w:firstLine="480"/>
        <w:rPr>
          <w:bCs/>
          <w:sz w:val="24"/>
        </w:rPr>
      </w:pPr>
      <w:r>
        <w:rPr>
          <w:bCs/>
          <w:sz w:val="24"/>
        </w:rPr>
        <w:t>（</w:t>
      </w:r>
      <w:r>
        <w:rPr>
          <w:bCs/>
          <w:sz w:val="24"/>
        </w:rPr>
        <w:t>5</w:t>
      </w:r>
      <w:r>
        <w:rPr>
          <w:bCs/>
          <w:sz w:val="24"/>
        </w:rPr>
        <w:t>）在其持有的基金份额范围内，承担基金亏损或者《基金合同》终止的有限责任；</w:t>
      </w:r>
    </w:p>
    <w:p w14:paraId="6009FAA3" w14:textId="77777777" w:rsidR="00566744" w:rsidRDefault="00000000">
      <w:pPr>
        <w:spacing w:line="360" w:lineRule="auto"/>
        <w:ind w:firstLineChars="200" w:firstLine="480"/>
        <w:rPr>
          <w:bCs/>
          <w:sz w:val="24"/>
        </w:rPr>
      </w:pPr>
      <w:r>
        <w:rPr>
          <w:bCs/>
          <w:sz w:val="24"/>
        </w:rPr>
        <w:t>（</w:t>
      </w:r>
      <w:r>
        <w:rPr>
          <w:bCs/>
          <w:sz w:val="24"/>
        </w:rPr>
        <w:t>6</w:t>
      </w:r>
      <w:r>
        <w:rPr>
          <w:bCs/>
          <w:sz w:val="24"/>
        </w:rPr>
        <w:t>）不从事任何有损基金及其他《基金合同》当事人合法权益的活动；</w:t>
      </w:r>
    </w:p>
    <w:p w14:paraId="79E11F32" w14:textId="77777777" w:rsidR="00566744" w:rsidRDefault="00000000">
      <w:pPr>
        <w:spacing w:line="360" w:lineRule="auto"/>
        <w:ind w:firstLineChars="200" w:firstLine="480"/>
        <w:rPr>
          <w:bCs/>
          <w:sz w:val="24"/>
        </w:rPr>
      </w:pPr>
      <w:r>
        <w:rPr>
          <w:bCs/>
          <w:sz w:val="24"/>
        </w:rPr>
        <w:t>（</w:t>
      </w:r>
      <w:r>
        <w:rPr>
          <w:bCs/>
          <w:sz w:val="24"/>
        </w:rPr>
        <w:t>7</w:t>
      </w:r>
      <w:r>
        <w:rPr>
          <w:bCs/>
          <w:sz w:val="24"/>
        </w:rPr>
        <w:t>）执行生效的基金份额持有人大会的</w:t>
      </w:r>
      <w:r>
        <w:rPr>
          <w:rFonts w:hint="eastAsia"/>
          <w:bCs/>
          <w:sz w:val="24"/>
        </w:rPr>
        <w:t>决议</w:t>
      </w:r>
      <w:r>
        <w:rPr>
          <w:bCs/>
          <w:sz w:val="24"/>
        </w:rPr>
        <w:t>；</w:t>
      </w:r>
    </w:p>
    <w:p w14:paraId="4C76B527" w14:textId="77777777" w:rsidR="00566744" w:rsidRDefault="00000000">
      <w:pPr>
        <w:spacing w:line="360" w:lineRule="auto"/>
        <w:ind w:firstLineChars="200" w:firstLine="480"/>
        <w:rPr>
          <w:bCs/>
          <w:sz w:val="24"/>
        </w:rPr>
      </w:pPr>
      <w:r>
        <w:rPr>
          <w:bCs/>
          <w:sz w:val="24"/>
        </w:rPr>
        <w:t>（</w:t>
      </w:r>
      <w:r>
        <w:rPr>
          <w:bCs/>
          <w:sz w:val="24"/>
        </w:rPr>
        <w:t>8</w:t>
      </w:r>
      <w:r>
        <w:rPr>
          <w:bCs/>
          <w:sz w:val="24"/>
        </w:rPr>
        <w:t>）返还在基金交易过程中因任何原因获得的不当得利；</w:t>
      </w:r>
    </w:p>
    <w:p w14:paraId="011079E8" w14:textId="77777777" w:rsidR="00566744" w:rsidRDefault="00000000">
      <w:pPr>
        <w:spacing w:line="360" w:lineRule="auto"/>
        <w:ind w:firstLineChars="200" w:firstLine="480"/>
        <w:rPr>
          <w:bCs/>
          <w:sz w:val="24"/>
        </w:rPr>
      </w:pPr>
      <w:r>
        <w:rPr>
          <w:bCs/>
          <w:sz w:val="24"/>
        </w:rPr>
        <w:t>（</w:t>
      </w:r>
      <w:r>
        <w:rPr>
          <w:bCs/>
          <w:sz w:val="24"/>
        </w:rPr>
        <w:t>9</w:t>
      </w:r>
      <w:r>
        <w:rPr>
          <w:bCs/>
          <w:sz w:val="24"/>
        </w:rPr>
        <w:t>）法律法规及中国证监会规定的和《基金合同》约定的其他义务。</w:t>
      </w:r>
    </w:p>
    <w:p w14:paraId="7021597F" w14:textId="77777777" w:rsidR="00566744" w:rsidRDefault="00000000">
      <w:pPr>
        <w:spacing w:line="360" w:lineRule="auto"/>
        <w:ind w:firstLineChars="200" w:firstLine="480"/>
        <w:rPr>
          <w:rFonts w:ascii="宋体" w:hAnsi="宋体" w:hint="eastAsia"/>
          <w:sz w:val="24"/>
        </w:rPr>
      </w:pPr>
      <w:r>
        <w:rPr>
          <w:rFonts w:ascii="宋体" w:hAnsi="宋体" w:hint="eastAsia"/>
          <w:sz w:val="24"/>
        </w:rPr>
        <w:t>（二</w:t>
      </w:r>
      <w:r>
        <w:rPr>
          <w:rFonts w:ascii="宋体" w:hAnsi="宋体"/>
          <w:sz w:val="24"/>
        </w:rPr>
        <w:t>）</w:t>
      </w:r>
      <w:r>
        <w:rPr>
          <w:rFonts w:ascii="宋体" w:hAnsi="宋体" w:hint="eastAsia"/>
          <w:sz w:val="24"/>
        </w:rPr>
        <w:t>基金份额持有人大会召集、议事及表决的程序和规则</w:t>
      </w:r>
    </w:p>
    <w:p w14:paraId="4A736163" w14:textId="77777777" w:rsidR="00566744" w:rsidRDefault="00000000">
      <w:pPr>
        <w:spacing w:line="360" w:lineRule="auto"/>
        <w:ind w:firstLineChars="200" w:firstLine="480"/>
        <w:rPr>
          <w:bCs/>
          <w:sz w:val="24"/>
        </w:rPr>
      </w:pPr>
      <w:r>
        <w:rPr>
          <w:bCs/>
          <w:sz w:val="24"/>
        </w:rPr>
        <w:t>基金份额持有人大会由基金份额持有人组成，基金份额持有人的合法授权代表有权代表基金份额持有人出席会议并表决。基金份额持有人持有的每一基金份额拥</w:t>
      </w:r>
      <w:r>
        <w:rPr>
          <w:bCs/>
          <w:sz w:val="24"/>
        </w:rPr>
        <w:lastRenderedPageBreak/>
        <w:t>有平等的投票权。</w:t>
      </w:r>
    </w:p>
    <w:p w14:paraId="476BE8E8" w14:textId="77777777" w:rsidR="00566744" w:rsidRDefault="00000000">
      <w:pPr>
        <w:spacing w:line="360" w:lineRule="auto"/>
        <w:ind w:firstLineChars="200" w:firstLine="480"/>
        <w:rPr>
          <w:bCs/>
          <w:sz w:val="24"/>
        </w:rPr>
      </w:pPr>
      <w:r>
        <w:rPr>
          <w:rFonts w:hint="eastAsia"/>
          <w:bCs/>
          <w:sz w:val="24"/>
        </w:rPr>
        <w:t>本基金份额持有人大会不设日常机构。</w:t>
      </w:r>
    </w:p>
    <w:p w14:paraId="11D2F33C" w14:textId="77777777" w:rsidR="00566744" w:rsidRDefault="00000000">
      <w:pPr>
        <w:spacing w:line="360" w:lineRule="auto"/>
        <w:ind w:firstLineChars="200" w:firstLine="480"/>
        <w:rPr>
          <w:bCs/>
          <w:sz w:val="24"/>
        </w:rPr>
      </w:pPr>
      <w:r>
        <w:rPr>
          <w:rFonts w:hint="eastAsia"/>
          <w:bCs/>
          <w:sz w:val="24"/>
        </w:rPr>
        <w:t>一、</w:t>
      </w:r>
      <w:r>
        <w:rPr>
          <w:bCs/>
          <w:sz w:val="24"/>
        </w:rPr>
        <w:t>召开事由</w:t>
      </w:r>
    </w:p>
    <w:p w14:paraId="64CA0E4D" w14:textId="77777777" w:rsidR="00566744" w:rsidRDefault="00000000">
      <w:pPr>
        <w:spacing w:line="360" w:lineRule="auto"/>
        <w:ind w:firstLineChars="200" w:firstLine="480"/>
        <w:rPr>
          <w:bCs/>
          <w:sz w:val="24"/>
        </w:rPr>
      </w:pPr>
      <w:r>
        <w:rPr>
          <w:bCs/>
          <w:sz w:val="24"/>
        </w:rPr>
        <w:t>1</w:t>
      </w:r>
      <w:r>
        <w:rPr>
          <w:bCs/>
          <w:sz w:val="24"/>
        </w:rPr>
        <w:t>、当出现或需要决定下列事由之一的，应当召开基金份额持有人大会：</w:t>
      </w:r>
    </w:p>
    <w:p w14:paraId="36938115" w14:textId="77777777" w:rsidR="00566744" w:rsidRDefault="00000000">
      <w:pPr>
        <w:spacing w:line="440" w:lineRule="atLeast"/>
        <w:ind w:firstLineChars="200" w:firstLine="480"/>
        <w:rPr>
          <w:bCs/>
          <w:sz w:val="24"/>
        </w:rPr>
      </w:pPr>
      <w:r>
        <w:rPr>
          <w:bCs/>
          <w:sz w:val="24"/>
        </w:rPr>
        <w:t>（</w:t>
      </w:r>
      <w:r>
        <w:rPr>
          <w:rFonts w:hint="eastAsia"/>
          <w:bCs/>
          <w:sz w:val="24"/>
        </w:rPr>
        <w:t>1</w:t>
      </w:r>
      <w:r>
        <w:rPr>
          <w:bCs/>
          <w:sz w:val="24"/>
        </w:rPr>
        <w:t>）</w:t>
      </w:r>
      <w:r>
        <w:rPr>
          <w:rFonts w:hint="eastAsia"/>
          <w:bCs/>
          <w:sz w:val="24"/>
        </w:rPr>
        <w:t>终止《基金</w:t>
      </w:r>
      <w:r>
        <w:rPr>
          <w:bCs/>
          <w:sz w:val="24"/>
        </w:rPr>
        <w:t>合同》；</w:t>
      </w:r>
    </w:p>
    <w:p w14:paraId="53CBC5B0" w14:textId="77777777" w:rsidR="00566744" w:rsidRDefault="00000000">
      <w:pPr>
        <w:spacing w:line="440" w:lineRule="atLeast"/>
        <w:ind w:firstLineChars="200" w:firstLine="480"/>
        <w:rPr>
          <w:bCs/>
          <w:sz w:val="24"/>
        </w:rPr>
      </w:pPr>
      <w:r>
        <w:rPr>
          <w:bCs/>
          <w:sz w:val="24"/>
        </w:rPr>
        <w:t>（</w:t>
      </w:r>
      <w:r>
        <w:rPr>
          <w:bCs/>
          <w:sz w:val="24"/>
        </w:rPr>
        <w:t>2</w:t>
      </w:r>
      <w:r>
        <w:rPr>
          <w:bCs/>
          <w:sz w:val="24"/>
        </w:rPr>
        <w:t>）更换基金管理人；</w:t>
      </w:r>
    </w:p>
    <w:p w14:paraId="4B6BE095" w14:textId="77777777" w:rsidR="00566744" w:rsidRDefault="00000000">
      <w:pPr>
        <w:spacing w:line="440" w:lineRule="atLeast"/>
        <w:ind w:firstLineChars="200" w:firstLine="480"/>
        <w:rPr>
          <w:bCs/>
          <w:sz w:val="24"/>
        </w:rPr>
      </w:pPr>
      <w:r>
        <w:rPr>
          <w:bCs/>
          <w:sz w:val="24"/>
        </w:rPr>
        <w:t>（</w:t>
      </w:r>
      <w:r>
        <w:rPr>
          <w:bCs/>
          <w:sz w:val="24"/>
        </w:rPr>
        <w:t>3</w:t>
      </w:r>
      <w:r>
        <w:rPr>
          <w:bCs/>
          <w:sz w:val="24"/>
        </w:rPr>
        <w:t>）更换基金托管人；</w:t>
      </w:r>
    </w:p>
    <w:p w14:paraId="04938056" w14:textId="77777777" w:rsidR="00566744" w:rsidRDefault="00000000">
      <w:pPr>
        <w:spacing w:line="440" w:lineRule="atLeast"/>
        <w:ind w:firstLineChars="200" w:firstLine="480"/>
        <w:rPr>
          <w:bCs/>
          <w:sz w:val="24"/>
        </w:rPr>
      </w:pPr>
      <w:r>
        <w:rPr>
          <w:bCs/>
          <w:sz w:val="24"/>
        </w:rPr>
        <w:t>（</w:t>
      </w:r>
      <w:r>
        <w:rPr>
          <w:rFonts w:hint="eastAsia"/>
          <w:bCs/>
          <w:sz w:val="24"/>
        </w:rPr>
        <w:t>4</w:t>
      </w:r>
      <w:r>
        <w:rPr>
          <w:bCs/>
          <w:sz w:val="24"/>
        </w:rPr>
        <w:t>）转换基金运作方式</w:t>
      </w:r>
      <w:r>
        <w:rPr>
          <w:rFonts w:hint="eastAsia"/>
          <w:bCs/>
          <w:sz w:val="24"/>
        </w:rPr>
        <w:t>；</w:t>
      </w:r>
    </w:p>
    <w:p w14:paraId="29AF0C4E" w14:textId="77777777" w:rsidR="00566744" w:rsidRDefault="00000000">
      <w:pPr>
        <w:spacing w:line="440" w:lineRule="atLeast"/>
        <w:ind w:firstLineChars="200" w:firstLine="480"/>
        <w:rPr>
          <w:bCs/>
          <w:sz w:val="24"/>
        </w:rPr>
      </w:pPr>
      <w:r>
        <w:rPr>
          <w:bCs/>
          <w:sz w:val="24"/>
        </w:rPr>
        <w:t>（</w:t>
      </w:r>
      <w:r>
        <w:rPr>
          <w:rFonts w:hint="eastAsia"/>
          <w:bCs/>
          <w:sz w:val="24"/>
        </w:rPr>
        <w:t>5</w:t>
      </w:r>
      <w:r>
        <w:rPr>
          <w:bCs/>
          <w:sz w:val="24"/>
        </w:rPr>
        <w:t>）</w:t>
      </w:r>
      <w:r>
        <w:rPr>
          <w:rFonts w:hint="eastAsia"/>
          <w:bCs/>
          <w:sz w:val="24"/>
        </w:rPr>
        <w:t>调整提高基金管理人、基金托管人的报酬标准；</w:t>
      </w:r>
    </w:p>
    <w:p w14:paraId="3B77D47E" w14:textId="77777777" w:rsidR="00566744" w:rsidRDefault="00000000">
      <w:pPr>
        <w:spacing w:line="440" w:lineRule="atLeast"/>
        <w:ind w:firstLineChars="200" w:firstLine="480"/>
        <w:rPr>
          <w:bCs/>
          <w:sz w:val="24"/>
        </w:rPr>
      </w:pPr>
      <w:r>
        <w:rPr>
          <w:bCs/>
          <w:sz w:val="24"/>
        </w:rPr>
        <w:t>（</w:t>
      </w:r>
      <w:r>
        <w:rPr>
          <w:rFonts w:hint="eastAsia"/>
          <w:bCs/>
          <w:sz w:val="24"/>
        </w:rPr>
        <w:t>6</w:t>
      </w:r>
      <w:r>
        <w:rPr>
          <w:bCs/>
          <w:sz w:val="24"/>
        </w:rPr>
        <w:t>）变更基金类别；</w:t>
      </w:r>
    </w:p>
    <w:p w14:paraId="7F1FBC89" w14:textId="77777777" w:rsidR="00566744" w:rsidRDefault="00000000">
      <w:pPr>
        <w:spacing w:line="440" w:lineRule="atLeast"/>
        <w:ind w:firstLineChars="200" w:firstLine="480"/>
        <w:rPr>
          <w:bCs/>
          <w:sz w:val="24"/>
        </w:rPr>
      </w:pPr>
      <w:r>
        <w:rPr>
          <w:bCs/>
          <w:sz w:val="24"/>
        </w:rPr>
        <w:t>（</w:t>
      </w:r>
      <w:r>
        <w:rPr>
          <w:rFonts w:hint="eastAsia"/>
          <w:bCs/>
          <w:sz w:val="24"/>
        </w:rPr>
        <w:t>7</w:t>
      </w:r>
      <w:r>
        <w:rPr>
          <w:bCs/>
          <w:sz w:val="24"/>
        </w:rPr>
        <w:t>）本基金与其他基金的合并；</w:t>
      </w:r>
    </w:p>
    <w:p w14:paraId="7F90E101" w14:textId="77777777" w:rsidR="00566744" w:rsidRDefault="00000000">
      <w:pPr>
        <w:spacing w:line="440" w:lineRule="atLeast"/>
        <w:ind w:firstLineChars="200" w:firstLine="480"/>
        <w:rPr>
          <w:bCs/>
          <w:sz w:val="24"/>
        </w:rPr>
      </w:pPr>
      <w:r>
        <w:rPr>
          <w:bCs/>
          <w:sz w:val="24"/>
        </w:rPr>
        <w:t>（</w:t>
      </w:r>
      <w:r>
        <w:rPr>
          <w:rFonts w:hint="eastAsia"/>
          <w:bCs/>
          <w:sz w:val="24"/>
        </w:rPr>
        <w:t>8</w:t>
      </w:r>
      <w:r>
        <w:rPr>
          <w:bCs/>
          <w:sz w:val="24"/>
        </w:rPr>
        <w:t>）变更基金投资目标、范围或策略；</w:t>
      </w:r>
    </w:p>
    <w:p w14:paraId="7414F2B3" w14:textId="77777777" w:rsidR="00566744" w:rsidRDefault="00000000">
      <w:pPr>
        <w:spacing w:line="440" w:lineRule="atLeast"/>
        <w:ind w:firstLineChars="200" w:firstLine="480"/>
        <w:rPr>
          <w:bCs/>
          <w:sz w:val="24"/>
        </w:rPr>
      </w:pPr>
      <w:r>
        <w:rPr>
          <w:bCs/>
          <w:sz w:val="24"/>
        </w:rPr>
        <w:t>（</w:t>
      </w:r>
      <w:r>
        <w:rPr>
          <w:rFonts w:hint="eastAsia"/>
          <w:bCs/>
          <w:sz w:val="24"/>
        </w:rPr>
        <w:t>9</w:t>
      </w:r>
      <w:r>
        <w:rPr>
          <w:bCs/>
          <w:sz w:val="24"/>
        </w:rPr>
        <w:t>）变更基金份额持有人大会程序；</w:t>
      </w:r>
    </w:p>
    <w:p w14:paraId="62AFA94C" w14:textId="77777777" w:rsidR="00566744" w:rsidRDefault="00000000">
      <w:pPr>
        <w:spacing w:line="440" w:lineRule="atLeast"/>
        <w:ind w:firstLineChars="200" w:firstLine="480"/>
        <w:rPr>
          <w:bCs/>
          <w:sz w:val="24"/>
        </w:rPr>
      </w:pPr>
      <w:r>
        <w:rPr>
          <w:bCs/>
          <w:sz w:val="24"/>
        </w:rPr>
        <w:t>（</w:t>
      </w:r>
      <w:r>
        <w:rPr>
          <w:rFonts w:hint="eastAsia"/>
          <w:bCs/>
          <w:sz w:val="24"/>
        </w:rPr>
        <w:t>10</w:t>
      </w:r>
      <w:r>
        <w:rPr>
          <w:bCs/>
          <w:sz w:val="24"/>
        </w:rPr>
        <w:t>）基金管理人或基金托管人要求召开基金份额持有人大会；</w:t>
      </w:r>
    </w:p>
    <w:p w14:paraId="07FEB496" w14:textId="77777777" w:rsidR="00566744" w:rsidRDefault="00000000">
      <w:pPr>
        <w:spacing w:line="440" w:lineRule="atLeast"/>
        <w:ind w:firstLineChars="200" w:firstLine="480"/>
        <w:rPr>
          <w:bCs/>
          <w:sz w:val="24"/>
        </w:rPr>
      </w:pPr>
      <w:r>
        <w:rPr>
          <w:bCs/>
          <w:sz w:val="24"/>
        </w:rPr>
        <w:t>（</w:t>
      </w:r>
      <w:r>
        <w:rPr>
          <w:bCs/>
          <w:sz w:val="24"/>
        </w:rPr>
        <w:t>1</w:t>
      </w:r>
      <w:r>
        <w:rPr>
          <w:rFonts w:hint="eastAsia"/>
          <w:bCs/>
          <w:sz w:val="24"/>
        </w:rPr>
        <w:t>1</w:t>
      </w:r>
      <w:r>
        <w:rPr>
          <w:bCs/>
          <w:sz w:val="24"/>
        </w:rPr>
        <w:t>）单独或合计持有本基金总份额</w:t>
      </w:r>
      <w:r>
        <w:rPr>
          <w:bCs/>
          <w:sz w:val="24"/>
        </w:rPr>
        <w:t>10%</w:t>
      </w:r>
      <w:r>
        <w:rPr>
          <w:bCs/>
          <w:sz w:val="24"/>
        </w:rPr>
        <w:t>以上（含</w:t>
      </w:r>
      <w:r>
        <w:rPr>
          <w:bCs/>
          <w:sz w:val="24"/>
        </w:rPr>
        <w:t>10%</w:t>
      </w:r>
      <w:r>
        <w:rPr>
          <w:bCs/>
          <w:sz w:val="24"/>
        </w:rPr>
        <w:t>）基金份额的基金份额持有人（以基金管理人收到提议当日的基金份额计算，下同）就同一事项书面要求召开基金份额持有人大会；</w:t>
      </w:r>
    </w:p>
    <w:p w14:paraId="51628827" w14:textId="77777777" w:rsidR="00566744" w:rsidRDefault="00000000">
      <w:pPr>
        <w:spacing w:line="440" w:lineRule="atLeast"/>
        <w:ind w:firstLineChars="200" w:firstLine="480"/>
        <w:rPr>
          <w:bCs/>
          <w:sz w:val="24"/>
        </w:rPr>
      </w:pPr>
      <w:r>
        <w:rPr>
          <w:bCs/>
          <w:sz w:val="24"/>
        </w:rPr>
        <w:t>（</w:t>
      </w:r>
      <w:r>
        <w:rPr>
          <w:bCs/>
          <w:sz w:val="24"/>
        </w:rPr>
        <w:t>1</w:t>
      </w:r>
      <w:r>
        <w:rPr>
          <w:rFonts w:hint="eastAsia"/>
          <w:bCs/>
          <w:sz w:val="24"/>
        </w:rPr>
        <w:t>2</w:t>
      </w:r>
      <w:r>
        <w:rPr>
          <w:bCs/>
          <w:sz w:val="24"/>
        </w:rPr>
        <w:t>）对基金</w:t>
      </w:r>
      <w:r>
        <w:rPr>
          <w:rFonts w:hint="eastAsia"/>
          <w:bCs/>
          <w:sz w:val="24"/>
        </w:rPr>
        <w:t>合同</w:t>
      </w:r>
      <w:r>
        <w:rPr>
          <w:bCs/>
          <w:sz w:val="24"/>
        </w:rPr>
        <w:t>当事人权利和义务产生重大影响的其他事项；</w:t>
      </w:r>
    </w:p>
    <w:p w14:paraId="4C0E19B5" w14:textId="77777777" w:rsidR="00566744" w:rsidRDefault="00000000">
      <w:pPr>
        <w:spacing w:line="440" w:lineRule="atLeast"/>
        <w:ind w:firstLineChars="200" w:firstLine="480"/>
        <w:rPr>
          <w:bCs/>
          <w:sz w:val="24"/>
        </w:rPr>
      </w:pPr>
      <w:r>
        <w:rPr>
          <w:bCs/>
          <w:sz w:val="24"/>
        </w:rPr>
        <w:t>（</w:t>
      </w:r>
      <w:r>
        <w:rPr>
          <w:bCs/>
          <w:sz w:val="24"/>
        </w:rPr>
        <w:t>12</w:t>
      </w:r>
      <w:r>
        <w:rPr>
          <w:bCs/>
          <w:sz w:val="24"/>
        </w:rPr>
        <w:t>）法律法规、《基金合同》或中国证监会规定的其他应当召开基金份额持有人大会的事项。</w:t>
      </w:r>
    </w:p>
    <w:p w14:paraId="53FD10EA" w14:textId="77777777" w:rsidR="00566744" w:rsidRDefault="00000000">
      <w:pPr>
        <w:spacing w:line="440" w:lineRule="atLeast"/>
        <w:ind w:firstLineChars="200" w:firstLine="480"/>
        <w:rPr>
          <w:bCs/>
          <w:sz w:val="24"/>
        </w:rPr>
      </w:pPr>
      <w:r>
        <w:rPr>
          <w:bCs/>
          <w:sz w:val="24"/>
        </w:rPr>
        <w:t>2</w:t>
      </w:r>
      <w:r>
        <w:rPr>
          <w:bCs/>
          <w:sz w:val="24"/>
        </w:rPr>
        <w:t>、以下情况可由基金管理人和基金托管人协商后修改，不需召开基金份额持有人大会：</w:t>
      </w:r>
    </w:p>
    <w:p w14:paraId="2E7ECAE2" w14:textId="77777777" w:rsidR="00566744" w:rsidRDefault="00000000">
      <w:pPr>
        <w:spacing w:line="360" w:lineRule="auto"/>
        <w:ind w:firstLineChars="200" w:firstLine="480"/>
        <w:rPr>
          <w:bCs/>
          <w:sz w:val="24"/>
        </w:rPr>
      </w:pPr>
      <w:r>
        <w:rPr>
          <w:bCs/>
          <w:sz w:val="24"/>
        </w:rPr>
        <w:t>（</w:t>
      </w:r>
      <w:r>
        <w:rPr>
          <w:bCs/>
          <w:sz w:val="24"/>
        </w:rPr>
        <w:t>1</w:t>
      </w:r>
      <w:r>
        <w:rPr>
          <w:bCs/>
          <w:sz w:val="24"/>
        </w:rPr>
        <w:t>）调低</w:t>
      </w:r>
      <w:r>
        <w:rPr>
          <w:rFonts w:hint="eastAsia"/>
          <w:bCs/>
          <w:sz w:val="24"/>
        </w:rPr>
        <w:t>除</w:t>
      </w:r>
      <w:r>
        <w:rPr>
          <w:bCs/>
          <w:sz w:val="24"/>
        </w:rPr>
        <w:t>基金管理费、基金托管费</w:t>
      </w:r>
      <w:r>
        <w:rPr>
          <w:rFonts w:hint="eastAsia"/>
          <w:bCs/>
          <w:sz w:val="24"/>
        </w:rPr>
        <w:t>外其他应由基金承担的费用</w:t>
      </w:r>
      <w:r>
        <w:rPr>
          <w:bCs/>
          <w:sz w:val="24"/>
        </w:rPr>
        <w:t>；</w:t>
      </w:r>
    </w:p>
    <w:p w14:paraId="513A0CD4" w14:textId="77777777" w:rsidR="00566744" w:rsidRDefault="00000000">
      <w:pPr>
        <w:spacing w:line="360" w:lineRule="auto"/>
        <w:ind w:firstLineChars="200" w:firstLine="480"/>
        <w:rPr>
          <w:bCs/>
          <w:sz w:val="24"/>
        </w:rPr>
      </w:pPr>
      <w:r>
        <w:rPr>
          <w:bCs/>
          <w:sz w:val="24"/>
        </w:rPr>
        <w:t>（</w:t>
      </w:r>
      <w:r>
        <w:rPr>
          <w:bCs/>
          <w:sz w:val="24"/>
        </w:rPr>
        <w:t>2</w:t>
      </w:r>
      <w:r>
        <w:rPr>
          <w:bCs/>
          <w:sz w:val="24"/>
        </w:rPr>
        <w:t>）法律法规要求增加的基金费用的收取；</w:t>
      </w:r>
    </w:p>
    <w:p w14:paraId="3B0AFADB" w14:textId="77777777" w:rsidR="00566744" w:rsidRDefault="00000000">
      <w:pPr>
        <w:spacing w:line="360" w:lineRule="auto"/>
        <w:ind w:firstLineChars="200" w:firstLine="480"/>
        <w:rPr>
          <w:bCs/>
          <w:sz w:val="24"/>
        </w:rPr>
      </w:pPr>
      <w:r>
        <w:rPr>
          <w:bCs/>
          <w:sz w:val="24"/>
        </w:rPr>
        <w:t>（</w:t>
      </w:r>
      <w:r>
        <w:rPr>
          <w:bCs/>
          <w:sz w:val="24"/>
        </w:rPr>
        <w:t>3</w:t>
      </w:r>
      <w:r>
        <w:rPr>
          <w:bCs/>
          <w:sz w:val="24"/>
        </w:rPr>
        <w:t>）在法律法规和《基金合同》规定的范围内</w:t>
      </w:r>
      <w:r>
        <w:rPr>
          <w:rFonts w:hint="eastAsia"/>
          <w:bCs/>
          <w:sz w:val="24"/>
        </w:rPr>
        <w:t>且对现有基金份额持有人利益无实质性不利影响的前提下变更收费方式或调整基金份额类别设置</w:t>
      </w:r>
      <w:r>
        <w:rPr>
          <w:bCs/>
          <w:sz w:val="24"/>
        </w:rPr>
        <w:t>；</w:t>
      </w:r>
    </w:p>
    <w:p w14:paraId="2F46753B" w14:textId="77777777" w:rsidR="00566744" w:rsidRDefault="00000000">
      <w:pPr>
        <w:spacing w:line="360" w:lineRule="auto"/>
        <w:ind w:firstLineChars="200" w:firstLine="480"/>
        <w:rPr>
          <w:bCs/>
          <w:sz w:val="24"/>
        </w:rPr>
      </w:pPr>
      <w:r>
        <w:rPr>
          <w:bCs/>
          <w:sz w:val="24"/>
        </w:rPr>
        <w:t>（</w:t>
      </w:r>
      <w:r>
        <w:rPr>
          <w:bCs/>
          <w:sz w:val="24"/>
        </w:rPr>
        <w:t>4</w:t>
      </w:r>
      <w:r>
        <w:rPr>
          <w:bCs/>
          <w:sz w:val="24"/>
        </w:rPr>
        <w:t>）</w:t>
      </w:r>
      <w:proofErr w:type="gramStart"/>
      <w:r>
        <w:rPr>
          <w:bCs/>
          <w:sz w:val="24"/>
        </w:rPr>
        <w:t>因相应</w:t>
      </w:r>
      <w:proofErr w:type="gramEnd"/>
      <w:r>
        <w:rPr>
          <w:bCs/>
          <w:sz w:val="24"/>
        </w:rPr>
        <w:t>的法律法规发生变动而应当对《基金合同》进行修改；</w:t>
      </w:r>
    </w:p>
    <w:p w14:paraId="3D0C31D3" w14:textId="77777777" w:rsidR="00566744" w:rsidRDefault="00000000">
      <w:pPr>
        <w:spacing w:line="360" w:lineRule="auto"/>
        <w:ind w:firstLineChars="200" w:firstLine="480"/>
        <w:rPr>
          <w:bCs/>
          <w:sz w:val="24"/>
        </w:rPr>
      </w:pPr>
      <w:r>
        <w:rPr>
          <w:bCs/>
          <w:sz w:val="24"/>
        </w:rPr>
        <w:t>（</w:t>
      </w:r>
      <w:r>
        <w:rPr>
          <w:bCs/>
          <w:sz w:val="24"/>
        </w:rPr>
        <w:t>5</w:t>
      </w:r>
      <w:r>
        <w:rPr>
          <w:bCs/>
          <w:sz w:val="24"/>
        </w:rPr>
        <w:t>）对《基金合同》的修改对基金份额持有人利益无实质性不利影响或修改不涉及《基金合同》当事人权利义务关系发生</w:t>
      </w:r>
      <w:r>
        <w:rPr>
          <w:rFonts w:hint="eastAsia"/>
          <w:bCs/>
          <w:sz w:val="24"/>
        </w:rPr>
        <w:t>重大</w:t>
      </w:r>
      <w:r>
        <w:rPr>
          <w:bCs/>
          <w:sz w:val="24"/>
        </w:rPr>
        <w:t>变化；</w:t>
      </w:r>
    </w:p>
    <w:p w14:paraId="17E039E1" w14:textId="77777777" w:rsidR="00566744" w:rsidRDefault="00000000">
      <w:pPr>
        <w:spacing w:line="440" w:lineRule="atLeast"/>
        <w:ind w:firstLineChars="200" w:firstLine="480"/>
        <w:rPr>
          <w:bCs/>
          <w:sz w:val="24"/>
        </w:rPr>
      </w:pPr>
      <w:r>
        <w:rPr>
          <w:rFonts w:hint="eastAsia"/>
          <w:bCs/>
          <w:sz w:val="24"/>
        </w:rPr>
        <w:lastRenderedPageBreak/>
        <w:t>（</w:t>
      </w:r>
      <w:r>
        <w:rPr>
          <w:rFonts w:hint="eastAsia"/>
          <w:bCs/>
          <w:sz w:val="24"/>
        </w:rPr>
        <w:t>6</w:t>
      </w:r>
      <w:r>
        <w:rPr>
          <w:rFonts w:hint="eastAsia"/>
          <w:bCs/>
          <w:sz w:val="24"/>
        </w:rPr>
        <w:t>）在不违反法律法规、基金合同且对现有基金份额持有人利益无实质不利影响的前提下，基金管理人、登记机构、基金销售机构调整有关认购、申购、赎回、转换、基金交易、</w:t>
      </w:r>
      <w:proofErr w:type="gramStart"/>
      <w:r>
        <w:rPr>
          <w:rFonts w:hint="eastAsia"/>
          <w:bCs/>
          <w:sz w:val="24"/>
        </w:rPr>
        <w:t>非交易</w:t>
      </w:r>
      <w:proofErr w:type="gramEnd"/>
      <w:r>
        <w:rPr>
          <w:rFonts w:hint="eastAsia"/>
          <w:bCs/>
          <w:sz w:val="24"/>
        </w:rPr>
        <w:t>过户、转托管等业务规则；</w:t>
      </w:r>
    </w:p>
    <w:p w14:paraId="1019387E" w14:textId="77777777" w:rsidR="00566744" w:rsidRDefault="00000000">
      <w:pPr>
        <w:spacing w:line="440" w:lineRule="atLeast"/>
        <w:ind w:firstLineChars="200" w:firstLine="480"/>
        <w:rPr>
          <w:bCs/>
          <w:sz w:val="24"/>
        </w:rPr>
      </w:pPr>
      <w:r>
        <w:rPr>
          <w:rFonts w:hint="eastAsia"/>
          <w:bCs/>
          <w:sz w:val="24"/>
        </w:rPr>
        <w:t>（</w:t>
      </w:r>
      <w:r>
        <w:rPr>
          <w:rFonts w:hint="eastAsia"/>
          <w:bCs/>
          <w:sz w:val="24"/>
        </w:rPr>
        <w:t>7</w:t>
      </w:r>
      <w:r>
        <w:rPr>
          <w:rFonts w:hint="eastAsia"/>
          <w:bCs/>
          <w:sz w:val="24"/>
        </w:rPr>
        <w:t>）在法律法规或中国证监会允许的范围内且对现有基金份额持有人利益无实质不利影响的前提下推出新业务或服务；</w:t>
      </w:r>
    </w:p>
    <w:p w14:paraId="329905C0" w14:textId="77777777" w:rsidR="00566744" w:rsidRDefault="00000000">
      <w:pPr>
        <w:spacing w:line="440" w:lineRule="atLeast"/>
        <w:ind w:firstLineChars="200" w:firstLine="480"/>
        <w:rPr>
          <w:bCs/>
          <w:sz w:val="24"/>
        </w:rPr>
      </w:pPr>
      <w:r>
        <w:rPr>
          <w:bCs/>
          <w:sz w:val="24"/>
        </w:rPr>
        <w:t>（</w:t>
      </w:r>
      <w:r>
        <w:rPr>
          <w:rFonts w:hint="eastAsia"/>
          <w:bCs/>
          <w:sz w:val="24"/>
        </w:rPr>
        <w:t>8</w:t>
      </w:r>
      <w:r>
        <w:rPr>
          <w:bCs/>
          <w:sz w:val="24"/>
        </w:rPr>
        <w:t>）按照法律法规和《基金合同》规定不需召开基金份额持有人大会的以外的其他情形。</w:t>
      </w:r>
    </w:p>
    <w:p w14:paraId="337E77A2" w14:textId="77777777" w:rsidR="00566744" w:rsidRDefault="00000000">
      <w:pPr>
        <w:spacing w:line="360" w:lineRule="auto"/>
        <w:ind w:firstLineChars="200" w:firstLine="480"/>
        <w:rPr>
          <w:bCs/>
          <w:sz w:val="24"/>
        </w:rPr>
      </w:pPr>
      <w:r>
        <w:rPr>
          <w:rFonts w:hint="eastAsia"/>
          <w:bCs/>
          <w:sz w:val="24"/>
        </w:rPr>
        <w:t>3</w:t>
      </w:r>
      <w:r>
        <w:rPr>
          <w:rFonts w:hint="eastAsia"/>
          <w:bCs/>
          <w:sz w:val="24"/>
        </w:rPr>
        <w:t>、当影子定价确定的基金资产净值与摊</w:t>
      </w:r>
      <w:proofErr w:type="gramStart"/>
      <w:r>
        <w:rPr>
          <w:rFonts w:hint="eastAsia"/>
          <w:bCs/>
          <w:sz w:val="24"/>
        </w:rPr>
        <w:t>余成本</w:t>
      </w:r>
      <w:proofErr w:type="gramEnd"/>
      <w:r>
        <w:rPr>
          <w:rFonts w:hint="eastAsia"/>
          <w:bCs/>
          <w:sz w:val="24"/>
        </w:rPr>
        <w:t>法计算的基金资产净值的负偏离度绝对值连续两个交易日超过</w:t>
      </w:r>
      <w:r>
        <w:rPr>
          <w:rFonts w:hint="eastAsia"/>
          <w:bCs/>
          <w:sz w:val="24"/>
        </w:rPr>
        <w:t>0.5%</w:t>
      </w:r>
      <w:r>
        <w:rPr>
          <w:rFonts w:hint="eastAsia"/>
          <w:bCs/>
          <w:sz w:val="24"/>
        </w:rPr>
        <w:t>，</w:t>
      </w:r>
      <w:proofErr w:type="gramStart"/>
      <w:r>
        <w:rPr>
          <w:rFonts w:hint="eastAsia"/>
          <w:bCs/>
          <w:sz w:val="24"/>
        </w:rPr>
        <w:t>且基金</w:t>
      </w:r>
      <w:proofErr w:type="gramEnd"/>
      <w:r>
        <w:rPr>
          <w:rFonts w:hint="eastAsia"/>
          <w:bCs/>
          <w:sz w:val="24"/>
        </w:rPr>
        <w:t>管理人决定暂停接受所有赎回申请并终止基金合同，</w:t>
      </w:r>
      <w:proofErr w:type="gramStart"/>
      <w:r>
        <w:rPr>
          <w:rFonts w:hint="eastAsia"/>
          <w:bCs/>
          <w:sz w:val="24"/>
        </w:rPr>
        <w:t>则基金</w:t>
      </w:r>
      <w:proofErr w:type="gramEnd"/>
      <w:r>
        <w:rPr>
          <w:rFonts w:hint="eastAsia"/>
          <w:bCs/>
          <w:sz w:val="24"/>
        </w:rPr>
        <w:t>合同将根据第十九部分的约定进行基金财产清算并终止，且无须召开基金份额持有人大会。</w:t>
      </w:r>
    </w:p>
    <w:p w14:paraId="15C05660" w14:textId="77777777" w:rsidR="00566744" w:rsidRDefault="00000000">
      <w:pPr>
        <w:spacing w:line="360" w:lineRule="auto"/>
        <w:ind w:firstLineChars="200" w:firstLine="480"/>
        <w:rPr>
          <w:bCs/>
          <w:sz w:val="24"/>
        </w:rPr>
      </w:pPr>
      <w:r>
        <w:rPr>
          <w:rFonts w:hint="eastAsia"/>
          <w:bCs/>
          <w:sz w:val="24"/>
        </w:rPr>
        <w:t>（二）</w:t>
      </w:r>
      <w:r>
        <w:rPr>
          <w:bCs/>
          <w:sz w:val="24"/>
        </w:rPr>
        <w:t>会议召集人及召集方式</w:t>
      </w:r>
    </w:p>
    <w:p w14:paraId="0EBE5028" w14:textId="77777777" w:rsidR="00566744" w:rsidRDefault="00000000">
      <w:pPr>
        <w:spacing w:line="360" w:lineRule="auto"/>
        <w:ind w:firstLineChars="200" w:firstLine="480"/>
        <w:rPr>
          <w:bCs/>
          <w:sz w:val="24"/>
        </w:rPr>
      </w:pPr>
      <w:r>
        <w:rPr>
          <w:bCs/>
          <w:sz w:val="24"/>
        </w:rPr>
        <w:t>1</w:t>
      </w:r>
      <w:r>
        <w:rPr>
          <w:bCs/>
          <w:sz w:val="24"/>
        </w:rPr>
        <w:t>、除法律法规规定或《基金合同》另有约定外，基金份额持有人大会由基金管理人召集</w:t>
      </w:r>
      <w:r>
        <w:rPr>
          <w:rFonts w:hint="eastAsia"/>
          <w:bCs/>
          <w:sz w:val="24"/>
        </w:rPr>
        <w:t>。</w:t>
      </w:r>
    </w:p>
    <w:p w14:paraId="3615D99C" w14:textId="77777777" w:rsidR="00566744" w:rsidRDefault="00000000">
      <w:pPr>
        <w:spacing w:line="360" w:lineRule="auto"/>
        <w:ind w:firstLineChars="200" w:firstLine="480"/>
        <w:rPr>
          <w:bCs/>
          <w:sz w:val="24"/>
        </w:rPr>
      </w:pPr>
      <w:r>
        <w:rPr>
          <w:bCs/>
          <w:sz w:val="24"/>
        </w:rPr>
        <w:t>2</w:t>
      </w:r>
      <w:r>
        <w:rPr>
          <w:bCs/>
          <w:sz w:val="24"/>
        </w:rPr>
        <w:t>、基金管理人未按规定召集或不能召集时，由基金托管人召集</w:t>
      </w:r>
      <w:r>
        <w:rPr>
          <w:rFonts w:hint="eastAsia"/>
          <w:bCs/>
          <w:sz w:val="24"/>
        </w:rPr>
        <w:t>。</w:t>
      </w:r>
    </w:p>
    <w:p w14:paraId="7F4A0FA8" w14:textId="77777777" w:rsidR="00566744" w:rsidRDefault="00000000">
      <w:pPr>
        <w:spacing w:line="360" w:lineRule="auto"/>
        <w:ind w:firstLineChars="200" w:firstLine="480"/>
        <w:rPr>
          <w:bCs/>
          <w:sz w:val="24"/>
        </w:rPr>
      </w:pPr>
      <w:r>
        <w:rPr>
          <w:bCs/>
          <w:sz w:val="24"/>
        </w:rPr>
        <w:t>3</w:t>
      </w:r>
      <w:r>
        <w:rPr>
          <w:bCs/>
          <w:sz w:val="24"/>
        </w:rPr>
        <w:t>、基金托管人认为有必要召开基金份额持有人大会的，应当向基金管理人提出书面提议。基金管理人应当自收到书面提议之日起</w:t>
      </w:r>
      <w:r>
        <w:rPr>
          <w:bCs/>
          <w:sz w:val="24"/>
        </w:rPr>
        <w:t xml:space="preserve"> 10</w:t>
      </w:r>
      <w:r>
        <w:rPr>
          <w:bCs/>
          <w:sz w:val="24"/>
        </w:rPr>
        <w:t>日内决定是否召集，并书面告知基金托管人。基金管理人决定召集的，应当自出具书面决定之日起</w:t>
      </w:r>
      <w:r>
        <w:rPr>
          <w:bCs/>
          <w:sz w:val="24"/>
        </w:rPr>
        <w:t>60</w:t>
      </w:r>
      <w:r>
        <w:rPr>
          <w:bCs/>
          <w:sz w:val="24"/>
        </w:rPr>
        <w:t>日内召开；基金管理人决定不召集，基金托管人仍认为有必要召开的，应当由基金托管人自行召集</w:t>
      </w:r>
      <w:r>
        <w:rPr>
          <w:rFonts w:hint="eastAsia"/>
          <w:bCs/>
          <w:sz w:val="24"/>
        </w:rPr>
        <w:t>，并自出具书面决定之日起</w:t>
      </w:r>
      <w:r>
        <w:rPr>
          <w:rFonts w:hint="eastAsia"/>
          <w:bCs/>
          <w:sz w:val="24"/>
        </w:rPr>
        <w:t>60</w:t>
      </w:r>
      <w:r>
        <w:rPr>
          <w:rFonts w:hint="eastAsia"/>
          <w:bCs/>
          <w:sz w:val="24"/>
        </w:rPr>
        <w:t>日内召开并告知基金管理人，基金管理人应当配合</w:t>
      </w:r>
      <w:r>
        <w:rPr>
          <w:bCs/>
          <w:sz w:val="24"/>
        </w:rPr>
        <w:t>。</w:t>
      </w:r>
    </w:p>
    <w:p w14:paraId="5747A600" w14:textId="77777777" w:rsidR="00566744" w:rsidRDefault="00000000">
      <w:pPr>
        <w:spacing w:line="360" w:lineRule="auto"/>
        <w:ind w:firstLineChars="200" w:firstLine="480"/>
        <w:rPr>
          <w:bCs/>
          <w:sz w:val="24"/>
        </w:rPr>
      </w:pPr>
      <w:r>
        <w:rPr>
          <w:bCs/>
          <w:sz w:val="24"/>
        </w:rPr>
        <w:t>4</w:t>
      </w:r>
      <w:r>
        <w:rPr>
          <w:bCs/>
          <w:sz w:val="24"/>
        </w:rPr>
        <w:t>、代表基金份额</w:t>
      </w:r>
      <w:r>
        <w:rPr>
          <w:bCs/>
          <w:sz w:val="24"/>
        </w:rPr>
        <w:t>10%</w:t>
      </w:r>
      <w:r>
        <w:rPr>
          <w:bCs/>
          <w:sz w:val="24"/>
        </w:rPr>
        <w:t>以上（含</w:t>
      </w:r>
      <w:r>
        <w:rPr>
          <w:bCs/>
          <w:sz w:val="24"/>
        </w:rPr>
        <w:t>10%</w:t>
      </w:r>
      <w:r>
        <w:rPr>
          <w:bCs/>
          <w:sz w:val="24"/>
        </w:rPr>
        <w:t>）的基金份额持有人就同一事项书面要求召开基金份额持有人大会，应当向基金管理人提出书面提议。基金管理人应当自收到书面提议之日起</w:t>
      </w:r>
      <w:r>
        <w:rPr>
          <w:bCs/>
          <w:sz w:val="24"/>
        </w:rPr>
        <w:t>10</w:t>
      </w:r>
      <w:r>
        <w:rPr>
          <w:bCs/>
          <w:sz w:val="24"/>
        </w:rPr>
        <w:t>日内决定是否召集，并书面告知提出提议的基金份额持有人代表和基金托管人。基金管理人决定召集的，应当自出具书面决定之日起</w:t>
      </w:r>
      <w:r>
        <w:rPr>
          <w:bCs/>
          <w:sz w:val="24"/>
        </w:rPr>
        <w:t>60</w:t>
      </w:r>
      <w:r>
        <w:rPr>
          <w:bCs/>
          <w:sz w:val="24"/>
        </w:rPr>
        <w:t>日内召开；基金管理人决定不召集，</w:t>
      </w:r>
      <w:r>
        <w:rPr>
          <w:rFonts w:hint="eastAsia"/>
          <w:bCs/>
          <w:sz w:val="24"/>
        </w:rPr>
        <w:t>单</w:t>
      </w:r>
      <w:r>
        <w:rPr>
          <w:bCs/>
          <w:sz w:val="24"/>
        </w:rPr>
        <w:t>独或合计代表基金份额</w:t>
      </w:r>
      <w:r>
        <w:rPr>
          <w:bCs/>
          <w:sz w:val="24"/>
        </w:rPr>
        <w:t>10%</w:t>
      </w:r>
      <w:r>
        <w:rPr>
          <w:bCs/>
          <w:sz w:val="24"/>
        </w:rPr>
        <w:t>以上（含</w:t>
      </w:r>
      <w:r>
        <w:rPr>
          <w:bCs/>
          <w:sz w:val="24"/>
        </w:rPr>
        <w:t>10%</w:t>
      </w:r>
      <w:r>
        <w:rPr>
          <w:bCs/>
          <w:sz w:val="24"/>
        </w:rPr>
        <w:t>）的基金份额持有人仍认为有必要召开的，应当向基金托管人提出书面提议。基金托管人应当自收到书面提议之日起</w:t>
      </w:r>
      <w:r>
        <w:rPr>
          <w:bCs/>
          <w:sz w:val="24"/>
        </w:rPr>
        <w:t>10</w:t>
      </w:r>
      <w:r>
        <w:rPr>
          <w:bCs/>
          <w:sz w:val="24"/>
        </w:rPr>
        <w:t>日内决定是否召集，并书面告知提出提议的基金份额持有人</w:t>
      </w:r>
      <w:r>
        <w:rPr>
          <w:bCs/>
          <w:sz w:val="24"/>
        </w:rPr>
        <w:lastRenderedPageBreak/>
        <w:t>代表和基金管理人；基金托管人决定召集的，应当自出具书面决定之日起</w:t>
      </w:r>
      <w:r>
        <w:rPr>
          <w:bCs/>
          <w:sz w:val="24"/>
        </w:rPr>
        <w:t>60</w:t>
      </w:r>
      <w:r>
        <w:rPr>
          <w:bCs/>
          <w:sz w:val="24"/>
        </w:rPr>
        <w:t>日内召开。</w:t>
      </w:r>
    </w:p>
    <w:p w14:paraId="72B84582" w14:textId="77777777" w:rsidR="00566744" w:rsidRDefault="00000000">
      <w:pPr>
        <w:spacing w:line="360" w:lineRule="auto"/>
        <w:ind w:firstLineChars="200" w:firstLine="480"/>
        <w:rPr>
          <w:bCs/>
          <w:sz w:val="24"/>
        </w:rPr>
      </w:pPr>
      <w:r>
        <w:rPr>
          <w:bCs/>
          <w:sz w:val="24"/>
        </w:rPr>
        <w:t>5</w:t>
      </w:r>
      <w:r>
        <w:rPr>
          <w:bCs/>
          <w:sz w:val="24"/>
        </w:rPr>
        <w:t>、</w:t>
      </w:r>
      <w:r>
        <w:rPr>
          <w:rFonts w:ascii="宋体" w:hAnsi="宋体" w:hint="eastAsia"/>
          <w:bCs/>
          <w:sz w:val="24"/>
        </w:rPr>
        <w:t>单独或合计</w:t>
      </w:r>
      <w:r>
        <w:rPr>
          <w:bCs/>
          <w:sz w:val="24"/>
        </w:rPr>
        <w:t>代表基金份额</w:t>
      </w:r>
      <w:r>
        <w:rPr>
          <w:bCs/>
          <w:sz w:val="24"/>
        </w:rPr>
        <w:t>10%</w:t>
      </w:r>
      <w:r>
        <w:rPr>
          <w:bCs/>
          <w:sz w:val="24"/>
        </w:rPr>
        <w:t>以上（含</w:t>
      </w:r>
      <w:r>
        <w:rPr>
          <w:bCs/>
          <w:sz w:val="24"/>
        </w:rPr>
        <w:t>10%</w:t>
      </w:r>
      <w:r>
        <w:rPr>
          <w:bCs/>
          <w:sz w:val="24"/>
        </w:rPr>
        <w:t>）的基金份额持有人就同一事项要求召开基金份额持有人大会，而基金管理人、基金托管人都不召集的，单独或合计代表基金份额</w:t>
      </w:r>
      <w:r>
        <w:rPr>
          <w:bCs/>
          <w:sz w:val="24"/>
        </w:rPr>
        <w:t>10%</w:t>
      </w:r>
      <w:r>
        <w:rPr>
          <w:bCs/>
          <w:sz w:val="24"/>
        </w:rPr>
        <w:t>以上（含</w:t>
      </w:r>
      <w:r>
        <w:rPr>
          <w:bCs/>
          <w:sz w:val="24"/>
        </w:rPr>
        <w:t>10%</w:t>
      </w:r>
      <w:r>
        <w:rPr>
          <w:bCs/>
          <w:sz w:val="24"/>
        </w:rPr>
        <w:t>）的基金份额持有人有权自行召集，并至少提前</w:t>
      </w:r>
      <w:r>
        <w:rPr>
          <w:bCs/>
          <w:sz w:val="24"/>
        </w:rPr>
        <w:t>30</w:t>
      </w:r>
      <w:r>
        <w:rPr>
          <w:bCs/>
          <w:sz w:val="24"/>
        </w:rPr>
        <w:t>日报中国证监会备案。基金份额持有人依法自行召集基金份额持有人大会的，基金管理人、基金托管人应当配合，不得阻碍、干扰。</w:t>
      </w:r>
    </w:p>
    <w:p w14:paraId="224F8191" w14:textId="77777777" w:rsidR="00566744" w:rsidRDefault="00000000">
      <w:pPr>
        <w:spacing w:line="360" w:lineRule="auto"/>
        <w:ind w:firstLineChars="200" w:firstLine="480"/>
        <w:rPr>
          <w:bCs/>
          <w:sz w:val="24"/>
        </w:rPr>
      </w:pPr>
      <w:r>
        <w:rPr>
          <w:bCs/>
          <w:sz w:val="24"/>
        </w:rPr>
        <w:t>6</w:t>
      </w:r>
      <w:r>
        <w:rPr>
          <w:bCs/>
          <w:sz w:val="24"/>
        </w:rPr>
        <w:t>、基金份额持有人会议的召集人负责选择确定开会时间、地点、方式和权益登记日。</w:t>
      </w:r>
    </w:p>
    <w:p w14:paraId="5F2A5C89" w14:textId="77777777" w:rsidR="00566744" w:rsidRDefault="00000000">
      <w:pPr>
        <w:spacing w:line="360" w:lineRule="auto"/>
        <w:ind w:firstLineChars="200" w:firstLine="480"/>
        <w:rPr>
          <w:bCs/>
          <w:sz w:val="24"/>
        </w:rPr>
      </w:pPr>
      <w:r>
        <w:rPr>
          <w:rFonts w:hint="eastAsia"/>
          <w:bCs/>
          <w:sz w:val="24"/>
        </w:rPr>
        <w:t>三、</w:t>
      </w:r>
      <w:r>
        <w:rPr>
          <w:bCs/>
          <w:sz w:val="24"/>
        </w:rPr>
        <w:t>召开基金份额持有人大会的通知时间、通知内容、通知方式</w:t>
      </w:r>
    </w:p>
    <w:p w14:paraId="772CCAD5" w14:textId="77777777" w:rsidR="00566744" w:rsidRDefault="00000000">
      <w:pPr>
        <w:spacing w:line="360" w:lineRule="auto"/>
        <w:ind w:firstLineChars="200" w:firstLine="480"/>
        <w:rPr>
          <w:bCs/>
          <w:sz w:val="24"/>
        </w:rPr>
      </w:pPr>
      <w:r>
        <w:rPr>
          <w:bCs/>
          <w:sz w:val="24"/>
        </w:rPr>
        <w:t>1</w:t>
      </w:r>
      <w:r>
        <w:rPr>
          <w:bCs/>
          <w:sz w:val="24"/>
        </w:rPr>
        <w:t>、召开基金份额持有人大会，召集人应于会议召开前</w:t>
      </w:r>
      <w:r>
        <w:rPr>
          <w:bCs/>
          <w:sz w:val="24"/>
        </w:rPr>
        <w:t>30</w:t>
      </w:r>
      <w:r>
        <w:rPr>
          <w:bCs/>
          <w:sz w:val="24"/>
        </w:rPr>
        <w:t>日，在指定媒介公告。基金份额持有人大会通知应至少载明以下内容：</w:t>
      </w:r>
    </w:p>
    <w:p w14:paraId="0C6E5022" w14:textId="77777777" w:rsidR="00566744" w:rsidRDefault="00000000">
      <w:pPr>
        <w:spacing w:line="360" w:lineRule="auto"/>
        <w:ind w:firstLineChars="200" w:firstLine="480"/>
        <w:rPr>
          <w:bCs/>
          <w:sz w:val="24"/>
        </w:rPr>
      </w:pPr>
      <w:r>
        <w:rPr>
          <w:bCs/>
          <w:sz w:val="24"/>
        </w:rPr>
        <w:t>（</w:t>
      </w:r>
      <w:r>
        <w:rPr>
          <w:bCs/>
          <w:sz w:val="24"/>
        </w:rPr>
        <w:t>1</w:t>
      </w:r>
      <w:r>
        <w:rPr>
          <w:bCs/>
          <w:sz w:val="24"/>
        </w:rPr>
        <w:t>）会议召开的时间、地点和会议形式；</w:t>
      </w:r>
    </w:p>
    <w:p w14:paraId="7F04DA7A" w14:textId="77777777" w:rsidR="00566744" w:rsidRDefault="00000000">
      <w:pPr>
        <w:spacing w:line="360" w:lineRule="auto"/>
        <w:ind w:firstLineChars="200" w:firstLine="480"/>
        <w:rPr>
          <w:bCs/>
          <w:sz w:val="24"/>
        </w:rPr>
      </w:pPr>
      <w:r>
        <w:rPr>
          <w:bCs/>
          <w:sz w:val="24"/>
        </w:rPr>
        <w:t>（</w:t>
      </w:r>
      <w:r>
        <w:rPr>
          <w:bCs/>
          <w:sz w:val="24"/>
        </w:rPr>
        <w:t>2</w:t>
      </w:r>
      <w:r>
        <w:rPr>
          <w:bCs/>
          <w:sz w:val="24"/>
        </w:rPr>
        <w:t>）会议</w:t>
      </w:r>
      <w:proofErr w:type="gramStart"/>
      <w:r>
        <w:rPr>
          <w:bCs/>
          <w:sz w:val="24"/>
        </w:rPr>
        <w:t>拟审议</w:t>
      </w:r>
      <w:proofErr w:type="gramEnd"/>
      <w:r>
        <w:rPr>
          <w:bCs/>
          <w:sz w:val="24"/>
        </w:rPr>
        <w:t>的事项、议事程序和表决方式；</w:t>
      </w:r>
    </w:p>
    <w:p w14:paraId="783E6803" w14:textId="77777777" w:rsidR="00566744" w:rsidRDefault="00000000">
      <w:pPr>
        <w:spacing w:line="360" w:lineRule="auto"/>
        <w:ind w:firstLineChars="200" w:firstLine="480"/>
        <w:rPr>
          <w:bCs/>
          <w:sz w:val="24"/>
        </w:rPr>
      </w:pPr>
      <w:r>
        <w:rPr>
          <w:bCs/>
          <w:sz w:val="24"/>
        </w:rPr>
        <w:t>（</w:t>
      </w:r>
      <w:r>
        <w:rPr>
          <w:bCs/>
          <w:sz w:val="24"/>
        </w:rPr>
        <w:t>3</w:t>
      </w:r>
      <w:r>
        <w:rPr>
          <w:bCs/>
          <w:sz w:val="24"/>
        </w:rPr>
        <w:t>）有权出席基金份额持有人大会的基金份额持有人的权益登记日；</w:t>
      </w:r>
    </w:p>
    <w:p w14:paraId="0D29384C" w14:textId="77777777" w:rsidR="00566744" w:rsidRDefault="00000000">
      <w:pPr>
        <w:spacing w:line="360" w:lineRule="auto"/>
        <w:ind w:firstLineChars="200" w:firstLine="480"/>
        <w:rPr>
          <w:bCs/>
          <w:sz w:val="24"/>
        </w:rPr>
      </w:pPr>
      <w:r>
        <w:rPr>
          <w:bCs/>
          <w:sz w:val="24"/>
        </w:rPr>
        <w:t>（</w:t>
      </w:r>
      <w:r>
        <w:rPr>
          <w:bCs/>
          <w:sz w:val="24"/>
        </w:rPr>
        <w:t>4</w:t>
      </w:r>
      <w:r>
        <w:rPr>
          <w:bCs/>
          <w:sz w:val="24"/>
        </w:rPr>
        <w:t>）授权委托证明的内容要求（包括但不限于代理人身份，代理权限和代理有效期限等）、送达时间和地点；</w:t>
      </w:r>
    </w:p>
    <w:p w14:paraId="0161832C" w14:textId="77777777" w:rsidR="00566744" w:rsidRDefault="00000000">
      <w:pPr>
        <w:spacing w:line="360" w:lineRule="auto"/>
        <w:ind w:firstLineChars="200" w:firstLine="480"/>
        <w:rPr>
          <w:bCs/>
          <w:sz w:val="24"/>
        </w:rPr>
      </w:pPr>
      <w:r>
        <w:rPr>
          <w:bCs/>
          <w:sz w:val="24"/>
        </w:rPr>
        <w:t>（</w:t>
      </w:r>
      <w:r>
        <w:rPr>
          <w:bCs/>
          <w:sz w:val="24"/>
        </w:rPr>
        <w:t>5</w:t>
      </w:r>
      <w:r>
        <w:rPr>
          <w:bCs/>
          <w:sz w:val="24"/>
        </w:rPr>
        <w:t>）会务常设联系人姓名及联系电话；</w:t>
      </w:r>
    </w:p>
    <w:p w14:paraId="14F1CE02" w14:textId="77777777" w:rsidR="00566744" w:rsidRDefault="00000000">
      <w:pPr>
        <w:spacing w:line="360" w:lineRule="auto"/>
        <w:ind w:firstLineChars="200" w:firstLine="480"/>
        <w:rPr>
          <w:bCs/>
          <w:sz w:val="24"/>
        </w:rPr>
      </w:pPr>
      <w:r>
        <w:rPr>
          <w:bCs/>
          <w:sz w:val="24"/>
        </w:rPr>
        <w:t>（</w:t>
      </w:r>
      <w:r>
        <w:rPr>
          <w:bCs/>
          <w:sz w:val="24"/>
        </w:rPr>
        <w:t>6</w:t>
      </w:r>
      <w:r>
        <w:rPr>
          <w:bCs/>
          <w:sz w:val="24"/>
        </w:rPr>
        <w:t>）出席会议者必须准备的文件和必须履行的手续；</w:t>
      </w:r>
    </w:p>
    <w:p w14:paraId="1B78DDD9" w14:textId="77777777" w:rsidR="00566744" w:rsidRDefault="00000000">
      <w:pPr>
        <w:spacing w:line="360" w:lineRule="auto"/>
        <w:ind w:firstLineChars="200" w:firstLine="480"/>
        <w:rPr>
          <w:bCs/>
          <w:sz w:val="24"/>
        </w:rPr>
      </w:pPr>
      <w:r>
        <w:rPr>
          <w:bCs/>
          <w:sz w:val="24"/>
        </w:rPr>
        <w:t>（</w:t>
      </w:r>
      <w:r>
        <w:rPr>
          <w:bCs/>
          <w:sz w:val="24"/>
        </w:rPr>
        <w:t>7</w:t>
      </w:r>
      <w:r>
        <w:rPr>
          <w:bCs/>
          <w:sz w:val="24"/>
        </w:rPr>
        <w:t>）召集人需要通知的其他事项。</w:t>
      </w:r>
    </w:p>
    <w:p w14:paraId="06E398E0" w14:textId="77777777" w:rsidR="00566744" w:rsidRDefault="00000000">
      <w:pPr>
        <w:spacing w:line="360" w:lineRule="auto"/>
        <w:ind w:firstLineChars="200" w:firstLine="480"/>
        <w:rPr>
          <w:bCs/>
          <w:sz w:val="24"/>
        </w:rPr>
      </w:pPr>
      <w:r>
        <w:rPr>
          <w:bCs/>
          <w:sz w:val="24"/>
        </w:rPr>
        <w:t>2</w:t>
      </w:r>
      <w:r>
        <w:rPr>
          <w:bCs/>
          <w:sz w:val="24"/>
        </w:rPr>
        <w:t>、采取通讯开会方式并进行表决的情况下，由会议召集人决定在会议通知中说明本次基金份额持有人大会所采取的具体通讯方式、委托的公证机关及其联系方式和联系人、书面表决意见寄交的截止时间和收取方式。</w:t>
      </w:r>
    </w:p>
    <w:p w14:paraId="646C8CB2" w14:textId="77777777" w:rsidR="00566744" w:rsidRDefault="00000000">
      <w:pPr>
        <w:spacing w:line="360" w:lineRule="auto"/>
        <w:ind w:firstLineChars="200" w:firstLine="480"/>
        <w:rPr>
          <w:bCs/>
          <w:sz w:val="24"/>
        </w:rPr>
      </w:pPr>
      <w:r>
        <w:rPr>
          <w:bCs/>
          <w:sz w:val="24"/>
        </w:rPr>
        <w:t>3</w:t>
      </w:r>
      <w:r>
        <w:rPr>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Pr>
          <w:bCs/>
          <w:sz w:val="24"/>
        </w:rPr>
        <w:t>拒不派</w:t>
      </w:r>
      <w:proofErr w:type="gramEnd"/>
      <w:r>
        <w:rPr>
          <w:bCs/>
          <w:sz w:val="24"/>
        </w:rPr>
        <w:t>代表对书面表决意见的计票进行监督的，不影响表决意见的计票效</w:t>
      </w:r>
      <w:r>
        <w:rPr>
          <w:bCs/>
          <w:sz w:val="24"/>
        </w:rPr>
        <w:lastRenderedPageBreak/>
        <w:t>力。</w:t>
      </w:r>
    </w:p>
    <w:p w14:paraId="335E7D84" w14:textId="77777777" w:rsidR="00566744" w:rsidRDefault="00000000">
      <w:pPr>
        <w:spacing w:line="360" w:lineRule="auto"/>
        <w:ind w:firstLineChars="200" w:firstLine="480"/>
        <w:rPr>
          <w:bCs/>
          <w:sz w:val="24"/>
        </w:rPr>
      </w:pPr>
      <w:r>
        <w:rPr>
          <w:rFonts w:hint="eastAsia"/>
          <w:bCs/>
          <w:sz w:val="24"/>
        </w:rPr>
        <w:t>四</w:t>
      </w:r>
      <w:r>
        <w:rPr>
          <w:bCs/>
          <w:sz w:val="24"/>
        </w:rPr>
        <w:t>、基金份额持有人出席会议的方式</w:t>
      </w:r>
    </w:p>
    <w:p w14:paraId="4B0201E0" w14:textId="77777777" w:rsidR="00566744" w:rsidRDefault="00000000">
      <w:pPr>
        <w:spacing w:line="360" w:lineRule="auto"/>
        <w:ind w:firstLineChars="200" w:firstLine="480"/>
        <w:rPr>
          <w:bCs/>
          <w:sz w:val="24"/>
        </w:rPr>
      </w:pPr>
      <w:r>
        <w:rPr>
          <w:bCs/>
          <w:sz w:val="24"/>
        </w:rPr>
        <w:t>基金份额持有人大会可通过现场开会方式</w:t>
      </w:r>
      <w:r>
        <w:rPr>
          <w:rFonts w:hint="eastAsia"/>
          <w:bCs/>
          <w:sz w:val="24"/>
        </w:rPr>
        <w:t>、通讯开会方式或法律法规、监管机构允许的其他</w:t>
      </w:r>
      <w:r>
        <w:rPr>
          <w:bCs/>
          <w:sz w:val="24"/>
        </w:rPr>
        <w:t>方式召开，会议的召开方式由会议召集人确定。</w:t>
      </w:r>
    </w:p>
    <w:p w14:paraId="270ECECF" w14:textId="77777777" w:rsidR="00566744" w:rsidRDefault="00000000">
      <w:pPr>
        <w:spacing w:line="360" w:lineRule="auto"/>
        <w:ind w:firstLineChars="200" w:firstLine="480"/>
        <w:rPr>
          <w:bCs/>
          <w:sz w:val="24"/>
        </w:rPr>
      </w:pPr>
      <w:r>
        <w:rPr>
          <w:bCs/>
          <w:sz w:val="24"/>
        </w:rPr>
        <w:t>1</w:t>
      </w:r>
      <w:r>
        <w:rPr>
          <w:bCs/>
          <w:sz w:val="24"/>
        </w:rPr>
        <w:t>、现场开会。由基金份额持有人本人出席或以代理投票授权委托证明委派代表出席，现场开会时基金管理人和基金托管人的授权代表应当列席基金份额持有人大会，基金管理人或</w:t>
      </w:r>
      <w:r>
        <w:rPr>
          <w:rFonts w:hint="eastAsia"/>
          <w:bCs/>
          <w:sz w:val="24"/>
        </w:rPr>
        <w:t>基金</w:t>
      </w:r>
      <w:r>
        <w:rPr>
          <w:bCs/>
          <w:sz w:val="24"/>
        </w:rPr>
        <w:t>托管人不派代表列席的，不影响表决效力。现场开会同时符合以下条件时，可以进行基金份额持有人大会议程：</w:t>
      </w:r>
    </w:p>
    <w:p w14:paraId="7E20AC45" w14:textId="77777777" w:rsidR="00566744" w:rsidRDefault="00000000">
      <w:pPr>
        <w:spacing w:line="360" w:lineRule="auto"/>
        <w:ind w:firstLineChars="200" w:firstLine="480"/>
        <w:rPr>
          <w:bCs/>
          <w:sz w:val="24"/>
        </w:rPr>
      </w:pPr>
      <w:r>
        <w:rPr>
          <w:bCs/>
          <w:sz w:val="24"/>
        </w:rPr>
        <w:t>（</w:t>
      </w:r>
      <w:r>
        <w:rPr>
          <w:bCs/>
          <w:sz w:val="24"/>
        </w:rPr>
        <w:t>1</w:t>
      </w:r>
      <w:r>
        <w:rPr>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467DC170" w14:textId="77777777" w:rsidR="00566744" w:rsidRDefault="00000000">
      <w:pPr>
        <w:spacing w:line="360" w:lineRule="auto"/>
        <w:ind w:firstLineChars="200" w:firstLine="480"/>
        <w:rPr>
          <w:bCs/>
          <w:sz w:val="24"/>
        </w:rPr>
      </w:pPr>
      <w:r>
        <w:rPr>
          <w:bCs/>
          <w:sz w:val="24"/>
        </w:rPr>
        <w:t>（</w:t>
      </w:r>
      <w:r>
        <w:rPr>
          <w:bCs/>
          <w:sz w:val="24"/>
        </w:rPr>
        <w:t>2</w:t>
      </w:r>
      <w:r>
        <w:rPr>
          <w:bCs/>
          <w:sz w:val="24"/>
        </w:rPr>
        <w:t>）经核对，汇总到会者出示的在权益登记日持有基金份额的凭证显示，有效的基金份额不少于本基金在权益登记日基金总份额的</w:t>
      </w:r>
      <w:r>
        <w:rPr>
          <w:rFonts w:hint="eastAsia"/>
          <w:bCs/>
          <w:sz w:val="24"/>
        </w:rPr>
        <w:t>二分之一（含二分之一）</w:t>
      </w:r>
      <w:r>
        <w:rPr>
          <w:bCs/>
          <w:sz w:val="24"/>
        </w:rPr>
        <w:t>。</w:t>
      </w:r>
    </w:p>
    <w:p w14:paraId="6172AE97" w14:textId="77777777" w:rsidR="00566744" w:rsidRDefault="00000000">
      <w:pPr>
        <w:spacing w:line="360" w:lineRule="auto"/>
        <w:ind w:firstLineChars="200" w:firstLine="480"/>
        <w:rPr>
          <w:bCs/>
          <w:sz w:val="24"/>
        </w:rPr>
      </w:pPr>
      <w:r>
        <w:rPr>
          <w:rFonts w:hint="eastAsia"/>
          <w:bCs/>
          <w:sz w:val="24"/>
        </w:rPr>
        <w:t>参加</w:t>
      </w:r>
      <w:r>
        <w:rPr>
          <w:bCs/>
          <w:sz w:val="24"/>
        </w:rPr>
        <w:t>基金份额持有人大会的基金份额持有人的基金份额低于上述规定比例的，召集人可以在原公告的基金份额持有人大会召开时间的三个月以后、六个月以内，就原定审议事项重新</w:t>
      </w:r>
      <w:r>
        <w:rPr>
          <w:rFonts w:hint="eastAsia"/>
          <w:bCs/>
          <w:sz w:val="24"/>
        </w:rPr>
        <w:t>召集</w:t>
      </w:r>
      <w:r>
        <w:rPr>
          <w:bCs/>
          <w:sz w:val="24"/>
        </w:rPr>
        <w:t>基金份额持有人大会。重新</w:t>
      </w:r>
      <w:r>
        <w:rPr>
          <w:rFonts w:hint="eastAsia"/>
          <w:bCs/>
          <w:sz w:val="24"/>
        </w:rPr>
        <w:t>召集</w:t>
      </w:r>
      <w:r>
        <w:rPr>
          <w:bCs/>
          <w:sz w:val="24"/>
        </w:rPr>
        <w:t>的基金份额持有人大会，应当有代</w:t>
      </w:r>
      <w:r>
        <w:rPr>
          <w:rFonts w:hint="eastAsia"/>
          <w:bCs/>
          <w:sz w:val="24"/>
        </w:rPr>
        <w:t>三分之一（含三分之一）</w:t>
      </w:r>
      <w:r>
        <w:rPr>
          <w:bCs/>
          <w:sz w:val="24"/>
        </w:rPr>
        <w:t>基金份额的基金份额持有人或其代理人参加，方可召开。</w:t>
      </w:r>
    </w:p>
    <w:p w14:paraId="07A0CCF2" w14:textId="77777777" w:rsidR="00566744" w:rsidRDefault="00000000">
      <w:pPr>
        <w:spacing w:line="360" w:lineRule="auto"/>
        <w:ind w:firstLineChars="200" w:firstLine="480"/>
        <w:rPr>
          <w:bCs/>
          <w:sz w:val="24"/>
        </w:rPr>
      </w:pPr>
      <w:r>
        <w:rPr>
          <w:bCs/>
          <w:sz w:val="24"/>
        </w:rPr>
        <w:t>2</w:t>
      </w:r>
      <w:r>
        <w:rPr>
          <w:bCs/>
          <w:sz w:val="24"/>
        </w:rPr>
        <w:t>、通讯开会。通讯开会系指基金份额持有人将其对表决事项的投票以书面形式在表决截至日以前送达至召集人指定的地址。通讯开会应以书面方式进行表决。</w:t>
      </w:r>
    </w:p>
    <w:p w14:paraId="3EE31D95" w14:textId="77777777" w:rsidR="00566744" w:rsidRDefault="00000000">
      <w:pPr>
        <w:spacing w:line="360" w:lineRule="auto"/>
        <w:ind w:firstLineChars="200" w:firstLine="480"/>
        <w:rPr>
          <w:bCs/>
          <w:sz w:val="24"/>
        </w:rPr>
      </w:pPr>
      <w:r>
        <w:rPr>
          <w:bCs/>
          <w:sz w:val="24"/>
        </w:rPr>
        <w:t>在同时符合以下条件时，通讯开会的方式视为有效：</w:t>
      </w:r>
    </w:p>
    <w:p w14:paraId="29F2A36A" w14:textId="77777777" w:rsidR="00566744" w:rsidRDefault="00000000">
      <w:pPr>
        <w:spacing w:line="360" w:lineRule="auto"/>
        <w:ind w:firstLineChars="200" w:firstLine="480"/>
        <w:rPr>
          <w:bCs/>
          <w:sz w:val="24"/>
        </w:rPr>
      </w:pPr>
      <w:r>
        <w:rPr>
          <w:bCs/>
          <w:sz w:val="24"/>
        </w:rPr>
        <w:t>（</w:t>
      </w:r>
      <w:r>
        <w:rPr>
          <w:bCs/>
          <w:sz w:val="24"/>
        </w:rPr>
        <w:t>1</w:t>
      </w:r>
      <w:r>
        <w:rPr>
          <w:bCs/>
          <w:sz w:val="24"/>
        </w:rPr>
        <w:t>）会议召集人按《基金合同》约定公布会议通知后，在</w:t>
      </w:r>
      <w:r>
        <w:rPr>
          <w:bCs/>
          <w:sz w:val="24"/>
        </w:rPr>
        <w:t>2</w:t>
      </w:r>
      <w:r>
        <w:rPr>
          <w:bCs/>
          <w:sz w:val="24"/>
        </w:rPr>
        <w:t>个工作日内连续公布相关提示性公告；</w:t>
      </w:r>
    </w:p>
    <w:p w14:paraId="5C73DB85" w14:textId="77777777" w:rsidR="00566744" w:rsidRDefault="00000000">
      <w:pPr>
        <w:spacing w:line="360" w:lineRule="auto"/>
        <w:ind w:firstLineChars="200" w:firstLine="480"/>
        <w:rPr>
          <w:bCs/>
          <w:sz w:val="24"/>
        </w:rPr>
      </w:pPr>
      <w:r>
        <w:rPr>
          <w:bCs/>
          <w:sz w:val="24"/>
        </w:rPr>
        <w:t>（</w:t>
      </w:r>
      <w:r>
        <w:rPr>
          <w:bCs/>
          <w:sz w:val="24"/>
        </w:rPr>
        <w:t>2</w:t>
      </w:r>
      <w:r>
        <w:rPr>
          <w:bCs/>
          <w:sz w:val="24"/>
        </w:rPr>
        <w:t>）召集人按基金合同</w:t>
      </w:r>
      <w:r>
        <w:rPr>
          <w:rFonts w:hint="eastAsia"/>
          <w:bCs/>
          <w:sz w:val="24"/>
        </w:rPr>
        <w:t>约</w:t>
      </w:r>
      <w:r>
        <w:rPr>
          <w:bCs/>
          <w:sz w:val="24"/>
        </w:rPr>
        <w:t>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收取基金份额持有人的书面表决意见；基金托管人或基金管理人经通知不参加收取书面表决意见的，不影响表决效力；</w:t>
      </w:r>
    </w:p>
    <w:p w14:paraId="63B95821" w14:textId="77777777" w:rsidR="00566744" w:rsidRDefault="00000000">
      <w:pPr>
        <w:spacing w:line="360" w:lineRule="auto"/>
        <w:ind w:firstLineChars="225" w:firstLine="540"/>
        <w:rPr>
          <w:bCs/>
          <w:sz w:val="24"/>
        </w:rPr>
      </w:pPr>
      <w:r>
        <w:rPr>
          <w:bCs/>
          <w:sz w:val="24"/>
        </w:rPr>
        <w:lastRenderedPageBreak/>
        <w:t>（</w:t>
      </w:r>
      <w:r>
        <w:rPr>
          <w:bCs/>
          <w:sz w:val="24"/>
        </w:rPr>
        <w:t>3</w:t>
      </w:r>
      <w:r>
        <w:rPr>
          <w:bCs/>
          <w:sz w:val="24"/>
        </w:rPr>
        <w:t>）本人直接出具书面意见或授权他人代表出具书面意见的，基金份额持有人所持有的基金份额不小于在权益登记日基金总份额的</w:t>
      </w:r>
      <w:r>
        <w:rPr>
          <w:rFonts w:hint="eastAsia"/>
          <w:bCs/>
          <w:sz w:val="24"/>
        </w:rPr>
        <w:t>二分之一（含二分之一）</w:t>
      </w:r>
      <w:r>
        <w:rPr>
          <w:bCs/>
          <w:sz w:val="24"/>
        </w:rPr>
        <w:t>；</w:t>
      </w:r>
    </w:p>
    <w:p w14:paraId="5876C985" w14:textId="77777777" w:rsidR="00566744" w:rsidRDefault="00000000">
      <w:pPr>
        <w:spacing w:line="360" w:lineRule="auto"/>
        <w:ind w:firstLineChars="225" w:firstLine="540"/>
        <w:rPr>
          <w:bCs/>
          <w:sz w:val="24"/>
        </w:rPr>
      </w:pPr>
      <w:r>
        <w:rPr>
          <w:rFonts w:hint="eastAsia"/>
          <w:bCs/>
          <w:sz w:val="24"/>
        </w:rPr>
        <w:t>参加基金份额持有人大会的基金份额持有人的基金份额低于上述规定比例的，召集人可以在原公告的基金份额持有人大会召开时间的三个月以后、六个月以内，就原定审议事项重新召集基金份额持有人大会。重新召集的基金份额持有人大会，应当有代表三分之一（含三分之一）基金份额的基金份额持有人或其代理人参加，方可召开。</w:t>
      </w:r>
    </w:p>
    <w:p w14:paraId="601DE3DB" w14:textId="77777777" w:rsidR="00566744" w:rsidRDefault="00000000">
      <w:pPr>
        <w:spacing w:line="360" w:lineRule="auto"/>
        <w:ind w:firstLineChars="200" w:firstLine="480"/>
        <w:rPr>
          <w:bCs/>
          <w:sz w:val="24"/>
        </w:rPr>
      </w:pPr>
      <w:r>
        <w:rPr>
          <w:bCs/>
          <w:sz w:val="24"/>
        </w:rPr>
        <w:t>（</w:t>
      </w:r>
      <w:r>
        <w:rPr>
          <w:bCs/>
          <w:sz w:val="24"/>
        </w:rPr>
        <w:t>4</w:t>
      </w:r>
      <w:r>
        <w:rPr>
          <w:bCs/>
          <w:sz w:val="24"/>
        </w:rPr>
        <w:t>）上述第（</w:t>
      </w:r>
      <w:r>
        <w:rPr>
          <w:bCs/>
          <w:sz w:val="24"/>
        </w:rPr>
        <w:t>3</w:t>
      </w:r>
      <w:r>
        <w:rPr>
          <w:bCs/>
          <w:sz w:val="24"/>
        </w:rPr>
        <w:t>）项中直接出具书面意见的基金份额持有人或受托代表他人出具书面意见的代理人，同时提交的持有基金份额的凭证、受托出具书面意见的代理人出具的委托人持有基金份额的凭证及委托人的代理投票授权委托证明符合法律法规、《基金合同》和会议通知的规定，并与基金登记机构记录相符</w:t>
      </w:r>
      <w:r>
        <w:rPr>
          <w:rFonts w:hint="eastAsia"/>
          <w:bCs/>
          <w:sz w:val="24"/>
        </w:rPr>
        <w:t>。</w:t>
      </w:r>
    </w:p>
    <w:p w14:paraId="75BB4204" w14:textId="77777777" w:rsidR="00566744" w:rsidRDefault="00000000">
      <w:pPr>
        <w:spacing w:line="360" w:lineRule="auto"/>
        <w:ind w:firstLineChars="200" w:firstLine="480"/>
        <w:rPr>
          <w:bCs/>
          <w:sz w:val="24"/>
        </w:rPr>
      </w:pPr>
      <w:r>
        <w:rPr>
          <w:rFonts w:hint="eastAsia"/>
          <w:bCs/>
          <w:sz w:val="24"/>
        </w:rPr>
        <w:t>3</w:t>
      </w:r>
      <w:r>
        <w:rPr>
          <w:rFonts w:hint="eastAsia"/>
          <w:bCs/>
          <w:sz w:val="24"/>
        </w:rPr>
        <w:t>、在法律法规和监管机关允许的情况下，本基金的基金份额持有人亦可采用其他非书面方式授权其代理人出席基金份额持有人大会，具体方式由会议召集人确定并在会议通知中列明。</w:t>
      </w:r>
    </w:p>
    <w:p w14:paraId="2BE07E27" w14:textId="77777777" w:rsidR="00566744" w:rsidRDefault="00000000">
      <w:pPr>
        <w:spacing w:line="360" w:lineRule="auto"/>
        <w:ind w:firstLineChars="200" w:firstLine="480"/>
        <w:rPr>
          <w:bCs/>
          <w:sz w:val="24"/>
        </w:rPr>
      </w:pPr>
      <w:r>
        <w:rPr>
          <w:rFonts w:hint="eastAsia"/>
          <w:bCs/>
          <w:sz w:val="24"/>
        </w:rPr>
        <w:t>4</w:t>
      </w:r>
      <w:r>
        <w:rPr>
          <w:rFonts w:hint="eastAsia"/>
          <w:bCs/>
          <w:sz w:val="24"/>
        </w:rPr>
        <w:t>、在会议召开方式上，本基金亦可采用其他非现场方式或者以现场方式与非现场方式相结合的方式召开基金份额持有人大会，会议程序比照现场开会和通讯方式开会的程序进行。</w:t>
      </w:r>
    </w:p>
    <w:p w14:paraId="5E546AD1" w14:textId="77777777" w:rsidR="00566744" w:rsidRDefault="00000000">
      <w:pPr>
        <w:spacing w:line="360" w:lineRule="auto"/>
        <w:ind w:firstLineChars="200" w:firstLine="480"/>
        <w:rPr>
          <w:bCs/>
          <w:sz w:val="24"/>
        </w:rPr>
      </w:pPr>
      <w:r>
        <w:rPr>
          <w:rFonts w:hint="eastAsia"/>
          <w:bCs/>
          <w:sz w:val="24"/>
        </w:rPr>
        <w:t>五</w:t>
      </w:r>
      <w:r>
        <w:rPr>
          <w:bCs/>
          <w:sz w:val="24"/>
        </w:rPr>
        <w:t>、议事内容与程序</w:t>
      </w:r>
    </w:p>
    <w:p w14:paraId="6792CD28" w14:textId="77777777" w:rsidR="00566744" w:rsidRDefault="00000000">
      <w:pPr>
        <w:spacing w:line="360" w:lineRule="auto"/>
        <w:ind w:firstLineChars="200" w:firstLine="480"/>
        <w:rPr>
          <w:bCs/>
          <w:sz w:val="24"/>
        </w:rPr>
      </w:pPr>
      <w:r>
        <w:rPr>
          <w:bCs/>
          <w:sz w:val="24"/>
        </w:rPr>
        <w:t>1</w:t>
      </w:r>
      <w:r>
        <w:rPr>
          <w:bCs/>
          <w:sz w:val="24"/>
        </w:rPr>
        <w:t>、议事内容及提案权</w:t>
      </w:r>
    </w:p>
    <w:p w14:paraId="05D573B1" w14:textId="77777777" w:rsidR="00566744" w:rsidRDefault="00000000">
      <w:pPr>
        <w:spacing w:line="360" w:lineRule="auto"/>
        <w:ind w:firstLineChars="200" w:firstLine="480"/>
        <w:rPr>
          <w:bCs/>
          <w:sz w:val="24"/>
        </w:rPr>
      </w:pPr>
      <w:r>
        <w:rPr>
          <w:bCs/>
          <w:sz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68C3FFF3" w14:textId="77777777" w:rsidR="00566744" w:rsidRDefault="00000000">
      <w:pPr>
        <w:spacing w:line="360" w:lineRule="auto"/>
        <w:ind w:firstLineChars="200" w:firstLine="480"/>
        <w:rPr>
          <w:bCs/>
          <w:sz w:val="24"/>
        </w:rPr>
      </w:pPr>
      <w:r>
        <w:rPr>
          <w:bCs/>
          <w:sz w:val="24"/>
        </w:rPr>
        <w:t>基金份额持有人大会的召集人发出召集会议的通知后，对原有提案的修改应当在基金份额持有人大会召开前及时公告。</w:t>
      </w:r>
    </w:p>
    <w:p w14:paraId="423F0563" w14:textId="77777777" w:rsidR="00566744" w:rsidRDefault="00000000">
      <w:pPr>
        <w:spacing w:line="360" w:lineRule="auto"/>
        <w:ind w:firstLineChars="200" w:firstLine="480"/>
        <w:rPr>
          <w:bCs/>
          <w:sz w:val="24"/>
        </w:rPr>
      </w:pPr>
      <w:r>
        <w:rPr>
          <w:bCs/>
          <w:sz w:val="24"/>
        </w:rPr>
        <w:t>基金份额持有人大会不得对未事先公告的议事内容进行表决。</w:t>
      </w:r>
    </w:p>
    <w:p w14:paraId="06BE8754" w14:textId="77777777" w:rsidR="00566744" w:rsidRDefault="00000000">
      <w:pPr>
        <w:spacing w:line="360" w:lineRule="auto"/>
        <w:ind w:firstLineChars="200" w:firstLine="480"/>
        <w:rPr>
          <w:bCs/>
          <w:sz w:val="24"/>
        </w:rPr>
      </w:pPr>
      <w:r>
        <w:rPr>
          <w:bCs/>
          <w:sz w:val="24"/>
        </w:rPr>
        <w:t>2</w:t>
      </w:r>
      <w:r>
        <w:rPr>
          <w:bCs/>
          <w:sz w:val="24"/>
        </w:rPr>
        <w:t>、议事程序</w:t>
      </w:r>
    </w:p>
    <w:p w14:paraId="565A4541" w14:textId="77777777" w:rsidR="00566744" w:rsidRDefault="00000000">
      <w:pPr>
        <w:spacing w:line="360" w:lineRule="auto"/>
        <w:ind w:firstLineChars="200" w:firstLine="480"/>
        <w:rPr>
          <w:bCs/>
          <w:sz w:val="24"/>
        </w:rPr>
      </w:pPr>
      <w:r>
        <w:rPr>
          <w:bCs/>
          <w:sz w:val="24"/>
        </w:rPr>
        <w:t>（</w:t>
      </w:r>
      <w:r>
        <w:rPr>
          <w:bCs/>
          <w:sz w:val="24"/>
        </w:rPr>
        <w:t>1</w:t>
      </w:r>
      <w:r>
        <w:rPr>
          <w:bCs/>
          <w:sz w:val="24"/>
        </w:rPr>
        <w:t>）现场开会</w:t>
      </w:r>
    </w:p>
    <w:p w14:paraId="601FC11A" w14:textId="77777777" w:rsidR="00566744" w:rsidRDefault="00000000">
      <w:pPr>
        <w:spacing w:line="360" w:lineRule="auto"/>
        <w:ind w:firstLineChars="200" w:firstLine="480"/>
        <w:rPr>
          <w:bCs/>
          <w:sz w:val="24"/>
        </w:rPr>
      </w:pPr>
      <w:r>
        <w:rPr>
          <w:bCs/>
          <w:sz w:val="24"/>
        </w:rPr>
        <w:lastRenderedPageBreak/>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hint="eastAsia"/>
          <w:bCs/>
          <w:sz w:val="24"/>
        </w:rPr>
        <w:t>二分之一</w:t>
      </w:r>
      <w:r>
        <w:rPr>
          <w:bCs/>
          <w:sz w:val="24"/>
        </w:rPr>
        <w:t>以上（含</w:t>
      </w:r>
      <w:r>
        <w:rPr>
          <w:rFonts w:hint="eastAsia"/>
          <w:bCs/>
          <w:sz w:val="24"/>
        </w:rPr>
        <w:t>二分之一</w:t>
      </w:r>
      <w:r>
        <w:rPr>
          <w:bCs/>
          <w:sz w:val="24"/>
        </w:rPr>
        <w:t>）选举产生一名基金份额持有人作为该次基金份额持有人大会的主持人。基金管理人和基金托管人拒不出席或主持基金份额持有人大会，不影响基金份额持有人大会</w:t>
      </w:r>
      <w:proofErr w:type="gramStart"/>
      <w:r>
        <w:rPr>
          <w:bCs/>
          <w:sz w:val="24"/>
        </w:rPr>
        <w:t>作出</w:t>
      </w:r>
      <w:proofErr w:type="gramEnd"/>
      <w:r>
        <w:rPr>
          <w:bCs/>
          <w:sz w:val="24"/>
        </w:rPr>
        <w:t>的决议的效力。</w:t>
      </w:r>
    </w:p>
    <w:p w14:paraId="3D3FF144" w14:textId="77777777" w:rsidR="00566744" w:rsidRDefault="00000000">
      <w:pPr>
        <w:spacing w:line="360" w:lineRule="auto"/>
        <w:ind w:firstLineChars="200" w:firstLine="480"/>
        <w:rPr>
          <w:bCs/>
          <w:sz w:val="24"/>
        </w:rPr>
      </w:pPr>
      <w:r>
        <w:rPr>
          <w:bCs/>
          <w:sz w:val="24"/>
        </w:rPr>
        <w:t>会议召集人应当制作出席会议人员的签名册。签名</w:t>
      </w:r>
      <w:proofErr w:type="gramStart"/>
      <w:r>
        <w:rPr>
          <w:bCs/>
          <w:sz w:val="24"/>
        </w:rPr>
        <w:t>册</w:t>
      </w:r>
      <w:proofErr w:type="gramEnd"/>
      <w:r>
        <w:rPr>
          <w:bCs/>
          <w:sz w:val="24"/>
        </w:rPr>
        <w:t>载明参加会议人员姓名（或单位名称）、身份证明文件号码、持有或代表有表决权的基金份额、委托人姓名（或单位名称）和联系方式等事项。</w:t>
      </w:r>
    </w:p>
    <w:p w14:paraId="591789FB" w14:textId="77777777" w:rsidR="00566744" w:rsidRDefault="00000000">
      <w:pPr>
        <w:spacing w:line="360" w:lineRule="auto"/>
        <w:ind w:firstLineChars="200" w:firstLine="480"/>
        <w:rPr>
          <w:bCs/>
          <w:sz w:val="24"/>
        </w:rPr>
      </w:pPr>
      <w:r>
        <w:rPr>
          <w:bCs/>
          <w:sz w:val="24"/>
        </w:rPr>
        <w:t>（</w:t>
      </w:r>
      <w:r>
        <w:rPr>
          <w:bCs/>
          <w:sz w:val="24"/>
        </w:rPr>
        <w:t>2</w:t>
      </w:r>
      <w:r>
        <w:rPr>
          <w:bCs/>
          <w:sz w:val="24"/>
        </w:rPr>
        <w:t>）通讯开会</w:t>
      </w:r>
    </w:p>
    <w:p w14:paraId="77153893" w14:textId="77777777" w:rsidR="00566744" w:rsidRDefault="00000000">
      <w:pPr>
        <w:spacing w:line="360" w:lineRule="auto"/>
        <w:ind w:firstLineChars="200" w:firstLine="480"/>
        <w:rPr>
          <w:bCs/>
          <w:sz w:val="24"/>
        </w:rPr>
      </w:pPr>
      <w:r>
        <w:rPr>
          <w:bCs/>
          <w:sz w:val="24"/>
        </w:rPr>
        <w:t>在通讯开会的情况下，首先由召集人提前</w:t>
      </w:r>
      <w:r>
        <w:rPr>
          <w:bCs/>
          <w:sz w:val="24"/>
        </w:rPr>
        <w:t>30</w:t>
      </w:r>
      <w:r>
        <w:rPr>
          <w:bCs/>
          <w:sz w:val="24"/>
        </w:rPr>
        <w:t>日公布提案，在所通知的表决截止日期后</w:t>
      </w:r>
      <w:r>
        <w:rPr>
          <w:bCs/>
          <w:sz w:val="24"/>
        </w:rPr>
        <w:t>2</w:t>
      </w:r>
      <w:r>
        <w:rPr>
          <w:bCs/>
          <w:sz w:val="24"/>
        </w:rPr>
        <w:t>个工作日内在公证机关监督下由召集人统计全部有效表决，在公证机关监督下形成决议。</w:t>
      </w:r>
    </w:p>
    <w:p w14:paraId="042849CE" w14:textId="77777777" w:rsidR="00566744" w:rsidRDefault="00000000">
      <w:pPr>
        <w:spacing w:line="360" w:lineRule="auto"/>
        <w:ind w:firstLineChars="200" w:firstLine="480"/>
        <w:rPr>
          <w:bCs/>
          <w:sz w:val="24"/>
        </w:rPr>
      </w:pPr>
      <w:r>
        <w:rPr>
          <w:rFonts w:hint="eastAsia"/>
          <w:bCs/>
          <w:sz w:val="24"/>
        </w:rPr>
        <w:t>六、</w:t>
      </w:r>
      <w:r>
        <w:rPr>
          <w:bCs/>
          <w:sz w:val="24"/>
        </w:rPr>
        <w:t>表决</w:t>
      </w:r>
    </w:p>
    <w:p w14:paraId="18A4149E" w14:textId="77777777" w:rsidR="00566744" w:rsidRDefault="00000000">
      <w:pPr>
        <w:spacing w:line="360" w:lineRule="auto"/>
        <w:ind w:firstLineChars="200" w:firstLine="480"/>
        <w:rPr>
          <w:bCs/>
          <w:sz w:val="24"/>
        </w:rPr>
      </w:pPr>
      <w:r>
        <w:rPr>
          <w:bCs/>
          <w:sz w:val="24"/>
        </w:rPr>
        <w:t>基金份额持有人所持</w:t>
      </w:r>
      <w:r>
        <w:rPr>
          <w:rFonts w:hint="eastAsia"/>
          <w:bCs/>
          <w:sz w:val="24"/>
        </w:rPr>
        <w:t>每份</w:t>
      </w:r>
      <w:r>
        <w:rPr>
          <w:bCs/>
          <w:sz w:val="24"/>
        </w:rPr>
        <w:t>基金份额有一票表决权。</w:t>
      </w:r>
    </w:p>
    <w:p w14:paraId="69B7AE63" w14:textId="77777777" w:rsidR="00566744" w:rsidRDefault="00000000">
      <w:pPr>
        <w:spacing w:line="360" w:lineRule="auto"/>
        <w:ind w:firstLineChars="200" w:firstLine="480"/>
        <w:rPr>
          <w:bCs/>
          <w:sz w:val="24"/>
        </w:rPr>
      </w:pPr>
      <w:r>
        <w:rPr>
          <w:bCs/>
          <w:sz w:val="24"/>
        </w:rPr>
        <w:t>基金份额持有人大会决议分为一般决议和特别决议：</w:t>
      </w:r>
    </w:p>
    <w:p w14:paraId="46AA069F" w14:textId="77777777" w:rsidR="00566744" w:rsidRDefault="00000000">
      <w:pPr>
        <w:spacing w:line="360" w:lineRule="auto"/>
        <w:ind w:firstLineChars="200" w:firstLine="480"/>
        <w:rPr>
          <w:bCs/>
          <w:sz w:val="24"/>
        </w:rPr>
      </w:pPr>
      <w:r>
        <w:rPr>
          <w:bCs/>
          <w:sz w:val="24"/>
        </w:rPr>
        <w:t>1</w:t>
      </w:r>
      <w:r>
        <w:rPr>
          <w:bCs/>
          <w:sz w:val="24"/>
        </w:rPr>
        <w:t>、一般决议，一般决议须经参加大会的基金份额持有人或其代理人所持表决权的</w:t>
      </w:r>
      <w:r>
        <w:rPr>
          <w:rFonts w:hint="eastAsia"/>
          <w:bCs/>
          <w:sz w:val="24"/>
        </w:rPr>
        <w:t>二分之一（含二分之一）以上</w:t>
      </w:r>
      <w:r>
        <w:rPr>
          <w:bCs/>
          <w:sz w:val="24"/>
        </w:rPr>
        <w:t>通过方为有效；除下列第</w:t>
      </w:r>
      <w:r>
        <w:rPr>
          <w:bCs/>
          <w:sz w:val="24"/>
        </w:rPr>
        <w:t>2</w:t>
      </w:r>
      <w:r>
        <w:rPr>
          <w:bCs/>
          <w:sz w:val="24"/>
        </w:rPr>
        <w:t>项所规定的须以特别决议通过事项以外的其他事项均以一般决议的方式通过。</w:t>
      </w:r>
    </w:p>
    <w:p w14:paraId="03CCE8DE" w14:textId="77777777" w:rsidR="00566744" w:rsidRDefault="00000000">
      <w:pPr>
        <w:spacing w:line="360" w:lineRule="auto"/>
        <w:ind w:firstLineChars="200" w:firstLine="480"/>
        <w:rPr>
          <w:bCs/>
          <w:sz w:val="24"/>
        </w:rPr>
      </w:pPr>
      <w:r>
        <w:rPr>
          <w:bCs/>
          <w:sz w:val="24"/>
        </w:rPr>
        <w:t>2</w:t>
      </w:r>
      <w:r>
        <w:rPr>
          <w:bCs/>
          <w:sz w:val="24"/>
        </w:rPr>
        <w:t>、特别决议，特别决议应当经参加大会的基金份额持有人或其代理人所持表决权的</w:t>
      </w:r>
      <w:r>
        <w:rPr>
          <w:rFonts w:hint="eastAsia"/>
          <w:bCs/>
          <w:sz w:val="24"/>
        </w:rPr>
        <w:t>三</w:t>
      </w:r>
      <w:r>
        <w:rPr>
          <w:bCs/>
          <w:sz w:val="24"/>
        </w:rPr>
        <w:t>分之二</w:t>
      </w:r>
      <w:r>
        <w:rPr>
          <w:rFonts w:hint="eastAsia"/>
          <w:bCs/>
          <w:sz w:val="24"/>
        </w:rPr>
        <w:t>（含三分之二）</w:t>
      </w:r>
      <w:r>
        <w:rPr>
          <w:bCs/>
          <w:sz w:val="24"/>
        </w:rPr>
        <w:t>以上通过方可做出。转换基金运作方式</w:t>
      </w:r>
      <w:r>
        <w:rPr>
          <w:rFonts w:hint="eastAsia"/>
          <w:bCs/>
          <w:sz w:val="24"/>
        </w:rPr>
        <w:t>、与其他基金合并</w:t>
      </w:r>
      <w:r>
        <w:rPr>
          <w:bCs/>
          <w:sz w:val="24"/>
        </w:rPr>
        <w:t>、更换基金管理人或者基金托管人、终止《基金合同》以特别决议通过方为有效。</w:t>
      </w:r>
    </w:p>
    <w:p w14:paraId="670E3DB9" w14:textId="77777777" w:rsidR="00566744" w:rsidRDefault="00000000">
      <w:pPr>
        <w:spacing w:line="360" w:lineRule="auto"/>
        <w:ind w:firstLineChars="200" w:firstLine="480"/>
        <w:rPr>
          <w:bCs/>
          <w:sz w:val="24"/>
        </w:rPr>
      </w:pPr>
      <w:r>
        <w:rPr>
          <w:bCs/>
          <w:sz w:val="24"/>
        </w:rPr>
        <w:t>基金份额持有人大会采取记名方式进行投票表决。</w:t>
      </w:r>
    </w:p>
    <w:p w14:paraId="2862E170" w14:textId="77777777" w:rsidR="00566744" w:rsidRDefault="00000000">
      <w:pPr>
        <w:spacing w:line="360" w:lineRule="auto"/>
        <w:ind w:firstLineChars="200" w:firstLine="480"/>
        <w:rPr>
          <w:bCs/>
          <w:sz w:val="24"/>
        </w:rPr>
      </w:pPr>
      <w:r>
        <w:rPr>
          <w:bCs/>
          <w:sz w:val="24"/>
        </w:rPr>
        <w:t>采取通讯方式进行表决时，除非在计票时有充分的相反证据证明，否则提交符合会议通知中规定的确认投资者身份文件的表决视为有效出席的投资者，表面符合</w:t>
      </w:r>
      <w:r>
        <w:rPr>
          <w:bCs/>
          <w:sz w:val="24"/>
        </w:rPr>
        <w:lastRenderedPageBreak/>
        <w:t>会议通知规定的书面表决意见视为有效表决，表决意见模糊不清或相互矛盾的视为弃权表决，但应当计入出具书面意见的基金份额持有人所代表的基金份额总数。</w:t>
      </w:r>
    </w:p>
    <w:p w14:paraId="746F497F" w14:textId="77777777" w:rsidR="00566744" w:rsidRDefault="00000000">
      <w:pPr>
        <w:spacing w:line="360" w:lineRule="auto"/>
        <w:ind w:firstLineChars="200" w:firstLine="480"/>
        <w:rPr>
          <w:bCs/>
          <w:sz w:val="24"/>
        </w:rPr>
      </w:pPr>
      <w:r>
        <w:rPr>
          <w:bCs/>
          <w:sz w:val="24"/>
        </w:rPr>
        <w:t>基金份额持有人大会的各项提案或同一项提案内并列的各项议题应当分开审议、逐项表决。</w:t>
      </w:r>
    </w:p>
    <w:p w14:paraId="6C6375BC" w14:textId="77777777" w:rsidR="00566744" w:rsidRDefault="00000000">
      <w:pPr>
        <w:spacing w:line="360" w:lineRule="auto"/>
        <w:ind w:firstLineChars="200" w:firstLine="480"/>
        <w:rPr>
          <w:bCs/>
          <w:sz w:val="24"/>
        </w:rPr>
      </w:pPr>
      <w:r>
        <w:rPr>
          <w:rFonts w:hint="eastAsia"/>
          <w:bCs/>
          <w:sz w:val="24"/>
        </w:rPr>
        <w:t>七、</w:t>
      </w:r>
      <w:r>
        <w:rPr>
          <w:bCs/>
          <w:sz w:val="24"/>
        </w:rPr>
        <w:t>计票</w:t>
      </w:r>
    </w:p>
    <w:p w14:paraId="3EA89D04" w14:textId="77777777" w:rsidR="00566744" w:rsidRDefault="00000000">
      <w:pPr>
        <w:spacing w:line="360" w:lineRule="auto"/>
        <w:ind w:firstLineChars="200" w:firstLine="480"/>
        <w:rPr>
          <w:bCs/>
          <w:sz w:val="24"/>
        </w:rPr>
      </w:pPr>
      <w:r>
        <w:rPr>
          <w:bCs/>
          <w:sz w:val="24"/>
        </w:rPr>
        <w:t>1</w:t>
      </w:r>
      <w:r>
        <w:rPr>
          <w:bCs/>
          <w:sz w:val="24"/>
        </w:rPr>
        <w:t>、现场开会</w:t>
      </w:r>
    </w:p>
    <w:p w14:paraId="659C75B2" w14:textId="77777777" w:rsidR="00566744" w:rsidRDefault="00000000">
      <w:pPr>
        <w:spacing w:line="360" w:lineRule="auto"/>
        <w:ind w:firstLineChars="200" w:firstLine="480"/>
        <w:rPr>
          <w:bCs/>
          <w:sz w:val="24"/>
        </w:rPr>
      </w:pPr>
      <w:r>
        <w:rPr>
          <w:bCs/>
          <w:sz w:val="24"/>
        </w:rPr>
        <w:t>（</w:t>
      </w:r>
      <w:r>
        <w:rPr>
          <w:bCs/>
          <w:sz w:val="24"/>
        </w:rPr>
        <w:t>1</w:t>
      </w:r>
      <w:r>
        <w:rPr>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proofErr w:type="gramStart"/>
      <w:r>
        <w:rPr>
          <w:bCs/>
          <w:sz w:val="24"/>
        </w:rPr>
        <w:t>或大会</w:t>
      </w:r>
      <w:proofErr w:type="gramEnd"/>
      <w:r>
        <w:rPr>
          <w:bCs/>
          <w:sz w:val="24"/>
        </w:rPr>
        <w:t>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3E5C264D" w14:textId="77777777" w:rsidR="00566744" w:rsidRDefault="00000000">
      <w:pPr>
        <w:spacing w:line="360" w:lineRule="auto"/>
        <w:ind w:firstLineChars="200" w:firstLine="480"/>
        <w:rPr>
          <w:bCs/>
          <w:sz w:val="24"/>
        </w:rPr>
      </w:pPr>
      <w:r>
        <w:rPr>
          <w:bCs/>
          <w:sz w:val="24"/>
        </w:rPr>
        <w:t>（</w:t>
      </w:r>
      <w:r>
        <w:rPr>
          <w:bCs/>
          <w:sz w:val="24"/>
        </w:rPr>
        <w:t>2</w:t>
      </w:r>
      <w:r>
        <w:rPr>
          <w:bCs/>
          <w:sz w:val="24"/>
        </w:rPr>
        <w:t>）监票人应当在基金份额持有人表决后立即进行清点并由大会主持人当场公布计票结果。</w:t>
      </w:r>
    </w:p>
    <w:p w14:paraId="70361C61" w14:textId="77777777" w:rsidR="00566744" w:rsidRDefault="00000000">
      <w:pPr>
        <w:spacing w:line="360" w:lineRule="auto"/>
        <w:ind w:firstLineChars="200" w:firstLine="480"/>
        <w:rPr>
          <w:bCs/>
          <w:sz w:val="24"/>
        </w:rPr>
      </w:pPr>
      <w:r>
        <w:rPr>
          <w:bCs/>
          <w:sz w:val="24"/>
        </w:rPr>
        <w:t>（</w:t>
      </w:r>
      <w:r>
        <w:rPr>
          <w:bCs/>
          <w:sz w:val="24"/>
        </w:rPr>
        <w:t>3</w:t>
      </w:r>
      <w:r>
        <w:rPr>
          <w:bCs/>
          <w:sz w:val="24"/>
        </w:rPr>
        <w:t>）如果会议主持人或基金份额持有人或代理人对于提交的表决结果有怀疑，可以在宣布表决结果后立即对所投票</w:t>
      </w:r>
      <w:proofErr w:type="gramStart"/>
      <w:r>
        <w:rPr>
          <w:bCs/>
          <w:sz w:val="24"/>
        </w:rPr>
        <w:t>数要求</w:t>
      </w:r>
      <w:proofErr w:type="gramEnd"/>
      <w:r>
        <w:rPr>
          <w:bCs/>
          <w:sz w:val="24"/>
        </w:rPr>
        <w:t>进行重新清点。监票人应当进行重新清点，重新清点以一次为限。重新清点后，大会主持人应当当场公布重新清点结果。</w:t>
      </w:r>
    </w:p>
    <w:p w14:paraId="66EBAF38" w14:textId="77777777" w:rsidR="00566744" w:rsidRDefault="00000000">
      <w:pPr>
        <w:spacing w:line="360" w:lineRule="auto"/>
        <w:ind w:firstLineChars="200" w:firstLine="480"/>
        <w:rPr>
          <w:bCs/>
          <w:sz w:val="24"/>
        </w:rPr>
      </w:pPr>
      <w:r>
        <w:rPr>
          <w:bCs/>
          <w:sz w:val="24"/>
        </w:rPr>
        <w:t>（</w:t>
      </w:r>
      <w:r>
        <w:rPr>
          <w:bCs/>
          <w:sz w:val="24"/>
        </w:rPr>
        <w:t>4</w:t>
      </w:r>
      <w:r>
        <w:rPr>
          <w:bCs/>
          <w:sz w:val="24"/>
        </w:rPr>
        <w:t>）计票过程应由公证机关予以公证</w:t>
      </w:r>
      <w:r>
        <w:rPr>
          <w:bCs/>
          <w:sz w:val="24"/>
        </w:rPr>
        <w:t>,</w:t>
      </w:r>
      <w:r>
        <w:rPr>
          <w:bCs/>
          <w:sz w:val="24"/>
        </w:rPr>
        <w:t>基金管理人或基金托管人拒不出席大会的，不影响计票的效力。</w:t>
      </w:r>
    </w:p>
    <w:p w14:paraId="7AADEC74" w14:textId="77777777" w:rsidR="00566744" w:rsidRDefault="00000000">
      <w:pPr>
        <w:spacing w:line="360" w:lineRule="auto"/>
        <w:ind w:firstLineChars="200" w:firstLine="480"/>
        <w:rPr>
          <w:bCs/>
          <w:sz w:val="24"/>
        </w:rPr>
      </w:pPr>
      <w:r>
        <w:rPr>
          <w:bCs/>
          <w:sz w:val="24"/>
        </w:rPr>
        <w:t>2</w:t>
      </w:r>
      <w:r>
        <w:rPr>
          <w:bCs/>
          <w:sz w:val="24"/>
        </w:rPr>
        <w:t>、通讯开会</w:t>
      </w:r>
    </w:p>
    <w:p w14:paraId="7D551AAB" w14:textId="77777777" w:rsidR="00566744" w:rsidRDefault="00000000">
      <w:pPr>
        <w:spacing w:line="360" w:lineRule="auto"/>
        <w:ind w:firstLineChars="200" w:firstLine="480"/>
        <w:rPr>
          <w:bCs/>
          <w:sz w:val="24"/>
        </w:rPr>
      </w:pPr>
      <w:r>
        <w:rPr>
          <w:bCs/>
          <w:sz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w:t>
      </w:r>
      <w:proofErr w:type="gramStart"/>
      <w:r>
        <w:rPr>
          <w:bCs/>
          <w:sz w:val="24"/>
        </w:rPr>
        <w:t>人拒派</w:t>
      </w:r>
      <w:proofErr w:type="gramEnd"/>
      <w:r>
        <w:rPr>
          <w:bCs/>
          <w:sz w:val="24"/>
        </w:rPr>
        <w:t>代表对书面表决意见的计票进行监督的，不影响计票和表决结果。</w:t>
      </w:r>
    </w:p>
    <w:p w14:paraId="44ED0E21" w14:textId="77777777" w:rsidR="00566744" w:rsidRDefault="00000000">
      <w:pPr>
        <w:spacing w:line="360" w:lineRule="auto"/>
        <w:ind w:firstLineChars="200" w:firstLine="480"/>
        <w:rPr>
          <w:bCs/>
          <w:sz w:val="24"/>
        </w:rPr>
      </w:pPr>
      <w:r>
        <w:rPr>
          <w:rFonts w:hint="eastAsia"/>
          <w:bCs/>
          <w:sz w:val="24"/>
        </w:rPr>
        <w:t>八、</w:t>
      </w:r>
      <w:r>
        <w:rPr>
          <w:bCs/>
          <w:sz w:val="24"/>
        </w:rPr>
        <w:t>生效与公告</w:t>
      </w:r>
    </w:p>
    <w:p w14:paraId="5543D324" w14:textId="77777777" w:rsidR="00566744" w:rsidRDefault="00000000">
      <w:pPr>
        <w:spacing w:line="360" w:lineRule="auto"/>
        <w:ind w:firstLineChars="200" w:firstLine="480"/>
        <w:rPr>
          <w:bCs/>
          <w:sz w:val="24"/>
        </w:rPr>
      </w:pPr>
      <w:r>
        <w:rPr>
          <w:bCs/>
          <w:sz w:val="24"/>
        </w:rPr>
        <w:t>基金份额持有人大会的决议，召集人应当自通过之日起</w:t>
      </w:r>
      <w:r>
        <w:rPr>
          <w:bCs/>
          <w:sz w:val="24"/>
        </w:rPr>
        <w:t>5</w:t>
      </w:r>
      <w:r>
        <w:rPr>
          <w:bCs/>
          <w:sz w:val="24"/>
        </w:rPr>
        <w:t>日内报中国证监会备案。</w:t>
      </w:r>
    </w:p>
    <w:p w14:paraId="2607ED0A" w14:textId="77777777" w:rsidR="00566744" w:rsidRDefault="00000000">
      <w:pPr>
        <w:spacing w:line="360" w:lineRule="auto"/>
        <w:ind w:firstLineChars="200" w:firstLine="480"/>
        <w:rPr>
          <w:bCs/>
          <w:sz w:val="24"/>
        </w:rPr>
      </w:pPr>
      <w:r>
        <w:rPr>
          <w:bCs/>
          <w:sz w:val="24"/>
        </w:rPr>
        <w:lastRenderedPageBreak/>
        <w:t>基金份额持有人大会的决议自</w:t>
      </w:r>
      <w:r>
        <w:rPr>
          <w:rFonts w:hint="eastAsia"/>
          <w:bCs/>
          <w:sz w:val="24"/>
        </w:rPr>
        <w:t>表决通过</w:t>
      </w:r>
      <w:r>
        <w:rPr>
          <w:bCs/>
          <w:sz w:val="24"/>
        </w:rPr>
        <w:t>之日起生效。</w:t>
      </w:r>
    </w:p>
    <w:p w14:paraId="191D4DC2" w14:textId="77777777" w:rsidR="00566744" w:rsidRDefault="00000000">
      <w:pPr>
        <w:spacing w:line="360" w:lineRule="auto"/>
        <w:ind w:firstLineChars="200" w:firstLine="480"/>
        <w:rPr>
          <w:bCs/>
          <w:sz w:val="24"/>
        </w:rPr>
      </w:pPr>
      <w:r>
        <w:rPr>
          <w:bCs/>
          <w:sz w:val="24"/>
        </w:rPr>
        <w:t>基金份额持有人大会决议自生效之日起</w:t>
      </w:r>
      <w:r>
        <w:rPr>
          <w:bCs/>
          <w:sz w:val="24"/>
        </w:rPr>
        <w:t xml:space="preserve"> 2 </w:t>
      </w:r>
      <w:proofErr w:type="gramStart"/>
      <w:r>
        <w:rPr>
          <w:bCs/>
          <w:sz w:val="24"/>
        </w:rPr>
        <w:t>个</w:t>
      </w:r>
      <w:proofErr w:type="gramEnd"/>
      <w:r>
        <w:rPr>
          <w:bCs/>
          <w:sz w:val="24"/>
        </w:rPr>
        <w:t>工作日内在</w:t>
      </w:r>
      <w:r>
        <w:rPr>
          <w:rFonts w:hint="eastAsia"/>
          <w:bCs/>
          <w:sz w:val="24"/>
        </w:rPr>
        <w:t>指定媒介</w:t>
      </w:r>
      <w:r>
        <w:rPr>
          <w:bCs/>
          <w:sz w:val="24"/>
        </w:rPr>
        <w:t>上公告。如果采用通讯方式进行表决，在公告基金份额持有人大会决议时，必须将公证书全文、公证机构、公证员姓名等一同公告。</w:t>
      </w:r>
    </w:p>
    <w:p w14:paraId="143CDD00" w14:textId="77777777" w:rsidR="00566744" w:rsidRDefault="00000000">
      <w:pPr>
        <w:spacing w:line="360" w:lineRule="auto"/>
        <w:ind w:firstLineChars="200" w:firstLine="480"/>
        <w:rPr>
          <w:bCs/>
          <w:sz w:val="24"/>
        </w:rPr>
      </w:pPr>
      <w:r>
        <w:rPr>
          <w:bCs/>
          <w:sz w:val="24"/>
        </w:rPr>
        <w:t>基金管理人、基金托管人和基金份额持有人应当执行生效的基金份额持有人大会的决议。生效的基金份额持有人大会决议对全体基金份额持有人、基金管理人、基金托管人均有约束力。</w:t>
      </w:r>
    </w:p>
    <w:p w14:paraId="7DF71473" w14:textId="77777777" w:rsidR="00566744" w:rsidRDefault="00000000">
      <w:pPr>
        <w:spacing w:line="360" w:lineRule="auto"/>
        <w:ind w:firstLineChars="200" w:firstLine="480"/>
        <w:rPr>
          <w:bCs/>
          <w:sz w:val="24"/>
        </w:rPr>
      </w:pPr>
      <w:r>
        <w:rPr>
          <w:rFonts w:hint="eastAsia"/>
          <w:bCs/>
          <w:sz w:val="24"/>
        </w:rPr>
        <w:t>九、本部</w:t>
      </w:r>
      <w:proofErr w:type="gramStart"/>
      <w:r>
        <w:rPr>
          <w:rFonts w:hint="eastAsia"/>
          <w:bCs/>
          <w:sz w:val="24"/>
        </w:rPr>
        <w:t>分关于</w:t>
      </w:r>
      <w:proofErr w:type="gramEnd"/>
      <w:r>
        <w:rPr>
          <w:rFonts w:hint="eastAsia"/>
          <w:bCs/>
          <w:sz w:val="24"/>
        </w:rPr>
        <w:t>基金份额持有人大会召开事由、召开条件、议事程序、表决条件等规定，凡是直接引用法律法规的部分，如将来法律法规修改导致相关内容被取消或变更的，基金管理人提前公告后，可直接对本部分内容进行修改和调整，无需召开基金份额持有人大会审议。</w:t>
      </w:r>
    </w:p>
    <w:p w14:paraId="0AD87C9D" w14:textId="77777777" w:rsidR="00566744" w:rsidRDefault="00000000">
      <w:pPr>
        <w:spacing w:line="360" w:lineRule="auto"/>
        <w:ind w:firstLineChars="200" w:firstLine="480"/>
        <w:rPr>
          <w:rFonts w:ascii="宋体" w:hAnsi="宋体" w:hint="eastAsia"/>
          <w:sz w:val="24"/>
        </w:rPr>
      </w:pPr>
      <w:r>
        <w:rPr>
          <w:rFonts w:ascii="宋体" w:hAnsi="宋体" w:hint="eastAsia"/>
          <w:sz w:val="24"/>
        </w:rPr>
        <w:t>（三）</w:t>
      </w:r>
      <w:r>
        <w:rPr>
          <w:rFonts w:ascii="宋体" w:hAnsi="宋体"/>
          <w:sz w:val="24"/>
        </w:rPr>
        <w:t>基金合同解除和终止的事由、程序</w:t>
      </w:r>
    </w:p>
    <w:p w14:paraId="2E3137D4" w14:textId="77777777" w:rsidR="00566744" w:rsidRDefault="00000000">
      <w:pPr>
        <w:spacing w:line="360" w:lineRule="auto"/>
        <w:ind w:firstLineChars="200" w:firstLine="480"/>
        <w:rPr>
          <w:bCs/>
          <w:sz w:val="24"/>
        </w:rPr>
      </w:pPr>
      <w:r>
        <w:rPr>
          <w:bCs/>
          <w:sz w:val="24"/>
        </w:rPr>
        <w:t>一</w:t>
      </w:r>
      <w:r>
        <w:rPr>
          <w:rFonts w:hint="eastAsia"/>
          <w:bCs/>
          <w:sz w:val="24"/>
        </w:rPr>
        <w:t>、</w:t>
      </w:r>
      <w:r>
        <w:rPr>
          <w:bCs/>
          <w:sz w:val="24"/>
        </w:rPr>
        <w:t>《基金合同》的变更</w:t>
      </w:r>
    </w:p>
    <w:p w14:paraId="31377A9C" w14:textId="77777777" w:rsidR="00566744" w:rsidRDefault="00000000">
      <w:pPr>
        <w:autoSpaceDE w:val="0"/>
        <w:autoSpaceDN w:val="0"/>
        <w:adjustRightInd w:val="0"/>
        <w:spacing w:line="360" w:lineRule="auto"/>
        <w:ind w:firstLineChars="200" w:firstLine="480"/>
        <w:jc w:val="left"/>
        <w:rPr>
          <w:bCs/>
          <w:sz w:val="24"/>
        </w:rPr>
      </w:pPr>
      <w:r>
        <w:rPr>
          <w:bCs/>
          <w:sz w:val="24"/>
        </w:rPr>
        <w:t>1</w:t>
      </w:r>
      <w:r>
        <w:rPr>
          <w:bCs/>
          <w:sz w:val="24"/>
        </w:rPr>
        <w:t>、变更基金合同</w:t>
      </w:r>
      <w:r>
        <w:rPr>
          <w:rFonts w:hint="eastAsia"/>
          <w:bCs/>
          <w:sz w:val="24"/>
        </w:rPr>
        <w:t>涉及</w:t>
      </w:r>
      <w:r>
        <w:rPr>
          <w:bCs/>
          <w:sz w:val="24"/>
        </w:rPr>
        <w:t>法律法规规定或本合同约定应经基金份额持有人大会决议通过的事项的，应召</w:t>
      </w:r>
      <w:proofErr w:type="gramStart"/>
      <w:r>
        <w:rPr>
          <w:bCs/>
          <w:sz w:val="24"/>
        </w:rPr>
        <w:t>开基金</w:t>
      </w:r>
      <w:proofErr w:type="gramEnd"/>
      <w:r>
        <w:rPr>
          <w:bCs/>
          <w:sz w:val="24"/>
        </w:rPr>
        <w:t>份额持有人大会决议通过。对于可不经基金份额持有人大会决议通过的事项，由基金管理人和基金托管人同意后变更并公告，并报中国证监会备案。</w:t>
      </w:r>
    </w:p>
    <w:p w14:paraId="38678E29" w14:textId="77777777" w:rsidR="00566744" w:rsidRDefault="00000000">
      <w:pPr>
        <w:spacing w:line="360" w:lineRule="auto"/>
        <w:ind w:firstLineChars="200" w:firstLine="480"/>
        <w:rPr>
          <w:bCs/>
          <w:sz w:val="24"/>
        </w:rPr>
      </w:pPr>
      <w:r>
        <w:rPr>
          <w:bCs/>
          <w:sz w:val="24"/>
        </w:rPr>
        <w:t>2</w:t>
      </w:r>
      <w:r>
        <w:rPr>
          <w:bCs/>
          <w:sz w:val="24"/>
        </w:rPr>
        <w:t>、</w:t>
      </w:r>
      <w:r>
        <w:rPr>
          <w:rFonts w:hint="eastAsia"/>
          <w:bCs/>
          <w:sz w:val="24"/>
        </w:rPr>
        <w:t>关于《基金合同》变更的基金份额持有人大会决议自报中国证监会完成备案手续后方可执行，决议生效后依照《信息披露办法》的有关规定在指定媒介公告</w:t>
      </w:r>
      <w:r>
        <w:rPr>
          <w:bCs/>
          <w:sz w:val="24"/>
        </w:rPr>
        <w:t>。</w:t>
      </w:r>
    </w:p>
    <w:p w14:paraId="77C58C6A" w14:textId="77777777" w:rsidR="00566744" w:rsidRDefault="00000000">
      <w:pPr>
        <w:spacing w:line="360" w:lineRule="auto"/>
        <w:ind w:firstLineChars="200" w:firstLine="480"/>
        <w:rPr>
          <w:bCs/>
          <w:sz w:val="24"/>
        </w:rPr>
      </w:pPr>
      <w:r>
        <w:rPr>
          <w:bCs/>
          <w:sz w:val="24"/>
        </w:rPr>
        <w:t>二</w:t>
      </w:r>
      <w:r>
        <w:rPr>
          <w:rFonts w:hint="eastAsia"/>
          <w:bCs/>
          <w:sz w:val="24"/>
        </w:rPr>
        <w:t>、</w:t>
      </w:r>
      <w:r>
        <w:rPr>
          <w:bCs/>
          <w:sz w:val="24"/>
        </w:rPr>
        <w:t>《基金合同》的终止事由</w:t>
      </w:r>
    </w:p>
    <w:p w14:paraId="70A8B052" w14:textId="77777777" w:rsidR="00566744" w:rsidRDefault="00000000">
      <w:pPr>
        <w:spacing w:line="360" w:lineRule="auto"/>
        <w:ind w:firstLineChars="200" w:firstLine="480"/>
        <w:rPr>
          <w:bCs/>
          <w:sz w:val="24"/>
        </w:rPr>
      </w:pPr>
      <w:r>
        <w:rPr>
          <w:bCs/>
          <w:sz w:val="24"/>
        </w:rPr>
        <w:t>有下列情形之一的，《基金合同》应当终止：</w:t>
      </w:r>
    </w:p>
    <w:p w14:paraId="128136B3" w14:textId="77777777" w:rsidR="00566744" w:rsidRDefault="00000000">
      <w:pPr>
        <w:spacing w:line="360" w:lineRule="auto"/>
        <w:ind w:firstLineChars="200" w:firstLine="480"/>
        <w:rPr>
          <w:bCs/>
          <w:sz w:val="24"/>
        </w:rPr>
      </w:pPr>
      <w:r>
        <w:rPr>
          <w:bCs/>
          <w:sz w:val="24"/>
        </w:rPr>
        <w:t>1</w:t>
      </w:r>
      <w:r>
        <w:rPr>
          <w:bCs/>
          <w:sz w:val="24"/>
        </w:rPr>
        <w:t>、基金份额持有人大会决定终止的；</w:t>
      </w:r>
    </w:p>
    <w:p w14:paraId="021C1CB7" w14:textId="77777777" w:rsidR="00566744" w:rsidRDefault="00000000">
      <w:pPr>
        <w:spacing w:line="360" w:lineRule="auto"/>
        <w:ind w:firstLineChars="200" w:firstLine="480"/>
        <w:rPr>
          <w:bCs/>
          <w:sz w:val="24"/>
        </w:rPr>
      </w:pPr>
      <w:r>
        <w:rPr>
          <w:bCs/>
          <w:sz w:val="24"/>
        </w:rPr>
        <w:t>2</w:t>
      </w:r>
      <w:r>
        <w:rPr>
          <w:bCs/>
          <w:sz w:val="24"/>
        </w:rPr>
        <w:t>、基金管理人、基金托管人职责终止，在</w:t>
      </w:r>
      <w:r>
        <w:rPr>
          <w:bCs/>
          <w:sz w:val="24"/>
        </w:rPr>
        <w:t>6</w:t>
      </w:r>
      <w:r>
        <w:rPr>
          <w:bCs/>
          <w:sz w:val="24"/>
        </w:rPr>
        <w:t>个月内没有新基金管理人、新基金托管人承接的；</w:t>
      </w:r>
    </w:p>
    <w:p w14:paraId="0B8647FD" w14:textId="77777777" w:rsidR="00566744" w:rsidRDefault="00000000">
      <w:pPr>
        <w:spacing w:line="360" w:lineRule="auto"/>
        <w:ind w:firstLineChars="200" w:firstLine="480"/>
        <w:rPr>
          <w:bCs/>
          <w:sz w:val="24"/>
        </w:rPr>
      </w:pPr>
      <w:r>
        <w:rPr>
          <w:rFonts w:hint="eastAsia"/>
          <w:bCs/>
          <w:sz w:val="24"/>
        </w:rPr>
        <w:t>3</w:t>
      </w:r>
      <w:r>
        <w:rPr>
          <w:bCs/>
          <w:sz w:val="24"/>
        </w:rPr>
        <w:t>、《基金合同》约定的其他情形；</w:t>
      </w:r>
    </w:p>
    <w:p w14:paraId="39846E88" w14:textId="77777777" w:rsidR="00566744" w:rsidRDefault="00000000">
      <w:pPr>
        <w:spacing w:line="360" w:lineRule="auto"/>
        <w:ind w:firstLineChars="200" w:firstLine="480"/>
        <w:rPr>
          <w:bCs/>
          <w:sz w:val="24"/>
        </w:rPr>
      </w:pPr>
      <w:r>
        <w:rPr>
          <w:rFonts w:hint="eastAsia"/>
          <w:bCs/>
          <w:sz w:val="24"/>
        </w:rPr>
        <w:t>4</w:t>
      </w:r>
      <w:r>
        <w:rPr>
          <w:rFonts w:hint="eastAsia"/>
          <w:bCs/>
          <w:sz w:val="24"/>
        </w:rPr>
        <w:t>、</w:t>
      </w:r>
      <w:r>
        <w:rPr>
          <w:bCs/>
          <w:sz w:val="24"/>
        </w:rPr>
        <w:t>相关法律法规和中国证监会规定的其他情况。</w:t>
      </w:r>
    </w:p>
    <w:p w14:paraId="28913C07" w14:textId="77777777" w:rsidR="00566744" w:rsidRDefault="00000000">
      <w:pPr>
        <w:spacing w:line="360" w:lineRule="auto"/>
        <w:ind w:firstLineChars="200" w:firstLine="480"/>
        <w:rPr>
          <w:bCs/>
          <w:sz w:val="24"/>
        </w:rPr>
      </w:pPr>
      <w:r>
        <w:rPr>
          <w:bCs/>
          <w:sz w:val="24"/>
        </w:rPr>
        <w:t>三</w:t>
      </w:r>
      <w:r>
        <w:rPr>
          <w:rFonts w:hint="eastAsia"/>
          <w:bCs/>
          <w:sz w:val="24"/>
        </w:rPr>
        <w:t>、</w:t>
      </w:r>
      <w:r>
        <w:rPr>
          <w:bCs/>
          <w:sz w:val="24"/>
        </w:rPr>
        <w:t>基金财产的清算</w:t>
      </w:r>
    </w:p>
    <w:p w14:paraId="66B8A0EC" w14:textId="77777777" w:rsidR="00566744" w:rsidRDefault="00000000">
      <w:pPr>
        <w:spacing w:line="360" w:lineRule="auto"/>
        <w:ind w:firstLineChars="200" w:firstLine="480"/>
        <w:rPr>
          <w:bCs/>
          <w:sz w:val="24"/>
        </w:rPr>
      </w:pPr>
      <w:r>
        <w:rPr>
          <w:bCs/>
          <w:sz w:val="24"/>
        </w:rPr>
        <w:t>1</w:t>
      </w:r>
      <w:r>
        <w:rPr>
          <w:bCs/>
          <w:sz w:val="24"/>
        </w:rPr>
        <w:t>、基金财产清算小组：自出现《基金合同》终止事由之日起</w:t>
      </w:r>
      <w:r>
        <w:rPr>
          <w:bCs/>
          <w:sz w:val="24"/>
        </w:rPr>
        <w:t>30</w:t>
      </w:r>
      <w:r>
        <w:rPr>
          <w:bCs/>
          <w:sz w:val="24"/>
        </w:rPr>
        <w:t>个工作日内成</w:t>
      </w:r>
      <w:r>
        <w:rPr>
          <w:bCs/>
          <w:sz w:val="24"/>
        </w:rPr>
        <w:lastRenderedPageBreak/>
        <w:t>立清算小组，基金管理人组织基金财产清算小组并在中国证监会的监督下进行基金清算。</w:t>
      </w:r>
    </w:p>
    <w:p w14:paraId="54026968" w14:textId="77777777" w:rsidR="00566744" w:rsidRDefault="00000000">
      <w:pPr>
        <w:spacing w:line="360" w:lineRule="auto"/>
        <w:ind w:firstLineChars="200" w:firstLine="480"/>
        <w:rPr>
          <w:bCs/>
          <w:sz w:val="24"/>
        </w:rPr>
      </w:pPr>
      <w:r>
        <w:rPr>
          <w:bCs/>
          <w:sz w:val="24"/>
        </w:rPr>
        <w:t>2</w:t>
      </w:r>
      <w:r>
        <w:rPr>
          <w:bCs/>
          <w:sz w:val="24"/>
        </w:rPr>
        <w:t>、基金财产清算小组组成：基金财产清算小组成员由基金管理人、基金托管人、具有证券</w:t>
      </w:r>
      <w:r>
        <w:rPr>
          <w:rFonts w:hint="eastAsia"/>
          <w:bCs/>
          <w:sz w:val="24"/>
        </w:rPr>
        <w:t>、期货</w:t>
      </w:r>
      <w:r>
        <w:rPr>
          <w:bCs/>
          <w:sz w:val="24"/>
        </w:rPr>
        <w:t>相关业务资格的注册会计师、律师以及中国证监会指定的人员组成。基金财产清算小组可以聘用必要的工作人员。</w:t>
      </w:r>
    </w:p>
    <w:p w14:paraId="7B92954B" w14:textId="77777777" w:rsidR="00566744" w:rsidRDefault="00000000">
      <w:pPr>
        <w:spacing w:line="360" w:lineRule="auto"/>
        <w:ind w:firstLineChars="200" w:firstLine="480"/>
        <w:rPr>
          <w:bCs/>
          <w:sz w:val="24"/>
        </w:rPr>
      </w:pPr>
      <w:r>
        <w:rPr>
          <w:bCs/>
          <w:sz w:val="24"/>
        </w:rPr>
        <w:t>3</w:t>
      </w:r>
      <w:r>
        <w:rPr>
          <w:bCs/>
          <w:sz w:val="24"/>
        </w:rPr>
        <w:t>、基金财产清算小组职责：基金财产清算小组负责基金财产的保管、清理、估价、变现和分配。基金财产清算小组可以依法进行必要的民事活动。</w:t>
      </w:r>
    </w:p>
    <w:p w14:paraId="41764845" w14:textId="77777777" w:rsidR="00566744" w:rsidRDefault="00000000">
      <w:pPr>
        <w:spacing w:line="360" w:lineRule="auto"/>
        <w:ind w:firstLineChars="200" w:firstLine="480"/>
        <w:rPr>
          <w:bCs/>
          <w:sz w:val="24"/>
        </w:rPr>
      </w:pPr>
      <w:r>
        <w:rPr>
          <w:bCs/>
          <w:sz w:val="24"/>
        </w:rPr>
        <w:t>4</w:t>
      </w:r>
      <w:r>
        <w:rPr>
          <w:bCs/>
          <w:sz w:val="24"/>
        </w:rPr>
        <w:t>、基金财产清算程序：</w:t>
      </w:r>
    </w:p>
    <w:p w14:paraId="71BF59CD" w14:textId="77777777" w:rsidR="00566744" w:rsidRDefault="00000000">
      <w:pPr>
        <w:spacing w:line="360" w:lineRule="auto"/>
        <w:ind w:firstLineChars="200" w:firstLine="480"/>
        <w:rPr>
          <w:bCs/>
          <w:sz w:val="24"/>
        </w:rPr>
      </w:pPr>
      <w:r>
        <w:rPr>
          <w:bCs/>
          <w:sz w:val="24"/>
        </w:rPr>
        <w:t>（</w:t>
      </w:r>
      <w:r>
        <w:rPr>
          <w:bCs/>
          <w:sz w:val="24"/>
        </w:rPr>
        <w:t>1</w:t>
      </w:r>
      <w:r>
        <w:rPr>
          <w:bCs/>
          <w:sz w:val="24"/>
        </w:rPr>
        <w:t>）《基金合同》终止情形出现时，由基金财产清算小组统一接管基金；</w:t>
      </w:r>
    </w:p>
    <w:p w14:paraId="54E50C66" w14:textId="77777777" w:rsidR="00566744" w:rsidRDefault="00000000">
      <w:pPr>
        <w:spacing w:line="360" w:lineRule="auto"/>
        <w:ind w:firstLineChars="200" w:firstLine="480"/>
        <w:rPr>
          <w:bCs/>
          <w:sz w:val="24"/>
        </w:rPr>
      </w:pPr>
      <w:r>
        <w:rPr>
          <w:bCs/>
          <w:sz w:val="24"/>
        </w:rPr>
        <w:t>（</w:t>
      </w:r>
      <w:r>
        <w:rPr>
          <w:bCs/>
          <w:sz w:val="24"/>
        </w:rPr>
        <w:t>2</w:t>
      </w:r>
      <w:r>
        <w:rPr>
          <w:bCs/>
          <w:sz w:val="24"/>
        </w:rPr>
        <w:t>）对基金财产和债权债务进行清理和确认；</w:t>
      </w:r>
    </w:p>
    <w:p w14:paraId="721999DD" w14:textId="77777777" w:rsidR="00566744" w:rsidRDefault="00000000">
      <w:pPr>
        <w:spacing w:line="360" w:lineRule="auto"/>
        <w:ind w:firstLineChars="200" w:firstLine="480"/>
        <w:rPr>
          <w:bCs/>
          <w:sz w:val="24"/>
        </w:rPr>
      </w:pPr>
      <w:r>
        <w:rPr>
          <w:bCs/>
          <w:sz w:val="24"/>
        </w:rPr>
        <w:t>（</w:t>
      </w:r>
      <w:r>
        <w:rPr>
          <w:bCs/>
          <w:sz w:val="24"/>
        </w:rPr>
        <w:t>3</w:t>
      </w:r>
      <w:r>
        <w:rPr>
          <w:bCs/>
          <w:sz w:val="24"/>
        </w:rPr>
        <w:t>）对基金财产进行估值和变现；</w:t>
      </w:r>
    </w:p>
    <w:p w14:paraId="5B30BA4E" w14:textId="77777777" w:rsidR="00566744" w:rsidRDefault="00000000">
      <w:pPr>
        <w:spacing w:line="360" w:lineRule="auto"/>
        <w:ind w:firstLineChars="200" w:firstLine="480"/>
        <w:rPr>
          <w:bCs/>
          <w:sz w:val="24"/>
        </w:rPr>
      </w:pPr>
      <w:r>
        <w:rPr>
          <w:bCs/>
          <w:sz w:val="24"/>
        </w:rPr>
        <w:t>（</w:t>
      </w:r>
      <w:r>
        <w:rPr>
          <w:bCs/>
          <w:sz w:val="24"/>
        </w:rPr>
        <w:t>4</w:t>
      </w:r>
      <w:r>
        <w:rPr>
          <w:bCs/>
          <w:sz w:val="24"/>
        </w:rPr>
        <w:t>）制作清算报告；</w:t>
      </w:r>
    </w:p>
    <w:p w14:paraId="77682876" w14:textId="77777777" w:rsidR="00566744" w:rsidRDefault="00000000">
      <w:pPr>
        <w:spacing w:line="360" w:lineRule="auto"/>
        <w:ind w:firstLineChars="200" w:firstLine="480"/>
        <w:rPr>
          <w:bCs/>
          <w:sz w:val="24"/>
        </w:rPr>
      </w:pPr>
      <w:r>
        <w:rPr>
          <w:bCs/>
          <w:sz w:val="24"/>
        </w:rPr>
        <w:t>（</w:t>
      </w:r>
      <w:r>
        <w:rPr>
          <w:bCs/>
          <w:sz w:val="24"/>
        </w:rPr>
        <w:t>5</w:t>
      </w:r>
      <w:r>
        <w:rPr>
          <w:bCs/>
          <w:sz w:val="24"/>
        </w:rPr>
        <w:t>）聘请</w:t>
      </w:r>
      <w:r>
        <w:rPr>
          <w:rFonts w:hint="eastAsia"/>
          <w:bCs/>
          <w:sz w:val="24"/>
        </w:rPr>
        <w:t>具有证券、期货相关业务资格的</w:t>
      </w:r>
      <w:r>
        <w:rPr>
          <w:bCs/>
          <w:sz w:val="24"/>
        </w:rPr>
        <w:t>会计师事务所对清算报告进行外部审计，聘请律师事务所对清算报告出具法律意见书；</w:t>
      </w:r>
    </w:p>
    <w:p w14:paraId="71E526CF" w14:textId="77777777" w:rsidR="00566744" w:rsidRDefault="00000000">
      <w:pPr>
        <w:spacing w:line="360" w:lineRule="auto"/>
        <w:ind w:firstLineChars="200" w:firstLine="480"/>
        <w:rPr>
          <w:bCs/>
          <w:sz w:val="24"/>
        </w:rPr>
      </w:pPr>
      <w:r>
        <w:rPr>
          <w:bCs/>
          <w:sz w:val="24"/>
        </w:rPr>
        <w:t>（</w:t>
      </w:r>
      <w:r>
        <w:rPr>
          <w:bCs/>
          <w:sz w:val="24"/>
        </w:rPr>
        <w:t>6</w:t>
      </w:r>
      <w:r>
        <w:rPr>
          <w:bCs/>
          <w:sz w:val="24"/>
        </w:rPr>
        <w:t>）将清算报告报中国证监会备案并公告</w:t>
      </w:r>
      <w:r>
        <w:rPr>
          <w:rFonts w:hint="eastAsia"/>
          <w:bCs/>
          <w:sz w:val="24"/>
        </w:rPr>
        <w:t>；</w:t>
      </w:r>
    </w:p>
    <w:p w14:paraId="7F0EBB6C" w14:textId="77777777" w:rsidR="00566744" w:rsidRDefault="00000000">
      <w:pPr>
        <w:spacing w:line="360" w:lineRule="auto"/>
        <w:ind w:firstLineChars="200" w:firstLine="480"/>
        <w:rPr>
          <w:bCs/>
          <w:sz w:val="24"/>
        </w:rPr>
      </w:pPr>
      <w:r>
        <w:rPr>
          <w:bCs/>
          <w:sz w:val="24"/>
        </w:rPr>
        <w:t>（</w:t>
      </w:r>
      <w:r>
        <w:rPr>
          <w:bCs/>
          <w:sz w:val="24"/>
        </w:rPr>
        <w:t>7</w:t>
      </w:r>
      <w:r>
        <w:rPr>
          <w:bCs/>
          <w:sz w:val="24"/>
        </w:rPr>
        <w:t>）对基金</w:t>
      </w:r>
      <w:r>
        <w:rPr>
          <w:rFonts w:hint="eastAsia"/>
          <w:bCs/>
          <w:sz w:val="24"/>
        </w:rPr>
        <w:t>剩余</w:t>
      </w:r>
      <w:r>
        <w:rPr>
          <w:bCs/>
          <w:sz w:val="24"/>
        </w:rPr>
        <w:t>财产进行分配</w:t>
      </w:r>
      <w:r>
        <w:rPr>
          <w:rFonts w:hint="eastAsia"/>
          <w:bCs/>
          <w:sz w:val="24"/>
        </w:rPr>
        <w:t>。</w:t>
      </w:r>
    </w:p>
    <w:p w14:paraId="7339118C" w14:textId="77777777" w:rsidR="00566744" w:rsidRDefault="00000000">
      <w:pPr>
        <w:spacing w:line="360" w:lineRule="auto"/>
        <w:ind w:firstLineChars="200" w:firstLine="480"/>
        <w:rPr>
          <w:bCs/>
          <w:sz w:val="24"/>
        </w:rPr>
      </w:pPr>
      <w:r>
        <w:rPr>
          <w:bCs/>
          <w:sz w:val="24"/>
        </w:rPr>
        <w:t>5</w:t>
      </w:r>
      <w:r>
        <w:rPr>
          <w:bCs/>
          <w:sz w:val="24"/>
        </w:rPr>
        <w:t>、基金财产清算的期限为</w:t>
      </w:r>
      <w:r>
        <w:rPr>
          <w:bCs/>
          <w:sz w:val="24"/>
        </w:rPr>
        <w:t>6</w:t>
      </w:r>
      <w:r>
        <w:rPr>
          <w:bCs/>
          <w:sz w:val="24"/>
        </w:rPr>
        <w:t>个月</w:t>
      </w:r>
      <w:r>
        <w:rPr>
          <w:rFonts w:hint="eastAsia"/>
          <w:bCs/>
          <w:sz w:val="24"/>
        </w:rPr>
        <w:t>，但因本基金所持证券的流动性受到限制而不能及时变现的，清算期限相应顺延</w:t>
      </w:r>
      <w:r>
        <w:rPr>
          <w:bCs/>
          <w:sz w:val="24"/>
        </w:rPr>
        <w:t>。</w:t>
      </w:r>
    </w:p>
    <w:p w14:paraId="6F6316AD" w14:textId="77777777" w:rsidR="00566744" w:rsidRDefault="00000000">
      <w:pPr>
        <w:spacing w:line="360" w:lineRule="auto"/>
        <w:ind w:firstLineChars="200" w:firstLine="480"/>
        <w:rPr>
          <w:bCs/>
          <w:sz w:val="24"/>
        </w:rPr>
      </w:pPr>
      <w:r>
        <w:rPr>
          <w:bCs/>
          <w:sz w:val="24"/>
        </w:rPr>
        <w:t>四</w:t>
      </w:r>
      <w:r>
        <w:rPr>
          <w:rFonts w:hint="eastAsia"/>
          <w:bCs/>
          <w:sz w:val="24"/>
        </w:rPr>
        <w:t>、</w:t>
      </w:r>
      <w:r>
        <w:rPr>
          <w:bCs/>
          <w:sz w:val="24"/>
        </w:rPr>
        <w:t>清算费用</w:t>
      </w:r>
    </w:p>
    <w:p w14:paraId="4769DD90" w14:textId="77777777" w:rsidR="00566744" w:rsidRDefault="00000000">
      <w:pPr>
        <w:spacing w:line="360" w:lineRule="auto"/>
        <w:ind w:firstLineChars="200" w:firstLine="480"/>
        <w:rPr>
          <w:bCs/>
          <w:sz w:val="24"/>
        </w:rPr>
      </w:pPr>
      <w:r>
        <w:rPr>
          <w:bCs/>
          <w:sz w:val="24"/>
        </w:rPr>
        <w:t>清算费用是指基金财产清算小组在进行基金清算过程中发生的所有合理费用，清算费用由基金财产清算小组优先从基金财产中支付。</w:t>
      </w:r>
    </w:p>
    <w:p w14:paraId="4365BAC0" w14:textId="77777777" w:rsidR="00566744" w:rsidRDefault="00000000">
      <w:pPr>
        <w:spacing w:line="360" w:lineRule="auto"/>
        <w:ind w:firstLineChars="200" w:firstLine="480"/>
        <w:rPr>
          <w:bCs/>
          <w:sz w:val="24"/>
        </w:rPr>
      </w:pPr>
      <w:r>
        <w:rPr>
          <w:bCs/>
          <w:sz w:val="24"/>
        </w:rPr>
        <w:t>五</w:t>
      </w:r>
      <w:r>
        <w:rPr>
          <w:rFonts w:hint="eastAsia"/>
          <w:bCs/>
          <w:sz w:val="24"/>
        </w:rPr>
        <w:t>、</w:t>
      </w:r>
      <w:r>
        <w:rPr>
          <w:bCs/>
          <w:sz w:val="24"/>
        </w:rPr>
        <w:t>基金财产清算剩余资产的分配</w:t>
      </w:r>
    </w:p>
    <w:p w14:paraId="30BA1EA2" w14:textId="77777777" w:rsidR="00566744" w:rsidRDefault="00000000">
      <w:pPr>
        <w:spacing w:line="360" w:lineRule="auto"/>
        <w:ind w:firstLineChars="200" w:firstLine="480"/>
        <w:rPr>
          <w:bCs/>
          <w:sz w:val="24"/>
        </w:rPr>
      </w:pPr>
      <w:r>
        <w:rPr>
          <w:bCs/>
          <w:sz w:val="24"/>
        </w:rPr>
        <w:t>依据基金财产清算的分配方案，将基金财产清算后的全部剩余资产扣除基金财产清算费用、交纳所欠税款并清偿基金债务后，按基金份额持有人持有的基金份额比例进行分配。</w:t>
      </w:r>
    </w:p>
    <w:p w14:paraId="6F36003F" w14:textId="77777777" w:rsidR="00566744" w:rsidRDefault="00000000">
      <w:pPr>
        <w:spacing w:line="360" w:lineRule="auto"/>
        <w:ind w:firstLineChars="200" w:firstLine="480"/>
        <w:rPr>
          <w:bCs/>
          <w:sz w:val="24"/>
        </w:rPr>
      </w:pPr>
      <w:r>
        <w:rPr>
          <w:bCs/>
          <w:sz w:val="24"/>
        </w:rPr>
        <w:t>六</w:t>
      </w:r>
      <w:r>
        <w:rPr>
          <w:rFonts w:hint="eastAsia"/>
          <w:bCs/>
          <w:sz w:val="24"/>
        </w:rPr>
        <w:t>、</w:t>
      </w:r>
      <w:r>
        <w:rPr>
          <w:bCs/>
          <w:sz w:val="24"/>
        </w:rPr>
        <w:t>基金财产清算的公告</w:t>
      </w:r>
    </w:p>
    <w:p w14:paraId="05B45119" w14:textId="77777777" w:rsidR="00566744" w:rsidRDefault="00000000">
      <w:pPr>
        <w:spacing w:line="360" w:lineRule="auto"/>
        <w:ind w:firstLineChars="200" w:firstLine="480"/>
        <w:rPr>
          <w:bCs/>
          <w:sz w:val="24"/>
        </w:rPr>
      </w:pPr>
      <w:r>
        <w:rPr>
          <w:bCs/>
          <w:sz w:val="24"/>
        </w:rPr>
        <w:t>清算过程中的有关重大事项须及时公告；基金财产清算报告经具有证券</w:t>
      </w:r>
      <w:r>
        <w:rPr>
          <w:rFonts w:hint="eastAsia"/>
          <w:bCs/>
          <w:sz w:val="24"/>
        </w:rPr>
        <w:t>、期货</w:t>
      </w:r>
      <w:r>
        <w:rPr>
          <w:bCs/>
          <w:sz w:val="24"/>
        </w:rPr>
        <w:t>相关业务资格的会计师事务所审计并由律师事务所出具法律意见书后报中国证监会</w:t>
      </w:r>
      <w:r>
        <w:rPr>
          <w:bCs/>
          <w:sz w:val="24"/>
        </w:rPr>
        <w:lastRenderedPageBreak/>
        <w:t>备案并公告。基金财产清算公告于基金财产清算报告报中国证监会备案后</w:t>
      </w:r>
      <w:r>
        <w:rPr>
          <w:bCs/>
          <w:sz w:val="24"/>
        </w:rPr>
        <w:t>5</w:t>
      </w:r>
      <w:r>
        <w:rPr>
          <w:bCs/>
          <w:sz w:val="24"/>
        </w:rPr>
        <w:t>个工作日内由基金财产清算小组进行公告。</w:t>
      </w:r>
    </w:p>
    <w:p w14:paraId="7197E83F" w14:textId="77777777" w:rsidR="00566744" w:rsidRDefault="00000000">
      <w:pPr>
        <w:spacing w:line="360" w:lineRule="auto"/>
        <w:ind w:firstLineChars="200" w:firstLine="480"/>
        <w:rPr>
          <w:bCs/>
          <w:sz w:val="24"/>
        </w:rPr>
      </w:pPr>
      <w:r>
        <w:rPr>
          <w:bCs/>
          <w:sz w:val="24"/>
        </w:rPr>
        <w:t>七</w:t>
      </w:r>
      <w:r>
        <w:rPr>
          <w:rFonts w:hint="eastAsia"/>
          <w:bCs/>
          <w:sz w:val="24"/>
        </w:rPr>
        <w:t>、</w:t>
      </w:r>
      <w:r>
        <w:rPr>
          <w:bCs/>
          <w:sz w:val="24"/>
        </w:rPr>
        <w:t>基金财产清算账册及文件的保存</w:t>
      </w:r>
    </w:p>
    <w:p w14:paraId="6BB5B39E" w14:textId="77777777" w:rsidR="00566744" w:rsidRDefault="00000000">
      <w:pPr>
        <w:spacing w:line="360" w:lineRule="auto"/>
        <w:ind w:firstLineChars="200" w:firstLine="480"/>
        <w:rPr>
          <w:bCs/>
          <w:sz w:val="24"/>
        </w:rPr>
      </w:pPr>
      <w:r>
        <w:rPr>
          <w:bCs/>
          <w:sz w:val="24"/>
        </w:rPr>
        <w:t>基金财产清算账册及有关文件由基金托管人保存</w:t>
      </w:r>
      <w:r>
        <w:rPr>
          <w:bCs/>
          <w:sz w:val="24"/>
        </w:rPr>
        <w:t>15</w:t>
      </w:r>
      <w:r>
        <w:rPr>
          <w:bCs/>
          <w:sz w:val="24"/>
        </w:rPr>
        <w:t>年以上。</w:t>
      </w:r>
    </w:p>
    <w:p w14:paraId="34B8A29E" w14:textId="77777777" w:rsidR="00566744" w:rsidRDefault="00000000">
      <w:pPr>
        <w:spacing w:line="360" w:lineRule="auto"/>
        <w:ind w:firstLineChars="176" w:firstLine="422"/>
        <w:rPr>
          <w:rFonts w:ascii="宋体" w:hAnsi="宋体" w:hint="eastAsia"/>
          <w:sz w:val="24"/>
        </w:rPr>
      </w:pPr>
      <w:r>
        <w:rPr>
          <w:rFonts w:ascii="宋体" w:hAnsi="宋体" w:hint="eastAsia"/>
          <w:sz w:val="24"/>
        </w:rPr>
        <w:t>（四）争议解决方式</w:t>
      </w:r>
    </w:p>
    <w:p w14:paraId="2A4368BB" w14:textId="77777777" w:rsidR="00566744" w:rsidRDefault="00000000">
      <w:pPr>
        <w:spacing w:line="360" w:lineRule="auto"/>
        <w:ind w:firstLineChars="200" w:firstLine="480"/>
        <w:rPr>
          <w:rFonts w:ascii="宋体" w:hAnsi="宋体" w:hint="eastAsia"/>
          <w:kern w:val="0"/>
          <w:sz w:val="24"/>
        </w:rPr>
      </w:pPr>
      <w:r>
        <w:rPr>
          <w:bCs/>
          <w:sz w:val="24"/>
        </w:rPr>
        <w:t>各方当事人同意，因</w:t>
      </w:r>
      <w:r>
        <w:rPr>
          <w:rFonts w:hint="eastAsia"/>
          <w:bCs/>
          <w:sz w:val="24"/>
        </w:rPr>
        <w:t>本</w:t>
      </w:r>
      <w:r>
        <w:rPr>
          <w:bCs/>
          <w:sz w:val="24"/>
        </w:rPr>
        <w:t>基金合同而产生的或与</w:t>
      </w:r>
      <w:r>
        <w:rPr>
          <w:rFonts w:hint="eastAsia"/>
          <w:bCs/>
          <w:sz w:val="24"/>
        </w:rPr>
        <w:t>本</w:t>
      </w:r>
      <w:r>
        <w:rPr>
          <w:bCs/>
          <w:sz w:val="24"/>
        </w:rPr>
        <w:t>基金合同有关的一切争议，如经友好协商未能解决的，应提交</w:t>
      </w:r>
      <w:r>
        <w:rPr>
          <w:rFonts w:ascii="宋体" w:hAnsi="宋体" w:hint="eastAsia"/>
          <w:kern w:val="0"/>
          <w:sz w:val="24"/>
        </w:rPr>
        <w:t>华南国际</w:t>
      </w:r>
      <w:r>
        <w:rPr>
          <w:rFonts w:ascii="宋体" w:hAnsi="宋体"/>
          <w:kern w:val="0"/>
          <w:sz w:val="24"/>
        </w:rPr>
        <w:t>经济贸易仲裁委员会</w:t>
      </w:r>
      <w:r>
        <w:rPr>
          <w:rFonts w:ascii="宋体" w:hAnsi="宋体" w:hint="eastAsia"/>
          <w:kern w:val="0"/>
          <w:sz w:val="24"/>
        </w:rPr>
        <w:t>，根据该会当时有效的仲裁规则进行仲裁，仲裁的地点为深圳市，仲裁裁决是终局的，并对相关各方当事人均有约束力。仲裁费用、律师费用由败诉方承担。</w:t>
      </w:r>
    </w:p>
    <w:p w14:paraId="7715A5E5" w14:textId="77777777" w:rsidR="00566744" w:rsidRDefault="00000000">
      <w:pPr>
        <w:spacing w:line="360" w:lineRule="auto"/>
        <w:ind w:firstLineChars="200" w:firstLine="480"/>
        <w:rPr>
          <w:rFonts w:ascii="宋体" w:hAnsi="宋体" w:hint="eastAsia"/>
          <w:kern w:val="0"/>
          <w:sz w:val="24"/>
        </w:rPr>
      </w:pPr>
      <w:r>
        <w:rPr>
          <w:rFonts w:ascii="宋体" w:hAnsi="宋体" w:hint="eastAsia"/>
          <w:kern w:val="0"/>
          <w:sz w:val="24"/>
        </w:rPr>
        <w:t>争议处理期间，相关各方当事人应恪守基金管理人和基金托管人职责，继续忠实、勤勉、尽责地履行基金合同规定的义务，维护基金份额持有人的合法权益。</w:t>
      </w:r>
    </w:p>
    <w:p w14:paraId="148A4BD6" w14:textId="77777777" w:rsidR="00566744" w:rsidRDefault="00000000">
      <w:pPr>
        <w:spacing w:line="360" w:lineRule="auto"/>
        <w:ind w:firstLineChars="200" w:firstLine="480"/>
        <w:rPr>
          <w:bCs/>
          <w:sz w:val="24"/>
        </w:rPr>
      </w:pPr>
      <w:r>
        <w:rPr>
          <w:bCs/>
          <w:sz w:val="24"/>
        </w:rPr>
        <w:t>《基金合同》受中国法律管辖。</w:t>
      </w:r>
    </w:p>
    <w:p w14:paraId="188C1E25" w14:textId="77777777" w:rsidR="00566744" w:rsidRDefault="00000000">
      <w:pPr>
        <w:spacing w:line="360" w:lineRule="auto"/>
        <w:ind w:firstLineChars="200" w:firstLine="480"/>
        <w:rPr>
          <w:rFonts w:ascii="宋体" w:hAnsi="宋体" w:hint="eastAsia"/>
          <w:sz w:val="24"/>
        </w:rPr>
      </w:pPr>
      <w:r>
        <w:rPr>
          <w:rFonts w:ascii="宋体" w:hAnsi="宋体" w:hint="eastAsia"/>
          <w:sz w:val="24"/>
        </w:rPr>
        <w:t>（五）基金合同存放地和投资人取得基金合同的方式</w:t>
      </w:r>
    </w:p>
    <w:p w14:paraId="526D3D45" w14:textId="77777777" w:rsidR="00566744" w:rsidRDefault="00000000">
      <w:pPr>
        <w:spacing w:line="360" w:lineRule="auto"/>
        <w:ind w:firstLineChars="200" w:firstLine="480"/>
        <w:rPr>
          <w:rFonts w:ascii="宋体" w:hAnsi="宋体" w:hint="eastAsia"/>
          <w:color w:val="000000"/>
          <w:kern w:val="0"/>
          <w:sz w:val="24"/>
        </w:rPr>
      </w:pPr>
      <w:r>
        <w:rPr>
          <w:bCs/>
          <w:sz w:val="24"/>
        </w:rPr>
        <w:t>《基金合同》可印制成册，供投资者在基金管理人、基金托管人、销售机构的办公场所和营业场所查阅。</w:t>
      </w:r>
    </w:p>
    <w:p w14:paraId="43D45303" w14:textId="77777777" w:rsidR="00566744" w:rsidRDefault="00566744">
      <w:pPr>
        <w:spacing w:line="360" w:lineRule="auto"/>
        <w:ind w:firstLineChars="200" w:firstLine="480"/>
        <w:rPr>
          <w:rFonts w:ascii="宋体" w:hAnsi="宋体" w:hint="eastAsia"/>
          <w:color w:val="000000"/>
          <w:kern w:val="0"/>
          <w:sz w:val="24"/>
        </w:rPr>
      </w:pPr>
    </w:p>
    <w:p w14:paraId="438176DA" w14:textId="77777777" w:rsidR="00566744" w:rsidRDefault="00000000">
      <w:pPr>
        <w:pStyle w:val="1"/>
        <w:spacing w:line="360" w:lineRule="auto"/>
        <w:jc w:val="center"/>
        <w:rPr>
          <w:rFonts w:ascii="宋体" w:hAnsi="宋体" w:hint="eastAsia"/>
          <w:color w:val="000000"/>
          <w:kern w:val="0"/>
          <w:sz w:val="24"/>
          <w:szCs w:val="24"/>
        </w:rPr>
      </w:pPr>
      <w:bookmarkStart w:id="131" w:name="_Hlt88897298"/>
      <w:bookmarkStart w:id="132" w:name="_Hlt88825574"/>
      <w:bookmarkStart w:id="133" w:name="_Hlt88820702"/>
      <w:bookmarkEnd w:id="131"/>
      <w:bookmarkEnd w:id="132"/>
      <w:bookmarkEnd w:id="133"/>
      <w:r>
        <w:rPr>
          <w:rFonts w:ascii="宋体" w:hAnsi="宋体"/>
          <w:color w:val="000000"/>
          <w:kern w:val="0"/>
          <w:sz w:val="24"/>
        </w:rPr>
        <w:br w:type="page"/>
      </w:r>
      <w:bookmarkStart w:id="134" w:name="_Toc27371"/>
      <w:bookmarkStart w:id="135" w:name="_Toc256666927"/>
      <w:bookmarkStart w:id="136" w:name="_Toc256666807"/>
      <w:bookmarkStart w:id="137" w:name="_Toc78378600"/>
      <w:bookmarkStart w:id="138" w:name="_Toc482624808"/>
      <w:r>
        <w:rPr>
          <w:rFonts w:ascii="宋体" w:hAnsi="宋体" w:hint="eastAsia"/>
          <w:color w:val="000000"/>
          <w:kern w:val="0"/>
          <w:sz w:val="24"/>
          <w:szCs w:val="24"/>
        </w:rPr>
        <w:lastRenderedPageBreak/>
        <w:t>第二十部分  基金托管协议的内容摘要</w:t>
      </w:r>
      <w:bookmarkEnd w:id="134"/>
      <w:bookmarkEnd w:id="135"/>
      <w:bookmarkEnd w:id="136"/>
      <w:bookmarkEnd w:id="137"/>
      <w:bookmarkEnd w:id="138"/>
    </w:p>
    <w:p w14:paraId="58B95E16"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（一）托管协议当事人</w:t>
      </w:r>
    </w:p>
    <w:p w14:paraId="5A5B6A7A" w14:textId="77777777" w:rsidR="00566744" w:rsidRDefault="00000000">
      <w:pPr>
        <w:spacing w:line="360" w:lineRule="auto"/>
        <w:ind w:firstLineChars="200" w:firstLine="480"/>
        <w:rPr>
          <w:rFonts w:ascii="宋体" w:hAnsi="宋体" w:hint="eastAsia"/>
          <w:color w:val="000000"/>
          <w:kern w:val="0"/>
          <w:sz w:val="24"/>
        </w:rPr>
      </w:pPr>
      <w:bookmarkStart w:id="139" w:name="_Toc88969332"/>
      <w:r>
        <w:rPr>
          <w:rFonts w:ascii="宋体" w:hAnsi="宋体" w:hint="eastAsia"/>
          <w:color w:val="000000"/>
          <w:kern w:val="0"/>
          <w:sz w:val="24"/>
        </w:rPr>
        <w:t>1、基金管理人</w:t>
      </w:r>
      <w:bookmarkEnd w:id="139"/>
    </w:p>
    <w:p w14:paraId="0010A729" w14:textId="77777777" w:rsidR="00566744" w:rsidRDefault="00000000">
      <w:pPr>
        <w:spacing w:line="360" w:lineRule="auto"/>
        <w:ind w:firstLineChars="200" w:firstLine="480"/>
        <w:rPr>
          <w:rFonts w:ascii="宋体" w:hAnsi="宋体" w:hint="eastAsia"/>
          <w:color w:val="000000"/>
          <w:kern w:val="0"/>
          <w:sz w:val="24"/>
        </w:rPr>
      </w:pPr>
      <w:bookmarkStart w:id="140" w:name="_Toc15118236"/>
      <w:bookmarkStart w:id="141" w:name="_Toc88969333"/>
      <w:r>
        <w:rPr>
          <w:rFonts w:ascii="宋体" w:hAnsi="宋体" w:hint="eastAsia"/>
          <w:color w:val="000000"/>
          <w:kern w:val="0"/>
          <w:sz w:val="24"/>
        </w:rPr>
        <w:t>名称：富荣基金管理有限公司</w:t>
      </w:r>
    </w:p>
    <w:p w14:paraId="19E98565"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注册地址：</w:t>
      </w:r>
      <w:r>
        <w:rPr>
          <w:rFonts w:asciiTheme="minorEastAsia" w:hAnsiTheme="minorEastAsia" w:hint="eastAsia"/>
          <w:kern w:val="0"/>
          <w:sz w:val="24"/>
        </w:rPr>
        <w:t>广东省广州市南沙区横</w:t>
      </w:r>
      <w:proofErr w:type="gramStart"/>
      <w:r>
        <w:rPr>
          <w:rFonts w:asciiTheme="minorEastAsia" w:hAnsiTheme="minorEastAsia" w:hint="eastAsia"/>
          <w:kern w:val="0"/>
          <w:sz w:val="24"/>
        </w:rPr>
        <w:t>沥</w:t>
      </w:r>
      <w:proofErr w:type="gramEnd"/>
      <w:r>
        <w:rPr>
          <w:rFonts w:asciiTheme="minorEastAsia" w:hAnsiTheme="minorEastAsia" w:hint="eastAsia"/>
          <w:kern w:val="0"/>
          <w:sz w:val="24"/>
        </w:rPr>
        <w:t>镇汇通二街2号3110房</w:t>
      </w:r>
    </w:p>
    <w:p w14:paraId="2EAF41B2"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办公地址：深圳市福田区八卦四路52号安吉尔大厦24层</w:t>
      </w:r>
    </w:p>
    <w:p w14:paraId="14780E2C"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邮政编码：518038</w:t>
      </w:r>
    </w:p>
    <w:p w14:paraId="5CC45A57"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法定代表人：王亦伟</w:t>
      </w:r>
    </w:p>
    <w:p w14:paraId="73CAA9D2"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成立日期：2016年1月25日</w:t>
      </w:r>
    </w:p>
    <w:p w14:paraId="40E1E4E9"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批准设立机关及批准设立文号：中国证券监督管理委员会、证监许可【2015】3118号</w:t>
      </w:r>
    </w:p>
    <w:p w14:paraId="35178FCB"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组织形式：有限责任公司</w:t>
      </w:r>
    </w:p>
    <w:p w14:paraId="63F42DB8"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注册资本： 2亿元人民币</w:t>
      </w:r>
    </w:p>
    <w:p w14:paraId="298AD6EB"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存续期间：永续经营</w:t>
      </w:r>
    </w:p>
    <w:p w14:paraId="4E63BE80"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经营范围：基金募集；基金销售；资产管理以及中国证监会许可的其它业务</w:t>
      </w:r>
      <w:bookmarkEnd w:id="140"/>
    </w:p>
    <w:p w14:paraId="63901920" w14:textId="77777777" w:rsidR="00566744" w:rsidRDefault="00000000">
      <w:pPr>
        <w:spacing w:line="360" w:lineRule="auto"/>
        <w:ind w:firstLineChars="200" w:firstLine="480"/>
        <w:rPr>
          <w:rFonts w:ascii="宋体" w:hAnsi="宋体" w:hint="eastAsia"/>
          <w:color w:val="000000"/>
          <w:kern w:val="0"/>
          <w:sz w:val="24"/>
        </w:rPr>
      </w:pPr>
      <w:r>
        <w:rPr>
          <w:rFonts w:ascii="宋体" w:hAnsi="宋体"/>
          <w:color w:val="000000"/>
          <w:kern w:val="0"/>
          <w:sz w:val="24"/>
        </w:rPr>
        <w:t>2</w:t>
      </w:r>
      <w:r>
        <w:rPr>
          <w:rFonts w:ascii="宋体" w:hAnsi="宋体" w:hint="eastAsia"/>
          <w:color w:val="000000"/>
          <w:kern w:val="0"/>
          <w:sz w:val="24"/>
        </w:rPr>
        <w:t>、基金托管人</w:t>
      </w:r>
    </w:p>
    <w:p w14:paraId="2A20DEA8"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名称：中国光大银行股份有限公司</w:t>
      </w:r>
    </w:p>
    <w:p w14:paraId="4A0A9A70"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住所：北京市西城区太平桥大街25号中国光大中心</w:t>
      </w:r>
    </w:p>
    <w:p w14:paraId="13D39880"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法定代表人：吴利军</w:t>
      </w:r>
    </w:p>
    <w:p w14:paraId="378E29DD"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成立时间：1992年8月18日</w:t>
      </w:r>
    </w:p>
    <w:p w14:paraId="63E8C213"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批准设立机关和批准设立文号：国务院、国函[1992]7号</w:t>
      </w:r>
    </w:p>
    <w:p w14:paraId="736A34FB"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注册资本：人民币590.85551亿元</w:t>
      </w:r>
    </w:p>
    <w:p w14:paraId="4C7F7878"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存续期间：持续经营</w:t>
      </w:r>
    </w:p>
    <w:p w14:paraId="513D7407"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基金托管资格批文及文号：证</w:t>
      </w:r>
      <w:proofErr w:type="gramStart"/>
      <w:r>
        <w:rPr>
          <w:rFonts w:ascii="宋体" w:hAnsi="宋体" w:hint="eastAsia"/>
          <w:color w:val="000000"/>
          <w:kern w:val="0"/>
          <w:sz w:val="24"/>
        </w:rPr>
        <w:t>监基金字</w:t>
      </w:r>
      <w:proofErr w:type="gramEnd"/>
      <w:r>
        <w:rPr>
          <w:rFonts w:ascii="宋体" w:hAnsi="宋体" w:hint="eastAsia"/>
          <w:color w:val="000000"/>
          <w:kern w:val="0"/>
          <w:sz w:val="24"/>
        </w:rPr>
        <w:t>【2002】75号</w:t>
      </w:r>
    </w:p>
    <w:p w14:paraId="3D99019E"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联系电话:010-63636363</w:t>
      </w:r>
    </w:p>
    <w:p w14:paraId="31DFD268"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（二）基金托管人对基金管理人的业务监督和核查</w:t>
      </w:r>
    </w:p>
    <w:p w14:paraId="7297A89C"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lastRenderedPageBreak/>
        <w:t>1、基金托管人根据有关法律法规的规定及基金合同的约定，对基金投资范围、投资比例进行监督。</w:t>
      </w:r>
    </w:p>
    <w:p w14:paraId="3F2C57CA"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本基金投资于法律法规允许投资的金融工具，包括现金，期限在1年以内（含1年）的银行存款、债券回购、中央银行票据、同业存单，剩余期限在397天以内（含397天）的债券、非金融企业债务融资工具、资产支持证券，以及中国证监会、中国人民银行认可的其它具有良好流动性的货币市场工具。</w:t>
      </w:r>
    </w:p>
    <w:p w14:paraId="2330C89C"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如法律法规或监管机构以后允许货币市场基金投资其他产品，基金管理人在履行适当的程序后，可以将其纳入投资范围。</w:t>
      </w:r>
    </w:p>
    <w:p w14:paraId="218CD58D"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2、基金托管人根据有关法律法规的规定及基金合同的约定，对基金投资、融资比例进行监督。基金托管人按下述比例和调整期限进行监督：</w:t>
      </w:r>
    </w:p>
    <w:p w14:paraId="32E943A3"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1、组合限制</w:t>
      </w:r>
    </w:p>
    <w:p w14:paraId="39D48DA5"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基金的投资组合应遵循以下限制：</w:t>
      </w:r>
    </w:p>
    <w:p w14:paraId="2A4ACD15"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（1）本基金投资组合的平均剩余期限在每个交易日均不得超过120天，平均剩余存续期不得超过240 天；</w:t>
      </w:r>
    </w:p>
    <w:p w14:paraId="12AA65D0"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（2）本基金与由基金管理人管理的其他基金持有一家公司发行的证券，不得超过该证券的10%；</w:t>
      </w:r>
    </w:p>
    <w:p w14:paraId="2E10A578"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（3）本基金投资于固定期限银行存款的比例不得超过基金资产净值的30%，但根据协议可提前支取的银行存款，不受此限制；</w:t>
      </w:r>
    </w:p>
    <w:p w14:paraId="4FA8BC51"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4）本基金投资于具有基金托管人资格的同一商业银行的银行存款、同业存单占基金资产净值的比例合计不得超过20%，投资于不具有基金托管人资格的同一商业银行的银行存款、同业存单占基金资产净值的比例合计不得超过5%；</w:t>
      </w:r>
    </w:p>
    <w:p w14:paraId="174D5375"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（5）本基金持有一家公司发行的证券，其市值不超过基金资产净值的10％；</w:t>
      </w:r>
    </w:p>
    <w:p w14:paraId="0C8775CA"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6）本基金持有的全部资产支持证券，其市值不得超过基金资产净值的20%；本基金持有的同一（指同一信用级别）资产支持证券的比例，不得超过该资产支持证券规模的10%；本基金投资于同一原始权益人的各类资产支持证券的比例，不得超过基金资产净值的10%；</w:t>
      </w:r>
    </w:p>
    <w:p w14:paraId="43BE8865"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本基金管理人管理的全部基金投资于同一原始权益人的各类资产支持证券，不得超过其各类资产支持证券合计规模的10%；</w:t>
      </w:r>
    </w:p>
    <w:p w14:paraId="7F836580"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lastRenderedPageBreak/>
        <w:t xml:space="preserve">（7）除发生巨额赎回、连续3 </w:t>
      </w:r>
      <w:proofErr w:type="gramStart"/>
      <w:r>
        <w:rPr>
          <w:rFonts w:ascii="宋体" w:hAnsi="宋体" w:hint="eastAsia"/>
          <w:color w:val="000000"/>
          <w:kern w:val="0"/>
          <w:sz w:val="24"/>
        </w:rPr>
        <w:t>个</w:t>
      </w:r>
      <w:proofErr w:type="gramEnd"/>
      <w:r>
        <w:rPr>
          <w:rFonts w:ascii="宋体" w:hAnsi="宋体" w:hint="eastAsia"/>
          <w:color w:val="000000"/>
          <w:kern w:val="0"/>
          <w:sz w:val="24"/>
        </w:rPr>
        <w:t xml:space="preserve">交易日累计赎回20%以上或者连续5 </w:t>
      </w:r>
      <w:proofErr w:type="gramStart"/>
      <w:r>
        <w:rPr>
          <w:rFonts w:ascii="宋体" w:hAnsi="宋体" w:hint="eastAsia"/>
          <w:color w:val="000000"/>
          <w:kern w:val="0"/>
          <w:sz w:val="24"/>
        </w:rPr>
        <w:t>个</w:t>
      </w:r>
      <w:proofErr w:type="gramEnd"/>
      <w:r>
        <w:rPr>
          <w:rFonts w:ascii="宋体" w:hAnsi="宋体" w:hint="eastAsia"/>
          <w:color w:val="000000"/>
          <w:kern w:val="0"/>
          <w:sz w:val="24"/>
        </w:rPr>
        <w:t>交易日累计赎回30%以上的情形外，本基金债券正回购的资金余额在每个交易日均不得超过基金资产净值的20%；</w:t>
      </w:r>
    </w:p>
    <w:p w14:paraId="6ED9E565"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（8）本基金的基金资产总值不得超过基金资产净值的140%；</w:t>
      </w:r>
    </w:p>
    <w:p w14:paraId="3842444F"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（9）同一机构发行的债券、非金融企业债务融资工具及其作为原始权益人的资产支持证券占基金资产净值的比例合计不得超过10%，国债、中央银行票据、政策性金融债券除外；</w:t>
      </w:r>
    </w:p>
    <w:p w14:paraId="614364D6"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（10）现金、国债、中央银行票据、政策性金融债券占基金资产净值的比例合计不得低于5%；</w:t>
      </w:r>
    </w:p>
    <w:p w14:paraId="71805349"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（11）现金、国债、中央银行票据、政策性金融债券以及五个交易日内到期的其他金融工具占基金资产净值的比例合计不得低于10%；</w:t>
      </w:r>
    </w:p>
    <w:p w14:paraId="630806C9"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（12）到期日在10 </w:t>
      </w:r>
      <w:proofErr w:type="gramStart"/>
      <w:r>
        <w:rPr>
          <w:rFonts w:ascii="宋体" w:hAnsi="宋体" w:hint="eastAsia"/>
          <w:color w:val="000000"/>
          <w:kern w:val="0"/>
          <w:sz w:val="24"/>
        </w:rPr>
        <w:t>个</w:t>
      </w:r>
      <w:proofErr w:type="gramEnd"/>
      <w:r>
        <w:rPr>
          <w:rFonts w:ascii="宋体" w:hAnsi="宋体" w:hint="eastAsia"/>
          <w:color w:val="000000"/>
          <w:kern w:val="0"/>
          <w:sz w:val="24"/>
        </w:rPr>
        <w:t>交易日以上的逆回购、银行定期存款等流动性受限资产投资占基金资产净值的比例合计不得超过30%；</w:t>
      </w:r>
    </w:p>
    <w:p w14:paraId="45F9432E"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（13）在全国银行间债券市场债券回购的资金余额不得超过基金资产净值的40%；债券回购最长期限为1年，债券回购到期后不得展期；</w:t>
      </w:r>
    </w:p>
    <w:p w14:paraId="069326B6"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14）本基金投资的资产支持证券须具有评级资质的资信评级机构进行持续信用评级，且其信用评级应不低于国内信用评级机构评定的AAA级或相当于AAA级的信用级别。本基金持有的资产支持证券信用等级下降、不再符合投资标准的，基金管理人应在评级报告发布之日起3个月内对其予以全部卖出。</w:t>
      </w:r>
    </w:p>
    <w:p w14:paraId="5640D647"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（15）本基金持有的全部资产支持证券，其市值不得超过基金资产净值的 20%；本基金持有的同一（指同一信用级别）资产支持证券的比例，不得超过该资产支持证券规模的10%；基金投资于同一原始权益人的各类资产支持证券的比例，不得超过基金资产净值的 10%；基金管理人管理的全部证券投资基金投资于同一原始权益人的各类资产支持证券，不得超过其各类资产支持证券合计规模的 10%；</w:t>
      </w:r>
    </w:p>
    <w:p w14:paraId="10694A8C"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（16）当本基金前</w:t>
      </w:r>
      <w:r>
        <w:rPr>
          <w:rFonts w:ascii="宋体" w:hAnsi="宋体"/>
          <w:color w:val="000000"/>
          <w:kern w:val="0"/>
          <w:sz w:val="24"/>
        </w:rPr>
        <w:t>10</w:t>
      </w:r>
      <w:r>
        <w:rPr>
          <w:rFonts w:ascii="宋体" w:hAnsi="宋体" w:hint="eastAsia"/>
          <w:color w:val="000000"/>
          <w:kern w:val="0"/>
          <w:sz w:val="24"/>
        </w:rPr>
        <w:t>名份额持有人的持有份额合计超过基金总份额的</w:t>
      </w:r>
      <w:r>
        <w:rPr>
          <w:rFonts w:ascii="宋体" w:hAnsi="宋体"/>
          <w:color w:val="000000"/>
          <w:kern w:val="0"/>
          <w:sz w:val="24"/>
        </w:rPr>
        <w:t>50%</w:t>
      </w:r>
      <w:r>
        <w:rPr>
          <w:rFonts w:ascii="宋体" w:hAnsi="宋体" w:hint="eastAsia"/>
          <w:color w:val="000000"/>
          <w:kern w:val="0"/>
          <w:sz w:val="24"/>
        </w:rPr>
        <w:t>时</w:t>
      </w:r>
      <w:r>
        <w:rPr>
          <w:rFonts w:ascii="宋体" w:hAnsi="宋体"/>
          <w:color w:val="000000"/>
          <w:kern w:val="0"/>
          <w:sz w:val="24"/>
        </w:rPr>
        <w:t xml:space="preserve">, </w:t>
      </w:r>
      <w:r>
        <w:rPr>
          <w:rFonts w:ascii="宋体" w:hAnsi="宋体" w:hint="eastAsia"/>
          <w:color w:val="000000"/>
          <w:kern w:val="0"/>
          <w:sz w:val="24"/>
        </w:rPr>
        <w:t>本基金投资组合的平均剩余期限不得超过</w:t>
      </w:r>
      <w:r>
        <w:rPr>
          <w:rFonts w:ascii="宋体" w:hAnsi="宋体"/>
          <w:color w:val="000000"/>
          <w:kern w:val="0"/>
          <w:sz w:val="24"/>
        </w:rPr>
        <w:t>60</w:t>
      </w:r>
      <w:r>
        <w:rPr>
          <w:rFonts w:ascii="宋体" w:hAnsi="宋体" w:hint="eastAsia"/>
          <w:color w:val="000000"/>
          <w:kern w:val="0"/>
          <w:sz w:val="24"/>
        </w:rPr>
        <w:t>天</w:t>
      </w:r>
      <w:r>
        <w:rPr>
          <w:rFonts w:ascii="宋体" w:hAnsi="宋体"/>
          <w:color w:val="000000"/>
          <w:kern w:val="0"/>
          <w:sz w:val="24"/>
        </w:rPr>
        <w:t xml:space="preserve">, </w:t>
      </w:r>
      <w:r>
        <w:rPr>
          <w:rFonts w:ascii="宋体" w:hAnsi="宋体" w:hint="eastAsia"/>
          <w:color w:val="000000"/>
          <w:kern w:val="0"/>
          <w:sz w:val="24"/>
        </w:rPr>
        <w:t>平均剩余存续期不得超过</w:t>
      </w:r>
      <w:r>
        <w:rPr>
          <w:rFonts w:ascii="宋体" w:hAnsi="宋体"/>
          <w:color w:val="000000"/>
          <w:kern w:val="0"/>
          <w:sz w:val="24"/>
        </w:rPr>
        <w:t>120</w:t>
      </w:r>
      <w:r>
        <w:rPr>
          <w:rFonts w:ascii="宋体" w:hAnsi="宋体" w:hint="eastAsia"/>
          <w:color w:val="000000"/>
          <w:kern w:val="0"/>
          <w:sz w:val="24"/>
        </w:rPr>
        <w:t>天</w:t>
      </w:r>
      <w:r>
        <w:rPr>
          <w:rFonts w:ascii="宋体" w:hAnsi="宋体"/>
          <w:color w:val="000000"/>
          <w:kern w:val="0"/>
          <w:sz w:val="24"/>
        </w:rPr>
        <w:t xml:space="preserve">; </w:t>
      </w:r>
      <w:r>
        <w:rPr>
          <w:rFonts w:ascii="宋体" w:hAnsi="宋体" w:hint="eastAsia"/>
          <w:color w:val="000000"/>
          <w:kern w:val="0"/>
          <w:sz w:val="24"/>
        </w:rPr>
        <w:t>投资组合中现金、国债、中央银行票据、政策性金融债券以及</w:t>
      </w:r>
      <w:r>
        <w:rPr>
          <w:rFonts w:ascii="宋体" w:hAnsi="宋体"/>
          <w:color w:val="000000"/>
          <w:kern w:val="0"/>
          <w:sz w:val="24"/>
        </w:rPr>
        <w:t>5</w:t>
      </w:r>
      <w:r>
        <w:rPr>
          <w:rFonts w:ascii="宋体" w:hAnsi="宋体" w:hint="eastAsia"/>
          <w:color w:val="000000"/>
          <w:kern w:val="0"/>
          <w:sz w:val="24"/>
        </w:rPr>
        <w:t>个交易日内到期的其他金融工具占基金资产净值的比例合计不得低于</w:t>
      </w:r>
      <w:r>
        <w:rPr>
          <w:rFonts w:ascii="宋体" w:hAnsi="宋体"/>
          <w:color w:val="000000"/>
          <w:kern w:val="0"/>
          <w:sz w:val="24"/>
        </w:rPr>
        <w:t>30%</w:t>
      </w:r>
      <w:r>
        <w:rPr>
          <w:rFonts w:ascii="宋体" w:hAnsi="宋体" w:hint="eastAsia"/>
          <w:color w:val="000000"/>
          <w:kern w:val="0"/>
          <w:sz w:val="24"/>
        </w:rPr>
        <w:t>；</w:t>
      </w:r>
    </w:p>
    <w:p w14:paraId="325D8DCA"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lastRenderedPageBreak/>
        <w:t>（17）当本基金前</w:t>
      </w:r>
      <w:r>
        <w:rPr>
          <w:rFonts w:ascii="宋体" w:hAnsi="宋体"/>
          <w:color w:val="000000"/>
          <w:kern w:val="0"/>
          <w:sz w:val="24"/>
        </w:rPr>
        <w:t>10</w:t>
      </w:r>
      <w:r>
        <w:rPr>
          <w:rFonts w:ascii="宋体" w:hAnsi="宋体" w:hint="eastAsia"/>
          <w:color w:val="000000"/>
          <w:kern w:val="0"/>
          <w:sz w:val="24"/>
        </w:rPr>
        <w:t>名份额持有人的持有份额合计超过基金总份额的</w:t>
      </w:r>
      <w:r>
        <w:rPr>
          <w:rFonts w:ascii="宋体" w:hAnsi="宋体"/>
          <w:color w:val="000000"/>
          <w:kern w:val="0"/>
          <w:sz w:val="24"/>
        </w:rPr>
        <w:t>20%</w:t>
      </w:r>
      <w:r>
        <w:rPr>
          <w:rFonts w:ascii="宋体" w:hAnsi="宋体" w:hint="eastAsia"/>
          <w:color w:val="000000"/>
          <w:kern w:val="0"/>
          <w:sz w:val="24"/>
        </w:rPr>
        <w:t>时</w:t>
      </w:r>
      <w:r>
        <w:rPr>
          <w:rFonts w:ascii="宋体" w:hAnsi="宋体"/>
          <w:color w:val="000000"/>
          <w:kern w:val="0"/>
          <w:sz w:val="24"/>
        </w:rPr>
        <w:t xml:space="preserve">, </w:t>
      </w:r>
      <w:r>
        <w:rPr>
          <w:rFonts w:ascii="宋体" w:hAnsi="宋体" w:hint="eastAsia"/>
          <w:color w:val="000000"/>
          <w:kern w:val="0"/>
          <w:sz w:val="24"/>
        </w:rPr>
        <w:t>本基金投资组合的平均剩余期限不得超过</w:t>
      </w:r>
      <w:r>
        <w:rPr>
          <w:rFonts w:ascii="宋体" w:hAnsi="宋体"/>
          <w:color w:val="000000"/>
          <w:kern w:val="0"/>
          <w:sz w:val="24"/>
        </w:rPr>
        <w:t>90</w:t>
      </w:r>
      <w:r>
        <w:rPr>
          <w:rFonts w:ascii="宋体" w:hAnsi="宋体" w:hint="eastAsia"/>
          <w:color w:val="000000"/>
          <w:kern w:val="0"/>
          <w:sz w:val="24"/>
        </w:rPr>
        <w:t>天</w:t>
      </w:r>
      <w:r>
        <w:rPr>
          <w:rFonts w:ascii="宋体" w:hAnsi="宋体"/>
          <w:color w:val="000000"/>
          <w:kern w:val="0"/>
          <w:sz w:val="24"/>
        </w:rPr>
        <w:t xml:space="preserve">, </w:t>
      </w:r>
      <w:r>
        <w:rPr>
          <w:rFonts w:ascii="宋体" w:hAnsi="宋体" w:hint="eastAsia"/>
          <w:color w:val="000000"/>
          <w:kern w:val="0"/>
          <w:sz w:val="24"/>
        </w:rPr>
        <w:t>平均剩余存续期不得超过</w:t>
      </w:r>
      <w:r>
        <w:rPr>
          <w:rFonts w:ascii="宋体" w:hAnsi="宋体"/>
          <w:color w:val="000000"/>
          <w:kern w:val="0"/>
          <w:sz w:val="24"/>
        </w:rPr>
        <w:t>180</w:t>
      </w:r>
      <w:r>
        <w:rPr>
          <w:rFonts w:ascii="宋体" w:hAnsi="宋体" w:hint="eastAsia"/>
          <w:color w:val="000000"/>
          <w:kern w:val="0"/>
          <w:sz w:val="24"/>
        </w:rPr>
        <w:t>天</w:t>
      </w:r>
      <w:r>
        <w:rPr>
          <w:rFonts w:ascii="宋体" w:hAnsi="宋体"/>
          <w:color w:val="000000"/>
          <w:kern w:val="0"/>
          <w:sz w:val="24"/>
        </w:rPr>
        <w:t xml:space="preserve">; </w:t>
      </w:r>
      <w:r>
        <w:rPr>
          <w:rFonts w:ascii="宋体" w:hAnsi="宋体" w:hint="eastAsia"/>
          <w:color w:val="000000"/>
          <w:kern w:val="0"/>
          <w:sz w:val="24"/>
        </w:rPr>
        <w:t>投资组合中现金、国债、中央银行票据、政策性金融债券以及</w:t>
      </w:r>
      <w:r>
        <w:rPr>
          <w:rFonts w:ascii="宋体" w:hAnsi="宋体"/>
          <w:color w:val="000000"/>
          <w:kern w:val="0"/>
          <w:sz w:val="24"/>
        </w:rPr>
        <w:t>5</w:t>
      </w:r>
      <w:r>
        <w:rPr>
          <w:rFonts w:ascii="宋体" w:hAnsi="宋体" w:hint="eastAsia"/>
          <w:color w:val="000000"/>
          <w:kern w:val="0"/>
          <w:sz w:val="24"/>
        </w:rPr>
        <w:t>个交易日内到期的其他金融工具占基金资产净值的比例合计不得低于</w:t>
      </w:r>
      <w:r>
        <w:rPr>
          <w:rFonts w:ascii="宋体" w:hAnsi="宋体"/>
          <w:color w:val="000000"/>
          <w:kern w:val="0"/>
          <w:sz w:val="24"/>
        </w:rPr>
        <w:t>20%</w:t>
      </w:r>
      <w:r>
        <w:rPr>
          <w:rFonts w:ascii="宋体" w:hAnsi="宋体" w:hint="eastAsia"/>
          <w:color w:val="000000"/>
          <w:kern w:val="0"/>
          <w:sz w:val="24"/>
        </w:rPr>
        <w:t>；</w:t>
      </w:r>
    </w:p>
    <w:p w14:paraId="4A154950"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（18）本基金主动投资于流动性受限资产的市值合计不得超过基金资产净值的</w:t>
      </w:r>
      <w:r>
        <w:rPr>
          <w:rFonts w:ascii="宋体" w:hAnsi="宋体"/>
          <w:color w:val="000000"/>
          <w:kern w:val="0"/>
          <w:sz w:val="24"/>
        </w:rPr>
        <w:t>10%</w:t>
      </w:r>
      <w:r>
        <w:rPr>
          <w:rFonts w:ascii="宋体" w:hAnsi="宋体" w:hint="eastAsia"/>
          <w:color w:val="000000"/>
          <w:kern w:val="0"/>
          <w:sz w:val="24"/>
        </w:rPr>
        <w:t>；因证券市场波动、基金规模变动等基金管理人之外的因素致使基金不符合前款所规定比例限制的</w:t>
      </w:r>
      <w:r>
        <w:rPr>
          <w:rFonts w:ascii="宋体" w:hAnsi="宋体"/>
          <w:color w:val="000000"/>
          <w:kern w:val="0"/>
          <w:sz w:val="24"/>
        </w:rPr>
        <w:t xml:space="preserve">, </w:t>
      </w:r>
      <w:r>
        <w:rPr>
          <w:rFonts w:ascii="宋体" w:hAnsi="宋体" w:hint="eastAsia"/>
          <w:color w:val="000000"/>
          <w:kern w:val="0"/>
          <w:sz w:val="24"/>
        </w:rPr>
        <w:t>基金管理人不得主动新增流动性受限资产的投资；</w:t>
      </w:r>
    </w:p>
    <w:p w14:paraId="2DAA4E1E"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（19）同一基金管理人管理的全部货币市场基金投资于同一商业银行的银行存款及其发行的同业存单与债券</w:t>
      </w:r>
      <w:r>
        <w:rPr>
          <w:rFonts w:ascii="宋体" w:hAnsi="宋体"/>
          <w:color w:val="000000"/>
          <w:kern w:val="0"/>
          <w:sz w:val="24"/>
        </w:rPr>
        <w:t xml:space="preserve">, </w:t>
      </w:r>
      <w:r>
        <w:rPr>
          <w:rFonts w:ascii="宋体" w:hAnsi="宋体" w:hint="eastAsia"/>
          <w:color w:val="000000"/>
          <w:kern w:val="0"/>
          <w:sz w:val="24"/>
        </w:rPr>
        <w:t>不得超过该商业银行最近一个季度末净资产的</w:t>
      </w:r>
      <w:r>
        <w:rPr>
          <w:rFonts w:ascii="宋体" w:hAnsi="宋体"/>
          <w:color w:val="000000"/>
          <w:kern w:val="0"/>
          <w:sz w:val="24"/>
        </w:rPr>
        <w:t>10%</w:t>
      </w:r>
      <w:r>
        <w:rPr>
          <w:rFonts w:ascii="宋体" w:hAnsi="宋体" w:hint="eastAsia"/>
          <w:color w:val="000000"/>
          <w:kern w:val="0"/>
          <w:sz w:val="24"/>
        </w:rPr>
        <w:t>；</w:t>
      </w:r>
    </w:p>
    <w:p w14:paraId="79839662"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（20）本基金投资于主体信用评级低于</w:t>
      </w:r>
      <w:r>
        <w:rPr>
          <w:rFonts w:ascii="宋体" w:hAnsi="宋体"/>
          <w:color w:val="000000"/>
          <w:kern w:val="0"/>
          <w:sz w:val="24"/>
        </w:rPr>
        <w:t>AAA</w:t>
      </w:r>
      <w:r>
        <w:rPr>
          <w:rFonts w:ascii="宋体" w:hAnsi="宋体" w:hint="eastAsia"/>
          <w:color w:val="000000"/>
          <w:kern w:val="0"/>
          <w:sz w:val="24"/>
        </w:rPr>
        <w:t>的机构发行的金融工具占基金资产净值的比例合计不得超过</w:t>
      </w:r>
      <w:r>
        <w:rPr>
          <w:rFonts w:ascii="宋体" w:hAnsi="宋体"/>
          <w:color w:val="000000"/>
          <w:kern w:val="0"/>
          <w:sz w:val="24"/>
        </w:rPr>
        <w:t xml:space="preserve">10%, </w:t>
      </w:r>
      <w:r>
        <w:rPr>
          <w:rFonts w:ascii="宋体" w:hAnsi="宋体" w:hint="eastAsia"/>
          <w:color w:val="000000"/>
          <w:kern w:val="0"/>
          <w:sz w:val="24"/>
        </w:rPr>
        <w:t>其中单一机构发行的金融工具占基金资产净值的比例合计不得超过</w:t>
      </w:r>
      <w:r>
        <w:rPr>
          <w:rFonts w:ascii="宋体" w:hAnsi="宋体"/>
          <w:color w:val="000000"/>
          <w:kern w:val="0"/>
          <w:sz w:val="24"/>
        </w:rPr>
        <w:t xml:space="preserve">2%; </w:t>
      </w:r>
      <w:r>
        <w:rPr>
          <w:rFonts w:ascii="宋体" w:hAnsi="宋体" w:hint="eastAsia"/>
          <w:color w:val="000000"/>
          <w:kern w:val="0"/>
          <w:sz w:val="24"/>
        </w:rPr>
        <w:t>前述金融工具包括债券、非金融企业债务融资工具、银行存款、同业存单、相关机构作为原始权益人的资产支持证券及中国证监会认定的其他品种；</w:t>
      </w:r>
    </w:p>
    <w:p w14:paraId="482D245D"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（21）本基金与私募类</w:t>
      </w:r>
      <w:proofErr w:type="gramStart"/>
      <w:r>
        <w:rPr>
          <w:rFonts w:ascii="宋体" w:hAnsi="宋体" w:hint="eastAsia"/>
          <w:color w:val="000000"/>
          <w:kern w:val="0"/>
          <w:sz w:val="24"/>
        </w:rPr>
        <w:t>证券资管产品</w:t>
      </w:r>
      <w:proofErr w:type="gramEnd"/>
      <w:r>
        <w:rPr>
          <w:rFonts w:ascii="宋体" w:hAnsi="宋体" w:hint="eastAsia"/>
          <w:color w:val="000000"/>
          <w:kern w:val="0"/>
          <w:sz w:val="24"/>
        </w:rPr>
        <w:t>及中国证监会认定的其他主体为交易对手开展逆回购交易的</w:t>
      </w:r>
      <w:r>
        <w:rPr>
          <w:rFonts w:ascii="宋体" w:hAnsi="宋体"/>
          <w:color w:val="000000"/>
          <w:kern w:val="0"/>
          <w:sz w:val="24"/>
        </w:rPr>
        <w:t xml:space="preserve">, </w:t>
      </w:r>
      <w:r>
        <w:rPr>
          <w:rFonts w:ascii="宋体" w:hAnsi="宋体" w:hint="eastAsia"/>
          <w:color w:val="000000"/>
          <w:kern w:val="0"/>
          <w:sz w:val="24"/>
        </w:rPr>
        <w:t>可接受质押品的资质要求应当与基金合同约定的投资范围保持一致；</w:t>
      </w:r>
    </w:p>
    <w:p w14:paraId="06D8D9E2"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（22）法律法规及中国证监会规定的和《基金合同》约定的其他投资限制。</w:t>
      </w:r>
    </w:p>
    <w:p w14:paraId="482B5B43"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除上述第（</w:t>
      </w:r>
      <w:r>
        <w:rPr>
          <w:rFonts w:ascii="宋体" w:hAnsi="宋体"/>
          <w:color w:val="000000"/>
          <w:kern w:val="0"/>
          <w:sz w:val="24"/>
        </w:rPr>
        <w:t>1</w:t>
      </w:r>
      <w:r>
        <w:rPr>
          <w:rFonts w:ascii="宋体" w:hAnsi="宋体" w:hint="eastAsia"/>
          <w:color w:val="000000"/>
          <w:kern w:val="0"/>
          <w:sz w:val="24"/>
        </w:rPr>
        <w:t>）、（</w:t>
      </w:r>
      <w:r>
        <w:rPr>
          <w:rFonts w:ascii="宋体" w:hAnsi="宋体"/>
          <w:color w:val="000000"/>
          <w:kern w:val="0"/>
          <w:sz w:val="24"/>
        </w:rPr>
        <w:t>10</w:t>
      </w:r>
      <w:r>
        <w:rPr>
          <w:rFonts w:ascii="宋体" w:hAnsi="宋体" w:hint="eastAsia"/>
          <w:color w:val="000000"/>
          <w:kern w:val="0"/>
          <w:sz w:val="24"/>
        </w:rPr>
        <w:t>）、（</w:t>
      </w:r>
      <w:r>
        <w:rPr>
          <w:rFonts w:ascii="宋体" w:hAnsi="宋体"/>
          <w:color w:val="000000"/>
          <w:kern w:val="0"/>
          <w:sz w:val="24"/>
        </w:rPr>
        <w:t>14</w:t>
      </w:r>
      <w:r>
        <w:rPr>
          <w:rFonts w:ascii="宋体" w:hAnsi="宋体" w:hint="eastAsia"/>
          <w:color w:val="000000"/>
          <w:kern w:val="0"/>
          <w:sz w:val="24"/>
        </w:rPr>
        <w:t>）、（</w:t>
      </w:r>
      <w:r>
        <w:rPr>
          <w:rFonts w:ascii="宋体" w:hAnsi="宋体"/>
          <w:color w:val="000000"/>
          <w:kern w:val="0"/>
          <w:sz w:val="24"/>
        </w:rPr>
        <w:t>18</w:t>
      </w:r>
      <w:r>
        <w:rPr>
          <w:rFonts w:ascii="宋体" w:hAnsi="宋体" w:hint="eastAsia"/>
          <w:color w:val="000000"/>
          <w:kern w:val="0"/>
          <w:sz w:val="24"/>
        </w:rPr>
        <w:t>）、（</w:t>
      </w:r>
      <w:r>
        <w:rPr>
          <w:rFonts w:ascii="宋体" w:hAnsi="宋体"/>
          <w:color w:val="000000"/>
          <w:kern w:val="0"/>
          <w:sz w:val="24"/>
        </w:rPr>
        <w:t>21</w:t>
      </w:r>
      <w:r>
        <w:rPr>
          <w:rFonts w:ascii="宋体" w:hAnsi="宋体" w:hint="eastAsia"/>
          <w:color w:val="000000"/>
          <w:kern w:val="0"/>
          <w:sz w:val="24"/>
        </w:rPr>
        <w:t>）条外，因基金规模或市场变化导致本基金投资组合不符合以上比例限制的，基金管理人应在</w:t>
      </w:r>
      <w:r>
        <w:rPr>
          <w:rFonts w:ascii="宋体" w:hAnsi="宋体"/>
          <w:color w:val="000000"/>
          <w:kern w:val="0"/>
          <w:sz w:val="24"/>
        </w:rPr>
        <w:t>10</w:t>
      </w:r>
      <w:r>
        <w:rPr>
          <w:rFonts w:ascii="宋体" w:hAnsi="宋体" w:hint="eastAsia"/>
          <w:color w:val="000000"/>
          <w:kern w:val="0"/>
          <w:sz w:val="24"/>
        </w:rPr>
        <w:t>个交易日内调整完毕，以达到上述标准，但中国证监会规定的特殊情形除外。法律法规另有规定时，从其规定。</w:t>
      </w:r>
    </w:p>
    <w:p w14:paraId="425900F7"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基金管理人应当自基金合同生效日起6个月内使基金的投资组合比例符合基金合同的有关约定。期间，基金的投资范围、投资策略应当符合基金合同的约定。基金托管人对基金的投资的监督与检查自基金合同生效之日起开始。</w:t>
      </w:r>
    </w:p>
    <w:p w14:paraId="6B86E596"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法律法规或监管部门调整上述限制，则本基金投资将按照调整后的规则执行。</w:t>
      </w:r>
    </w:p>
    <w:p w14:paraId="31228DE0"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2、本基金不得投资于以下金融工具：</w:t>
      </w:r>
    </w:p>
    <w:p w14:paraId="15A990E3"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（1）股票和权证；</w:t>
      </w:r>
    </w:p>
    <w:p w14:paraId="25280505"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（2）可转换债券、可交换债券；</w:t>
      </w:r>
    </w:p>
    <w:p w14:paraId="0B555F45"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lastRenderedPageBreak/>
        <w:t>（3）剩余期限超过397天的债券、资产支持证券、非金融企业债务融资工具；</w:t>
      </w:r>
    </w:p>
    <w:p w14:paraId="6534945C"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（4）信用等级在AA+级以下的债券与非金融企业债务融资工具；</w:t>
      </w:r>
    </w:p>
    <w:p w14:paraId="2D2C7367"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（5）以定期存款利率为基准利率的浮动利率债券，已进入最后一个利率调整期的除外；</w:t>
      </w:r>
    </w:p>
    <w:p w14:paraId="1D53F210"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（6）非在全国银行间债券交易市场或证券交易所交易的资产支持证券；</w:t>
      </w:r>
    </w:p>
    <w:p w14:paraId="387A19C4"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（7）流通受限证券；</w:t>
      </w:r>
    </w:p>
    <w:p w14:paraId="3F3B58C2"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（8）中国证监会、中国人民银行禁止投资的其他金融工具。</w:t>
      </w:r>
    </w:p>
    <w:p w14:paraId="62C8DB2C"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如果法律法规或监管部门取消上述限制，则本基金投资不再受相关限制。</w:t>
      </w:r>
    </w:p>
    <w:p w14:paraId="4E8D18E0"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基金托管人根据有关法律法规的规定及基金合同的约定，对本托管协议第十五条第（十二）</w:t>
      </w:r>
      <w:proofErr w:type="gramStart"/>
      <w:r>
        <w:rPr>
          <w:rFonts w:ascii="宋体" w:hAnsi="宋体" w:hint="eastAsia"/>
          <w:color w:val="000000"/>
          <w:kern w:val="0"/>
          <w:sz w:val="24"/>
        </w:rPr>
        <w:t>款基金</w:t>
      </w:r>
      <w:proofErr w:type="gramEnd"/>
      <w:r>
        <w:rPr>
          <w:rFonts w:ascii="宋体" w:hAnsi="宋体" w:hint="eastAsia"/>
          <w:color w:val="000000"/>
          <w:kern w:val="0"/>
          <w:sz w:val="24"/>
        </w:rPr>
        <w:t>投资禁止行为进行监督。</w:t>
      </w:r>
    </w:p>
    <w:p w14:paraId="160026D0"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1EDDC072"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4、基金托管人根据有关法律法规的规定及基金合同的约定，对基金管理人参与银行间债券市场进行监督。</w:t>
      </w:r>
    </w:p>
    <w:p w14:paraId="3C2CA8CF"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基金管理人应在基金投资运作之前按照规定的数据格式向基金托管人提供符合法律法规及行业标准的、经慎重选择的、本基金适用的银行间债券市场交易对手名单，并约定各交易对手所适用的交易结算方式。基金管理人应严格按照交易对手名单的范围在银行间债券市场选择交易对手。基金托管人事后监督基金管理人是否按事前提供的银行间债券市场交易对手名单进行交易。基金管理人可以每半年对银行间债券市场交易对手名单及结算方式进行更新，新名单确定前已与本次剔除的交易对手所进行但尚未结算的交易，仍应按照协议进行结算。如基金管理人根据市场情况需要临时调整银行间债券市场交易对手名单及结算方式的，应向基金托管人说明理由，并在与交易对手发生交易前3个工作日内与基金托管人协商解决。</w:t>
      </w:r>
    </w:p>
    <w:p w14:paraId="1854ED69"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lastRenderedPageBreak/>
        <w:t>基金管理人负责对交易对手的资信控制，按银行间债券市场的交易规则进行交易，并承担交易对手不履行合同造成的损失，基金托管人则根据银行间债券市场成交单对合同履行情况进行监督。如基金托管人事后发现基金管理人没有按照事先约定的交易对手进行交易时，基金托管人应及时提醒基金管理人，基金托管人不承担由此造成的任何损失和责任。</w:t>
      </w:r>
    </w:p>
    <w:p w14:paraId="0D249151"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5、基金管理人投资银行定期存款应符合相关法律法规约定。基金管理人应根据本协议的规定与基金托管人签订投资银行定期存款风险控制补充协议。基金管理人在投资银行定期存款的过程中，必须符合补充协议就投资品种、投资比例、存款期限等方面的限制。在投资过程中，基金托管人将严格按照补充协议中的约定对相关业务进行监督和审核。</w:t>
      </w:r>
    </w:p>
    <w:p w14:paraId="4EE77E6E"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6、基金管理人投资中期票据应符合相关法律法规约定。基金管理人应根据本协议的规定与基金托管人签订投资中期票据风险控制补充协议。基金管理人在投资中期票据的过程中，必须严格按照补充协议中的限制性约定进行投资。在投资过程中，基金托管人将严格按照补充协议中的约定对相关业务进行监督和审核。</w:t>
      </w:r>
    </w:p>
    <w:p w14:paraId="21EA3008"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7、基金托管人发现基金管理人的上述事项及投资指令或实际投资运作违反法律法规、基金合同和本托管协议的规定，应及时以电话提醒或书面提示等方式通知基金管理人限期纠正。</w:t>
      </w:r>
    </w:p>
    <w:p w14:paraId="3041763A"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基金管理人应积极配合和协助基金托管人的监督和核查。基金管理人收到书面通知后应在下一工作日前及时核对并以书面形式给基金托管人发出回函，就基金托管人合理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14:paraId="5A61684F"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8、基金管理人有义务配合和协助基金托管人依照法律法规、基金合同和本托管协议对基金业务执行核查。</w:t>
      </w:r>
    </w:p>
    <w:p w14:paraId="65EB8559"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对基金托管人发出的书面提示，基金管理人应在规定时间内答复并改正，或就基金托管人合理的疑义进行解释或举证；对基金托管人按照法律法规、基金合同和本托管协议的要求需向中国证监会报送基金监督报告的事项，基金管理人应积极配</w:t>
      </w:r>
      <w:r>
        <w:rPr>
          <w:rFonts w:ascii="宋体" w:hAnsi="宋体" w:hint="eastAsia"/>
          <w:color w:val="000000"/>
          <w:kern w:val="0"/>
          <w:sz w:val="24"/>
        </w:rPr>
        <w:lastRenderedPageBreak/>
        <w:t>合提供相关数据资料和制度等。</w:t>
      </w:r>
    </w:p>
    <w:p w14:paraId="1767A1B1"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9、</w:t>
      </w:r>
      <w:proofErr w:type="gramStart"/>
      <w:r>
        <w:rPr>
          <w:rFonts w:ascii="宋体" w:hAnsi="宋体" w:hint="eastAsia"/>
          <w:color w:val="000000"/>
          <w:kern w:val="0"/>
          <w:sz w:val="24"/>
        </w:rPr>
        <w:t>若基金</w:t>
      </w:r>
      <w:proofErr w:type="gramEnd"/>
      <w:r>
        <w:rPr>
          <w:rFonts w:ascii="宋体" w:hAnsi="宋体" w:hint="eastAsia"/>
          <w:color w:val="000000"/>
          <w:kern w:val="0"/>
          <w:sz w:val="24"/>
        </w:rPr>
        <w:t>托管人发现基金管理人依据交易程序已经生效的指令违反法律、行政法规和其他有关规定，或者违反基金合同约定的，应当立即通知基金管理人。</w:t>
      </w:r>
    </w:p>
    <w:p w14:paraId="7DB2CE86"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10、基金托管人发现基金管理人有重大违规行为，应及时报告中国证监会，同时通知基金管理人限期纠正，并将纠正结果报告中国证监会。</w:t>
      </w:r>
    </w:p>
    <w:p w14:paraId="4FA9F8F8"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基金管理人无正当理由，拒绝、阻挠对方根据本托管协议规定行使监督权，或采取拖延、欺诈等手段妨碍对方进行有效监督，情节严重或经基金托管人提出警告仍不改正的，基金托管人应报告中国证监会。</w:t>
      </w:r>
    </w:p>
    <w:p w14:paraId="46C11989"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（三）基金管理人对基金托管人的业务核查</w:t>
      </w:r>
    </w:p>
    <w:p w14:paraId="78FD75A2" w14:textId="77777777" w:rsidR="00566744" w:rsidRDefault="00000000">
      <w:pPr>
        <w:spacing w:line="360" w:lineRule="auto"/>
        <w:ind w:firstLineChars="200" w:firstLine="480"/>
        <w:rPr>
          <w:rFonts w:ascii="宋体" w:hAnsi="宋体" w:hint="eastAsia"/>
          <w:color w:val="0D0D0D"/>
          <w:kern w:val="0"/>
          <w:sz w:val="24"/>
        </w:rPr>
      </w:pPr>
      <w:r>
        <w:rPr>
          <w:rFonts w:ascii="宋体" w:hAnsi="宋体" w:hint="eastAsia"/>
          <w:color w:val="0D0D0D"/>
          <w:kern w:val="0"/>
          <w:sz w:val="24"/>
        </w:rPr>
        <w:t>1、基金管理人对基金托管人履行托管职责情况进行核查，核查事项包括基金托管人安全保管基金财产、开设基金财产的资金账户和证券账户、复核基金管理人计算的基金资产净值和</w:t>
      </w:r>
      <w:proofErr w:type="gramStart"/>
      <w:r>
        <w:rPr>
          <w:rFonts w:ascii="宋体" w:hAnsi="宋体" w:hint="eastAsia"/>
          <w:color w:val="0D0D0D"/>
          <w:kern w:val="0"/>
          <w:sz w:val="24"/>
        </w:rPr>
        <w:t>7日年化收益率</w:t>
      </w:r>
      <w:proofErr w:type="gramEnd"/>
      <w:r>
        <w:rPr>
          <w:rFonts w:ascii="宋体" w:hAnsi="宋体" w:hint="eastAsia"/>
          <w:color w:val="0D0D0D"/>
          <w:kern w:val="0"/>
          <w:sz w:val="24"/>
        </w:rPr>
        <w:t>、每万份基金已实现收益、根据基金管理人指令办理清算交收、相关信息披露和监督基金投资运作等行为。</w:t>
      </w:r>
    </w:p>
    <w:p w14:paraId="2E96B207" w14:textId="77777777" w:rsidR="00566744" w:rsidRDefault="00000000">
      <w:pPr>
        <w:spacing w:line="360" w:lineRule="auto"/>
        <w:ind w:firstLineChars="200" w:firstLine="480"/>
        <w:rPr>
          <w:rFonts w:ascii="宋体" w:hAnsi="宋体" w:hint="eastAsia"/>
          <w:color w:val="0D0D0D"/>
          <w:kern w:val="0"/>
          <w:sz w:val="24"/>
        </w:rPr>
      </w:pPr>
      <w:r>
        <w:rPr>
          <w:rFonts w:ascii="宋体" w:hAnsi="宋体" w:hint="eastAsia"/>
          <w:color w:val="0D0D0D"/>
          <w:kern w:val="0"/>
          <w:sz w:val="24"/>
        </w:rPr>
        <w:t>2、基金管理人发现基金托管人擅自挪用基金财产、未对基金财产实行分账管理、未执行或无故延迟执行基金管理人资金划拨指令、泄露基金投资信息等违反《基金法》、基金合同、本协议及其他有关规定时，应及时以书面形式通知基金托管人限期纠正。</w:t>
      </w:r>
    </w:p>
    <w:p w14:paraId="663878DA" w14:textId="77777777" w:rsidR="00566744" w:rsidRDefault="00000000">
      <w:pPr>
        <w:spacing w:line="360" w:lineRule="auto"/>
        <w:ind w:firstLineChars="200" w:firstLine="480"/>
        <w:rPr>
          <w:rFonts w:ascii="宋体" w:hAnsi="宋体" w:hint="eastAsia"/>
          <w:color w:val="0D0D0D"/>
          <w:kern w:val="0"/>
          <w:sz w:val="24"/>
        </w:rPr>
      </w:pPr>
      <w:r>
        <w:rPr>
          <w:rFonts w:ascii="宋体" w:hAnsi="宋体" w:hint="eastAsia"/>
          <w:color w:val="0D0D0D"/>
          <w:kern w:val="0"/>
          <w:sz w:val="24"/>
        </w:rPr>
        <w:t>基金托管人收到通知后应及时核对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w:t>
      </w:r>
      <w:proofErr w:type="gramStart"/>
      <w:r>
        <w:rPr>
          <w:rFonts w:ascii="宋体" w:hAnsi="宋体" w:hint="eastAsia"/>
          <w:color w:val="0D0D0D"/>
          <w:kern w:val="0"/>
          <w:sz w:val="24"/>
        </w:rPr>
        <w:t>供基金</w:t>
      </w:r>
      <w:proofErr w:type="gramEnd"/>
      <w:r>
        <w:rPr>
          <w:rFonts w:ascii="宋体" w:hAnsi="宋体" w:hint="eastAsia"/>
          <w:color w:val="0D0D0D"/>
          <w:kern w:val="0"/>
          <w:sz w:val="24"/>
        </w:rPr>
        <w:t>管理人核查托管财产的完整性和真实性，在规定时间内答复基金管理人并改正。</w:t>
      </w:r>
    </w:p>
    <w:p w14:paraId="1F8139E2" w14:textId="77777777" w:rsidR="00566744" w:rsidRDefault="00000000">
      <w:pPr>
        <w:spacing w:line="360" w:lineRule="auto"/>
        <w:ind w:firstLineChars="200" w:firstLine="480"/>
        <w:rPr>
          <w:rFonts w:ascii="宋体" w:hAnsi="宋体" w:hint="eastAsia"/>
          <w:color w:val="0D0D0D"/>
          <w:kern w:val="0"/>
          <w:sz w:val="24"/>
        </w:rPr>
      </w:pPr>
      <w:r>
        <w:rPr>
          <w:rFonts w:ascii="宋体" w:hAnsi="宋体" w:hint="eastAsia"/>
          <w:color w:val="0D0D0D"/>
          <w:kern w:val="0"/>
          <w:sz w:val="24"/>
        </w:rPr>
        <w:t>3、基金管理人发现基金托管人有重大违规行为，应及时报告中国证监会，同时通知基金托管人限期纠正，并将纠正结果报告中国证监会。</w:t>
      </w:r>
    </w:p>
    <w:p w14:paraId="3B966227"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D0D0D"/>
          <w:kern w:val="0"/>
          <w:sz w:val="24"/>
        </w:rPr>
        <w:t>基金托管人无正当理由，拒绝、阻挠对方根据本协议规定行使监督权，或采取拖延、欺诈等手段妨碍对方进行有效监督，情节严重或经基金管理人提出警告仍不改正的，基金管理人应报告中国证监会。</w:t>
      </w:r>
    </w:p>
    <w:p w14:paraId="13403DD9" w14:textId="77777777" w:rsidR="00566744" w:rsidRDefault="00000000">
      <w:pPr>
        <w:spacing w:line="360" w:lineRule="auto"/>
        <w:ind w:firstLineChars="200" w:firstLine="480"/>
        <w:rPr>
          <w:rFonts w:ascii="宋体" w:hAnsi="宋体" w:hint="eastAsia"/>
          <w:color w:val="000000"/>
          <w:kern w:val="0"/>
          <w:sz w:val="24"/>
        </w:rPr>
      </w:pPr>
      <w:bookmarkStart w:id="142" w:name="_Hlt88903324"/>
      <w:bookmarkEnd w:id="142"/>
      <w:r>
        <w:rPr>
          <w:rFonts w:ascii="宋体" w:hAnsi="宋体" w:hint="eastAsia"/>
          <w:color w:val="000000"/>
          <w:kern w:val="0"/>
          <w:sz w:val="24"/>
        </w:rPr>
        <w:t>（四）基金财产的保管</w:t>
      </w:r>
      <w:bookmarkStart w:id="143" w:name="_Toc37159173"/>
    </w:p>
    <w:p w14:paraId="229172D8"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lastRenderedPageBreak/>
        <w:t>1、基金财产保管的原则</w:t>
      </w:r>
    </w:p>
    <w:p w14:paraId="40EF871C"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（1）基金财产应独立于基金管理人、基金托管人的固有财产；</w:t>
      </w:r>
    </w:p>
    <w:p w14:paraId="401F1151"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（2）基金托管人应安全保管基金财产；</w:t>
      </w:r>
    </w:p>
    <w:p w14:paraId="02E82998"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（3）基金托管人按照规定开设基金财产的资金账户、证券账户以及投资所需的其他账户；</w:t>
      </w:r>
    </w:p>
    <w:p w14:paraId="1F90658B"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 xml:space="preserve">（4）基金托管人对所托管的不同基金财产分别设置账户，确保基金财产的完整与独立； </w:t>
      </w:r>
    </w:p>
    <w:p w14:paraId="01943741"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（5）基金托管人根据基金管理人的指令，按照基金合同和本协议的约定保管基金财产，如有特殊情况双方可另行协商解决；</w:t>
      </w:r>
    </w:p>
    <w:p w14:paraId="2E18741C"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6）对于因为基金投资产生的应收资产，应由基金管理人负责与有关当事人确定到账日期并通知基金托管人，到账日基金财产没有到达基金账户的，基金托管人应及时通知并配合基金管理人采取措施进行催收。由此给基金财产造成损失的，基金管理人应负责向有关当事人追偿基金财产的损失；</w:t>
      </w:r>
    </w:p>
    <w:p w14:paraId="7B2B1230"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（7）除依据法律法规和基金合同的规定外，基金托管人不得委托第三人托管基金财产。</w:t>
      </w:r>
    </w:p>
    <w:p w14:paraId="3E65B3BC"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2、基金募集期间及募集资金的验资</w:t>
      </w:r>
    </w:p>
    <w:p w14:paraId="5EAD11EE"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（1）基金募集期间募集的资金应存于基金管理人开立的“基金募集专户”。该账户由基金管理人开立并管理。</w:t>
      </w:r>
    </w:p>
    <w:p w14:paraId="3095C11C"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2）基金募集期满或基金停止募集时，募集的基金份额总额、基金募集金额、基金份额持有人人数符合《基金法》、《运作办法》等有关规定后，基金管理人应将属于基金财产的全部资金划入基金托管人开立的基金托管专户，同时在规定时间内，聘请具有从事证券相关业务资格的会计师事务所进行验资，出具验资报告。出具的验资报告由参加验资的2名或2名以上中国注册会计师签字方为有效。</w:t>
      </w:r>
    </w:p>
    <w:p w14:paraId="7C1E2D5A"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（3）</w:t>
      </w:r>
      <w:proofErr w:type="gramStart"/>
      <w:r>
        <w:rPr>
          <w:rFonts w:ascii="宋体" w:hAnsi="宋体" w:hint="eastAsia"/>
          <w:color w:val="000000"/>
          <w:kern w:val="0"/>
          <w:sz w:val="24"/>
        </w:rPr>
        <w:t>若基金</w:t>
      </w:r>
      <w:proofErr w:type="gramEnd"/>
      <w:r>
        <w:rPr>
          <w:rFonts w:ascii="宋体" w:hAnsi="宋体" w:hint="eastAsia"/>
          <w:color w:val="000000"/>
          <w:kern w:val="0"/>
          <w:sz w:val="24"/>
        </w:rPr>
        <w:t>募集期限届满，未能达到基金合同生效的条件，由基金管理人按规定办理退款等事宜。</w:t>
      </w:r>
    </w:p>
    <w:p w14:paraId="2CBEE243"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3、基金托管专户的开立和管理</w:t>
      </w:r>
    </w:p>
    <w:p w14:paraId="31FAF4E4"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基金托管专户的名称:富荣货币市场基金</w:t>
      </w:r>
    </w:p>
    <w:p w14:paraId="03918C6C"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托管账户开户行:中国光大银行深圳分行营业部</w:t>
      </w:r>
    </w:p>
    <w:p w14:paraId="01C4CA8E"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lastRenderedPageBreak/>
        <w:t>（1）基金托管人以基金的名义在其营业机构开设基金托管专户，保管基金的银行存款。本基金的一切货币收支活动，包括但不限于投资、支付赎回金额、支付基金收益、收取申购款，均需通过基金托管专户进行。</w:t>
      </w:r>
    </w:p>
    <w:p w14:paraId="759B495A"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（2）基金托管专户的开立和使用，限于满足开展本基金业务的需要。基金托管人和基金管理人不得假借本基金的名义开立任何其他银行账户；亦不得使用基金的任何账户进行本基金业务以外的活动。</w:t>
      </w:r>
    </w:p>
    <w:p w14:paraId="615A027F"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（3）基金托管专户的开立和管理应符合有关法律法规以及银行业监督管理机构的其他有关规定。</w:t>
      </w:r>
    </w:p>
    <w:p w14:paraId="551EBC32"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4、基金证券账户和结算备付金账户的开立和管理</w:t>
      </w:r>
    </w:p>
    <w:p w14:paraId="17269FE3"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（1）基金托管人在中国证券登记结算有限责任公司上海分公司、深圳分公司为基金开立基金托管人与基金联名的证券账户。</w:t>
      </w:r>
    </w:p>
    <w:p w14:paraId="3FD07326"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（2）基金证券账户的开立和使用，仅限于满足开展本基金业务的需要。基金托管人和基金管理人不得出借或未经对方同意擅自转让基金的任何证券账户，亦不得使用基金的任何账户进行本基金业务以外的活动。</w:t>
      </w:r>
    </w:p>
    <w:p w14:paraId="3ADE4EAC"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（3）基金证券账户的开立和证券账户卡的保管由基金托管人负责，账户资产的管理和运用由基金管理人负责。</w:t>
      </w:r>
    </w:p>
    <w:p w14:paraId="7D7CFC77"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4）基金托管人以基金托管人的名义在中国证券登记结算有限责任公司开立结算备付金账户，并代表所托管的基金完成与中国证券登记结算有限责任公司的一级法人清算工作，基金管理人应予以积极协助。结算备付金、交收价差资金等的收取按照中国证券登记结算有限责任公司的规定执行。</w:t>
      </w:r>
    </w:p>
    <w:p w14:paraId="3EEE5538"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（5）若中国证监会或其他监管机构在本托管协议订立日之后允许基金从事其他投资品种的投资业务，涉及相关账户的开立、使用的，若无相关规定，</w:t>
      </w:r>
      <w:proofErr w:type="gramStart"/>
      <w:r>
        <w:rPr>
          <w:rFonts w:ascii="宋体" w:hAnsi="宋体" w:hint="eastAsia"/>
          <w:color w:val="000000"/>
          <w:kern w:val="0"/>
          <w:sz w:val="24"/>
        </w:rPr>
        <w:t>则基金</w:t>
      </w:r>
      <w:proofErr w:type="gramEnd"/>
      <w:r>
        <w:rPr>
          <w:rFonts w:ascii="宋体" w:hAnsi="宋体" w:hint="eastAsia"/>
          <w:color w:val="000000"/>
          <w:kern w:val="0"/>
          <w:sz w:val="24"/>
        </w:rPr>
        <w:t>托管人比照上述关于账户开立、使用的规定执行。</w:t>
      </w:r>
    </w:p>
    <w:p w14:paraId="58482613"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5、银行间债券托管专户的开设和管理</w:t>
      </w:r>
    </w:p>
    <w:p w14:paraId="62E993D9"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基金合同生效后，基金管理人负责以基金的名义申请并取得进入全国银行间同业拆借市场的交易资格，并代表基金进行交易；基金托管人负责以本基金的名义在中央国债登记结算有限责任公司和银行间市场清算所股份有限公司开设银行间债券市场债券托管账户，并代表基金进行银行间市场债券的结算。基金管理人和基金托</w:t>
      </w:r>
      <w:r>
        <w:rPr>
          <w:rFonts w:ascii="宋体" w:hAnsi="宋体" w:hint="eastAsia"/>
          <w:color w:val="000000"/>
          <w:kern w:val="0"/>
          <w:sz w:val="24"/>
        </w:rPr>
        <w:lastRenderedPageBreak/>
        <w:t>管人共同代表基金签订全国银行间债券市场债券回购主协议，基金托管人保管协议正本，基金管理人保存协议副本。</w:t>
      </w:r>
    </w:p>
    <w:p w14:paraId="35D9C9B8"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6、其他账户的开立和管理</w:t>
      </w:r>
    </w:p>
    <w:p w14:paraId="7F1C622B"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在本托管协议签订日之后，本基金被允许从事符合法律法规规定和《基金合同》约定的其他投资品种的投资业务时，如果涉及相关账户的开设和使用，由基金管理人协助基金托管人根据有关法律法规的规定和《基金合同》的约定，开立有关账户。该账户按有关规则使用并管理。</w:t>
      </w:r>
    </w:p>
    <w:p w14:paraId="7EEF1303"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7、基金财产投资的有关有价凭证等的保管</w:t>
      </w:r>
    </w:p>
    <w:p w14:paraId="34B962FC"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基金财产投资的有关实物证券等有价凭证由基金托管人存放于基金托管人的保管库，也可存入中央国债登记结算有限责任公司、中国证券登记结算有限责任公司上海分公司/深圳分公司、银行间清算所股份有限公司或票据营业中心的代保管库，保管凭证由基金托管人持有。实物证券等有价凭证的购买和转让，由基金管理人和基金托管人共同办理。基金托管人对由基金托管人及基金托管人委托保管的机构以外机构实际有效控制的证券不承担保管责任。</w:t>
      </w:r>
    </w:p>
    <w:p w14:paraId="471731FE"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8、与基金财产有关的重大合同的保管</w:t>
      </w:r>
    </w:p>
    <w:p w14:paraId="5FE5ABF2"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与基金财产有关的重大合同的签署，由基金管理人负责。由基金管理人代表基金签署的、与基金财产有关的重大合同的原件分别由基金管理人、基金托管人保管。除本协议另有规定外，基金管理人代表基金签署的与基金财产有关的重大合同包括但不限于基金年度审计合同、基金信息披露协议及基金投资业务中产生的重大合同，基金管理人应保证基金管理人和基金托管人至少各持有一份正本的原件。基金管理人应在重大合同签署后及时将重大合同传真给基金托管人，并在30个工作日内将正本送达基金托管人处。重大合同的保管期限为基金合同终止后15年。</w:t>
      </w:r>
    </w:p>
    <w:p w14:paraId="0902587B"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对于无法取得二份以上正本的，基金管理人应向基金托管人提供与合同原件核对一致的加盖公章的合同传真件，未经双方协商一致或未在合同约定范围内，合同原件不得转移。</w:t>
      </w:r>
      <w:bookmarkStart w:id="144" w:name="_Hlt88902859"/>
      <w:bookmarkStart w:id="145" w:name="_Hlt89689505"/>
      <w:bookmarkStart w:id="146" w:name="_Hlt88903033"/>
      <w:bookmarkStart w:id="147" w:name="_Hlt89687912"/>
      <w:bookmarkEnd w:id="143"/>
      <w:bookmarkEnd w:id="144"/>
      <w:bookmarkEnd w:id="145"/>
      <w:bookmarkEnd w:id="146"/>
      <w:bookmarkEnd w:id="147"/>
    </w:p>
    <w:p w14:paraId="3A0919EF"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（五）基金资产净值计算和会计核算</w:t>
      </w:r>
    </w:p>
    <w:p w14:paraId="0A34C8F5"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1、基金资产净值的计算、复核与完成的时间及程序</w:t>
      </w:r>
    </w:p>
    <w:p w14:paraId="260E1E65"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（1）基金资产净值</w:t>
      </w:r>
    </w:p>
    <w:p w14:paraId="06B0D5CC"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lastRenderedPageBreak/>
        <w:t>基金资产净值是指基金资产总值减去负债后的金额。每万份基金已实现收益是按照相关法规计算的每万份基金份额的日已实现收益，精确到小数点后第4位，小数点后第5位四舍五入。</w:t>
      </w:r>
      <w:proofErr w:type="gramStart"/>
      <w:r>
        <w:rPr>
          <w:rFonts w:ascii="宋体" w:hAnsi="宋体" w:hint="eastAsia"/>
          <w:color w:val="000000"/>
          <w:kern w:val="0"/>
          <w:sz w:val="24"/>
        </w:rPr>
        <w:t>7日年化收益率</w:t>
      </w:r>
      <w:proofErr w:type="gramEnd"/>
      <w:r>
        <w:rPr>
          <w:rFonts w:ascii="宋体" w:hAnsi="宋体" w:hint="eastAsia"/>
          <w:color w:val="000000"/>
          <w:kern w:val="0"/>
          <w:sz w:val="24"/>
        </w:rPr>
        <w:t>是以最近7日(含节假日)收益所折算的</w:t>
      </w:r>
      <w:proofErr w:type="gramStart"/>
      <w:r>
        <w:rPr>
          <w:rFonts w:ascii="宋体" w:hAnsi="宋体" w:hint="eastAsia"/>
          <w:color w:val="000000"/>
          <w:kern w:val="0"/>
          <w:sz w:val="24"/>
        </w:rPr>
        <w:t>年资产</w:t>
      </w:r>
      <w:proofErr w:type="gramEnd"/>
      <w:r>
        <w:rPr>
          <w:rFonts w:ascii="宋体" w:hAnsi="宋体" w:hint="eastAsia"/>
          <w:color w:val="000000"/>
          <w:kern w:val="0"/>
          <w:sz w:val="24"/>
        </w:rPr>
        <w:t>收益率，精确到0.001%，百分号内小数点后第4位四舍五入。国家另有规定的，从其规定。</w:t>
      </w:r>
    </w:p>
    <w:p w14:paraId="4906A310"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基金管理人每个交易日计算基金资产净值、每万份基金已实现收益及</w:t>
      </w:r>
      <w:proofErr w:type="gramStart"/>
      <w:r>
        <w:rPr>
          <w:rFonts w:ascii="宋体" w:hAnsi="宋体" w:hint="eastAsia"/>
          <w:color w:val="000000"/>
          <w:kern w:val="0"/>
          <w:sz w:val="24"/>
        </w:rPr>
        <w:t>7日年化收益率</w:t>
      </w:r>
      <w:proofErr w:type="gramEnd"/>
      <w:r>
        <w:rPr>
          <w:rFonts w:ascii="宋体" w:hAnsi="宋体" w:hint="eastAsia"/>
          <w:color w:val="000000"/>
          <w:kern w:val="0"/>
          <w:sz w:val="24"/>
        </w:rPr>
        <w:t>，并按规定公告。</w:t>
      </w:r>
    </w:p>
    <w:p w14:paraId="1EAA803F"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（2）复核程序</w:t>
      </w:r>
    </w:p>
    <w:p w14:paraId="0E06A5CA"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基金管理人应每交易日对基金资产估值。但基金管理人根据法律法规或《基金合同》的规定暂停估值时除外。基金管理人每个交易日对基金资产估值后，将基金份额净值结果发送基金托管人，经基金托管人复核无误后，由基金管理人对外公布。</w:t>
      </w:r>
    </w:p>
    <w:p w14:paraId="3012F300"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3）根据有关法律法规，基金资产净值计算和基金会计核算的义务由基金管理人承担。本基金的基金会计责任方由基金管理人担任，因此，就与本基金有关的会计问题，如经相关各方在平等基础上充分讨论后，仍无法达成一致意见的，按照基金管理人对基金资产净值的计算结果对外予以公布。</w:t>
      </w:r>
    </w:p>
    <w:p w14:paraId="62011ED0"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2、基金资产估值方法和特殊情形的处理</w:t>
      </w:r>
    </w:p>
    <w:p w14:paraId="60080D44"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（1）估值对象</w:t>
      </w:r>
    </w:p>
    <w:p w14:paraId="2FF1E5A3"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基金所拥有的各类证券和银行存款本息、应收款项、其它投资等资产及负债。</w:t>
      </w:r>
    </w:p>
    <w:p w14:paraId="6E036252"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（2）估值方法</w:t>
      </w:r>
    </w:p>
    <w:p w14:paraId="12DFE844"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本基金估值采用“摊余成本法”，即计价对象以买入成本列示，按照票面利率或协议利率并考虑其买入时的溢价与折价，在剩余存续期内按实际利率法进行摊销，每日计提损益。本基金不采用市场利率和上市交易的债券和票据的市价计算基金资产净值。</w:t>
      </w:r>
    </w:p>
    <w:p w14:paraId="32DE3193"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2）为了避免采用“摊余成本法”计算的基金资产净值与按市场利率和交易市价计算的基金资产净值发生重大偏离，从而对基金份额持有人的利益产生稀释和不公平的结果，基金管理人于每一估值日，采用估值技术，对基金持有的估值对象进行重新评估，即“影子定价”。当“影子定价”确定的基金资产净值与“摊余成本法”计算的基金资产净值的负偏离度达到0.25%时，基金管理人应当在5个交易日内将</w:t>
      </w:r>
      <w:r>
        <w:rPr>
          <w:rFonts w:ascii="宋体" w:hAnsi="宋体" w:hint="eastAsia"/>
          <w:color w:val="000000"/>
          <w:kern w:val="0"/>
          <w:sz w:val="24"/>
        </w:rPr>
        <w:lastRenderedPageBreak/>
        <w:t>负偏离度绝对值调整到0.25%以内。当正偏离度绝对值达到0.5%时，基金管理人应当暂停接受申购并在5个交易日内将正偏离度绝对值调整到0.5%以内。当负偏离度绝对值达到0.5%时，基金管理人应当使用风险准备金或者</w:t>
      </w:r>
      <w:proofErr w:type="gramStart"/>
      <w:r>
        <w:rPr>
          <w:rFonts w:ascii="宋体" w:hAnsi="宋体" w:hint="eastAsia"/>
          <w:color w:val="000000"/>
          <w:kern w:val="0"/>
          <w:sz w:val="24"/>
        </w:rPr>
        <w:t>固有资金</w:t>
      </w:r>
      <w:proofErr w:type="gramEnd"/>
      <w:r>
        <w:rPr>
          <w:rFonts w:ascii="宋体" w:hAnsi="宋体" w:hint="eastAsia"/>
          <w:color w:val="000000"/>
          <w:kern w:val="0"/>
          <w:sz w:val="24"/>
        </w:rPr>
        <w:t>弥补潜在资产损失，将负偏离度绝对值控制在0.5%以内。当负偏离度绝对值连续两个交易日超过0.5%时，基金管理人应当采用公允价值估值方法对持有投资组合的账面价值进行调整，或在履行适当程序后采取暂停接受所有赎回申请并终止基金合同进行财产清算等措施。当前述情形发生时，基金管理人应履行信息披露义务。</w:t>
      </w:r>
    </w:p>
    <w:p w14:paraId="1120A913"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3）如有确凿证据表明按上述方法进行估值不能客观反映其公允价值的，基金管理人可根据具体情况与基金托管人商定后，按最能反映公允价值的价格估值。</w:t>
      </w:r>
    </w:p>
    <w:p w14:paraId="2D02FB1F"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4）相关法律法规以及监管部门有强制规定的，从其规定。如有新增事项，按国家最新规定估值。</w:t>
      </w:r>
    </w:p>
    <w:p w14:paraId="66689719"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557974D2"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根据有关法律法规，基金资产净值、每万份基金已实现收益及</w:t>
      </w:r>
      <w:proofErr w:type="gramStart"/>
      <w:r>
        <w:rPr>
          <w:rFonts w:ascii="宋体" w:hAnsi="宋体" w:hint="eastAsia"/>
          <w:color w:val="000000"/>
          <w:kern w:val="0"/>
          <w:sz w:val="24"/>
        </w:rPr>
        <w:t>7日年化收益率</w:t>
      </w:r>
      <w:proofErr w:type="gramEnd"/>
      <w:r>
        <w:rPr>
          <w:rFonts w:ascii="宋体" w:hAnsi="宋体" w:hint="eastAsia"/>
          <w:color w:val="000000"/>
          <w:kern w:val="0"/>
          <w:sz w:val="24"/>
        </w:rPr>
        <w:t>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各类基金份额的每万份基金已实现收益和</w:t>
      </w:r>
      <w:proofErr w:type="gramStart"/>
      <w:r>
        <w:rPr>
          <w:rFonts w:ascii="宋体" w:hAnsi="宋体" w:hint="eastAsia"/>
          <w:color w:val="000000"/>
          <w:kern w:val="0"/>
          <w:sz w:val="24"/>
        </w:rPr>
        <w:t>7日年化收益率</w:t>
      </w:r>
      <w:proofErr w:type="gramEnd"/>
      <w:r>
        <w:rPr>
          <w:rFonts w:ascii="宋体" w:hAnsi="宋体" w:hint="eastAsia"/>
          <w:color w:val="000000"/>
          <w:kern w:val="0"/>
          <w:sz w:val="24"/>
        </w:rPr>
        <w:t>的计算结果对外予以公布。</w:t>
      </w:r>
    </w:p>
    <w:p w14:paraId="2F8374DB"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（3）特殊情形的处理</w:t>
      </w:r>
    </w:p>
    <w:p w14:paraId="6126C3DB"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基金管理人、基金托管人按估值方法的第3）项进行估值时，所造成的误差不作为基金份额净值错误处理。</w:t>
      </w:r>
    </w:p>
    <w:p w14:paraId="2734A1A5"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由于不可抗力，或证券交易所、登记结算公司发送的数据错误等原因，基金管理人和基金托管人虽然已经采取必要、适当、合理的措施进行检查，但是未能发现该错误而造成的基金份额净值计算错误，基金管理人、基金托管人免除赔偿责任。但基金管理人、基金托管人应积极采取必要的措施消除或减轻由此造成的影响。</w:t>
      </w:r>
    </w:p>
    <w:p w14:paraId="2929FECD"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3、基金份额净值错误的处理方式</w:t>
      </w:r>
    </w:p>
    <w:p w14:paraId="4B20B95E"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基金管理人和基金托管人将采取必要、适当、合理的措施确保基金资产估值的</w:t>
      </w:r>
      <w:r>
        <w:rPr>
          <w:rFonts w:ascii="宋体" w:hAnsi="宋体" w:hint="eastAsia"/>
          <w:color w:val="000000"/>
          <w:kern w:val="0"/>
          <w:sz w:val="24"/>
        </w:rPr>
        <w:lastRenderedPageBreak/>
        <w:t>准确性、及时性。当基金资产的计价导致每万份基金已实现收益小数点后4位或</w:t>
      </w:r>
      <w:proofErr w:type="gramStart"/>
      <w:r>
        <w:rPr>
          <w:rFonts w:ascii="宋体" w:hAnsi="宋体" w:hint="eastAsia"/>
          <w:color w:val="000000"/>
          <w:kern w:val="0"/>
          <w:sz w:val="24"/>
        </w:rPr>
        <w:t>7日年化收益率</w:t>
      </w:r>
      <w:proofErr w:type="gramEnd"/>
      <w:r>
        <w:rPr>
          <w:rFonts w:ascii="宋体" w:hAnsi="宋体" w:hint="eastAsia"/>
          <w:color w:val="000000"/>
          <w:kern w:val="0"/>
          <w:sz w:val="24"/>
        </w:rPr>
        <w:t>百分号内小数点后3位以内发生差错时，视为估值错误。</w:t>
      </w:r>
    </w:p>
    <w:p w14:paraId="41741C25"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基金合同的当事人应按照以下约定处理：</w:t>
      </w:r>
    </w:p>
    <w:p w14:paraId="1E689ED8"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（1）估值错误类型</w:t>
      </w:r>
    </w:p>
    <w:p w14:paraId="2EA2916C"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本基金运作过程中，如果由于基金管理人或基金托管人、或登记机构、或销售机构、或投资人自身的过错造成估值错误，导致其他当事人遭受损失的，过错的责任人应当对由于该估值错误遭受损失当事人(“受损方”)的直接损失按下述“估值错误处理原则”给予赔偿，承担赔偿责任。</w:t>
      </w:r>
    </w:p>
    <w:p w14:paraId="2DB1A49E"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上述估值错误的主要类型包括但不限于：资料申报差错、数据传输差错、数据计算差错、系统故障差错、下达指令差错等。</w:t>
      </w:r>
    </w:p>
    <w:p w14:paraId="130506B6"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（2）估值错误处理原则</w:t>
      </w:r>
    </w:p>
    <w:p w14:paraId="42DF2844"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0618A2BB"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2）估值错误的责任方对有关当事人的直接损失负责，不对间接损失负责，并且仅对估值错误的有关直接当事人负责，不对第三方负责。</w:t>
      </w:r>
    </w:p>
    <w:p w14:paraId="7A27943B"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3）因估值错误而获得不当得利的当事人负有及时返还不当得利的义务。但估值错误责任方仍应对估值错误负责。如果由于获得不当得利的当事人</w:t>
      </w:r>
      <w:proofErr w:type="gramStart"/>
      <w:r>
        <w:rPr>
          <w:rFonts w:ascii="宋体" w:hAnsi="宋体" w:hint="eastAsia"/>
          <w:color w:val="000000"/>
          <w:kern w:val="0"/>
          <w:sz w:val="24"/>
        </w:rPr>
        <w:t>不</w:t>
      </w:r>
      <w:proofErr w:type="gramEnd"/>
      <w:r>
        <w:rPr>
          <w:rFonts w:ascii="宋体" w:hAnsi="宋体" w:hint="eastAsia"/>
          <w:color w:val="000000"/>
          <w:kern w:val="0"/>
          <w:sz w:val="24"/>
        </w:rPr>
        <w:t>返还或不全部返还不当得利造成其他当事人的利益损失(“受损方”)，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5B6E9364"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4）估值错误调整采用尽量恢复至假设未发生估值错误的正确情形的方式。</w:t>
      </w:r>
    </w:p>
    <w:p w14:paraId="3C195C30"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5）估值错误责任方拒绝进行赔偿时，如果因基金管理人过错造成基金资产损失</w:t>
      </w:r>
      <w:r>
        <w:rPr>
          <w:rFonts w:ascii="宋体" w:hAnsi="宋体" w:hint="eastAsia"/>
          <w:color w:val="000000"/>
          <w:kern w:val="0"/>
          <w:sz w:val="24"/>
        </w:rPr>
        <w:lastRenderedPageBreak/>
        <w:t>时，基金托管人应为基金的利益向基金管理人追偿，如果因基金托管人过错造成基金资产损失时，基金管理人应为基金的利益向基金托管人追偿。除基金管理人和托管人之外的第三方造成基金资产的损失，并拒绝进行赔偿时，由基金管理人负责向差错方追偿。</w:t>
      </w:r>
    </w:p>
    <w:p w14:paraId="33F276C1"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6）如果出现估值错误的当事人未按规定对受损方进行赔偿，并且依据法律、行政法规、《基金合同》或其他规定，基金管理人自行或依据法院判决、仲裁裁决对受损方承担了赔偿责任，</w:t>
      </w:r>
      <w:proofErr w:type="gramStart"/>
      <w:r>
        <w:rPr>
          <w:rFonts w:ascii="宋体" w:hAnsi="宋体" w:hint="eastAsia"/>
          <w:color w:val="000000"/>
          <w:kern w:val="0"/>
          <w:sz w:val="24"/>
        </w:rPr>
        <w:t>则基金</w:t>
      </w:r>
      <w:proofErr w:type="gramEnd"/>
      <w:r>
        <w:rPr>
          <w:rFonts w:ascii="宋体" w:hAnsi="宋体" w:hint="eastAsia"/>
          <w:color w:val="000000"/>
          <w:kern w:val="0"/>
          <w:sz w:val="24"/>
        </w:rPr>
        <w:t>管理人有权向出现过错的当事人进行追索，并有权要求其赔偿或补偿由此发生的费用和遭受的损失。</w:t>
      </w:r>
    </w:p>
    <w:p w14:paraId="77C2915E"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7）按法律法规规定的其他原则处理估值错误。</w:t>
      </w:r>
    </w:p>
    <w:p w14:paraId="7E4FB962"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（3）估值错误处理程序</w:t>
      </w:r>
    </w:p>
    <w:p w14:paraId="5387D6B7"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估值错误被发现后，有关的当事人应当及时进行处理，处理的程序如下：</w:t>
      </w:r>
    </w:p>
    <w:p w14:paraId="1D451CE6"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1）查明估值错误发生的原因，列明所有的当事人，并根据估值错误发生的原因确定估值错误的责任方；</w:t>
      </w:r>
    </w:p>
    <w:p w14:paraId="7F72650A"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2）根据估值错误处理原则或当事人协商的方法对因估值错误造成的损失进行评估；</w:t>
      </w:r>
    </w:p>
    <w:p w14:paraId="629B2764"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3）根据估值错误处理原则或当事人协商的方法由估值错误的责任方进行更正和赔偿损失；</w:t>
      </w:r>
    </w:p>
    <w:p w14:paraId="754323C8"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4）根据估值错误处理的方法，需要修改基金登记机构交易数据的，由基金登记机构进行更正，并就估值错误的更正向有关当事人进行确认。</w:t>
      </w:r>
    </w:p>
    <w:p w14:paraId="2BC0A48C"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（4）基金份额净值估值错误处理的方法如下：</w:t>
      </w:r>
    </w:p>
    <w:p w14:paraId="18755020"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1）基金份额净值计算出现错误时，基金管理人应当立即予以纠正，通报基金托管人，并采取合理的措施防止损失进一步扩大。</w:t>
      </w:r>
    </w:p>
    <w:p w14:paraId="678F971E"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2）错误偏差达到基金资产净值的0.25%时，基金管理人应当通报基金托管人并报中国证监会备案；错误偏差达到基金资产净值的0.5%时，基金管理人应当公告。</w:t>
      </w:r>
    </w:p>
    <w:p w14:paraId="0AA53C48"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3）前述内容如法律法规或监管机关另有规定的，从其规定处理。</w:t>
      </w:r>
    </w:p>
    <w:p w14:paraId="00065C98"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4、暂停估值的情形</w:t>
      </w:r>
    </w:p>
    <w:p w14:paraId="0F1ADCCF"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（1）基金投资所涉及的证券交易市场遇法定节假日或因其他原因暂停营业时；</w:t>
      </w:r>
    </w:p>
    <w:p w14:paraId="14959D69"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（2）因不可抗力致使基金管理人、基金托管人无法准确评估基金资产价值时；</w:t>
      </w:r>
    </w:p>
    <w:p w14:paraId="4AC48CB8"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lastRenderedPageBreak/>
        <w:t>（3）</w:t>
      </w:r>
      <w:r>
        <w:rPr>
          <w:rFonts w:ascii="宋体" w:hAnsi="宋体" w:hint="eastAsia"/>
          <w:kern w:val="0"/>
          <w:sz w:val="24"/>
        </w:rPr>
        <w:t>当前一估值日基金资产净值</w:t>
      </w:r>
      <w:r>
        <w:rPr>
          <w:rFonts w:ascii="宋体" w:hAnsi="宋体"/>
          <w:kern w:val="0"/>
          <w:sz w:val="24"/>
        </w:rPr>
        <w:t>50%</w:t>
      </w:r>
      <w:r>
        <w:rPr>
          <w:rFonts w:ascii="宋体" w:hAnsi="宋体" w:hint="eastAsia"/>
          <w:kern w:val="0"/>
          <w:sz w:val="24"/>
        </w:rPr>
        <w:t>以上的资产出现无可参考的活跃市场价格且采用估值技术</w:t>
      </w:r>
      <w:proofErr w:type="gramStart"/>
      <w:r>
        <w:rPr>
          <w:rFonts w:ascii="宋体" w:hAnsi="宋体" w:hint="eastAsia"/>
          <w:kern w:val="0"/>
          <w:sz w:val="24"/>
        </w:rPr>
        <w:t>仍导致</w:t>
      </w:r>
      <w:proofErr w:type="gramEnd"/>
      <w:r>
        <w:rPr>
          <w:rFonts w:ascii="宋体" w:hAnsi="宋体" w:hint="eastAsia"/>
          <w:kern w:val="0"/>
          <w:sz w:val="24"/>
        </w:rPr>
        <w:t>公允价值存在重大不确定性时</w:t>
      </w:r>
      <w:r>
        <w:rPr>
          <w:rFonts w:ascii="宋体" w:hAnsi="宋体"/>
          <w:kern w:val="0"/>
          <w:sz w:val="24"/>
        </w:rPr>
        <w:t xml:space="preserve">, </w:t>
      </w:r>
      <w:r>
        <w:rPr>
          <w:rFonts w:ascii="宋体" w:hAnsi="宋体" w:hint="eastAsia"/>
          <w:kern w:val="0"/>
          <w:sz w:val="24"/>
        </w:rPr>
        <w:t>基金管理人经与基金托管人协商确认的；</w:t>
      </w:r>
    </w:p>
    <w:p w14:paraId="715752BD"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（4）中国证监会和基金合同认定的其它情形。</w:t>
      </w:r>
    </w:p>
    <w:p w14:paraId="3E0E19DE"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5、基金会计制度</w:t>
      </w:r>
    </w:p>
    <w:p w14:paraId="3E032135"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按国家有关部门规定的会计制度执行。</w:t>
      </w:r>
    </w:p>
    <w:p w14:paraId="191DB3A4"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6、基金账册的建立</w:t>
      </w:r>
    </w:p>
    <w:p w14:paraId="238155B3" w14:textId="77777777" w:rsidR="00566744" w:rsidRDefault="00000000">
      <w:pPr>
        <w:spacing w:line="540" w:lineRule="exact"/>
        <w:ind w:firstLineChars="200" w:firstLine="480"/>
        <w:rPr>
          <w:rFonts w:ascii="宋体" w:hAnsi="宋体" w:hint="eastAsia"/>
          <w:color w:val="000000"/>
          <w:kern w:val="0"/>
          <w:sz w:val="24"/>
        </w:rPr>
      </w:pPr>
      <w:r>
        <w:rPr>
          <w:rFonts w:ascii="宋体" w:hAnsi="宋体" w:hint="eastAsia"/>
          <w:color w:val="000000"/>
          <w:kern w:val="0"/>
          <w:sz w:val="24"/>
        </w:rPr>
        <w:t>基金管理人进行基金会计核算并编制基金财务会计报告。基金管理人独立地设置、记录和保管本基金的全套账册。</w:t>
      </w:r>
      <w:proofErr w:type="gramStart"/>
      <w:r>
        <w:rPr>
          <w:rFonts w:ascii="宋体" w:hAnsi="宋体" w:hint="eastAsia"/>
          <w:color w:val="000000"/>
          <w:kern w:val="0"/>
          <w:sz w:val="24"/>
        </w:rPr>
        <w:t>若基金</w:t>
      </w:r>
      <w:proofErr w:type="gramEnd"/>
      <w:r>
        <w:rPr>
          <w:rFonts w:ascii="宋体" w:hAnsi="宋体" w:hint="eastAsia"/>
          <w:color w:val="000000"/>
          <w:kern w:val="0"/>
          <w:sz w:val="24"/>
        </w:rPr>
        <w:t>管理人和基金托管人对会计处理方法存在分歧，应以基金管理人的处理方法为准。若当日核对不符，暂时无法查找到错账的原因而影响到基金资产净值的计算和公告的，以基金管理人的账册为准。</w:t>
      </w:r>
    </w:p>
    <w:p w14:paraId="33C17391" w14:textId="77777777" w:rsidR="00566744" w:rsidRDefault="00000000">
      <w:pPr>
        <w:spacing w:line="540" w:lineRule="exact"/>
        <w:ind w:firstLineChars="200" w:firstLine="480"/>
        <w:rPr>
          <w:rFonts w:ascii="宋体" w:hAnsi="宋体" w:hint="eastAsia"/>
          <w:color w:val="000000"/>
          <w:kern w:val="0"/>
          <w:sz w:val="24"/>
        </w:rPr>
      </w:pPr>
      <w:r>
        <w:rPr>
          <w:rFonts w:ascii="宋体" w:hAnsi="宋体" w:hint="eastAsia"/>
          <w:color w:val="000000"/>
          <w:kern w:val="0"/>
          <w:sz w:val="24"/>
        </w:rPr>
        <w:t>7、基金财务报表与报告的编制和复核</w:t>
      </w:r>
    </w:p>
    <w:p w14:paraId="1F7B5CB7" w14:textId="77777777" w:rsidR="00566744" w:rsidRDefault="00000000">
      <w:pPr>
        <w:spacing w:line="540" w:lineRule="exact"/>
        <w:ind w:firstLineChars="200" w:firstLine="480"/>
        <w:rPr>
          <w:rFonts w:ascii="宋体" w:hAnsi="宋体" w:hint="eastAsia"/>
          <w:color w:val="000000"/>
          <w:kern w:val="0"/>
          <w:sz w:val="24"/>
        </w:rPr>
      </w:pPr>
      <w:r>
        <w:rPr>
          <w:rFonts w:ascii="宋体" w:hAnsi="宋体" w:hint="eastAsia"/>
          <w:color w:val="000000"/>
          <w:kern w:val="0"/>
          <w:sz w:val="24"/>
        </w:rPr>
        <w:t>（1）财务报表的编制</w:t>
      </w:r>
    </w:p>
    <w:p w14:paraId="5AA0A68E" w14:textId="77777777" w:rsidR="00566744" w:rsidRDefault="00000000">
      <w:pPr>
        <w:spacing w:line="540" w:lineRule="exact"/>
        <w:ind w:firstLineChars="200" w:firstLine="480"/>
        <w:rPr>
          <w:rFonts w:ascii="宋体" w:hAnsi="宋体" w:hint="eastAsia"/>
          <w:color w:val="000000"/>
          <w:kern w:val="0"/>
          <w:sz w:val="24"/>
        </w:rPr>
      </w:pPr>
      <w:r>
        <w:rPr>
          <w:rFonts w:ascii="宋体" w:hAnsi="宋体" w:hint="eastAsia"/>
          <w:color w:val="000000"/>
          <w:kern w:val="0"/>
          <w:sz w:val="24"/>
        </w:rPr>
        <w:t>基金财务报表由基金管理人编制，基金托管人复核。</w:t>
      </w:r>
    </w:p>
    <w:p w14:paraId="602279C3" w14:textId="77777777" w:rsidR="00566744" w:rsidRDefault="00000000">
      <w:pPr>
        <w:spacing w:line="540" w:lineRule="exact"/>
        <w:ind w:firstLineChars="200" w:firstLine="480"/>
        <w:rPr>
          <w:rFonts w:ascii="宋体" w:hAnsi="宋体" w:hint="eastAsia"/>
          <w:color w:val="000000"/>
          <w:kern w:val="0"/>
          <w:sz w:val="24"/>
        </w:rPr>
      </w:pPr>
      <w:r>
        <w:rPr>
          <w:rFonts w:ascii="宋体" w:hAnsi="宋体" w:hint="eastAsia"/>
          <w:color w:val="000000"/>
          <w:kern w:val="0"/>
          <w:sz w:val="24"/>
        </w:rPr>
        <w:t>（2）报表复核</w:t>
      </w:r>
    </w:p>
    <w:p w14:paraId="25A6286D" w14:textId="77777777" w:rsidR="00566744" w:rsidRDefault="00000000">
      <w:pPr>
        <w:spacing w:line="540" w:lineRule="exact"/>
        <w:ind w:firstLineChars="200" w:firstLine="480"/>
        <w:rPr>
          <w:rFonts w:ascii="宋体" w:hAnsi="宋体" w:hint="eastAsia"/>
          <w:color w:val="000000"/>
          <w:kern w:val="0"/>
          <w:sz w:val="24"/>
        </w:rPr>
      </w:pPr>
      <w:r>
        <w:rPr>
          <w:rFonts w:ascii="宋体" w:hAnsi="宋体" w:hint="eastAsia"/>
          <w:color w:val="000000"/>
          <w:kern w:val="0"/>
          <w:sz w:val="24"/>
        </w:rPr>
        <w:t>基金托管人在收到基金管理人编制的基金财务报表后，进行独立的复核。核对不符时，应及时通知基金管理人共同查出原因，进行调整，直至双方数据完全一致。</w:t>
      </w:r>
    </w:p>
    <w:p w14:paraId="7269975D" w14:textId="77777777" w:rsidR="00566744" w:rsidRDefault="00000000">
      <w:pPr>
        <w:spacing w:line="540" w:lineRule="exact"/>
        <w:ind w:firstLineChars="200" w:firstLine="480"/>
        <w:rPr>
          <w:rFonts w:ascii="宋体" w:hAnsi="宋体" w:hint="eastAsia"/>
          <w:color w:val="000000"/>
          <w:kern w:val="0"/>
          <w:sz w:val="24"/>
        </w:rPr>
      </w:pPr>
      <w:r>
        <w:rPr>
          <w:rFonts w:ascii="宋体" w:hAnsi="宋体"/>
          <w:color w:val="000000"/>
          <w:kern w:val="0"/>
          <w:sz w:val="24"/>
        </w:rPr>
        <w:t>(</w:t>
      </w:r>
      <w:r>
        <w:rPr>
          <w:rFonts w:ascii="宋体" w:hAnsi="宋体" w:hint="eastAsia"/>
          <w:color w:val="000000"/>
          <w:kern w:val="0"/>
          <w:sz w:val="24"/>
        </w:rPr>
        <w:t>3)财务报表的编制与复核时间安排</w:t>
      </w:r>
    </w:p>
    <w:p w14:paraId="57E0CCB6" w14:textId="77777777" w:rsidR="00566744" w:rsidRDefault="00000000">
      <w:pPr>
        <w:spacing w:line="540" w:lineRule="exact"/>
        <w:ind w:firstLineChars="200" w:firstLine="480"/>
        <w:rPr>
          <w:rFonts w:ascii="宋体" w:hAnsi="宋体" w:hint="eastAsia"/>
          <w:color w:val="000000"/>
          <w:kern w:val="0"/>
          <w:sz w:val="24"/>
        </w:rPr>
      </w:pPr>
      <w:r>
        <w:rPr>
          <w:rFonts w:ascii="宋体" w:hAnsi="宋体" w:hint="eastAsia"/>
          <w:color w:val="000000"/>
          <w:kern w:val="0"/>
          <w:sz w:val="24"/>
        </w:rPr>
        <w:t>1）报表的编制</w:t>
      </w:r>
    </w:p>
    <w:p w14:paraId="661A3AC1" w14:textId="77777777" w:rsidR="00566744" w:rsidRDefault="00000000">
      <w:pPr>
        <w:spacing w:line="540" w:lineRule="exact"/>
        <w:ind w:firstLineChars="200" w:firstLine="480"/>
        <w:rPr>
          <w:rFonts w:ascii="宋体" w:hAnsi="宋体" w:hint="eastAsia"/>
          <w:color w:val="000000"/>
          <w:kern w:val="0"/>
          <w:sz w:val="24"/>
        </w:rPr>
      </w:pPr>
      <w:r>
        <w:rPr>
          <w:rFonts w:ascii="宋体" w:hAnsi="宋体" w:hint="eastAsia"/>
          <w:color w:val="000000"/>
          <w:kern w:val="0"/>
          <w:sz w:val="24"/>
        </w:rPr>
        <w:t>基金管理人应当在每月结束后5个工作日内完成月度报表的编制；在每个季度结束之日起15个工作日内完成基金季度报告的编制；在上半年结束之日起两个月内完成基金中期报告的编制；在每年结束之日起三个月内完成基金年度报告的编制。基金年度报告的财务会计报告应当经过审计。基金合同生效不足两个月的，基金管理人可以不编制当期季度报告、中期报告或者年度报告。</w:t>
      </w:r>
    </w:p>
    <w:p w14:paraId="174CF9BF" w14:textId="77777777" w:rsidR="00566744" w:rsidRDefault="00000000">
      <w:pPr>
        <w:spacing w:line="540" w:lineRule="exact"/>
        <w:ind w:firstLineChars="200" w:firstLine="480"/>
        <w:rPr>
          <w:rFonts w:ascii="宋体" w:hAnsi="宋体" w:hint="eastAsia"/>
          <w:color w:val="000000"/>
          <w:kern w:val="0"/>
          <w:sz w:val="24"/>
        </w:rPr>
      </w:pPr>
      <w:r>
        <w:rPr>
          <w:rFonts w:ascii="宋体" w:hAnsi="宋体" w:hint="eastAsia"/>
          <w:color w:val="000000"/>
          <w:kern w:val="0"/>
          <w:sz w:val="24"/>
        </w:rPr>
        <w:lastRenderedPageBreak/>
        <w:t>2）报表的复核</w:t>
      </w:r>
    </w:p>
    <w:p w14:paraId="7F15E2FC"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基金管理人应及时完成报表编制，将有关报表提供基金托管人复核；基金托管人在复核过程中，发现双方的报表存在不符时，基金管理人和基金托管人应共同查明原因，进行调整，调整以国家有关规定为准。</w:t>
      </w:r>
    </w:p>
    <w:p w14:paraId="05B1CC25"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基金管理人应留足充分的时间，便于基金托管人复核相关报表及报告。</w:t>
      </w:r>
    </w:p>
    <w:p w14:paraId="10F15ED1" w14:textId="77777777" w:rsidR="00566744" w:rsidRDefault="00000000">
      <w:pPr>
        <w:spacing w:line="360" w:lineRule="auto"/>
        <w:ind w:firstLineChars="200" w:firstLine="480"/>
        <w:rPr>
          <w:rFonts w:ascii="宋体" w:hAnsi="宋体" w:hint="eastAsia"/>
          <w:color w:val="000000"/>
          <w:kern w:val="0"/>
          <w:sz w:val="24"/>
        </w:rPr>
      </w:pPr>
      <w:bookmarkStart w:id="148" w:name="_Hlt88821719"/>
      <w:bookmarkEnd w:id="148"/>
      <w:r>
        <w:rPr>
          <w:rFonts w:ascii="宋体" w:hAnsi="宋体" w:hint="eastAsia"/>
          <w:color w:val="000000"/>
          <w:kern w:val="0"/>
          <w:sz w:val="24"/>
        </w:rPr>
        <w:t>（六）基金份额持有人名册的登记与保管</w:t>
      </w:r>
    </w:p>
    <w:p w14:paraId="16CF3452" w14:textId="77777777" w:rsidR="00566744" w:rsidRDefault="00000000">
      <w:pPr>
        <w:spacing w:line="360" w:lineRule="auto"/>
        <w:ind w:firstLineChars="200" w:firstLine="480"/>
        <w:rPr>
          <w:rFonts w:ascii="宋体" w:hAnsi="宋体" w:hint="eastAsia"/>
          <w:sz w:val="24"/>
        </w:rPr>
      </w:pPr>
      <w:bookmarkStart w:id="149" w:name="_Hlt112616834"/>
      <w:bookmarkEnd w:id="149"/>
      <w:r>
        <w:rPr>
          <w:rFonts w:ascii="宋体" w:hAnsi="宋体" w:hint="eastAsia"/>
          <w:sz w:val="24"/>
        </w:rPr>
        <w:t>基金份额持有人名册至少应包括基金份额持有人的名称和持有的基金份额。基金份额持有人名册由基金登记机构根据基金管理人的指令编制和保管，基金管理人应定期向基金托管人提供基金份额持有人名册，基金托管人得到基金管理人提供的持有人名册后与基金管理人分别进行保管。保管方式可以采用电子或文档的形式，保存期不少于15年。如不能妥善保管，则按相关法规承担责任。法律法规另有规定或有权机关另有要求的除外。</w:t>
      </w:r>
    </w:p>
    <w:p w14:paraId="2616F0B4"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sz w:val="24"/>
        </w:rPr>
        <w:t>基金托管人因编制基金定期报告等合理原因要求基金管理人提供相关资料时，基金管理人应将有关资料送交基金托管人，不得无故拒绝或延误提供，并保证其真实性、准确性和完整性。基金托管人不得将所保管的基金份额持有人名册用于基金托管业务以外的其他用途，并应遵守保密义务。</w:t>
      </w:r>
    </w:p>
    <w:p w14:paraId="591CE4BC"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（七）争议解决方式</w:t>
      </w:r>
    </w:p>
    <w:p w14:paraId="447FD4BE" w14:textId="77777777" w:rsidR="00566744" w:rsidRDefault="00000000">
      <w:pPr>
        <w:spacing w:line="360" w:lineRule="auto"/>
        <w:ind w:firstLineChars="200" w:firstLine="480"/>
        <w:rPr>
          <w:rFonts w:ascii="宋体" w:hAnsi="宋体" w:hint="eastAsia"/>
          <w:sz w:val="24"/>
        </w:rPr>
      </w:pPr>
      <w:r>
        <w:rPr>
          <w:rFonts w:ascii="宋体" w:hAnsi="宋体" w:hint="eastAsia"/>
          <w:sz w:val="24"/>
        </w:rPr>
        <w:t>各方当事人同意，因基金合同而产生的或与基金合同有关的一切争议，如经友好协商未能解决的，任何一方均有权将争议提交华南国际经济贸易仲裁委员会，按照该会届时有效的仲裁规则进行仲裁。仲裁地点为深圳市。仲裁裁决是终局的，并对相关各方当事人均有约束力，仲裁费用和律师费用由败诉方承担。</w:t>
      </w:r>
    </w:p>
    <w:p w14:paraId="77114BB2" w14:textId="77777777" w:rsidR="00566744" w:rsidRDefault="00000000">
      <w:pPr>
        <w:spacing w:line="360" w:lineRule="auto"/>
        <w:ind w:firstLineChars="200" w:firstLine="480"/>
        <w:rPr>
          <w:rFonts w:ascii="宋体" w:hAnsi="宋体" w:hint="eastAsia"/>
          <w:sz w:val="24"/>
        </w:rPr>
      </w:pPr>
      <w:r>
        <w:rPr>
          <w:rFonts w:ascii="宋体" w:hAnsi="宋体" w:hint="eastAsia"/>
          <w:sz w:val="24"/>
        </w:rPr>
        <w:t>争议处理期间，双方当事人应恪守基金管理人和基金托管人职责，各自继续忠实、勤勉、尽责地履行基金合同和本托管协议规定的义务，维护基金份额持有人的合法权益。</w:t>
      </w:r>
    </w:p>
    <w:p w14:paraId="6D91E139"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sz w:val="24"/>
        </w:rPr>
        <w:t>本协议受中国法律管辖。</w:t>
      </w:r>
    </w:p>
    <w:p w14:paraId="107A47C3"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（八）托管协议的变更、终止与基金财产的清算</w:t>
      </w:r>
    </w:p>
    <w:p w14:paraId="3E1FC7A7"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1、托管协议的变更程序</w:t>
      </w:r>
    </w:p>
    <w:p w14:paraId="643B13E7"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D0D0D"/>
          <w:kern w:val="0"/>
          <w:sz w:val="24"/>
        </w:rPr>
        <w:lastRenderedPageBreak/>
        <w:t>本协议双方当事人经协商一致，可以对协议进行修改。修改后的新协议，其内容不得与基金合同的规定有任何冲突。基金托管协议的变更报中国备案。</w:t>
      </w:r>
    </w:p>
    <w:p w14:paraId="497774A3"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2、基金托管协议终止出现的情形</w:t>
      </w:r>
    </w:p>
    <w:p w14:paraId="06C26464"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（1）基金合同终止；</w:t>
      </w:r>
    </w:p>
    <w:p w14:paraId="6A91F544"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（2）基金托管人解散、依法被撤销、破产或由其他基金托管人接管基金资产；</w:t>
      </w:r>
    </w:p>
    <w:p w14:paraId="7C7B2098"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（3）基金管理人解散、依法被撤销、破产或由其他基金管理人接管基金管理权；</w:t>
      </w:r>
    </w:p>
    <w:p w14:paraId="1A9E60D4"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（4）发生法律法规或基金合同规定的终止事项。</w:t>
      </w:r>
    </w:p>
    <w:p w14:paraId="48F5775D"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3、基金财产的清算</w:t>
      </w:r>
    </w:p>
    <w:p w14:paraId="0BF0F62B" w14:textId="77777777" w:rsidR="00566744" w:rsidRDefault="00000000">
      <w:pPr>
        <w:spacing w:line="360" w:lineRule="auto"/>
        <w:ind w:firstLineChars="200" w:firstLine="480"/>
        <w:rPr>
          <w:rFonts w:ascii="宋体" w:hAnsi="宋体" w:hint="eastAsia"/>
          <w:color w:val="0D0D0D"/>
          <w:kern w:val="0"/>
          <w:sz w:val="24"/>
        </w:rPr>
      </w:pPr>
      <w:r>
        <w:rPr>
          <w:rFonts w:ascii="宋体" w:hAnsi="宋体" w:hint="eastAsia"/>
          <w:color w:val="0D0D0D"/>
          <w:kern w:val="0"/>
          <w:sz w:val="24"/>
        </w:rPr>
        <w:t>（1）基金财产清算组：</w:t>
      </w:r>
    </w:p>
    <w:p w14:paraId="362078C2" w14:textId="77777777" w:rsidR="00566744" w:rsidRDefault="00000000">
      <w:pPr>
        <w:spacing w:line="360" w:lineRule="auto"/>
        <w:ind w:firstLineChars="200" w:firstLine="480"/>
        <w:rPr>
          <w:rFonts w:ascii="宋体" w:hAnsi="宋体" w:hint="eastAsia"/>
          <w:kern w:val="0"/>
          <w:sz w:val="24"/>
        </w:rPr>
      </w:pPr>
      <w:r>
        <w:rPr>
          <w:rFonts w:ascii="宋体" w:hAnsi="宋体" w:hint="eastAsia"/>
          <w:kern w:val="0"/>
          <w:sz w:val="24"/>
        </w:rPr>
        <w:t>1）自出现基金合同终止事由之日起30个工作日内成立清算组，基金管理人组织基金财产清算组在中国证监会的监督下进行基金清算。</w:t>
      </w:r>
    </w:p>
    <w:p w14:paraId="16C5799B" w14:textId="77777777" w:rsidR="00566744" w:rsidRDefault="00000000">
      <w:pPr>
        <w:spacing w:line="360" w:lineRule="auto"/>
        <w:ind w:firstLineChars="200" w:firstLine="480"/>
        <w:rPr>
          <w:rFonts w:ascii="宋体" w:hAnsi="宋体" w:hint="eastAsia"/>
          <w:kern w:val="0"/>
          <w:sz w:val="24"/>
        </w:rPr>
      </w:pPr>
      <w:r>
        <w:rPr>
          <w:rFonts w:ascii="宋体" w:hAnsi="宋体" w:hint="eastAsia"/>
          <w:kern w:val="0"/>
          <w:sz w:val="24"/>
        </w:rPr>
        <w:t>2）基金财产清算组成员由基金管理人、基金托管人、具有证券、期货相关业务资格的注册会计师、律师以及中国证监会指定的人员组成。基金财产清算组可以聘用必要的工作人员。</w:t>
      </w:r>
    </w:p>
    <w:p w14:paraId="30D6DB98" w14:textId="77777777" w:rsidR="00566744" w:rsidRDefault="00000000">
      <w:pPr>
        <w:spacing w:line="360" w:lineRule="auto"/>
        <w:ind w:firstLineChars="200" w:firstLine="480"/>
        <w:rPr>
          <w:rFonts w:ascii="宋体" w:hAnsi="宋体" w:hint="eastAsia"/>
          <w:kern w:val="0"/>
          <w:sz w:val="24"/>
        </w:rPr>
      </w:pPr>
      <w:r>
        <w:rPr>
          <w:rFonts w:ascii="宋体" w:hAnsi="宋体" w:hint="eastAsia"/>
          <w:kern w:val="0"/>
          <w:sz w:val="24"/>
        </w:rPr>
        <w:t>3）在基金财产清算过程中，基金管理人和基金托管人应各自履行职责，继续忠实、勤勉、尽责地履行基金合同和本托管协议规定的义务，维护基金份额持有人的合法权益。</w:t>
      </w:r>
    </w:p>
    <w:p w14:paraId="3DB3171B" w14:textId="77777777" w:rsidR="00566744" w:rsidRDefault="00000000">
      <w:pPr>
        <w:spacing w:line="360" w:lineRule="auto"/>
        <w:ind w:firstLineChars="200" w:firstLine="480"/>
        <w:rPr>
          <w:rFonts w:ascii="宋体" w:hAnsi="宋体" w:hint="eastAsia"/>
          <w:color w:val="0D0D0D"/>
          <w:kern w:val="0"/>
          <w:sz w:val="24"/>
        </w:rPr>
      </w:pPr>
      <w:r>
        <w:rPr>
          <w:rFonts w:ascii="宋体" w:hAnsi="宋体" w:hint="eastAsia"/>
          <w:kern w:val="0"/>
          <w:sz w:val="24"/>
        </w:rPr>
        <w:t>4）基金财产清算组负责基金财产的保管、清理、估价、变现和分配。基金财产清算组可以依法进行必要的民事活动。</w:t>
      </w:r>
    </w:p>
    <w:p w14:paraId="1A8A4C30" w14:textId="77777777" w:rsidR="00566744" w:rsidRDefault="00000000">
      <w:pPr>
        <w:spacing w:line="360" w:lineRule="auto"/>
        <w:ind w:firstLineChars="200" w:firstLine="480"/>
        <w:rPr>
          <w:rFonts w:ascii="宋体" w:hAnsi="宋体" w:hint="eastAsia"/>
          <w:color w:val="0D0D0D"/>
          <w:kern w:val="0"/>
          <w:sz w:val="24"/>
        </w:rPr>
      </w:pPr>
      <w:r>
        <w:rPr>
          <w:rFonts w:ascii="宋体" w:hAnsi="宋体" w:hint="eastAsia"/>
          <w:color w:val="0D0D0D"/>
          <w:kern w:val="0"/>
          <w:sz w:val="24"/>
        </w:rPr>
        <w:t>（2）基金财产清算程序</w:t>
      </w:r>
    </w:p>
    <w:p w14:paraId="46999E0F" w14:textId="77777777" w:rsidR="00566744" w:rsidRDefault="00000000">
      <w:pPr>
        <w:spacing w:line="360" w:lineRule="auto"/>
        <w:ind w:firstLineChars="200" w:firstLine="480"/>
        <w:rPr>
          <w:rFonts w:ascii="宋体" w:hAnsi="宋体" w:hint="eastAsia"/>
          <w:color w:val="0D0D0D"/>
          <w:kern w:val="0"/>
          <w:sz w:val="24"/>
        </w:rPr>
      </w:pPr>
      <w:r>
        <w:rPr>
          <w:rFonts w:ascii="宋体" w:hAnsi="宋体" w:hint="eastAsia"/>
          <w:color w:val="0D0D0D"/>
          <w:kern w:val="0"/>
          <w:sz w:val="24"/>
        </w:rPr>
        <w:t>基金合同终止，应当按法律法规和基金合同的有关规定对基金财产进行清算。基金财产清算程序主要包括：</w:t>
      </w:r>
    </w:p>
    <w:p w14:paraId="0E519060" w14:textId="77777777" w:rsidR="00566744" w:rsidRDefault="00000000">
      <w:pPr>
        <w:spacing w:line="360" w:lineRule="auto"/>
        <w:ind w:firstLineChars="200" w:firstLine="480"/>
        <w:rPr>
          <w:rFonts w:ascii="宋体" w:hAnsi="宋体" w:hint="eastAsia"/>
          <w:color w:val="0D0D0D"/>
          <w:kern w:val="0"/>
          <w:sz w:val="24"/>
        </w:rPr>
      </w:pPr>
      <w:r>
        <w:rPr>
          <w:rFonts w:ascii="宋体" w:hAnsi="宋体" w:hint="eastAsia"/>
          <w:color w:val="0D0D0D"/>
          <w:kern w:val="0"/>
          <w:sz w:val="24"/>
        </w:rPr>
        <w:t>（1）《基金合同》终止情形出现时，由基金财产清算小组统一接管基金；</w:t>
      </w:r>
    </w:p>
    <w:p w14:paraId="6A1C6E11" w14:textId="77777777" w:rsidR="00566744" w:rsidRDefault="00000000">
      <w:pPr>
        <w:spacing w:line="360" w:lineRule="auto"/>
        <w:ind w:firstLineChars="200" w:firstLine="480"/>
        <w:rPr>
          <w:rFonts w:ascii="宋体" w:hAnsi="宋体" w:hint="eastAsia"/>
          <w:color w:val="0D0D0D"/>
          <w:kern w:val="0"/>
          <w:sz w:val="24"/>
        </w:rPr>
      </w:pPr>
      <w:r>
        <w:rPr>
          <w:rFonts w:ascii="宋体" w:hAnsi="宋体" w:hint="eastAsia"/>
          <w:color w:val="0D0D0D"/>
          <w:kern w:val="0"/>
          <w:sz w:val="24"/>
        </w:rPr>
        <w:t>（2）对基金财产和债权债务进行清理和确认；</w:t>
      </w:r>
    </w:p>
    <w:p w14:paraId="5FB76F0C" w14:textId="77777777" w:rsidR="00566744" w:rsidRDefault="00000000">
      <w:pPr>
        <w:spacing w:line="360" w:lineRule="auto"/>
        <w:ind w:firstLineChars="200" w:firstLine="480"/>
        <w:rPr>
          <w:rFonts w:ascii="宋体" w:hAnsi="宋体" w:hint="eastAsia"/>
          <w:color w:val="0D0D0D"/>
          <w:kern w:val="0"/>
          <w:sz w:val="24"/>
        </w:rPr>
      </w:pPr>
      <w:r>
        <w:rPr>
          <w:rFonts w:ascii="宋体" w:hAnsi="宋体" w:hint="eastAsia"/>
          <w:color w:val="0D0D0D"/>
          <w:kern w:val="0"/>
          <w:sz w:val="24"/>
        </w:rPr>
        <w:t>（3）对基金财产进行估值和变现；</w:t>
      </w:r>
    </w:p>
    <w:p w14:paraId="1B2BF647" w14:textId="77777777" w:rsidR="00566744" w:rsidRDefault="00000000">
      <w:pPr>
        <w:spacing w:line="360" w:lineRule="auto"/>
        <w:ind w:firstLineChars="200" w:firstLine="480"/>
        <w:rPr>
          <w:rFonts w:ascii="宋体" w:hAnsi="宋体" w:hint="eastAsia"/>
          <w:color w:val="0D0D0D"/>
          <w:kern w:val="0"/>
          <w:sz w:val="24"/>
        </w:rPr>
      </w:pPr>
      <w:r>
        <w:rPr>
          <w:rFonts w:ascii="宋体" w:hAnsi="宋体" w:hint="eastAsia"/>
          <w:color w:val="0D0D0D"/>
          <w:kern w:val="0"/>
          <w:sz w:val="24"/>
        </w:rPr>
        <w:t>（4）制作清算报告；</w:t>
      </w:r>
    </w:p>
    <w:p w14:paraId="0093D03F" w14:textId="77777777" w:rsidR="00566744" w:rsidRDefault="00000000">
      <w:pPr>
        <w:spacing w:line="360" w:lineRule="auto"/>
        <w:ind w:firstLineChars="200" w:firstLine="480"/>
        <w:rPr>
          <w:rFonts w:ascii="宋体" w:hAnsi="宋体" w:hint="eastAsia"/>
          <w:color w:val="0D0D0D"/>
          <w:kern w:val="0"/>
          <w:sz w:val="24"/>
        </w:rPr>
      </w:pPr>
      <w:r>
        <w:rPr>
          <w:rFonts w:ascii="宋体" w:hAnsi="宋体" w:hint="eastAsia"/>
          <w:color w:val="0D0D0D"/>
          <w:kern w:val="0"/>
          <w:sz w:val="24"/>
        </w:rPr>
        <w:t>（5）聘请具有证券、期货相关业务资格的会计师事务所对清算报告进行外部审计，聘请律师事务所对清算报告出具法律意见书；</w:t>
      </w:r>
    </w:p>
    <w:p w14:paraId="41A8BB2E" w14:textId="77777777" w:rsidR="00566744" w:rsidRDefault="00000000">
      <w:pPr>
        <w:spacing w:line="360" w:lineRule="auto"/>
        <w:ind w:firstLineChars="200" w:firstLine="480"/>
        <w:rPr>
          <w:rFonts w:ascii="宋体" w:hAnsi="宋体" w:hint="eastAsia"/>
          <w:color w:val="0D0D0D"/>
          <w:kern w:val="0"/>
          <w:sz w:val="24"/>
        </w:rPr>
      </w:pPr>
      <w:r>
        <w:rPr>
          <w:rFonts w:ascii="宋体" w:hAnsi="宋体" w:hint="eastAsia"/>
          <w:color w:val="0D0D0D"/>
          <w:kern w:val="0"/>
          <w:sz w:val="24"/>
        </w:rPr>
        <w:lastRenderedPageBreak/>
        <w:t>（6）将清算报告报中国证监会备案并公告；</w:t>
      </w:r>
    </w:p>
    <w:p w14:paraId="0121B9B2" w14:textId="77777777" w:rsidR="00566744" w:rsidRDefault="00000000">
      <w:pPr>
        <w:spacing w:line="360" w:lineRule="auto"/>
        <w:ind w:firstLineChars="200" w:firstLine="480"/>
        <w:rPr>
          <w:rFonts w:ascii="宋体" w:hAnsi="宋体" w:hint="eastAsia"/>
          <w:color w:val="0D0D0D"/>
          <w:kern w:val="0"/>
          <w:sz w:val="24"/>
        </w:rPr>
      </w:pPr>
      <w:r>
        <w:rPr>
          <w:rFonts w:ascii="宋体" w:hAnsi="宋体" w:hint="eastAsia"/>
          <w:color w:val="0D0D0D"/>
          <w:kern w:val="0"/>
          <w:sz w:val="24"/>
        </w:rPr>
        <w:t>（7）对基金剩余财产进行分配。</w:t>
      </w:r>
    </w:p>
    <w:p w14:paraId="05DD8269" w14:textId="77777777" w:rsidR="00566744" w:rsidRDefault="00000000">
      <w:pPr>
        <w:spacing w:line="360" w:lineRule="auto"/>
        <w:ind w:firstLineChars="200" w:firstLine="480"/>
        <w:rPr>
          <w:rFonts w:ascii="宋体" w:hAnsi="宋体" w:hint="eastAsia"/>
          <w:color w:val="0D0D0D"/>
          <w:kern w:val="0"/>
          <w:sz w:val="24"/>
        </w:rPr>
      </w:pPr>
      <w:r>
        <w:rPr>
          <w:rFonts w:ascii="宋体" w:hAnsi="宋体" w:hint="eastAsia"/>
          <w:color w:val="0D0D0D"/>
          <w:kern w:val="0"/>
          <w:sz w:val="24"/>
        </w:rPr>
        <w:t>基金财产清算的期限为6个月，但因本基金所持证券的流动性受到限制而不能及时变现的，清算期限相应顺延。</w:t>
      </w:r>
    </w:p>
    <w:p w14:paraId="1DE0B816" w14:textId="77777777" w:rsidR="00566744" w:rsidRDefault="00000000">
      <w:pPr>
        <w:spacing w:line="360" w:lineRule="auto"/>
        <w:ind w:firstLineChars="200" w:firstLine="480"/>
        <w:rPr>
          <w:rFonts w:ascii="宋体" w:hAnsi="宋体" w:hint="eastAsia"/>
          <w:color w:val="0D0D0D"/>
          <w:kern w:val="0"/>
          <w:sz w:val="24"/>
        </w:rPr>
      </w:pPr>
      <w:r>
        <w:rPr>
          <w:rFonts w:ascii="宋体" w:hAnsi="宋体" w:hint="eastAsia"/>
          <w:color w:val="0D0D0D"/>
          <w:kern w:val="0"/>
          <w:sz w:val="24"/>
        </w:rPr>
        <w:t>（3）清算费用</w:t>
      </w:r>
    </w:p>
    <w:p w14:paraId="5102DCF8" w14:textId="77777777" w:rsidR="00566744" w:rsidRDefault="00000000">
      <w:pPr>
        <w:spacing w:line="360" w:lineRule="auto"/>
        <w:ind w:firstLineChars="200" w:firstLine="480"/>
        <w:rPr>
          <w:rFonts w:ascii="宋体" w:hAnsi="宋体" w:hint="eastAsia"/>
          <w:color w:val="0D0D0D"/>
          <w:kern w:val="0"/>
          <w:sz w:val="24"/>
        </w:rPr>
      </w:pPr>
      <w:r>
        <w:rPr>
          <w:rFonts w:ascii="宋体" w:hAnsi="宋体" w:hint="eastAsia"/>
          <w:color w:val="0D0D0D"/>
          <w:kern w:val="0"/>
          <w:sz w:val="24"/>
        </w:rPr>
        <w:t>清算费用是指基金财产清算组在进行基金财产清算过程中发生的所有合理费用，清算费用由基金财产清算组优先从基金剩余财产中支付。</w:t>
      </w:r>
    </w:p>
    <w:p w14:paraId="75E400C0" w14:textId="77777777" w:rsidR="00566744" w:rsidRDefault="00000000">
      <w:pPr>
        <w:spacing w:line="360" w:lineRule="auto"/>
        <w:ind w:firstLineChars="200" w:firstLine="480"/>
        <w:rPr>
          <w:rFonts w:ascii="宋体" w:hAnsi="宋体" w:hint="eastAsia"/>
          <w:color w:val="0D0D0D"/>
          <w:kern w:val="0"/>
          <w:sz w:val="24"/>
        </w:rPr>
      </w:pPr>
      <w:r>
        <w:rPr>
          <w:rFonts w:ascii="宋体" w:hAnsi="宋体" w:hint="eastAsia"/>
          <w:color w:val="0D0D0D"/>
          <w:kern w:val="0"/>
          <w:sz w:val="24"/>
        </w:rPr>
        <w:t>（</w:t>
      </w:r>
      <w:r>
        <w:rPr>
          <w:rFonts w:ascii="宋体" w:hAnsi="宋体"/>
          <w:color w:val="0D0D0D"/>
          <w:kern w:val="0"/>
          <w:sz w:val="24"/>
        </w:rPr>
        <w:t>4</w:t>
      </w:r>
      <w:r>
        <w:rPr>
          <w:rFonts w:ascii="宋体" w:hAnsi="宋体" w:hint="eastAsia"/>
          <w:color w:val="0D0D0D"/>
          <w:kern w:val="0"/>
          <w:sz w:val="24"/>
        </w:rPr>
        <w:t>）基金财产按下列顺序清偿：</w:t>
      </w:r>
    </w:p>
    <w:p w14:paraId="46FDC86D" w14:textId="77777777" w:rsidR="00566744" w:rsidRDefault="00000000">
      <w:pPr>
        <w:spacing w:line="360" w:lineRule="auto"/>
        <w:ind w:firstLineChars="200" w:firstLine="480"/>
        <w:rPr>
          <w:rFonts w:ascii="宋体" w:hAnsi="宋体" w:hint="eastAsia"/>
          <w:color w:val="0D0D0D"/>
          <w:kern w:val="0"/>
          <w:sz w:val="24"/>
        </w:rPr>
      </w:pPr>
      <w:r>
        <w:rPr>
          <w:rFonts w:ascii="宋体" w:hAnsi="宋体" w:hint="eastAsia"/>
          <w:color w:val="0D0D0D"/>
          <w:kern w:val="0"/>
          <w:sz w:val="24"/>
        </w:rPr>
        <w:t>1）支付清算费用；</w:t>
      </w:r>
    </w:p>
    <w:p w14:paraId="10FECF0C" w14:textId="77777777" w:rsidR="00566744" w:rsidRDefault="00000000">
      <w:pPr>
        <w:spacing w:line="360" w:lineRule="auto"/>
        <w:ind w:firstLineChars="200" w:firstLine="480"/>
        <w:rPr>
          <w:rFonts w:ascii="宋体" w:hAnsi="宋体" w:hint="eastAsia"/>
          <w:color w:val="0D0D0D"/>
          <w:kern w:val="0"/>
          <w:sz w:val="24"/>
        </w:rPr>
      </w:pPr>
      <w:r>
        <w:rPr>
          <w:rFonts w:ascii="宋体" w:hAnsi="宋体" w:hint="eastAsia"/>
          <w:color w:val="0D0D0D"/>
          <w:kern w:val="0"/>
          <w:sz w:val="24"/>
        </w:rPr>
        <w:t>2）交纳所欠税款；</w:t>
      </w:r>
    </w:p>
    <w:p w14:paraId="1A59C3D9" w14:textId="77777777" w:rsidR="00566744" w:rsidRDefault="00000000">
      <w:pPr>
        <w:spacing w:line="360" w:lineRule="auto"/>
        <w:ind w:firstLineChars="200" w:firstLine="480"/>
        <w:rPr>
          <w:rFonts w:ascii="宋体" w:hAnsi="宋体" w:hint="eastAsia"/>
          <w:color w:val="0D0D0D"/>
          <w:kern w:val="0"/>
          <w:sz w:val="24"/>
        </w:rPr>
      </w:pPr>
      <w:r>
        <w:rPr>
          <w:rFonts w:ascii="宋体" w:hAnsi="宋体" w:hint="eastAsia"/>
          <w:color w:val="0D0D0D"/>
          <w:kern w:val="0"/>
          <w:sz w:val="24"/>
        </w:rPr>
        <w:t>3）清偿基金债务；</w:t>
      </w:r>
    </w:p>
    <w:p w14:paraId="00BB1010" w14:textId="77777777" w:rsidR="00566744" w:rsidRDefault="00000000">
      <w:pPr>
        <w:spacing w:line="360" w:lineRule="auto"/>
        <w:ind w:firstLineChars="200" w:firstLine="480"/>
        <w:rPr>
          <w:rFonts w:ascii="宋体" w:hAnsi="宋体" w:hint="eastAsia"/>
          <w:color w:val="0D0D0D"/>
          <w:kern w:val="0"/>
          <w:sz w:val="24"/>
        </w:rPr>
      </w:pPr>
      <w:r>
        <w:rPr>
          <w:rFonts w:ascii="宋体" w:hAnsi="宋体" w:hint="eastAsia"/>
          <w:color w:val="0D0D0D"/>
          <w:kern w:val="0"/>
          <w:sz w:val="24"/>
        </w:rPr>
        <w:t>4）按基金份额持有人持有的基金份额比例进行分配。</w:t>
      </w:r>
    </w:p>
    <w:p w14:paraId="2363DA14" w14:textId="77777777" w:rsidR="00566744" w:rsidRDefault="00000000">
      <w:pPr>
        <w:spacing w:line="360" w:lineRule="auto"/>
        <w:ind w:firstLineChars="200" w:firstLine="480"/>
        <w:rPr>
          <w:rFonts w:ascii="宋体" w:hAnsi="宋体" w:hint="eastAsia"/>
          <w:color w:val="0D0D0D"/>
          <w:kern w:val="0"/>
          <w:sz w:val="24"/>
        </w:rPr>
      </w:pPr>
      <w:r>
        <w:rPr>
          <w:rFonts w:ascii="宋体" w:hAnsi="宋体" w:hint="eastAsia"/>
          <w:color w:val="0D0D0D"/>
          <w:kern w:val="0"/>
          <w:sz w:val="24"/>
        </w:rPr>
        <w:t>基金财产未按前款1）－3）项规定清偿前，不分配给基金份额持有人。</w:t>
      </w:r>
    </w:p>
    <w:p w14:paraId="48B207CF" w14:textId="77777777" w:rsidR="00566744" w:rsidRDefault="00000000">
      <w:pPr>
        <w:spacing w:line="360" w:lineRule="auto"/>
        <w:ind w:firstLineChars="200" w:firstLine="480"/>
        <w:rPr>
          <w:rFonts w:ascii="宋体" w:hAnsi="宋体" w:hint="eastAsia"/>
          <w:color w:val="0D0D0D"/>
          <w:kern w:val="0"/>
          <w:sz w:val="24"/>
        </w:rPr>
      </w:pPr>
      <w:r>
        <w:rPr>
          <w:rFonts w:ascii="宋体" w:hAnsi="宋体" w:hint="eastAsia"/>
          <w:color w:val="0D0D0D"/>
          <w:kern w:val="0"/>
          <w:sz w:val="24"/>
        </w:rPr>
        <w:t>（</w:t>
      </w:r>
      <w:r>
        <w:rPr>
          <w:rFonts w:ascii="宋体" w:hAnsi="宋体"/>
          <w:color w:val="0D0D0D"/>
          <w:kern w:val="0"/>
          <w:sz w:val="24"/>
        </w:rPr>
        <w:t>5</w:t>
      </w:r>
      <w:r>
        <w:rPr>
          <w:rFonts w:ascii="宋体" w:hAnsi="宋体" w:hint="eastAsia"/>
          <w:color w:val="0D0D0D"/>
          <w:kern w:val="0"/>
          <w:sz w:val="24"/>
        </w:rPr>
        <w:t>）基金财产清算的公告</w:t>
      </w:r>
    </w:p>
    <w:p w14:paraId="70E26DAB"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D0D0D"/>
          <w:kern w:val="0"/>
          <w:sz w:val="24"/>
        </w:rPr>
        <w:t>基金财产清算公告于基金合同终止并报中国证监会备案后5个工作日内由基金财产清算组公告；清算过程中的有关重大事项须及时公告；基金财产清算结果经会计师事务所审计，律师事务所出具法律意见书后，由基金财产清算组报中国证监会备案并公告。</w:t>
      </w:r>
    </w:p>
    <w:p w14:paraId="39963CFF"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w:t>
      </w:r>
      <w:r>
        <w:rPr>
          <w:rFonts w:ascii="宋体" w:hAnsi="宋体"/>
          <w:color w:val="000000"/>
          <w:kern w:val="0"/>
          <w:sz w:val="24"/>
        </w:rPr>
        <w:t>6</w:t>
      </w:r>
      <w:r>
        <w:rPr>
          <w:rFonts w:ascii="宋体" w:hAnsi="宋体" w:hint="eastAsia"/>
          <w:color w:val="000000"/>
          <w:kern w:val="0"/>
          <w:sz w:val="24"/>
        </w:rPr>
        <w:t>）基金财产清算账册及文件的保存</w:t>
      </w:r>
    </w:p>
    <w:p w14:paraId="53AED07D" w14:textId="77777777" w:rsidR="00566744" w:rsidRDefault="00000000">
      <w:pPr>
        <w:spacing w:line="360" w:lineRule="auto"/>
        <w:ind w:firstLineChars="200" w:firstLine="480"/>
      </w:pPr>
      <w:r>
        <w:rPr>
          <w:rFonts w:ascii="宋体" w:hAnsi="宋体" w:hint="eastAsia"/>
          <w:color w:val="000000"/>
          <w:kern w:val="0"/>
          <w:sz w:val="24"/>
        </w:rPr>
        <w:t>基金财产清算账册及有关文件由基金托管人保存15年以上。</w:t>
      </w:r>
      <w:bookmarkStart w:id="150" w:name="_Toc256666928"/>
      <w:bookmarkStart w:id="151" w:name="_Toc256666808"/>
      <w:bookmarkEnd w:id="141"/>
    </w:p>
    <w:p w14:paraId="74811AAE" w14:textId="77777777" w:rsidR="00566744" w:rsidRDefault="00566744">
      <w:pPr>
        <w:pStyle w:val="1"/>
        <w:spacing w:beforeLines="50" w:before="120" w:after="0" w:line="360" w:lineRule="auto"/>
        <w:ind w:firstLine="420"/>
        <w:jc w:val="center"/>
        <w:rPr>
          <w:rFonts w:ascii="宋体" w:hAnsi="宋体" w:hint="eastAsia"/>
          <w:color w:val="000000"/>
          <w:kern w:val="0"/>
          <w:sz w:val="24"/>
          <w:szCs w:val="24"/>
        </w:rPr>
        <w:sectPr w:rsidR="00566744">
          <w:pgSz w:w="12240" w:h="15840"/>
          <w:pgMar w:top="1440" w:right="1800" w:bottom="1440" w:left="1800" w:header="720" w:footer="720" w:gutter="0"/>
          <w:cols w:space="720"/>
          <w:docGrid w:linePitch="286"/>
        </w:sectPr>
      </w:pPr>
    </w:p>
    <w:p w14:paraId="17E98C29" w14:textId="77777777" w:rsidR="00566744" w:rsidRDefault="00000000">
      <w:pPr>
        <w:pStyle w:val="1"/>
        <w:spacing w:line="360" w:lineRule="auto"/>
        <w:jc w:val="center"/>
        <w:rPr>
          <w:rFonts w:ascii="宋体" w:hAnsi="宋体" w:hint="eastAsia"/>
          <w:color w:val="000000"/>
          <w:kern w:val="0"/>
          <w:sz w:val="24"/>
          <w:szCs w:val="24"/>
        </w:rPr>
      </w:pPr>
      <w:bookmarkStart w:id="152" w:name="_Toc1031"/>
      <w:bookmarkStart w:id="153" w:name="_Toc78378601"/>
      <w:bookmarkStart w:id="154" w:name="_Toc482624809"/>
      <w:r>
        <w:rPr>
          <w:rFonts w:ascii="宋体" w:hAnsi="宋体" w:hint="eastAsia"/>
          <w:color w:val="000000"/>
          <w:kern w:val="0"/>
          <w:sz w:val="24"/>
          <w:szCs w:val="24"/>
        </w:rPr>
        <w:lastRenderedPageBreak/>
        <w:t>第二十一部分  对基金份额持有人的服务</w:t>
      </w:r>
      <w:bookmarkEnd w:id="150"/>
      <w:bookmarkEnd w:id="151"/>
      <w:bookmarkEnd w:id="152"/>
      <w:bookmarkEnd w:id="153"/>
      <w:bookmarkEnd w:id="154"/>
    </w:p>
    <w:p w14:paraId="75B2B99D" w14:textId="77777777" w:rsidR="00566744" w:rsidRDefault="00000000">
      <w:pPr>
        <w:spacing w:line="360" w:lineRule="auto"/>
        <w:ind w:firstLineChars="200" w:firstLine="480"/>
        <w:rPr>
          <w:rFonts w:asciiTheme="minorEastAsia" w:hAnsiTheme="minorEastAsia" w:cs="Arial" w:hint="eastAsia"/>
          <w:sz w:val="24"/>
        </w:rPr>
      </w:pPr>
      <w:r>
        <w:rPr>
          <w:rFonts w:asciiTheme="minorEastAsia" w:hAnsiTheme="minorEastAsia" w:cs="Arial" w:hint="eastAsia"/>
          <w:sz w:val="24"/>
        </w:rPr>
        <w:t>基金管理人承诺为基金份额持有人提供一系列服务，基金管理人根据基金份额持有人的需要和市场的变化，有权增加或变更服务项目。主要服务内容如下：</w:t>
      </w:r>
    </w:p>
    <w:p w14:paraId="6487A921" w14:textId="77777777" w:rsidR="00566744" w:rsidRDefault="00000000">
      <w:pPr>
        <w:spacing w:line="360" w:lineRule="auto"/>
        <w:ind w:firstLineChars="200" w:firstLine="480"/>
        <w:rPr>
          <w:rFonts w:asciiTheme="minorEastAsia" w:hAnsiTheme="minorEastAsia" w:cs="Arial" w:hint="eastAsia"/>
          <w:sz w:val="24"/>
        </w:rPr>
      </w:pPr>
      <w:r>
        <w:rPr>
          <w:rFonts w:asciiTheme="minorEastAsia" w:hAnsiTheme="minorEastAsia" w:cs="Arial" w:hint="eastAsia"/>
          <w:sz w:val="24"/>
        </w:rPr>
        <w:t>（一）电话人工咨询服务</w:t>
      </w:r>
    </w:p>
    <w:p w14:paraId="437042CF" w14:textId="77777777" w:rsidR="00566744" w:rsidRDefault="00000000">
      <w:pPr>
        <w:spacing w:line="360" w:lineRule="auto"/>
        <w:ind w:firstLineChars="200" w:firstLine="480"/>
        <w:rPr>
          <w:rFonts w:asciiTheme="minorEastAsia" w:hAnsiTheme="minorEastAsia" w:cs="Arial" w:hint="eastAsia"/>
          <w:sz w:val="24"/>
        </w:rPr>
      </w:pPr>
      <w:r>
        <w:rPr>
          <w:rFonts w:asciiTheme="minorEastAsia" w:hAnsiTheme="minorEastAsia" w:cs="Arial" w:hint="eastAsia"/>
          <w:sz w:val="24"/>
        </w:rPr>
        <w:t>投资者可以通过拨打基金管理人客服热线转人工坐席，进行基金业务的相关咨询，人工坐席服务时间为每周一至周五上午9:00-11:30，下午13:00-17:00（法定节假日及因此导致的证券交易所休市日除外）。针对非人工服务时间内的电话留言，基金管理人将设有专员进行及时回复。</w:t>
      </w:r>
    </w:p>
    <w:p w14:paraId="44BFE7A6" w14:textId="77777777" w:rsidR="00566744" w:rsidRDefault="00000000">
      <w:pPr>
        <w:spacing w:line="360" w:lineRule="auto"/>
        <w:ind w:firstLineChars="200" w:firstLine="480"/>
        <w:rPr>
          <w:rFonts w:asciiTheme="minorEastAsia" w:hAnsiTheme="minorEastAsia" w:cs="Arial" w:hint="eastAsia"/>
          <w:sz w:val="24"/>
        </w:rPr>
      </w:pPr>
      <w:r>
        <w:rPr>
          <w:rFonts w:asciiTheme="minorEastAsia" w:hAnsiTheme="minorEastAsia" w:cs="Arial" w:hint="eastAsia"/>
          <w:sz w:val="24"/>
        </w:rPr>
        <w:t>（二）自助查询服务</w:t>
      </w:r>
    </w:p>
    <w:p w14:paraId="1126AD17" w14:textId="77777777" w:rsidR="00566744" w:rsidRDefault="00000000">
      <w:pPr>
        <w:spacing w:line="360" w:lineRule="auto"/>
        <w:ind w:firstLineChars="200" w:firstLine="480"/>
        <w:rPr>
          <w:rFonts w:asciiTheme="minorEastAsia" w:hAnsiTheme="minorEastAsia" w:cs="Arial" w:hint="eastAsia"/>
          <w:sz w:val="24"/>
        </w:rPr>
      </w:pPr>
      <w:r>
        <w:rPr>
          <w:rFonts w:asciiTheme="minorEastAsia" w:hAnsiTheme="minorEastAsia" w:cs="Arial" w:hint="eastAsia"/>
          <w:sz w:val="24"/>
        </w:rPr>
        <w:t>投资者可通过基金管理人呼叫中心自动语音系统、基金管理人网上账户查询系统进行账户余额、交易情况、基金净值等信息查询。</w:t>
      </w:r>
    </w:p>
    <w:p w14:paraId="13CB0068" w14:textId="77777777" w:rsidR="00566744" w:rsidRDefault="00000000">
      <w:pPr>
        <w:spacing w:line="360" w:lineRule="auto"/>
        <w:ind w:firstLineChars="200" w:firstLine="480"/>
        <w:rPr>
          <w:rFonts w:asciiTheme="minorEastAsia" w:hAnsiTheme="minorEastAsia" w:cs="Arial" w:hint="eastAsia"/>
          <w:sz w:val="24"/>
        </w:rPr>
      </w:pPr>
      <w:r>
        <w:rPr>
          <w:rFonts w:asciiTheme="minorEastAsia" w:hAnsiTheme="minorEastAsia" w:cs="Arial" w:hint="eastAsia"/>
          <w:sz w:val="24"/>
        </w:rPr>
        <w:t>（三）邮件咨询服务</w:t>
      </w:r>
    </w:p>
    <w:p w14:paraId="6DDB6055" w14:textId="77777777" w:rsidR="00566744" w:rsidRDefault="00000000">
      <w:pPr>
        <w:spacing w:line="360" w:lineRule="auto"/>
        <w:ind w:firstLineChars="200" w:firstLine="480"/>
        <w:rPr>
          <w:rFonts w:asciiTheme="minorEastAsia" w:hAnsiTheme="minorEastAsia" w:cs="Arial" w:hint="eastAsia"/>
          <w:sz w:val="24"/>
        </w:rPr>
      </w:pPr>
      <w:r>
        <w:rPr>
          <w:rFonts w:asciiTheme="minorEastAsia" w:hAnsiTheme="minorEastAsia" w:cs="Arial" w:hint="eastAsia"/>
          <w:sz w:val="24"/>
        </w:rPr>
        <w:t>投资者可通过电子邮件的形式向基金管理人提出疑问，针对投资者的问题，基金管理人将设有专员进行及时回复。</w:t>
      </w:r>
    </w:p>
    <w:p w14:paraId="140B92D2" w14:textId="77777777" w:rsidR="00566744" w:rsidRDefault="00000000">
      <w:pPr>
        <w:spacing w:line="360" w:lineRule="auto"/>
        <w:ind w:firstLineChars="200" w:firstLine="480"/>
        <w:rPr>
          <w:rFonts w:asciiTheme="minorEastAsia" w:hAnsiTheme="minorEastAsia" w:cs="Arial" w:hint="eastAsia"/>
          <w:sz w:val="24"/>
        </w:rPr>
      </w:pPr>
      <w:r>
        <w:rPr>
          <w:rFonts w:asciiTheme="minorEastAsia" w:hAnsiTheme="minorEastAsia" w:cs="Arial" w:hint="eastAsia"/>
          <w:sz w:val="24"/>
        </w:rPr>
        <w:t>（四）免费信息订阅服务</w:t>
      </w:r>
    </w:p>
    <w:p w14:paraId="1B0C322C" w14:textId="77777777" w:rsidR="00566744" w:rsidRDefault="00000000">
      <w:pPr>
        <w:spacing w:line="360" w:lineRule="auto"/>
        <w:ind w:firstLineChars="200" w:firstLine="480"/>
        <w:rPr>
          <w:rFonts w:asciiTheme="minorEastAsia" w:hAnsiTheme="minorEastAsia" w:cs="Arial" w:hint="eastAsia"/>
          <w:sz w:val="24"/>
        </w:rPr>
      </w:pPr>
      <w:r>
        <w:rPr>
          <w:rFonts w:asciiTheme="minorEastAsia" w:hAnsiTheme="minorEastAsia" w:cs="Arial" w:hint="eastAsia"/>
          <w:sz w:val="24"/>
        </w:rPr>
        <w:t>为了给投资者带来良好的服务体验，基金管理人除了交易确认短信外，提供免费信息订阅服务。投资人可以通过拨打基金管理人客服热线提交信息定制申请，在申请获基金管理人确认后，基金管理人将通过手机短信、电子邮件等方式为客户发送所定制的信息。可定制的信息包括：月度电子对账单、持有基金周末净值等信息。基金管理人将根据业务发展需要和实际情况，适时调整发送的定制信息内容。</w:t>
      </w:r>
    </w:p>
    <w:p w14:paraId="3DED7815" w14:textId="77777777" w:rsidR="00566744" w:rsidRDefault="00000000">
      <w:pPr>
        <w:spacing w:line="360" w:lineRule="auto"/>
        <w:ind w:firstLineChars="200" w:firstLine="480"/>
        <w:rPr>
          <w:rFonts w:asciiTheme="minorEastAsia" w:hAnsiTheme="minorEastAsia" w:cs="Arial" w:hint="eastAsia"/>
          <w:sz w:val="24"/>
        </w:rPr>
      </w:pPr>
      <w:r>
        <w:rPr>
          <w:rFonts w:asciiTheme="minorEastAsia" w:hAnsiTheme="minorEastAsia" w:cs="Arial" w:hint="eastAsia"/>
          <w:sz w:val="24"/>
        </w:rPr>
        <w:t>（五）客户投诉受理服务</w:t>
      </w:r>
    </w:p>
    <w:p w14:paraId="5A249D03" w14:textId="77777777" w:rsidR="00566744" w:rsidRDefault="00000000">
      <w:pPr>
        <w:spacing w:line="360" w:lineRule="auto"/>
        <w:ind w:firstLineChars="200" w:firstLine="480"/>
        <w:rPr>
          <w:rFonts w:asciiTheme="minorEastAsia" w:hAnsiTheme="minorEastAsia" w:cs="Arial" w:hint="eastAsia"/>
          <w:sz w:val="24"/>
        </w:rPr>
      </w:pPr>
      <w:r>
        <w:rPr>
          <w:rFonts w:asciiTheme="minorEastAsia" w:hAnsiTheme="minorEastAsia" w:cs="Arial" w:hint="eastAsia"/>
          <w:sz w:val="24"/>
        </w:rPr>
        <w:t xml:space="preserve">投资人可以通过客服热线、书信、电子邮件等渠道，对基金管理人和销售机构所提供的服务进行投诉。基金管理人承诺在 </w:t>
      </w:r>
      <w:r>
        <w:rPr>
          <w:rFonts w:asciiTheme="minorEastAsia" w:hAnsiTheme="minorEastAsia" w:cs="Arial"/>
          <w:sz w:val="24"/>
        </w:rPr>
        <w:t>20</w:t>
      </w:r>
      <w:r>
        <w:rPr>
          <w:rFonts w:asciiTheme="minorEastAsia" w:hAnsiTheme="minorEastAsia" w:cs="Arial" w:hint="eastAsia"/>
          <w:sz w:val="24"/>
        </w:rPr>
        <w:t>个工作日之内对基金投资人的投诉做出回复。</w:t>
      </w:r>
    </w:p>
    <w:p w14:paraId="49A85EB2" w14:textId="77777777" w:rsidR="00566744" w:rsidRDefault="00000000">
      <w:pPr>
        <w:spacing w:line="360" w:lineRule="auto"/>
        <w:ind w:firstLineChars="200" w:firstLine="480"/>
        <w:rPr>
          <w:rFonts w:asciiTheme="minorEastAsia" w:hAnsiTheme="minorEastAsia" w:cs="Arial" w:hint="eastAsia"/>
          <w:sz w:val="24"/>
        </w:rPr>
      </w:pPr>
      <w:r>
        <w:rPr>
          <w:rFonts w:asciiTheme="minorEastAsia" w:hAnsiTheme="minorEastAsia" w:cs="Arial" w:hint="eastAsia"/>
          <w:sz w:val="24"/>
        </w:rPr>
        <w:t xml:space="preserve">（六）基金管理人联系方式 </w:t>
      </w:r>
    </w:p>
    <w:p w14:paraId="5B45AE00" w14:textId="77777777" w:rsidR="00566744" w:rsidRDefault="00000000">
      <w:pPr>
        <w:spacing w:line="360" w:lineRule="auto"/>
        <w:ind w:firstLineChars="200" w:firstLine="480"/>
        <w:rPr>
          <w:rFonts w:asciiTheme="minorEastAsia" w:hAnsiTheme="minorEastAsia" w:cs="Arial" w:hint="eastAsia"/>
          <w:sz w:val="24"/>
        </w:rPr>
      </w:pPr>
      <w:r>
        <w:rPr>
          <w:rFonts w:asciiTheme="minorEastAsia" w:hAnsiTheme="minorEastAsia" w:cs="Arial" w:hint="eastAsia"/>
          <w:sz w:val="24"/>
        </w:rPr>
        <w:t>基金管理人网址： www.furamc.com.cn</w:t>
      </w:r>
    </w:p>
    <w:p w14:paraId="1B311FF4" w14:textId="77777777" w:rsidR="00566744" w:rsidRDefault="00000000">
      <w:pPr>
        <w:spacing w:line="360" w:lineRule="auto"/>
        <w:ind w:firstLineChars="200" w:firstLine="480"/>
        <w:rPr>
          <w:rFonts w:asciiTheme="minorEastAsia" w:hAnsiTheme="minorEastAsia" w:cs="Arial" w:hint="eastAsia"/>
          <w:sz w:val="24"/>
        </w:rPr>
      </w:pPr>
      <w:r>
        <w:rPr>
          <w:rFonts w:asciiTheme="minorEastAsia" w:hAnsiTheme="minorEastAsia" w:cs="Arial" w:hint="eastAsia"/>
          <w:sz w:val="24"/>
        </w:rPr>
        <w:lastRenderedPageBreak/>
        <w:t>电子信箱：service@furamc.com.cn</w:t>
      </w:r>
    </w:p>
    <w:p w14:paraId="46A380F9" w14:textId="77777777" w:rsidR="00566744" w:rsidRDefault="00000000">
      <w:pPr>
        <w:spacing w:line="360" w:lineRule="auto"/>
        <w:ind w:firstLineChars="200" w:firstLine="480"/>
        <w:rPr>
          <w:rFonts w:asciiTheme="minorEastAsia" w:hAnsiTheme="minorEastAsia" w:cs="Arial" w:hint="eastAsia"/>
          <w:sz w:val="24"/>
        </w:rPr>
      </w:pPr>
      <w:r>
        <w:rPr>
          <w:rFonts w:asciiTheme="minorEastAsia" w:hAnsiTheme="minorEastAsia" w:cs="Arial" w:hint="eastAsia"/>
          <w:sz w:val="24"/>
        </w:rPr>
        <w:t>客服热线：4006855600</w:t>
      </w:r>
    </w:p>
    <w:p w14:paraId="0997A62E" w14:textId="77777777" w:rsidR="00566744" w:rsidRDefault="00000000">
      <w:pPr>
        <w:spacing w:line="360" w:lineRule="auto"/>
        <w:ind w:firstLineChars="200" w:firstLine="480"/>
        <w:rPr>
          <w:rFonts w:asciiTheme="minorEastAsia" w:hAnsiTheme="minorEastAsia" w:cs="Arial" w:hint="eastAsia"/>
          <w:sz w:val="24"/>
        </w:rPr>
      </w:pPr>
      <w:r>
        <w:rPr>
          <w:rFonts w:asciiTheme="minorEastAsia" w:hAnsiTheme="minorEastAsia" w:cs="Arial" w:hint="eastAsia"/>
          <w:sz w:val="24"/>
        </w:rPr>
        <w:t>客户服务部门地址：</w:t>
      </w:r>
      <w:r>
        <w:rPr>
          <w:rFonts w:asciiTheme="minorEastAsia" w:hAnsiTheme="minorEastAsia" w:hint="eastAsia"/>
          <w:kern w:val="0"/>
          <w:sz w:val="24"/>
        </w:rPr>
        <w:t>深圳市福田区八卦四路52号安吉尔大厦24层</w:t>
      </w:r>
      <w:r>
        <w:rPr>
          <w:rFonts w:asciiTheme="minorEastAsia" w:hAnsiTheme="minorEastAsia" w:cs="Arial" w:hint="eastAsia"/>
          <w:sz w:val="24"/>
        </w:rPr>
        <w:t>，富荣基金管理有限公司客户服务部门（收）</w:t>
      </w:r>
    </w:p>
    <w:p w14:paraId="19CEDE66" w14:textId="77777777" w:rsidR="00566744" w:rsidRDefault="00000000">
      <w:pPr>
        <w:spacing w:line="360" w:lineRule="auto"/>
        <w:ind w:firstLineChars="200" w:firstLine="480"/>
        <w:rPr>
          <w:rFonts w:asciiTheme="minorEastAsia" w:hAnsiTheme="minorEastAsia" w:cs="Arial" w:hint="eastAsia"/>
          <w:sz w:val="24"/>
        </w:rPr>
      </w:pPr>
      <w:r>
        <w:rPr>
          <w:rFonts w:asciiTheme="minorEastAsia" w:hAnsiTheme="minorEastAsia" w:cs="Arial" w:hint="eastAsia"/>
          <w:sz w:val="24"/>
        </w:rPr>
        <w:t>邮编：518038</w:t>
      </w:r>
    </w:p>
    <w:p w14:paraId="30369E8F" w14:textId="77777777" w:rsidR="00566744" w:rsidRDefault="00000000">
      <w:pPr>
        <w:spacing w:line="360" w:lineRule="auto"/>
        <w:ind w:firstLineChars="200" w:firstLine="480"/>
        <w:rPr>
          <w:rFonts w:ascii="宋体" w:hAnsi="宋体" w:hint="eastAsia"/>
          <w:color w:val="000000"/>
          <w:kern w:val="0"/>
          <w:sz w:val="24"/>
        </w:rPr>
      </w:pPr>
      <w:r>
        <w:rPr>
          <w:rFonts w:asciiTheme="minorEastAsia" w:hAnsiTheme="minorEastAsia" w:cs="Arial" w:hint="eastAsia"/>
          <w:sz w:val="24"/>
        </w:rPr>
        <w:t>（七）如本招募说明书存在任何您/</w:t>
      </w:r>
      <w:proofErr w:type="gramStart"/>
      <w:r>
        <w:rPr>
          <w:rFonts w:asciiTheme="minorEastAsia" w:hAnsiTheme="minorEastAsia" w:cs="Arial" w:hint="eastAsia"/>
          <w:sz w:val="24"/>
        </w:rPr>
        <w:t>贵机构</w:t>
      </w:r>
      <w:proofErr w:type="gramEnd"/>
      <w:r>
        <w:rPr>
          <w:rFonts w:asciiTheme="minorEastAsia" w:hAnsiTheme="minorEastAsia" w:cs="Arial" w:hint="eastAsia"/>
          <w:sz w:val="24"/>
        </w:rPr>
        <w:t>无法理解的内容，请通过</w:t>
      </w:r>
      <w:proofErr w:type="gramStart"/>
      <w:r>
        <w:rPr>
          <w:rFonts w:asciiTheme="minorEastAsia" w:hAnsiTheme="minorEastAsia" w:cs="Arial" w:hint="eastAsia"/>
          <w:sz w:val="24"/>
        </w:rPr>
        <w:t>上述联系</w:t>
      </w:r>
      <w:proofErr w:type="gramEnd"/>
      <w:r>
        <w:rPr>
          <w:rFonts w:asciiTheme="minorEastAsia" w:hAnsiTheme="minorEastAsia" w:cs="Arial" w:hint="eastAsia"/>
          <w:sz w:val="24"/>
        </w:rPr>
        <w:t>方式联系基金管理人。</w:t>
      </w:r>
      <w:proofErr w:type="gramStart"/>
      <w:r>
        <w:rPr>
          <w:rFonts w:asciiTheme="minorEastAsia" w:hAnsiTheme="minorEastAsia" w:cs="Arial" w:hint="eastAsia"/>
          <w:sz w:val="24"/>
        </w:rPr>
        <w:t>请确保</w:t>
      </w:r>
      <w:proofErr w:type="gramEnd"/>
      <w:r>
        <w:rPr>
          <w:rFonts w:asciiTheme="minorEastAsia" w:hAnsiTheme="minorEastAsia" w:cs="Arial" w:hint="eastAsia"/>
          <w:sz w:val="24"/>
        </w:rPr>
        <w:t>投资前，您/</w:t>
      </w:r>
      <w:proofErr w:type="gramStart"/>
      <w:r>
        <w:rPr>
          <w:rFonts w:asciiTheme="minorEastAsia" w:hAnsiTheme="minorEastAsia" w:cs="Arial" w:hint="eastAsia"/>
          <w:sz w:val="24"/>
        </w:rPr>
        <w:t>贵机构</w:t>
      </w:r>
      <w:proofErr w:type="gramEnd"/>
      <w:r>
        <w:rPr>
          <w:rFonts w:asciiTheme="minorEastAsia" w:hAnsiTheme="minorEastAsia" w:cs="Arial" w:hint="eastAsia"/>
          <w:sz w:val="24"/>
        </w:rPr>
        <w:t>已经全面理解了本招募说明书</w:t>
      </w:r>
      <w:r>
        <w:rPr>
          <w:rFonts w:asciiTheme="minorEastAsia" w:hAnsiTheme="minorEastAsia" w:cs="Arial"/>
          <w:sz w:val="24"/>
        </w:rPr>
        <w:t>。</w:t>
      </w:r>
    </w:p>
    <w:p w14:paraId="3A6DB3EF" w14:textId="77777777" w:rsidR="00566744" w:rsidRDefault="00566744">
      <w:pPr>
        <w:spacing w:line="360" w:lineRule="auto"/>
        <w:ind w:firstLineChars="200" w:firstLine="480"/>
        <w:rPr>
          <w:rFonts w:ascii="宋体" w:hAnsi="宋体" w:hint="eastAsia"/>
          <w:color w:val="000000"/>
          <w:kern w:val="0"/>
          <w:sz w:val="24"/>
        </w:rPr>
      </w:pPr>
    </w:p>
    <w:p w14:paraId="1D9CA574" w14:textId="77777777" w:rsidR="00566744" w:rsidRDefault="00000000">
      <w:pPr>
        <w:pStyle w:val="1"/>
        <w:spacing w:line="360" w:lineRule="auto"/>
        <w:jc w:val="center"/>
        <w:rPr>
          <w:rFonts w:ascii="宋体" w:hAnsi="宋体" w:hint="eastAsia"/>
          <w:color w:val="000000"/>
          <w:kern w:val="0"/>
          <w:sz w:val="24"/>
          <w:szCs w:val="24"/>
        </w:rPr>
      </w:pPr>
      <w:r>
        <w:rPr>
          <w:rFonts w:ascii="宋体" w:hAnsi="宋体"/>
          <w:color w:val="000000"/>
          <w:kern w:val="0"/>
          <w:sz w:val="24"/>
          <w:szCs w:val="24"/>
        </w:rPr>
        <w:br w:type="page"/>
      </w:r>
      <w:bookmarkStart w:id="155" w:name="_Toc256666929"/>
      <w:bookmarkStart w:id="156" w:name="_Toc78378602"/>
      <w:bookmarkStart w:id="157" w:name="_Toc256666809"/>
      <w:bookmarkStart w:id="158" w:name="_Toc30359"/>
      <w:bookmarkStart w:id="159" w:name="_Toc482624810"/>
      <w:r>
        <w:rPr>
          <w:rFonts w:ascii="宋体" w:hAnsi="宋体" w:hint="eastAsia"/>
          <w:color w:val="000000"/>
          <w:kern w:val="0"/>
          <w:sz w:val="24"/>
          <w:szCs w:val="24"/>
        </w:rPr>
        <w:lastRenderedPageBreak/>
        <w:t>第二十二部分  其他应披露事项</w:t>
      </w:r>
      <w:bookmarkEnd w:id="155"/>
      <w:bookmarkEnd w:id="156"/>
      <w:bookmarkEnd w:id="157"/>
      <w:bookmarkEnd w:id="158"/>
      <w:bookmarkEnd w:id="159"/>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6662"/>
        <w:gridCol w:w="2126"/>
      </w:tblGrid>
      <w:tr w:rsidR="00566744" w14:paraId="1A939F6B" w14:textId="77777777" w:rsidTr="004A5BE7">
        <w:tc>
          <w:tcPr>
            <w:tcW w:w="710" w:type="dxa"/>
            <w:tcBorders>
              <w:top w:val="single" w:sz="4" w:space="0" w:color="auto"/>
              <w:left w:val="single" w:sz="4" w:space="0" w:color="auto"/>
              <w:bottom w:val="single" w:sz="4" w:space="0" w:color="auto"/>
              <w:right w:val="single" w:sz="4" w:space="0" w:color="auto"/>
            </w:tcBorders>
          </w:tcPr>
          <w:p w14:paraId="1D840D83" w14:textId="77777777" w:rsidR="00566744" w:rsidRDefault="00000000">
            <w:pPr>
              <w:jc w:val="center"/>
              <w:rPr>
                <w:color w:val="000000"/>
                <w:sz w:val="22"/>
                <w:szCs w:val="22"/>
              </w:rPr>
            </w:pPr>
            <w:r>
              <w:rPr>
                <w:rFonts w:asciiTheme="minorEastAsia" w:eastAsiaTheme="minorEastAsia" w:hAnsiTheme="minorEastAsia" w:hint="eastAsia"/>
                <w:sz w:val="24"/>
              </w:rPr>
              <w:t>序号</w:t>
            </w:r>
          </w:p>
        </w:tc>
        <w:tc>
          <w:tcPr>
            <w:tcW w:w="6662" w:type="dxa"/>
            <w:tcBorders>
              <w:top w:val="single" w:sz="4" w:space="0" w:color="auto"/>
              <w:left w:val="single" w:sz="4" w:space="0" w:color="auto"/>
              <w:bottom w:val="single" w:sz="4" w:space="0" w:color="auto"/>
              <w:right w:val="single" w:sz="4" w:space="0" w:color="auto"/>
            </w:tcBorders>
          </w:tcPr>
          <w:p w14:paraId="6E07212B" w14:textId="77777777" w:rsidR="00566744" w:rsidRDefault="00000000">
            <w:pPr>
              <w:jc w:val="center"/>
              <w:rPr>
                <w:color w:val="000000"/>
                <w:sz w:val="22"/>
                <w:szCs w:val="22"/>
              </w:rPr>
            </w:pPr>
            <w:r>
              <w:rPr>
                <w:rFonts w:asciiTheme="minorEastAsia" w:eastAsiaTheme="minorEastAsia" w:hAnsiTheme="minorEastAsia" w:hint="eastAsia"/>
                <w:sz w:val="24"/>
              </w:rPr>
              <w:t>公告事项</w:t>
            </w:r>
          </w:p>
        </w:tc>
        <w:tc>
          <w:tcPr>
            <w:tcW w:w="2126" w:type="dxa"/>
            <w:tcBorders>
              <w:top w:val="single" w:sz="4" w:space="0" w:color="auto"/>
              <w:left w:val="single" w:sz="4" w:space="0" w:color="auto"/>
              <w:bottom w:val="single" w:sz="4" w:space="0" w:color="auto"/>
              <w:right w:val="single" w:sz="4" w:space="0" w:color="auto"/>
            </w:tcBorders>
          </w:tcPr>
          <w:p w14:paraId="229072DF" w14:textId="77777777" w:rsidR="00566744" w:rsidRDefault="00000000">
            <w:pPr>
              <w:jc w:val="center"/>
              <w:rPr>
                <w:color w:val="000000"/>
                <w:sz w:val="22"/>
                <w:szCs w:val="22"/>
              </w:rPr>
            </w:pPr>
            <w:r>
              <w:rPr>
                <w:rFonts w:asciiTheme="minorEastAsia" w:eastAsiaTheme="minorEastAsia" w:hAnsiTheme="minorEastAsia" w:hint="eastAsia"/>
                <w:sz w:val="24"/>
              </w:rPr>
              <w:t>披露日期</w:t>
            </w:r>
          </w:p>
        </w:tc>
      </w:tr>
      <w:tr w:rsidR="00566744" w14:paraId="211276AA"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2C578D83" w14:textId="1CA202E5" w:rsidR="00566744" w:rsidRDefault="00000000">
            <w:pPr>
              <w:rPr>
                <w:color w:val="000000"/>
                <w:sz w:val="22"/>
                <w:szCs w:val="22"/>
              </w:rPr>
            </w:pPr>
            <w:r>
              <w:rPr>
                <w:rFonts w:hint="eastAsia"/>
                <w:color w:val="000000"/>
                <w:sz w:val="22"/>
                <w:szCs w:val="22"/>
              </w:rPr>
              <w:t>1</w:t>
            </w:r>
          </w:p>
        </w:tc>
        <w:tc>
          <w:tcPr>
            <w:tcW w:w="6662" w:type="dxa"/>
            <w:tcBorders>
              <w:top w:val="single" w:sz="4" w:space="0" w:color="auto"/>
              <w:left w:val="single" w:sz="4" w:space="0" w:color="auto"/>
              <w:bottom w:val="single" w:sz="4" w:space="0" w:color="auto"/>
              <w:right w:val="single" w:sz="4" w:space="0" w:color="auto"/>
            </w:tcBorders>
            <w:vAlign w:val="bottom"/>
          </w:tcPr>
          <w:p w14:paraId="35DC9290" w14:textId="0E55CA5C" w:rsidR="00566744" w:rsidRDefault="00000000">
            <w:pPr>
              <w:rPr>
                <w:color w:val="000000"/>
                <w:sz w:val="22"/>
                <w:szCs w:val="22"/>
              </w:rPr>
            </w:pPr>
            <w:r>
              <w:rPr>
                <w:rFonts w:ascii="宋体" w:hAnsi="宋体" w:cs="宋体" w:hint="eastAsia"/>
                <w:color w:val="000000"/>
                <w:kern w:val="0"/>
                <w:sz w:val="22"/>
                <w:szCs w:val="22"/>
                <w:lang w:bidi="ar"/>
              </w:rPr>
              <w:t>富荣货币市场基金暂停部分代销机构大额申购（含转换转入、定期定额投资）业务的公告</w:t>
            </w:r>
          </w:p>
        </w:tc>
        <w:tc>
          <w:tcPr>
            <w:tcW w:w="2126" w:type="dxa"/>
            <w:tcBorders>
              <w:top w:val="single" w:sz="4" w:space="0" w:color="auto"/>
              <w:left w:val="single" w:sz="4" w:space="0" w:color="auto"/>
              <w:bottom w:val="single" w:sz="4" w:space="0" w:color="auto"/>
              <w:right w:val="single" w:sz="4" w:space="0" w:color="auto"/>
            </w:tcBorders>
            <w:vAlign w:val="center"/>
          </w:tcPr>
          <w:p w14:paraId="69EF6C16" w14:textId="1099AF0B" w:rsidR="00566744" w:rsidRDefault="00000000">
            <w:pPr>
              <w:jc w:val="center"/>
              <w:rPr>
                <w:color w:val="000000"/>
                <w:sz w:val="22"/>
                <w:szCs w:val="22"/>
              </w:rPr>
            </w:pPr>
            <w:r>
              <w:rPr>
                <w:rFonts w:ascii="宋体" w:hAnsi="宋体" w:cs="宋体" w:hint="eastAsia"/>
                <w:color w:val="000000"/>
                <w:kern w:val="0"/>
                <w:sz w:val="22"/>
                <w:szCs w:val="22"/>
                <w:lang w:bidi="ar"/>
              </w:rPr>
              <w:t>2025年7月2日</w:t>
            </w:r>
          </w:p>
        </w:tc>
      </w:tr>
      <w:tr w:rsidR="00566744" w14:paraId="557CC12C"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5C5F1619" w14:textId="72DCF66F" w:rsidR="00566744" w:rsidRDefault="00000000">
            <w:pPr>
              <w:rPr>
                <w:color w:val="000000"/>
                <w:sz w:val="22"/>
                <w:szCs w:val="22"/>
              </w:rPr>
            </w:pPr>
            <w:r>
              <w:rPr>
                <w:rFonts w:hint="eastAsia"/>
                <w:color w:val="000000"/>
                <w:sz w:val="22"/>
                <w:szCs w:val="22"/>
              </w:rPr>
              <w:t>2</w:t>
            </w:r>
          </w:p>
        </w:tc>
        <w:tc>
          <w:tcPr>
            <w:tcW w:w="6662" w:type="dxa"/>
            <w:tcBorders>
              <w:top w:val="single" w:sz="4" w:space="0" w:color="auto"/>
              <w:left w:val="single" w:sz="4" w:space="0" w:color="auto"/>
              <w:bottom w:val="single" w:sz="4" w:space="0" w:color="auto"/>
              <w:right w:val="single" w:sz="4" w:space="0" w:color="auto"/>
            </w:tcBorders>
            <w:vAlign w:val="bottom"/>
          </w:tcPr>
          <w:p w14:paraId="46DF9BB7" w14:textId="0536CFDD" w:rsidR="00566744" w:rsidRDefault="00000000">
            <w:pPr>
              <w:rPr>
                <w:color w:val="000000"/>
                <w:sz w:val="22"/>
                <w:szCs w:val="22"/>
              </w:rPr>
            </w:pPr>
            <w:r>
              <w:rPr>
                <w:rFonts w:ascii="宋体" w:hAnsi="宋体" w:cs="宋体" w:hint="eastAsia"/>
                <w:color w:val="000000"/>
                <w:kern w:val="0"/>
                <w:sz w:val="22"/>
                <w:szCs w:val="22"/>
                <w:lang w:bidi="ar"/>
              </w:rPr>
              <w:t>富荣货币市场基金暂停部分代销机构大额申购（含转换转入、定期定额投资）业务的公告</w:t>
            </w:r>
          </w:p>
        </w:tc>
        <w:tc>
          <w:tcPr>
            <w:tcW w:w="2126" w:type="dxa"/>
            <w:tcBorders>
              <w:top w:val="single" w:sz="4" w:space="0" w:color="auto"/>
              <w:left w:val="single" w:sz="4" w:space="0" w:color="auto"/>
              <w:bottom w:val="single" w:sz="4" w:space="0" w:color="auto"/>
              <w:right w:val="single" w:sz="4" w:space="0" w:color="auto"/>
            </w:tcBorders>
            <w:vAlign w:val="center"/>
          </w:tcPr>
          <w:p w14:paraId="0B65A522" w14:textId="305D77AB" w:rsidR="00566744" w:rsidRDefault="00000000">
            <w:pPr>
              <w:jc w:val="center"/>
              <w:rPr>
                <w:color w:val="000000"/>
                <w:sz w:val="22"/>
                <w:szCs w:val="22"/>
              </w:rPr>
            </w:pPr>
            <w:r>
              <w:rPr>
                <w:rFonts w:ascii="宋体" w:hAnsi="宋体" w:cs="宋体" w:hint="eastAsia"/>
                <w:color w:val="000000"/>
                <w:kern w:val="0"/>
                <w:sz w:val="22"/>
                <w:szCs w:val="22"/>
                <w:lang w:bidi="ar"/>
              </w:rPr>
              <w:t>2025年7月9日</w:t>
            </w:r>
          </w:p>
        </w:tc>
      </w:tr>
      <w:tr w:rsidR="00566744" w14:paraId="00148F2F"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2E0B9B30" w14:textId="0CC49CE9" w:rsidR="00566744" w:rsidRDefault="00000000">
            <w:pPr>
              <w:rPr>
                <w:color w:val="000000"/>
                <w:sz w:val="22"/>
                <w:szCs w:val="22"/>
              </w:rPr>
            </w:pPr>
            <w:r>
              <w:rPr>
                <w:rFonts w:hint="eastAsia"/>
                <w:color w:val="000000"/>
                <w:sz w:val="22"/>
                <w:szCs w:val="22"/>
              </w:rPr>
              <w:t>3</w:t>
            </w:r>
          </w:p>
        </w:tc>
        <w:tc>
          <w:tcPr>
            <w:tcW w:w="6662" w:type="dxa"/>
            <w:tcBorders>
              <w:top w:val="single" w:sz="4" w:space="0" w:color="auto"/>
              <w:left w:val="single" w:sz="4" w:space="0" w:color="auto"/>
              <w:bottom w:val="single" w:sz="4" w:space="0" w:color="auto"/>
              <w:right w:val="single" w:sz="4" w:space="0" w:color="auto"/>
            </w:tcBorders>
            <w:vAlign w:val="bottom"/>
          </w:tcPr>
          <w:p w14:paraId="0E4D50FD" w14:textId="6DC45C8D" w:rsidR="00566744" w:rsidRDefault="00000000">
            <w:pPr>
              <w:rPr>
                <w:color w:val="000000"/>
                <w:sz w:val="22"/>
                <w:szCs w:val="22"/>
              </w:rPr>
            </w:pPr>
            <w:r>
              <w:rPr>
                <w:rFonts w:ascii="宋体" w:hAnsi="宋体" w:cs="宋体" w:hint="eastAsia"/>
                <w:color w:val="000000"/>
                <w:kern w:val="0"/>
                <w:sz w:val="22"/>
                <w:szCs w:val="22"/>
                <w:lang w:bidi="ar"/>
              </w:rPr>
              <w:t>富荣货币市场基金暂停部分代销机构大额申购（含转换转入、定期定额投资）业务的公告</w:t>
            </w:r>
          </w:p>
        </w:tc>
        <w:tc>
          <w:tcPr>
            <w:tcW w:w="2126" w:type="dxa"/>
            <w:tcBorders>
              <w:top w:val="single" w:sz="4" w:space="0" w:color="auto"/>
              <w:left w:val="single" w:sz="4" w:space="0" w:color="auto"/>
              <w:bottom w:val="single" w:sz="4" w:space="0" w:color="auto"/>
              <w:right w:val="single" w:sz="4" w:space="0" w:color="auto"/>
            </w:tcBorders>
            <w:vAlign w:val="center"/>
          </w:tcPr>
          <w:p w14:paraId="4728B780" w14:textId="5C431B45" w:rsidR="00566744" w:rsidRDefault="00000000">
            <w:pPr>
              <w:jc w:val="center"/>
              <w:rPr>
                <w:color w:val="000000"/>
                <w:sz w:val="22"/>
                <w:szCs w:val="22"/>
              </w:rPr>
            </w:pPr>
            <w:r>
              <w:rPr>
                <w:rFonts w:ascii="宋体" w:hAnsi="宋体" w:cs="宋体" w:hint="eastAsia"/>
                <w:color w:val="000000"/>
                <w:kern w:val="0"/>
                <w:sz w:val="22"/>
                <w:szCs w:val="22"/>
                <w:lang w:bidi="ar"/>
              </w:rPr>
              <w:t>2025年7月16日</w:t>
            </w:r>
          </w:p>
        </w:tc>
      </w:tr>
      <w:tr w:rsidR="00566744" w14:paraId="499B9E7D"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2FC59DD8" w14:textId="1579FE1C" w:rsidR="00566744" w:rsidRDefault="00000000">
            <w:pPr>
              <w:rPr>
                <w:color w:val="000000"/>
                <w:sz w:val="22"/>
                <w:szCs w:val="22"/>
              </w:rPr>
            </w:pPr>
            <w:r>
              <w:rPr>
                <w:rFonts w:hint="eastAsia"/>
                <w:color w:val="000000"/>
                <w:sz w:val="22"/>
                <w:szCs w:val="22"/>
              </w:rPr>
              <w:t>4</w:t>
            </w:r>
          </w:p>
        </w:tc>
        <w:tc>
          <w:tcPr>
            <w:tcW w:w="6662" w:type="dxa"/>
            <w:tcBorders>
              <w:top w:val="single" w:sz="4" w:space="0" w:color="auto"/>
              <w:left w:val="single" w:sz="4" w:space="0" w:color="auto"/>
              <w:bottom w:val="single" w:sz="4" w:space="0" w:color="auto"/>
              <w:right w:val="single" w:sz="4" w:space="0" w:color="auto"/>
            </w:tcBorders>
            <w:vAlign w:val="bottom"/>
          </w:tcPr>
          <w:p w14:paraId="4B4541E9" w14:textId="04163C10" w:rsidR="00566744" w:rsidRDefault="00000000">
            <w:pPr>
              <w:rPr>
                <w:color w:val="000000"/>
                <w:sz w:val="22"/>
                <w:szCs w:val="22"/>
              </w:rPr>
            </w:pPr>
            <w:r>
              <w:rPr>
                <w:rFonts w:ascii="宋体" w:hAnsi="宋体" w:cs="宋体" w:hint="eastAsia"/>
                <w:color w:val="000000"/>
                <w:kern w:val="0"/>
                <w:sz w:val="22"/>
                <w:szCs w:val="22"/>
                <w:lang w:bidi="ar"/>
              </w:rPr>
              <w:t>富荣基金管理有限公司旗下全部基金2025年第2季度报告提示性公告</w:t>
            </w:r>
          </w:p>
        </w:tc>
        <w:tc>
          <w:tcPr>
            <w:tcW w:w="2126" w:type="dxa"/>
            <w:tcBorders>
              <w:top w:val="single" w:sz="4" w:space="0" w:color="auto"/>
              <w:left w:val="single" w:sz="4" w:space="0" w:color="auto"/>
              <w:bottom w:val="single" w:sz="4" w:space="0" w:color="auto"/>
              <w:right w:val="single" w:sz="4" w:space="0" w:color="auto"/>
            </w:tcBorders>
            <w:vAlign w:val="center"/>
          </w:tcPr>
          <w:p w14:paraId="3AFE51F9" w14:textId="55728D48" w:rsidR="00566744" w:rsidRDefault="00000000">
            <w:pPr>
              <w:jc w:val="center"/>
              <w:rPr>
                <w:color w:val="000000"/>
                <w:sz w:val="22"/>
                <w:szCs w:val="22"/>
              </w:rPr>
            </w:pPr>
            <w:r>
              <w:rPr>
                <w:rFonts w:ascii="宋体" w:hAnsi="宋体" w:cs="宋体" w:hint="eastAsia"/>
                <w:color w:val="000000"/>
                <w:kern w:val="0"/>
                <w:sz w:val="22"/>
                <w:szCs w:val="22"/>
                <w:lang w:bidi="ar"/>
              </w:rPr>
              <w:t>2025年7月21日</w:t>
            </w:r>
          </w:p>
        </w:tc>
      </w:tr>
      <w:tr w:rsidR="00566744" w14:paraId="7E0E0B09"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721C03DD" w14:textId="26A2EA2F" w:rsidR="00566744" w:rsidRDefault="00000000">
            <w:pPr>
              <w:rPr>
                <w:color w:val="000000"/>
                <w:sz w:val="22"/>
                <w:szCs w:val="22"/>
              </w:rPr>
            </w:pPr>
            <w:r>
              <w:rPr>
                <w:rFonts w:hint="eastAsia"/>
                <w:color w:val="000000"/>
                <w:sz w:val="22"/>
                <w:szCs w:val="22"/>
              </w:rPr>
              <w:t>5</w:t>
            </w:r>
          </w:p>
        </w:tc>
        <w:tc>
          <w:tcPr>
            <w:tcW w:w="6662" w:type="dxa"/>
            <w:tcBorders>
              <w:top w:val="single" w:sz="4" w:space="0" w:color="auto"/>
              <w:left w:val="single" w:sz="4" w:space="0" w:color="auto"/>
              <w:bottom w:val="single" w:sz="4" w:space="0" w:color="auto"/>
              <w:right w:val="single" w:sz="4" w:space="0" w:color="auto"/>
            </w:tcBorders>
            <w:vAlign w:val="bottom"/>
          </w:tcPr>
          <w:p w14:paraId="37CD290D" w14:textId="52FEDD8C" w:rsidR="00566744" w:rsidRDefault="00000000">
            <w:pPr>
              <w:rPr>
                <w:color w:val="000000"/>
                <w:sz w:val="22"/>
                <w:szCs w:val="22"/>
              </w:rPr>
            </w:pPr>
            <w:r>
              <w:rPr>
                <w:rFonts w:ascii="宋体" w:hAnsi="宋体" w:cs="宋体" w:hint="eastAsia"/>
                <w:color w:val="000000"/>
                <w:kern w:val="0"/>
                <w:sz w:val="22"/>
                <w:szCs w:val="22"/>
                <w:lang w:bidi="ar"/>
              </w:rPr>
              <w:t>富荣货币市场</w:t>
            </w:r>
            <w:proofErr w:type="gramStart"/>
            <w:r>
              <w:rPr>
                <w:rFonts w:ascii="宋体" w:hAnsi="宋体" w:cs="宋体" w:hint="eastAsia"/>
                <w:color w:val="000000"/>
                <w:kern w:val="0"/>
                <w:sz w:val="22"/>
                <w:szCs w:val="22"/>
                <w:lang w:bidi="ar"/>
              </w:rPr>
              <w:t>基金基金</w:t>
            </w:r>
            <w:proofErr w:type="gramEnd"/>
            <w:r>
              <w:rPr>
                <w:rFonts w:ascii="宋体" w:hAnsi="宋体" w:cs="宋体" w:hint="eastAsia"/>
                <w:color w:val="000000"/>
                <w:kern w:val="0"/>
                <w:sz w:val="22"/>
                <w:szCs w:val="22"/>
                <w:lang w:bidi="ar"/>
              </w:rPr>
              <w:t>经理变更公告</w:t>
            </w:r>
          </w:p>
        </w:tc>
        <w:tc>
          <w:tcPr>
            <w:tcW w:w="2126" w:type="dxa"/>
            <w:tcBorders>
              <w:top w:val="single" w:sz="4" w:space="0" w:color="auto"/>
              <w:left w:val="single" w:sz="4" w:space="0" w:color="auto"/>
              <w:bottom w:val="single" w:sz="4" w:space="0" w:color="auto"/>
              <w:right w:val="single" w:sz="4" w:space="0" w:color="auto"/>
            </w:tcBorders>
            <w:vAlign w:val="center"/>
          </w:tcPr>
          <w:p w14:paraId="54ACA3A0" w14:textId="38C5E1DE" w:rsidR="00566744" w:rsidRDefault="00000000">
            <w:pPr>
              <w:jc w:val="center"/>
              <w:rPr>
                <w:color w:val="000000"/>
                <w:sz w:val="22"/>
                <w:szCs w:val="22"/>
              </w:rPr>
            </w:pPr>
            <w:r>
              <w:rPr>
                <w:rFonts w:ascii="宋体" w:hAnsi="宋体" w:cs="宋体" w:hint="eastAsia"/>
                <w:color w:val="000000"/>
                <w:kern w:val="0"/>
                <w:sz w:val="22"/>
                <w:szCs w:val="22"/>
                <w:lang w:bidi="ar"/>
              </w:rPr>
              <w:t>2025年7月22日</w:t>
            </w:r>
          </w:p>
        </w:tc>
      </w:tr>
      <w:tr w:rsidR="00566744" w14:paraId="277EC47B"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7BCA5745" w14:textId="1A76C516" w:rsidR="00566744" w:rsidRDefault="00000000">
            <w:pPr>
              <w:rPr>
                <w:color w:val="000000"/>
                <w:sz w:val="22"/>
                <w:szCs w:val="22"/>
              </w:rPr>
            </w:pPr>
            <w:r>
              <w:rPr>
                <w:rFonts w:hint="eastAsia"/>
                <w:color w:val="000000"/>
                <w:sz w:val="22"/>
                <w:szCs w:val="22"/>
              </w:rPr>
              <w:t>6</w:t>
            </w:r>
          </w:p>
        </w:tc>
        <w:tc>
          <w:tcPr>
            <w:tcW w:w="6662" w:type="dxa"/>
            <w:tcBorders>
              <w:top w:val="single" w:sz="4" w:space="0" w:color="auto"/>
              <w:left w:val="single" w:sz="4" w:space="0" w:color="auto"/>
              <w:bottom w:val="single" w:sz="4" w:space="0" w:color="auto"/>
              <w:right w:val="single" w:sz="4" w:space="0" w:color="auto"/>
            </w:tcBorders>
            <w:vAlign w:val="bottom"/>
          </w:tcPr>
          <w:p w14:paraId="1C82EDC7" w14:textId="5973A2C0" w:rsidR="00566744" w:rsidRDefault="00000000">
            <w:pPr>
              <w:rPr>
                <w:color w:val="000000"/>
                <w:sz w:val="22"/>
                <w:szCs w:val="22"/>
              </w:rPr>
            </w:pPr>
            <w:r>
              <w:rPr>
                <w:rFonts w:ascii="宋体" w:hAnsi="宋体" w:cs="宋体" w:hint="eastAsia"/>
                <w:color w:val="000000"/>
                <w:kern w:val="0"/>
                <w:sz w:val="22"/>
                <w:szCs w:val="22"/>
                <w:lang w:bidi="ar"/>
              </w:rPr>
              <w:t>富荣基金管理有限公司关于旗下部分基金新增国联民生证券股份有限公司为销售机构、开通基金定期定额投资业务和基金转换业务并参加申购及定期定额投资申购费率优惠活动的公告</w:t>
            </w:r>
          </w:p>
        </w:tc>
        <w:tc>
          <w:tcPr>
            <w:tcW w:w="2126" w:type="dxa"/>
            <w:tcBorders>
              <w:top w:val="single" w:sz="4" w:space="0" w:color="auto"/>
              <w:left w:val="single" w:sz="4" w:space="0" w:color="auto"/>
              <w:bottom w:val="single" w:sz="4" w:space="0" w:color="auto"/>
              <w:right w:val="single" w:sz="4" w:space="0" w:color="auto"/>
            </w:tcBorders>
            <w:vAlign w:val="center"/>
          </w:tcPr>
          <w:p w14:paraId="65E89A92" w14:textId="4B9CC9A7" w:rsidR="00566744" w:rsidRDefault="00000000">
            <w:pPr>
              <w:jc w:val="center"/>
              <w:rPr>
                <w:color w:val="000000"/>
                <w:sz w:val="22"/>
                <w:szCs w:val="22"/>
              </w:rPr>
            </w:pPr>
            <w:r>
              <w:rPr>
                <w:rFonts w:ascii="宋体" w:hAnsi="宋体" w:cs="宋体" w:hint="eastAsia"/>
                <w:color w:val="000000"/>
                <w:kern w:val="0"/>
                <w:sz w:val="22"/>
                <w:szCs w:val="22"/>
                <w:lang w:bidi="ar"/>
              </w:rPr>
              <w:t>2025年7月23日</w:t>
            </w:r>
          </w:p>
        </w:tc>
      </w:tr>
      <w:tr w:rsidR="00566744" w14:paraId="22D6FAB3"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45447CAC" w14:textId="58F0F77D" w:rsidR="00566744" w:rsidRDefault="00000000">
            <w:pPr>
              <w:rPr>
                <w:color w:val="000000"/>
                <w:sz w:val="22"/>
                <w:szCs w:val="22"/>
              </w:rPr>
            </w:pPr>
            <w:r>
              <w:rPr>
                <w:rFonts w:hint="eastAsia"/>
                <w:color w:val="000000"/>
                <w:sz w:val="22"/>
                <w:szCs w:val="22"/>
              </w:rPr>
              <w:t>7</w:t>
            </w:r>
          </w:p>
        </w:tc>
        <w:tc>
          <w:tcPr>
            <w:tcW w:w="6662" w:type="dxa"/>
            <w:tcBorders>
              <w:top w:val="single" w:sz="4" w:space="0" w:color="auto"/>
              <w:left w:val="single" w:sz="4" w:space="0" w:color="auto"/>
              <w:bottom w:val="single" w:sz="4" w:space="0" w:color="auto"/>
              <w:right w:val="single" w:sz="4" w:space="0" w:color="auto"/>
            </w:tcBorders>
            <w:vAlign w:val="bottom"/>
          </w:tcPr>
          <w:p w14:paraId="6F6FB217" w14:textId="2F535EDD" w:rsidR="00566744" w:rsidRDefault="00000000">
            <w:pPr>
              <w:rPr>
                <w:color w:val="000000"/>
                <w:sz w:val="22"/>
                <w:szCs w:val="22"/>
              </w:rPr>
            </w:pPr>
            <w:r>
              <w:rPr>
                <w:rFonts w:ascii="宋体" w:hAnsi="宋体" w:cs="宋体" w:hint="eastAsia"/>
                <w:color w:val="000000"/>
                <w:kern w:val="0"/>
                <w:sz w:val="22"/>
                <w:szCs w:val="22"/>
                <w:lang w:bidi="ar"/>
              </w:rPr>
              <w:t>富荣基金管理有限公司关于旗下部分公开募集证券投资基金更新招募说明书及产品资料概要的提示性公告</w:t>
            </w:r>
          </w:p>
        </w:tc>
        <w:tc>
          <w:tcPr>
            <w:tcW w:w="2126" w:type="dxa"/>
            <w:tcBorders>
              <w:top w:val="single" w:sz="4" w:space="0" w:color="auto"/>
              <w:left w:val="single" w:sz="4" w:space="0" w:color="auto"/>
              <w:bottom w:val="single" w:sz="4" w:space="0" w:color="auto"/>
              <w:right w:val="single" w:sz="4" w:space="0" w:color="auto"/>
            </w:tcBorders>
            <w:vAlign w:val="center"/>
          </w:tcPr>
          <w:p w14:paraId="2B1013DE" w14:textId="6E38483A" w:rsidR="00566744" w:rsidRDefault="00000000">
            <w:pPr>
              <w:jc w:val="center"/>
              <w:rPr>
                <w:color w:val="000000"/>
                <w:sz w:val="22"/>
                <w:szCs w:val="22"/>
              </w:rPr>
            </w:pPr>
            <w:r>
              <w:rPr>
                <w:rFonts w:ascii="宋体" w:hAnsi="宋体" w:cs="宋体" w:hint="eastAsia"/>
                <w:color w:val="000000"/>
                <w:kern w:val="0"/>
                <w:sz w:val="22"/>
                <w:szCs w:val="22"/>
                <w:lang w:bidi="ar"/>
              </w:rPr>
              <w:t>2025年7月24日</w:t>
            </w:r>
          </w:p>
        </w:tc>
      </w:tr>
      <w:tr w:rsidR="00566744" w14:paraId="00BBEF9E"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2C5C70B5" w14:textId="0037C69F" w:rsidR="00566744" w:rsidRDefault="00000000">
            <w:pPr>
              <w:rPr>
                <w:color w:val="000000"/>
                <w:sz w:val="22"/>
                <w:szCs w:val="22"/>
              </w:rPr>
            </w:pPr>
            <w:r>
              <w:rPr>
                <w:rFonts w:hint="eastAsia"/>
                <w:color w:val="000000"/>
                <w:sz w:val="22"/>
                <w:szCs w:val="22"/>
              </w:rPr>
              <w:t>8</w:t>
            </w:r>
          </w:p>
        </w:tc>
        <w:tc>
          <w:tcPr>
            <w:tcW w:w="6662" w:type="dxa"/>
            <w:tcBorders>
              <w:top w:val="single" w:sz="4" w:space="0" w:color="auto"/>
              <w:left w:val="single" w:sz="4" w:space="0" w:color="auto"/>
              <w:bottom w:val="single" w:sz="4" w:space="0" w:color="auto"/>
              <w:right w:val="single" w:sz="4" w:space="0" w:color="auto"/>
            </w:tcBorders>
            <w:vAlign w:val="bottom"/>
          </w:tcPr>
          <w:p w14:paraId="715C94C3" w14:textId="76CB6473" w:rsidR="00566744" w:rsidRDefault="00000000">
            <w:pPr>
              <w:rPr>
                <w:color w:val="000000"/>
                <w:sz w:val="22"/>
                <w:szCs w:val="22"/>
              </w:rPr>
            </w:pPr>
            <w:r>
              <w:rPr>
                <w:rFonts w:ascii="宋体" w:hAnsi="宋体" w:cs="宋体" w:hint="eastAsia"/>
                <w:color w:val="000000"/>
                <w:kern w:val="0"/>
                <w:sz w:val="22"/>
                <w:szCs w:val="22"/>
                <w:lang w:bidi="ar"/>
              </w:rPr>
              <w:t>富荣货币市场基金暂停部分代销机构大额申购（含转换转入、定期定额投资）业务的公告</w:t>
            </w:r>
          </w:p>
        </w:tc>
        <w:tc>
          <w:tcPr>
            <w:tcW w:w="2126" w:type="dxa"/>
            <w:tcBorders>
              <w:top w:val="single" w:sz="4" w:space="0" w:color="auto"/>
              <w:left w:val="single" w:sz="4" w:space="0" w:color="auto"/>
              <w:bottom w:val="single" w:sz="4" w:space="0" w:color="auto"/>
              <w:right w:val="single" w:sz="4" w:space="0" w:color="auto"/>
            </w:tcBorders>
            <w:vAlign w:val="center"/>
          </w:tcPr>
          <w:p w14:paraId="07C3E1D9" w14:textId="51B0298B" w:rsidR="00566744" w:rsidRDefault="00000000">
            <w:pPr>
              <w:jc w:val="center"/>
              <w:rPr>
                <w:color w:val="000000"/>
                <w:sz w:val="22"/>
                <w:szCs w:val="22"/>
              </w:rPr>
            </w:pPr>
            <w:r>
              <w:rPr>
                <w:rFonts w:ascii="宋体" w:hAnsi="宋体" w:cs="宋体" w:hint="eastAsia"/>
                <w:color w:val="000000"/>
                <w:kern w:val="0"/>
                <w:sz w:val="22"/>
                <w:szCs w:val="22"/>
                <w:lang w:bidi="ar"/>
              </w:rPr>
              <w:t>2025年7月30日</w:t>
            </w:r>
          </w:p>
        </w:tc>
      </w:tr>
      <w:tr w:rsidR="00566744" w14:paraId="1CD2395E"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44E43333" w14:textId="6E36A551" w:rsidR="00566744" w:rsidRDefault="00000000">
            <w:pPr>
              <w:rPr>
                <w:color w:val="000000"/>
                <w:sz w:val="22"/>
                <w:szCs w:val="22"/>
              </w:rPr>
            </w:pPr>
            <w:r>
              <w:rPr>
                <w:rFonts w:hint="eastAsia"/>
                <w:color w:val="000000"/>
                <w:sz w:val="22"/>
                <w:szCs w:val="22"/>
              </w:rPr>
              <w:t>9</w:t>
            </w:r>
          </w:p>
        </w:tc>
        <w:tc>
          <w:tcPr>
            <w:tcW w:w="6662" w:type="dxa"/>
            <w:tcBorders>
              <w:top w:val="single" w:sz="4" w:space="0" w:color="auto"/>
              <w:left w:val="single" w:sz="4" w:space="0" w:color="auto"/>
              <w:bottom w:val="single" w:sz="4" w:space="0" w:color="auto"/>
              <w:right w:val="single" w:sz="4" w:space="0" w:color="auto"/>
            </w:tcBorders>
            <w:vAlign w:val="bottom"/>
          </w:tcPr>
          <w:p w14:paraId="018D0B37" w14:textId="4170FCE0" w:rsidR="00566744" w:rsidRDefault="00000000">
            <w:pPr>
              <w:rPr>
                <w:color w:val="000000"/>
                <w:sz w:val="22"/>
                <w:szCs w:val="22"/>
              </w:rPr>
            </w:pPr>
            <w:r>
              <w:rPr>
                <w:rFonts w:ascii="宋体" w:hAnsi="宋体" w:cs="宋体" w:hint="eastAsia"/>
                <w:color w:val="000000"/>
                <w:kern w:val="0"/>
                <w:sz w:val="22"/>
                <w:szCs w:val="22"/>
                <w:lang w:bidi="ar"/>
              </w:rPr>
              <w:t>富荣货币市场基金招募说明书更新及产品资料概要更新的提示性公告</w:t>
            </w:r>
          </w:p>
        </w:tc>
        <w:tc>
          <w:tcPr>
            <w:tcW w:w="2126" w:type="dxa"/>
            <w:tcBorders>
              <w:top w:val="single" w:sz="4" w:space="0" w:color="auto"/>
              <w:left w:val="single" w:sz="4" w:space="0" w:color="auto"/>
              <w:bottom w:val="single" w:sz="4" w:space="0" w:color="auto"/>
              <w:right w:val="single" w:sz="4" w:space="0" w:color="auto"/>
            </w:tcBorders>
            <w:vAlign w:val="center"/>
          </w:tcPr>
          <w:p w14:paraId="1AF3FA33" w14:textId="1C6070D2" w:rsidR="00566744" w:rsidRDefault="00000000">
            <w:pPr>
              <w:jc w:val="center"/>
              <w:rPr>
                <w:color w:val="000000"/>
                <w:sz w:val="22"/>
                <w:szCs w:val="22"/>
              </w:rPr>
            </w:pPr>
            <w:r>
              <w:rPr>
                <w:rFonts w:ascii="宋体" w:hAnsi="宋体" w:cs="宋体" w:hint="eastAsia"/>
                <w:color w:val="000000"/>
                <w:kern w:val="0"/>
                <w:sz w:val="22"/>
                <w:szCs w:val="22"/>
                <w:lang w:bidi="ar"/>
              </w:rPr>
              <w:t>2025年8月1日</w:t>
            </w:r>
          </w:p>
        </w:tc>
      </w:tr>
      <w:tr w:rsidR="00566744" w14:paraId="187C1E5A"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47EF8B06" w14:textId="3AD4ED4C" w:rsidR="00566744" w:rsidRDefault="00000000">
            <w:pPr>
              <w:rPr>
                <w:color w:val="000000"/>
                <w:sz w:val="22"/>
                <w:szCs w:val="22"/>
              </w:rPr>
            </w:pPr>
            <w:r>
              <w:rPr>
                <w:rFonts w:hint="eastAsia"/>
                <w:color w:val="000000"/>
                <w:sz w:val="22"/>
                <w:szCs w:val="22"/>
              </w:rPr>
              <w:t>10</w:t>
            </w:r>
          </w:p>
        </w:tc>
        <w:tc>
          <w:tcPr>
            <w:tcW w:w="6662" w:type="dxa"/>
            <w:tcBorders>
              <w:top w:val="single" w:sz="4" w:space="0" w:color="auto"/>
              <w:left w:val="single" w:sz="4" w:space="0" w:color="auto"/>
              <w:bottom w:val="single" w:sz="4" w:space="0" w:color="auto"/>
              <w:right w:val="single" w:sz="4" w:space="0" w:color="auto"/>
            </w:tcBorders>
            <w:vAlign w:val="bottom"/>
          </w:tcPr>
          <w:p w14:paraId="4BB54C65" w14:textId="15A0619E" w:rsidR="00566744" w:rsidRDefault="00000000">
            <w:pPr>
              <w:rPr>
                <w:color w:val="000000"/>
                <w:sz w:val="22"/>
                <w:szCs w:val="22"/>
              </w:rPr>
            </w:pPr>
            <w:r>
              <w:rPr>
                <w:rFonts w:ascii="宋体" w:hAnsi="宋体" w:cs="宋体" w:hint="eastAsia"/>
                <w:color w:val="000000"/>
                <w:kern w:val="0"/>
                <w:sz w:val="22"/>
                <w:szCs w:val="22"/>
                <w:lang w:bidi="ar"/>
              </w:rPr>
              <w:t>富荣货币市场基金暂停部分代销机构大额申购（含转换转入、定期定额投资）业务的公告</w:t>
            </w:r>
          </w:p>
        </w:tc>
        <w:tc>
          <w:tcPr>
            <w:tcW w:w="2126" w:type="dxa"/>
            <w:tcBorders>
              <w:top w:val="single" w:sz="4" w:space="0" w:color="auto"/>
              <w:left w:val="single" w:sz="4" w:space="0" w:color="auto"/>
              <w:bottom w:val="single" w:sz="4" w:space="0" w:color="auto"/>
              <w:right w:val="single" w:sz="4" w:space="0" w:color="auto"/>
            </w:tcBorders>
            <w:vAlign w:val="center"/>
          </w:tcPr>
          <w:p w14:paraId="05408D5F" w14:textId="3F8BC091" w:rsidR="00566744" w:rsidRDefault="00000000">
            <w:pPr>
              <w:jc w:val="center"/>
              <w:rPr>
                <w:color w:val="000000"/>
                <w:sz w:val="22"/>
                <w:szCs w:val="22"/>
              </w:rPr>
            </w:pPr>
            <w:r>
              <w:rPr>
                <w:rFonts w:ascii="宋体" w:hAnsi="宋体" w:cs="宋体" w:hint="eastAsia"/>
                <w:color w:val="000000"/>
                <w:kern w:val="0"/>
                <w:sz w:val="22"/>
                <w:szCs w:val="22"/>
                <w:lang w:bidi="ar"/>
              </w:rPr>
              <w:t>2025年8月6日</w:t>
            </w:r>
          </w:p>
        </w:tc>
      </w:tr>
      <w:tr w:rsidR="00566744" w14:paraId="3B1AF9B9"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6CA515F2" w14:textId="6F674740" w:rsidR="00566744" w:rsidRDefault="00000000">
            <w:pPr>
              <w:rPr>
                <w:color w:val="000000"/>
                <w:sz w:val="22"/>
                <w:szCs w:val="22"/>
              </w:rPr>
            </w:pPr>
            <w:r>
              <w:rPr>
                <w:rFonts w:hint="eastAsia"/>
                <w:color w:val="000000"/>
                <w:sz w:val="22"/>
                <w:szCs w:val="22"/>
              </w:rPr>
              <w:t>11</w:t>
            </w:r>
          </w:p>
        </w:tc>
        <w:tc>
          <w:tcPr>
            <w:tcW w:w="6662" w:type="dxa"/>
            <w:tcBorders>
              <w:top w:val="single" w:sz="4" w:space="0" w:color="auto"/>
              <w:left w:val="single" w:sz="4" w:space="0" w:color="auto"/>
              <w:bottom w:val="single" w:sz="4" w:space="0" w:color="auto"/>
              <w:right w:val="single" w:sz="4" w:space="0" w:color="auto"/>
            </w:tcBorders>
            <w:vAlign w:val="bottom"/>
          </w:tcPr>
          <w:p w14:paraId="1447C80C" w14:textId="4E446E29" w:rsidR="00566744" w:rsidRDefault="00000000">
            <w:pPr>
              <w:rPr>
                <w:color w:val="000000"/>
                <w:sz w:val="22"/>
                <w:szCs w:val="22"/>
              </w:rPr>
            </w:pPr>
            <w:r>
              <w:rPr>
                <w:rFonts w:ascii="宋体" w:hAnsi="宋体" w:cs="宋体" w:hint="eastAsia"/>
                <w:color w:val="000000"/>
                <w:kern w:val="0"/>
                <w:sz w:val="22"/>
                <w:szCs w:val="22"/>
                <w:lang w:bidi="ar"/>
              </w:rPr>
              <w:t>富荣货币市场基金暂停部分代销机构大额申购（含转换转入、定期定额投资）业务的公告</w:t>
            </w:r>
          </w:p>
        </w:tc>
        <w:tc>
          <w:tcPr>
            <w:tcW w:w="2126" w:type="dxa"/>
            <w:tcBorders>
              <w:top w:val="single" w:sz="4" w:space="0" w:color="auto"/>
              <w:left w:val="single" w:sz="4" w:space="0" w:color="auto"/>
              <w:bottom w:val="single" w:sz="4" w:space="0" w:color="auto"/>
              <w:right w:val="single" w:sz="4" w:space="0" w:color="auto"/>
            </w:tcBorders>
            <w:vAlign w:val="center"/>
          </w:tcPr>
          <w:p w14:paraId="20D233D3" w14:textId="568445E7" w:rsidR="00566744" w:rsidRDefault="00000000">
            <w:pPr>
              <w:jc w:val="center"/>
              <w:rPr>
                <w:color w:val="000000"/>
                <w:sz w:val="22"/>
                <w:szCs w:val="22"/>
              </w:rPr>
            </w:pPr>
            <w:r>
              <w:rPr>
                <w:rFonts w:ascii="宋体" w:hAnsi="宋体" w:cs="宋体" w:hint="eastAsia"/>
                <w:color w:val="000000"/>
                <w:kern w:val="0"/>
                <w:sz w:val="22"/>
                <w:szCs w:val="22"/>
                <w:lang w:bidi="ar"/>
              </w:rPr>
              <w:t>2025年8月13日</w:t>
            </w:r>
          </w:p>
        </w:tc>
      </w:tr>
      <w:tr w:rsidR="00566744" w14:paraId="3E89CF27"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14EB0068" w14:textId="2B7A9CB1" w:rsidR="00566744" w:rsidRDefault="00000000">
            <w:pPr>
              <w:rPr>
                <w:color w:val="000000"/>
                <w:sz w:val="22"/>
                <w:szCs w:val="22"/>
              </w:rPr>
            </w:pPr>
            <w:r>
              <w:rPr>
                <w:rFonts w:hint="eastAsia"/>
                <w:color w:val="000000"/>
                <w:sz w:val="22"/>
                <w:szCs w:val="22"/>
              </w:rPr>
              <w:t>12</w:t>
            </w:r>
          </w:p>
        </w:tc>
        <w:tc>
          <w:tcPr>
            <w:tcW w:w="6662" w:type="dxa"/>
            <w:tcBorders>
              <w:top w:val="single" w:sz="4" w:space="0" w:color="auto"/>
              <w:left w:val="single" w:sz="4" w:space="0" w:color="auto"/>
              <w:bottom w:val="single" w:sz="4" w:space="0" w:color="auto"/>
              <w:right w:val="single" w:sz="4" w:space="0" w:color="auto"/>
            </w:tcBorders>
            <w:vAlign w:val="bottom"/>
          </w:tcPr>
          <w:p w14:paraId="167B533A" w14:textId="279ACD54" w:rsidR="00566744" w:rsidRDefault="00000000">
            <w:pPr>
              <w:rPr>
                <w:color w:val="000000"/>
                <w:sz w:val="22"/>
                <w:szCs w:val="22"/>
              </w:rPr>
            </w:pPr>
            <w:r>
              <w:rPr>
                <w:rFonts w:ascii="宋体" w:hAnsi="宋体" w:cs="宋体" w:hint="eastAsia"/>
                <w:color w:val="000000"/>
                <w:kern w:val="0"/>
                <w:sz w:val="22"/>
                <w:szCs w:val="22"/>
                <w:lang w:bidi="ar"/>
              </w:rPr>
              <w:t>富荣货币市场基金暂停部分代销机构大额申购（含转换转入、定期定额投资）业务的公告</w:t>
            </w:r>
          </w:p>
        </w:tc>
        <w:tc>
          <w:tcPr>
            <w:tcW w:w="2126" w:type="dxa"/>
            <w:tcBorders>
              <w:top w:val="single" w:sz="4" w:space="0" w:color="auto"/>
              <w:left w:val="single" w:sz="4" w:space="0" w:color="auto"/>
              <w:bottom w:val="single" w:sz="4" w:space="0" w:color="auto"/>
              <w:right w:val="single" w:sz="4" w:space="0" w:color="auto"/>
            </w:tcBorders>
            <w:vAlign w:val="center"/>
          </w:tcPr>
          <w:p w14:paraId="14348973" w14:textId="105ED8DE" w:rsidR="00566744" w:rsidRDefault="00000000">
            <w:pPr>
              <w:jc w:val="center"/>
              <w:rPr>
                <w:color w:val="000000"/>
                <w:sz w:val="22"/>
                <w:szCs w:val="22"/>
              </w:rPr>
            </w:pPr>
            <w:r>
              <w:rPr>
                <w:rFonts w:ascii="宋体" w:hAnsi="宋体" w:cs="宋体" w:hint="eastAsia"/>
                <w:color w:val="000000"/>
                <w:kern w:val="0"/>
                <w:sz w:val="22"/>
                <w:szCs w:val="22"/>
                <w:lang w:bidi="ar"/>
              </w:rPr>
              <w:t>2025年8月20日</w:t>
            </w:r>
          </w:p>
        </w:tc>
      </w:tr>
      <w:tr w:rsidR="00566744" w14:paraId="2274A43D"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47DCE4DB" w14:textId="21B27C57" w:rsidR="00566744" w:rsidRDefault="00000000">
            <w:pPr>
              <w:rPr>
                <w:color w:val="000000"/>
                <w:sz w:val="22"/>
                <w:szCs w:val="22"/>
              </w:rPr>
            </w:pPr>
            <w:r>
              <w:rPr>
                <w:rFonts w:hint="eastAsia"/>
                <w:color w:val="000000"/>
                <w:sz w:val="22"/>
                <w:szCs w:val="22"/>
              </w:rPr>
              <w:t>13</w:t>
            </w:r>
          </w:p>
        </w:tc>
        <w:tc>
          <w:tcPr>
            <w:tcW w:w="6662" w:type="dxa"/>
            <w:tcBorders>
              <w:top w:val="single" w:sz="4" w:space="0" w:color="auto"/>
              <w:left w:val="single" w:sz="4" w:space="0" w:color="auto"/>
              <w:bottom w:val="single" w:sz="4" w:space="0" w:color="auto"/>
              <w:right w:val="single" w:sz="4" w:space="0" w:color="auto"/>
            </w:tcBorders>
            <w:vAlign w:val="bottom"/>
          </w:tcPr>
          <w:p w14:paraId="00448FA9" w14:textId="6A397D46" w:rsidR="00566744" w:rsidRDefault="00000000">
            <w:pPr>
              <w:rPr>
                <w:color w:val="000000"/>
                <w:sz w:val="22"/>
                <w:szCs w:val="22"/>
              </w:rPr>
            </w:pPr>
            <w:r>
              <w:rPr>
                <w:rFonts w:ascii="宋体" w:hAnsi="宋体" w:cs="宋体" w:hint="eastAsia"/>
                <w:color w:val="000000"/>
                <w:kern w:val="0"/>
                <w:sz w:val="22"/>
                <w:szCs w:val="22"/>
                <w:lang w:bidi="ar"/>
              </w:rPr>
              <w:t>富荣货币市场基金暂停部分代销机构大额申购（含转换转入、定期定额投资）业务的公告</w:t>
            </w:r>
          </w:p>
        </w:tc>
        <w:tc>
          <w:tcPr>
            <w:tcW w:w="2126" w:type="dxa"/>
            <w:tcBorders>
              <w:top w:val="single" w:sz="4" w:space="0" w:color="auto"/>
              <w:left w:val="single" w:sz="4" w:space="0" w:color="auto"/>
              <w:bottom w:val="single" w:sz="4" w:space="0" w:color="auto"/>
              <w:right w:val="single" w:sz="4" w:space="0" w:color="auto"/>
            </w:tcBorders>
            <w:vAlign w:val="center"/>
          </w:tcPr>
          <w:p w14:paraId="614801A9" w14:textId="732545CA" w:rsidR="00566744" w:rsidRDefault="00000000">
            <w:pPr>
              <w:jc w:val="center"/>
              <w:rPr>
                <w:color w:val="000000"/>
                <w:sz w:val="22"/>
                <w:szCs w:val="22"/>
              </w:rPr>
            </w:pPr>
            <w:r>
              <w:rPr>
                <w:rFonts w:ascii="宋体" w:hAnsi="宋体" w:cs="宋体" w:hint="eastAsia"/>
                <w:color w:val="000000"/>
                <w:kern w:val="0"/>
                <w:sz w:val="22"/>
                <w:szCs w:val="22"/>
                <w:lang w:bidi="ar"/>
              </w:rPr>
              <w:t>2025年8月27日</w:t>
            </w:r>
          </w:p>
        </w:tc>
      </w:tr>
      <w:tr w:rsidR="00566744" w14:paraId="1FD761A8"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6FCD72FA" w14:textId="77F353F6" w:rsidR="00566744" w:rsidRDefault="00000000">
            <w:pPr>
              <w:rPr>
                <w:color w:val="000000"/>
                <w:sz w:val="22"/>
                <w:szCs w:val="22"/>
              </w:rPr>
            </w:pPr>
            <w:r>
              <w:rPr>
                <w:rFonts w:hint="eastAsia"/>
                <w:color w:val="000000"/>
                <w:sz w:val="22"/>
                <w:szCs w:val="22"/>
              </w:rPr>
              <w:t>14</w:t>
            </w:r>
          </w:p>
        </w:tc>
        <w:tc>
          <w:tcPr>
            <w:tcW w:w="6662" w:type="dxa"/>
            <w:tcBorders>
              <w:top w:val="single" w:sz="4" w:space="0" w:color="auto"/>
              <w:left w:val="single" w:sz="4" w:space="0" w:color="auto"/>
              <w:bottom w:val="single" w:sz="4" w:space="0" w:color="auto"/>
              <w:right w:val="single" w:sz="4" w:space="0" w:color="auto"/>
            </w:tcBorders>
            <w:vAlign w:val="bottom"/>
          </w:tcPr>
          <w:p w14:paraId="37C0D137" w14:textId="2A7E705A" w:rsidR="00566744" w:rsidRDefault="00000000">
            <w:pPr>
              <w:rPr>
                <w:color w:val="000000"/>
                <w:sz w:val="22"/>
                <w:szCs w:val="22"/>
              </w:rPr>
            </w:pPr>
            <w:r>
              <w:rPr>
                <w:rFonts w:ascii="宋体" w:hAnsi="宋体" w:cs="宋体" w:hint="eastAsia"/>
                <w:color w:val="000000"/>
                <w:kern w:val="0"/>
                <w:sz w:val="22"/>
                <w:szCs w:val="22"/>
                <w:lang w:bidi="ar"/>
              </w:rPr>
              <w:t>富荣基金管理有限公司旗下全部基金2025年中期报告提示性公告</w:t>
            </w:r>
          </w:p>
        </w:tc>
        <w:tc>
          <w:tcPr>
            <w:tcW w:w="2126" w:type="dxa"/>
            <w:tcBorders>
              <w:top w:val="single" w:sz="4" w:space="0" w:color="auto"/>
              <w:left w:val="single" w:sz="4" w:space="0" w:color="auto"/>
              <w:bottom w:val="single" w:sz="4" w:space="0" w:color="auto"/>
              <w:right w:val="single" w:sz="4" w:space="0" w:color="auto"/>
            </w:tcBorders>
            <w:vAlign w:val="center"/>
          </w:tcPr>
          <w:p w14:paraId="7B26F023" w14:textId="19870767" w:rsidR="00566744" w:rsidRDefault="00000000">
            <w:pPr>
              <w:jc w:val="center"/>
              <w:rPr>
                <w:color w:val="000000"/>
                <w:sz w:val="22"/>
                <w:szCs w:val="22"/>
              </w:rPr>
            </w:pPr>
            <w:r>
              <w:rPr>
                <w:rFonts w:ascii="宋体" w:hAnsi="宋体" w:cs="宋体" w:hint="eastAsia"/>
                <w:color w:val="000000"/>
                <w:kern w:val="0"/>
                <w:sz w:val="22"/>
                <w:szCs w:val="22"/>
                <w:lang w:bidi="ar"/>
              </w:rPr>
              <w:t>2025年8月30日</w:t>
            </w:r>
          </w:p>
        </w:tc>
      </w:tr>
      <w:tr w:rsidR="00566744" w14:paraId="191A21B9"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24CA3616" w14:textId="6C33CAD0" w:rsidR="00566744" w:rsidRDefault="00000000">
            <w:pPr>
              <w:rPr>
                <w:color w:val="000000"/>
                <w:sz w:val="22"/>
                <w:szCs w:val="22"/>
              </w:rPr>
            </w:pPr>
            <w:r>
              <w:rPr>
                <w:rFonts w:hint="eastAsia"/>
                <w:color w:val="000000"/>
                <w:sz w:val="22"/>
                <w:szCs w:val="22"/>
              </w:rPr>
              <w:t>15</w:t>
            </w:r>
          </w:p>
        </w:tc>
        <w:tc>
          <w:tcPr>
            <w:tcW w:w="6662" w:type="dxa"/>
            <w:tcBorders>
              <w:top w:val="single" w:sz="4" w:space="0" w:color="auto"/>
              <w:left w:val="single" w:sz="4" w:space="0" w:color="auto"/>
              <w:bottom w:val="single" w:sz="4" w:space="0" w:color="auto"/>
              <w:right w:val="single" w:sz="4" w:space="0" w:color="auto"/>
            </w:tcBorders>
            <w:vAlign w:val="bottom"/>
          </w:tcPr>
          <w:p w14:paraId="7C89AB7A" w14:textId="19F889F2" w:rsidR="00566744" w:rsidRDefault="00000000">
            <w:pPr>
              <w:rPr>
                <w:color w:val="000000"/>
                <w:sz w:val="22"/>
                <w:szCs w:val="22"/>
              </w:rPr>
            </w:pPr>
            <w:r>
              <w:rPr>
                <w:rFonts w:ascii="宋体" w:hAnsi="宋体" w:cs="宋体" w:hint="eastAsia"/>
                <w:color w:val="000000"/>
                <w:kern w:val="0"/>
                <w:sz w:val="22"/>
                <w:szCs w:val="22"/>
                <w:lang w:bidi="ar"/>
              </w:rPr>
              <w:t>富荣货币市场基金暂停部分代销机构大额申购（含转换转入、定期定额投资）业务的公告</w:t>
            </w:r>
          </w:p>
        </w:tc>
        <w:tc>
          <w:tcPr>
            <w:tcW w:w="2126" w:type="dxa"/>
            <w:tcBorders>
              <w:top w:val="single" w:sz="4" w:space="0" w:color="auto"/>
              <w:left w:val="single" w:sz="4" w:space="0" w:color="auto"/>
              <w:bottom w:val="single" w:sz="4" w:space="0" w:color="auto"/>
              <w:right w:val="single" w:sz="4" w:space="0" w:color="auto"/>
            </w:tcBorders>
            <w:vAlign w:val="center"/>
          </w:tcPr>
          <w:p w14:paraId="48845E15" w14:textId="009278FE" w:rsidR="00566744" w:rsidRDefault="00000000">
            <w:pPr>
              <w:jc w:val="center"/>
              <w:rPr>
                <w:color w:val="000000"/>
                <w:sz w:val="22"/>
                <w:szCs w:val="22"/>
              </w:rPr>
            </w:pPr>
            <w:r>
              <w:rPr>
                <w:rFonts w:ascii="宋体" w:hAnsi="宋体" w:cs="宋体" w:hint="eastAsia"/>
                <w:color w:val="000000"/>
                <w:kern w:val="0"/>
                <w:sz w:val="22"/>
                <w:szCs w:val="22"/>
                <w:lang w:bidi="ar"/>
              </w:rPr>
              <w:t>2025年9月3日</w:t>
            </w:r>
          </w:p>
        </w:tc>
      </w:tr>
      <w:tr w:rsidR="00566744" w14:paraId="03561D39"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1A8C84BC" w14:textId="0E386618" w:rsidR="00566744" w:rsidRDefault="00000000">
            <w:pPr>
              <w:rPr>
                <w:color w:val="000000"/>
                <w:sz w:val="22"/>
                <w:szCs w:val="22"/>
              </w:rPr>
            </w:pPr>
            <w:r>
              <w:rPr>
                <w:rFonts w:hint="eastAsia"/>
                <w:color w:val="000000"/>
                <w:sz w:val="22"/>
                <w:szCs w:val="22"/>
              </w:rPr>
              <w:t>16</w:t>
            </w:r>
          </w:p>
        </w:tc>
        <w:tc>
          <w:tcPr>
            <w:tcW w:w="6662" w:type="dxa"/>
            <w:tcBorders>
              <w:top w:val="single" w:sz="4" w:space="0" w:color="auto"/>
              <w:left w:val="single" w:sz="4" w:space="0" w:color="auto"/>
              <w:bottom w:val="single" w:sz="4" w:space="0" w:color="auto"/>
              <w:right w:val="single" w:sz="4" w:space="0" w:color="auto"/>
            </w:tcBorders>
            <w:vAlign w:val="bottom"/>
          </w:tcPr>
          <w:p w14:paraId="1BCCE190" w14:textId="24B15494" w:rsidR="00566744" w:rsidRDefault="00000000">
            <w:pPr>
              <w:rPr>
                <w:color w:val="000000"/>
                <w:sz w:val="22"/>
                <w:szCs w:val="22"/>
              </w:rPr>
            </w:pPr>
            <w:r>
              <w:rPr>
                <w:rFonts w:ascii="宋体" w:hAnsi="宋体" w:cs="宋体" w:hint="eastAsia"/>
                <w:color w:val="000000"/>
                <w:kern w:val="0"/>
                <w:sz w:val="22"/>
                <w:szCs w:val="22"/>
                <w:lang w:bidi="ar"/>
              </w:rPr>
              <w:t>富荣货币市场基金暂停部分代销机构大额申购（含转换转入、定期定额投资）业务的公告</w:t>
            </w:r>
          </w:p>
        </w:tc>
        <w:tc>
          <w:tcPr>
            <w:tcW w:w="2126" w:type="dxa"/>
            <w:tcBorders>
              <w:top w:val="single" w:sz="4" w:space="0" w:color="auto"/>
              <w:left w:val="single" w:sz="4" w:space="0" w:color="auto"/>
              <w:bottom w:val="single" w:sz="4" w:space="0" w:color="auto"/>
              <w:right w:val="single" w:sz="4" w:space="0" w:color="auto"/>
            </w:tcBorders>
            <w:vAlign w:val="center"/>
          </w:tcPr>
          <w:p w14:paraId="1DF60CCF" w14:textId="27010174" w:rsidR="00566744" w:rsidRDefault="00000000">
            <w:pPr>
              <w:jc w:val="center"/>
              <w:rPr>
                <w:color w:val="000000"/>
                <w:sz w:val="22"/>
                <w:szCs w:val="22"/>
              </w:rPr>
            </w:pPr>
            <w:r>
              <w:rPr>
                <w:rFonts w:ascii="宋体" w:hAnsi="宋体" w:cs="宋体" w:hint="eastAsia"/>
                <w:color w:val="000000"/>
                <w:kern w:val="0"/>
                <w:sz w:val="22"/>
                <w:szCs w:val="22"/>
                <w:lang w:bidi="ar"/>
              </w:rPr>
              <w:t>2025年9月10日</w:t>
            </w:r>
          </w:p>
        </w:tc>
      </w:tr>
      <w:tr w:rsidR="00566744" w14:paraId="13ACB328"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19ABB3C7" w14:textId="6CA18E30" w:rsidR="00566744" w:rsidRDefault="00000000">
            <w:pPr>
              <w:rPr>
                <w:color w:val="000000"/>
                <w:sz w:val="22"/>
                <w:szCs w:val="22"/>
              </w:rPr>
            </w:pPr>
            <w:r>
              <w:rPr>
                <w:rFonts w:hint="eastAsia"/>
                <w:color w:val="000000"/>
                <w:sz w:val="22"/>
                <w:szCs w:val="22"/>
              </w:rPr>
              <w:t>17</w:t>
            </w:r>
          </w:p>
        </w:tc>
        <w:tc>
          <w:tcPr>
            <w:tcW w:w="6662" w:type="dxa"/>
            <w:tcBorders>
              <w:top w:val="single" w:sz="4" w:space="0" w:color="auto"/>
              <w:left w:val="single" w:sz="4" w:space="0" w:color="auto"/>
              <w:bottom w:val="single" w:sz="4" w:space="0" w:color="auto"/>
              <w:right w:val="single" w:sz="4" w:space="0" w:color="auto"/>
            </w:tcBorders>
            <w:vAlign w:val="bottom"/>
          </w:tcPr>
          <w:p w14:paraId="6B1CA93D" w14:textId="0CD8B97B" w:rsidR="00566744" w:rsidRDefault="00000000">
            <w:pPr>
              <w:rPr>
                <w:color w:val="000000"/>
                <w:sz w:val="22"/>
                <w:szCs w:val="22"/>
              </w:rPr>
            </w:pPr>
            <w:r>
              <w:rPr>
                <w:rFonts w:ascii="宋体" w:hAnsi="宋体" w:cs="宋体" w:hint="eastAsia"/>
                <w:color w:val="000000"/>
                <w:kern w:val="0"/>
                <w:sz w:val="22"/>
                <w:szCs w:val="22"/>
                <w:lang w:bidi="ar"/>
              </w:rPr>
              <w:t>富荣货币市场基金暂停部分代销机构大额申购（含转换转入、定期定额投资）业务的公告</w:t>
            </w:r>
          </w:p>
        </w:tc>
        <w:tc>
          <w:tcPr>
            <w:tcW w:w="2126" w:type="dxa"/>
            <w:tcBorders>
              <w:top w:val="single" w:sz="4" w:space="0" w:color="auto"/>
              <w:left w:val="single" w:sz="4" w:space="0" w:color="auto"/>
              <w:bottom w:val="single" w:sz="4" w:space="0" w:color="auto"/>
              <w:right w:val="single" w:sz="4" w:space="0" w:color="auto"/>
            </w:tcBorders>
            <w:vAlign w:val="center"/>
          </w:tcPr>
          <w:p w14:paraId="45958218" w14:textId="307B104A" w:rsidR="00566744" w:rsidRDefault="00000000">
            <w:pPr>
              <w:jc w:val="center"/>
              <w:rPr>
                <w:color w:val="000000"/>
                <w:sz w:val="22"/>
                <w:szCs w:val="22"/>
              </w:rPr>
            </w:pPr>
            <w:r>
              <w:rPr>
                <w:rFonts w:ascii="宋体" w:hAnsi="宋体" w:cs="宋体" w:hint="eastAsia"/>
                <w:color w:val="000000"/>
                <w:kern w:val="0"/>
                <w:sz w:val="22"/>
                <w:szCs w:val="22"/>
                <w:lang w:bidi="ar"/>
              </w:rPr>
              <w:t>2025年9月17日</w:t>
            </w:r>
          </w:p>
        </w:tc>
      </w:tr>
      <w:tr w:rsidR="00566744" w14:paraId="3264C0EB"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6361B03D" w14:textId="7C2CAE70" w:rsidR="00566744" w:rsidRDefault="00000000">
            <w:pPr>
              <w:rPr>
                <w:color w:val="000000"/>
                <w:sz w:val="22"/>
                <w:szCs w:val="22"/>
              </w:rPr>
            </w:pPr>
            <w:r>
              <w:rPr>
                <w:rFonts w:hint="eastAsia"/>
                <w:color w:val="000000"/>
                <w:sz w:val="22"/>
                <w:szCs w:val="22"/>
              </w:rPr>
              <w:t>18</w:t>
            </w:r>
          </w:p>
        </w:tc>
        <w:tc>
          <w:tcPr>
            <w:tcW w:w="6662" w:type="dxa"/>
            <w:tcBorders>
              <w:top w:val="single" w:sz="4" w:space="0" w:color="auto"/>
              <w:left w:val="single" w:sz="4" w:space="0" w:color="auto"/>
              <w:bottom w:val="single" w:sz="4" w:space="0" w:color="auto"/>
              <w:right w:val="single" w:sz="4" w:space="0" w:color="auto"/>
            </w:tcBorders>
            <w:vAlign w:val="bottom"/>
          </w:tcPr>
          <w:p w14:paraId="35B30288" w14:textId="592CEA6F" w:rsidR="00566744" w:rsidRDefault="00000000">
            <w:pPr>
              <w:rPr>
                <w:color w:val="000000"/>
                <w:sz w:val="22"/>
                <w:szCs w:val="22"/>
              </w:rPr>
            </w:pPr>
            <w:r>
              <w:rPr>
                <w:rFonts w:ascii="宋体" w:hAnsi="宋体" w:cs="宋体" w:hint="eastAsia"/>
                <w:color w:val="000000"/>
                <w:kern w:val="0"/>
                <w:sz w:val="22"/>
                <w:szCs w:val="22"/>
                <w:lang w:bidi="ar"/>
              </w:rPr>
              <w:t>富荣货币市场基金2025年“国庆”假期前暂停部分代销机构大额申购（含转换转入、定期定额投资）业务的公告</w:t>
            </w:r>
          </w:p>
        </w:tc>
        <w:tc>
          <w:tcPr>
            <w:tcW w:w="2126" w:type="dxa"/>
            <w:tcBorders>
              <w:top w:val="single" w:sz="4" w:space="0" w:color="auto"/>
              <w:left w:val="single" w:sz="4" w:space="0" w:color="auto"/>
              <w:bottom w:val="single" w:sz="4" w:space="0" w:color="auto"/>
              <w:right w:val="single" w:sz="4" w:space="0" w:color="auto"/>
            </w:tcBorders>
            <w:vAlign w:val="center"/>
          </w:tcPr>
          <w:p w14:paraId="2F74E43D" w14:textId="5C70C828" w:rsidR="00566744" w:rsidRDefault="00000000">
            <w:pPr>
              <w:jc w:val="center"/>
              <w:rPr>
                <w:color w:val="000000"/>
                <w:sz w:val="22"/>
                <w:szCs w:val="22"/>
              </w:rPr>
            </w:pPr>
            <w:r>
              <w:rPr>
                <w:rFonts w:ascii="宋体" w:hAnsi="宋体" w:cs="宋体" w:hint="eastAsia"/>
                <w:color w:val="000000"/>
                <w:kern w:val="0"/>
                <w:sz w:val="22"/>
                <w:szCs w:val="22"/>
                <w:lang w:bidi="ar"/>
              </w:rPr>
              <w:t>2025年9月27日</w:t>
            </w:r>
          </w:p>
        </w:tc>
      </w:tr>
      <w:tr w:rsidR="00566744" w14:paraId="2DE1F091"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5E49B928" w14:textId="6DBB8A8F" w:rsidR="00566744" w:rsidRDefault="00000000">
            <w:pPr>
              <w:rPr>
                <w:color w:val="000000"/>
                <w:sz w:val="22"/>
                <w:szCs w:val="22"/>
              </w:rPr>
            </w:pPr>
            <w:r>
              <w:rPr>
                <w:rFonts w:hint="eastAsia"/>
                <w:color w:val="000000"/>
                <w:sz w:val="22"/>
                <w:szCs w:val="22"/>
              </w:rPr>
              <w:t>19</w:t>
            </w:r>
          </w:p>
        </w:tc>
        <w:tc>
          <w:tcPr>
            <w:tcW w:w="6662" w:type="dxa"/>
            <w:tcBorders>
              <w:top w:val="single" w:sz="4" w:space="0" w:color="auto"/>
              <w:left w:val="single" w:sz="4" w:space="0" w:color="auto"/>
              <w:bottom w:val="single" w:sz="4" w:space="0" w:color="auto"/>
              <w:right w:val="single" w:sz="4" w:space="0" w:color="auto"/>
            </w:tcBorders>
            <w:vAlign w:val="bottom"/>
          </w:tcPr>
          <w:p w14:paraId="4D511FCD" w14:textId="4EBF7C98" w:rsidR="00566744" w:rsidRDefault="00000000">
            <w:pPr>
              <w:rPr>
                <w:color w:val="000000"/>
                <w:sz w:val="22"/>
                <w:szCs w:val="22"/>
              </w:rPr>
            </w:pPr>
            <w:r>
              <w:rPr>
                <w:rFonts w:ascii="宋体" w:hAnsi="宋体" w:cs="宋体" w:hint="eastAsia"/>
                <w:color w:val="000000"/>
                <w:kern w:val="0"/>
                <w:sz w:val="22"/>
                <w:szCs w:val="22"/>
                <w:lang w:bidi="ar"/>
              </w:rPr>
              <w:t>富荣货币市场基金暂停部分代销机构大额申购（含转换转入、定期定额投资）业务的公告</w:t>
            </w:r>
          </w:p>
        </w:tc>
        <w:tc>
          <w:tcPr>
            <w:tcW w:w="2126" w:type="dxa"/>
            <w:tcBorders>
              <w:top w:val="single" w:sz="4" w:space="0" w:color="auto"/>
              <w:left w:val="single" w:sz="4" w:space="0" w:color="auto"/>
              <w:bottom w:val="single" w:sz="4" w:space="0" w:color="auto"/>
              <w:right w:val="single" w:sz="4" w:space="0" w:color="auto"/>
            </w:tcBorders>
            <w:vAlign w:val="center"/>
          </w:tcPr>
          <w:p w14:paraId="3C3DE75F" w14:textId="7CD5D371" w:rsidR="00566744" w:rsidRDefault="00000000">
            <w:pPr>
              <w:jc w:val="center"/>
              <w:rPr>
                <w:color w:val="000000"/>
                <w:sz w:val="22"/>
                <w:szCs w:val="22"/>
              </w:rPr>
            </w:pPr>
            <w:r>
              <w:rPr>
                <w:rFonts w:ascii="宋体" w:hAnsi="宋体" w:cs="宋体" w:hint="eastAsia"/>
                <w:color w:val="000000"/>
                <w:kern w:val="0"/>
                <w:sz w:val="22"/>
                <w:szCs w:val="22"/>
                <w:lang w:bidi="ar"/>
              </w:rPr>
              <w:t>2025年9月30日</w:t>
            </w:r>
          </w:p>
        </w:tc>
      </w:tr>
      <w:tr w:rsidR="00566744" w14:paraId="7FE62C84"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4FD6C856" w14:textId="321DA431" w:rsidR="00566744" w:rsidRDefault="00000000">
            <w:pPr>
              <w:rPr>
                <w:color w:val="000000"/>
                <w:sz w:val="22"/>
                <w:szCs w:val="22"/>
              </w:rPr>
            </w:pPr>
            <w:r>
              <w:rPr>
                <w:rFonts w:hint="eastAsia"/>
                <w:color w:val="000000"/>
                <w:sz w:val="22"/>
                <w:szCs w:val="22"/>
              </w:rPr>
              <w:t>20</w:t>
            </w:r>
          </w:p>
        </w:tc>
        <w:tc>
          <w:tcPr>
            <w:tcW w:w="6662" w:type="dxa"/>
            <w:tcBorders>
              <w:top w:val="single" w:sz="4" w:space="0" w:color="auto"/>
              <w:left w:val="single" w:sz="4" w:space="0" w:color="auto"/>
              <w:bottom w:val="single" w:sz="4" w:space="0" w:color="auto"/>
              <w:right w:val="single" w:sz="4" w:space="0" w:color="auto"/>
            </w:tcBorders>
            <w:vAlign w:val="bottom"/>
          </w:tcPr>
          <w:p w14:paraId="7DD06707" w14:textId="3630B54E" w:rsidR="00566744" w:rsidRDefault="00000000">
            <w:pPr>
              <w:rPr>
                <w:color w:val="000000"/>
                <w:sz w:val="22"/>
                <w:szCs w:val="22"/>
              </w:rPr>
            </w:pPr>
            <w:r>
              <w:rPr>
                <w:rFonts w:ascii="宋体" w:hAnsi="宋体" w:cs="宋体" w:hint="eastAsia"/>
                <w:color w:val="000000"/>
                <w:kern w:val="0"/>
                <w:sz w:val="22"/>
                <w:szCs w:val="22"/>
                <w:lang w:bidi="ar"/>
              </w:rPr>
              <w:t>富荣货币市场基金暂停部分代销机构大额申购（含转换转入、定期定额投资）业务的公告</w:t>
            </w:r>
          </w:p>
        </w:tc>
        <w:tc>
          <w:tcPr>
            <w:tcW w:w="2126" w:type="dxa"/>
            <w:tcBorders>
              <w:top w:val="single" w:sz="4" w:space="0" w:color="auto"/>
              <w:left w:val="single" w:sz="4" w:space="0" w:color="auto"/>
              <w:bottom w:val="single" w:sz="4" w:space="0" w:color="auto"/>
              <w:right w:val="single" w:sz="4" w:space="0" w:color="auto"/>
            </w:tcBorders>
            <w:vAlign w:val="center"/>
          </w:tcPr>
          <w:p w14:paraId="3F0D64F0" w14:textId="25B3F397" w:rsidR="00566744" w:rsidRDefault="00000000">
            <w:pPr>
              <w:jc w:val="center"/>
              <w:rPr>
                <w:color w:val="000000"/>
                <w:sz w:val="22"/>
                <w:szCs w:val="22"/>
              </w:rPr>
            </w:pPr>
            <w:r>
              <w:rPr>
                <w:rFonts w:ascii="宋体" w:hAnsi="宋体" w:cs="宋体" w:hint="eastAsia"/>
                <w:color w:val="000000"/>
                <w:kern w:val="0"/>
                <w:sz w:val="22"/>
                <w:szCs w:val="22"/>
                <w:lang w:bidi="ar"/>
              </w:rPr>
              <w:t>2025年10月15日</w:t>
            </w:r>
          </w:p>
        </w:tc>
      </w:tr>
      <w:tr w:rsidR="00566744" w14:paraId="63DF4F18"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3C46C248" w14:textId="0394BEA0" w:rsidR="00566744" w:rsidRDefault="00000000">
            <w:pPr>
              <w:rPr>
                <w:color w:val="000000"/>
                <w:sz w:val="22"/>
                <w:szCs w:val="22"/>
              </w:rPr>
            </w:pPr>
            <w:r>
              <w:rPr>
                <w:rFonts w:hint="eastAsia"/>
                <w:color w:val="000000"/>
                <w:sz w:val="22"/>
                <w:szCs w:val="22"/>
              </w:rPr>
              <w:lastRenderedPageBreak/>
              <w:t>21</w:t>
            </w:r>
          </w:p>
        </w:tc>
        <w:tc>
          <w:tcPr>
            <w:tcW w:w="6662" w:type="dxa"/>
            <w:tcBorders>
              <w:top w:val="single" w:sz="4" w:space="0" w:color="auto"/>
              <w:left w:val="single" w:sz="4" w:space="0" w:color="auto"/>
              <w:bottom w:val="single" w:sz="4" w:space="0" w:color="auto"/>
              <w:right w:val="single" w:sz="4" w:space="0" w:color="auto"/>
            </w:tcBorders>
            <w:vAlign w:val="bottom"/>
          </w:tcPr>
          <w:p w14:paraId="01982797" w14:textId="15E53BC4" w:rsidR="00566744" w:rsidRDefault="00000000">
            <w:pPr>
              <w:rPr>
                <w:color w:val="000000"/>
                <w:sz w:val="22"/>
                <w:szCs w:val="22"/>
              </w:rPr>
            </w:pPr>
            <w:r>
              <w:rPr>
                <w:rFonts w:ascii="宋体" w:hAnsi="宋体" w:cs="宋体" w:hint="eastAsia"/>
                <w:color w:val="000000"/>
                <w:kern w:val="0"/>
                <w:sz w:val="22"/>
                <w:szCs w:val="22"/>
                <w:lang w:bidi="ar"/>
              </w:rPr>
              <w:t>富荣货币市场基金暂停部分代销机构大额申购（含转换转入、定期定额投资）业务的公告</w:t>
            </w:r>
          </w:p>
        </w:tc>
        <w:tc>
          <w:tcPr>
            <w:tcW w:w="2126" w:type="dxa"/>
            <w:tcBorders>
              <w:top w:val="single" w:sz="4" w:space="0" w:color="auto"/>
              <w:left w:val="single" w:sz="4" w:space="0" w:color="auto"/>
              <w:bottom w:val="single" w:sz="4" w:space="0" w:color="auto"/>
              <w:right w:val="single" w:sz="4" w:space="0" w:color="auto"/>
            </w:tcBorders>
            <w:vAlign w:val="center"/>
          </w:tcPr>
          <w:p w14:paraId="453380C1" w14:textId="3CB4D919" w:rsidR="00566744" w:rsidRDefault="00000000">
            <w:pPr>
              <w:jc w:val="center"/>
              <w:rPr>
                <w:color w:val="000000"/>
                <w:sz w:val="22"/>
                <w:szCs w:val="22"/>
              </w:rPr>
            </w:pPr>
            <w:r>
              <w:rPr>
                <w:rFonts w:ascii="宋体" w:hAnsi="宋体" w:cs="宋体" w:hint="eastAsia"/>
                <w:color w:val="000000"/>
                <w:kern w:val="0"/>
                <w:sz w:val="22"/>
                <w:szCs w:val="22"/>
                <w:lang w:bidi="ar"/>
              </w:rPr>
              <w:t>2025年10月22日</w:t>
            </w:r>
          </w:p>
        </w:tc>
      </w:tr>
      <w:tr w:rsidR="00566744" w14:paraId="388428F1"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08EA2F01" w14:textId="00F97199" w:rsidR="00566744" w:rsidRDefault="00000000">
            <w:pPr>
              <w:rPr>
                <w:color w:val="000000"/>
                <w:sz w:val="22"/>
                <w:szCs w:val="22"/>
              </w:rPr>
            </w:pPr>
            <w:r>
              <w:rPr>
                <w:rFonts w:hint="eastAsia"/>
                <w:color w:val="000000"/>
                <w:sz w:val="22"/>
                <w:szCs w:val="22"/>
              </w:rPr>
              <w:t>22</w:t>
            </w:r>
          </w:p>
        </w:tc>
        <w:tc>
          <w:tcPr>
            <w:tcW w:w="6662" w:type="dxa"/>
            <w:tcBorders>
              <w:top w:val="single" w:sz="4" w:space="0" w:color="auto"/>
              <w:left w:val="single" w:sz="4" w:space="0" w:color="auto"/>
              <w:bottom w:val="single" w:sz="4" w:space="0" w:color="auto"/>
              <w:right w:val="single" w:sz="4" w:space="0" w:color="auto"/>
            </w:tcBorders>
            <w:vAlign w:val="bottom"/>
          </w:tcPr>
          <w:p w14:paraId="1B19E054" w14:textId="455969F0" w:rsidR="00566744" w:rsidRDefault="00000000">
            <w:pPr>
              <w:rPr>
                <w:color w:val="000000"/>
                <w:sz w:val="22"/>
                <w:szCs w:val="22"/>
              </w:rPr>
            </w:pPr>
            <w:r>
              <w:rPr>
                <w:rFonts w:ascii="宋体" w:hAnsi="宋体" w:cs="宋体" w:hint="eastAsia"/>
                <w:color w:val="000000"/>
                <w:kern w:val="0"/>
                <w:sz w:val="22"/>
                <w:szCs w:val="22"/>
                <w:lang w:bidi="ar"/>
              </w:rPr>
              <w:t>富荣基金管理有限公司旗下全部基金2025年第3季度报告提示性公告</w:t>
            </w:r>
          </w:p>
        </w:tc>
        <w:tc>
          <w:tcPr>
            <w:tcW w:w="2126" w:type="dxa"/>
            <w:tcBorders>
              <w:top w:val="single" w:sz="4" w:space="0" w:color="auto"/>
              <w:left w:val="single" w:sz="4" w:space="0" w:color="auto"/>
              <w:bottom w:val="single" w:sz="4" w:space="0" w:color="auto"/>
              <w:right w:val="single" w:sz="4" w:space="0" w:color="auto"/>
            </w:tcBorders>
            <w:vAlign w:val="center"/>
          </w:tcPr>
          <w:p w14:paraId="4ABFBB60" w14:textId="3F4434CC" w:rsidR="00566744" w:rsidRDefault="00000000">
            <w:pPr>
              <w:jc w:val="center"/>
              <w:rPr>
                <w:color w:val="000000"/>
                <w:sz w:val="22"/>
                <w:szCs w:val="22"/>
              </w:rPr>
            </w:pPr>
            <w:r>
              <w:rPr>
                <w:rFonts w:ascii="宋体" w:hAnsi="宋体" w:cs="宋体" w:hint="eastAsia"/>
                <w:color w:val="000000"/>
                <w:kern w:val="0"/>
                <w:sz w:val="22"/>
                <w:szCs w:val="22"/>
                <w:lang w:bidi="ar"/>
              </w:rPr>
              <w:t>2025年10月28日</w:t>
            </w:r>
          </w:p>
        </w:tc>
      </w:tr>
      <w:tr w:rsidR="00566744" w14:paraId="76F37F72"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412381F0" w14:textId="36AA3CC5" w:rsidR="00566744" w:rsidRDefault="00000000">
            <w:pPr>
              <w:rPr>
                <w:color w:val="000000"/>
                <w:sz w:val="22"/>
                <w:szCs w:val="22"/>
              </w:rPr>
            </w:pPr>
            <w:r>
              <w:rPr>
                <w:rFonts w:hint="eastAsia"/>
                <w:color w:val="000000"/>
                <w:sz w:val="22"/>
                <w:szCs w:val="22"/>
              </w:rPr>
              <w:t>23</w:t>
            </w:r>
          </w:p>
        </w:tc>
        <w:tc>
          <w:tcPr>
            <w:tcW w:w="6662" w:type="dxa"/>
            <w:tcBorders>
              <w:top w:val="single" w:sz="4" w:space="0" w:color="auto"/>
              <w:left w:val="single" w:sz="4" w:space="0" w:color="auto"/>
              <w:bottom w:val="single" w:sz="4" w:space="0" w:color="auto"/>
              <w:right w:val="single" w:sz="4" w:space="0" w:color="auto"/>
            </w:tcBorders>
            <w:vAlign w:val="bottom"/>
          </w:tcPr>
          <w:p w14:paraId="0A3CAC9B" w14:textId="3BEA100F" w:rsidR="00566744" w:rsidRDefault="00000000">
            <w:pPr>
              <w:rPr>
                <w:color w:val="000000"/>
                <w:sz w:val="22"/>
                <w:szCs w:val="22"/>
              </w:rPr>
            </w:pPr>
            <w:r>
              <w:rPr>
                <w:rFonts w:ascii="宋体" w:hAnsi="宋体" w:cs="宋体" w:hint="eastAsia"/>
                <w:color w:val="000000"/>
                <w:kern w:val="0"/>
                <w:sz w:val="22"/>
                <w:szCs w:val="22"/>
                <w:lang w:bidi="ar"/>
              </w:rPr>
              <w:t>富荣货币市场基金暂停部分代销机构大额申购（含转换转入、定期定额投资）业务的公告</w:t>
            </w:r>
          </w:p>
        </w:tc>
        <w:tc>
          <w:tcPr>
            <w:tcW w:w="2126" w:type="dxa"/>
            <w:tcBorders>
              <w:top w:val="single" w:sz="4" w:space="0" w:color="auto"/>
              <w:left w:val="single" w:sz="4" w:space="0" w:color="auto"/>
              <w:bottom w:val="single" w:sz="4" w:space="0" w:color="auto"/>
              <w:right w:val="single" w:sz="4" w:space="0" w:color="auto"/>
            </w:tcBorders>
            <w:vAlign w:val="center"/>
          </w:tcPr>
          <w:p w14:paraId="54B676AC" w14:textId="27AE36EB" w:rsidR="00566744" w:rsidRDefault="00000000">
            <w:pPr>
              <w:jc w:val="center"/>
              <w:rPr>
                <w:color w:val="000000"/>
                <w:sz w:val="22"/>
                <w:szCs w:val="22"/>
              </w:rPr>
            </w:pPr>
            <w:r>
              <w:rPr>
                <w:rFonts w:ascii="宋体" w:hAnsi="宋体" w:cs="宋体" w:hint="eastAsia"/>
                <w:color w:val="000000"/>
                <w:kern w:val="0"/>
                <w:sz w:val="22"/>
                <w:szCs w:val="22"/>
                <w:lang w:bidi="ar"/>
              </w:rPr>
              <w:t>2025年10月29日</w:t>
            </w:r>
          </w:p>
        </w:tc>
      </w:tr>
      <w:tr w:rsidR="00566744" w14:paraId="4287BDC2"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766D25E2" w14:textId="617D9848" w:rsidR="00566744" w:rsidRDefault="00000000">
            <w:pPr>
              <w:rPr>
                <w:color w:val="000000"/>
                <w:sz w:val="22"/>
                <w:szCs w:val="22"/>
              </w:rPr>
            </w:pPr>
            <w:r>
              <w:rPr>
                <w:rFonts w:hint="eastAsia"/>
                <w:color w:val="000000"/>
                <w:sz w:val="22"/>
                <w:szCs w:val="22"/>
              </w:rPr>
              <w:t>24</w:t>
            </w:r>
          </w:p>
        </w:tc>
        <w:tc>
          <w:tcPr>
            <w:tcW w:w="6662" w:type="dxa"/>
            <w:tcBorders>
              <w:top w:val="single" w:sz="4" w:space="0" w:color="auto"/>
              <w:left w:val="single" w:sz="4" w:space="0" w:color="auto"/>
              <w:bottom w:val="single" w:sz="4" w:space="0" w:color="auto"/>
              <w:right w:val="single" w:sz="4" w:space="0" w:color="auto"/>
            </w:tcBorders>
            <w:vAlign w:val="bottom"/>
          </w:tcPr>
          <w:p w14:paraId="5453377A" w14:textId="6ECDF99B" w:rsidR="00566744" w:rsidRDefault="00000000">
            <w:pPr>
              <w:rPr>
                <w:color w:val="000000"/>
                <w:sz w:val="22"/>
                <w:szCs w:val="22"/>
              </w:rPr>
            </w:pPr>
            <w:r>
              <w:rPr>
                <w:rFonts w:ascii="宋体" w:hAnsi="宋体" w:cs="宋体" w:hint="eastAsia"/>
                <w:color w:val="000000"/>
                <w:kern w:val="0"/>
                <w:sz w:val="22"/>
                <w:szCs w:val="22"/>
                <w:lang w:bidi="ar"/>
              </w:rPr>
              <w:t>富荣基金管理有限公司关于旗下部分基金新增中信银行股份有限公司为销售机构、开通基金定期定额投资业务和基金转换业务并参加申购及定期定额投资申购费率优惠活动的公告</w:t>
            </w:r>
          </w:p>
        </w:tc>
        <w:tc>
          <w:tcPr>
            <w:tcW w:w="2126" w:type="dxa"/>
            <w:tcBorders>
              <w:top w:val="single" w:sz="4" w:space="0" w:color="auto"/>
              <w:left w:val="single" w:sz="4" w:space="0" w:color="auto"/>
              <w:bottom w:val="single" w:sz="4" w:space="0" w:color="auto"/>
              <w:right w:val="single" w:sz="4" w:space="0" w:color="auto"/>
            </w:tcBorders>
            <w:vAlign w:val="center"/>
          </w:tcPr>
          <w:p w14:paraId="17841E36" w14:textId="0B89B025" w:rsidR="00566744" w:rsidRDefault="00000000">
            <w:pPr>
              <w:jc w:val="center"/>
              <w:rPr>
                <w:color w:val="000000"/>
                <w:sz w:val="22"/>
                <w:szCs w:val="22"/>
              </w:rPr>
            </w:pPr>
            <w:r>
              <w:rPr>
                <w:rFonts w:ascii="宋体" w:hAnsi="宋体" w:cs="宋体" w:hint="eastAsia"/>
                <w:color w:val="000000"/>
                <w:kern w:val="0"/>
                <w:sz w:val="22"/>
                <w:szCs w:val="22"/>
                <w:lang w:bidi="ar"/>
              </w:rPr>
              <w:t>2025年11月5日</w:t>
            </w:r>
          </w:p>
        </w:tc>
      </w:tr>
      <w:tr w:rsidR="00566744" w14:paraId="58907864"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6C878188" w14:textId="3C372062" w:rsidR="00566744" w:rsidRDefault="00000000">
            <w:pPr>
              <w:rPr>
                <w:color w:val="000000"/>
                <w:sz w:val="22"/>
                <w:szCs w:val="22"/>
              </w:rPr>
            </w:pPr>
            <w:r>
              <w:rPr>
                <w:rFonts w:hint="eastAsia"/>
                <w:color w:val="000000"/>
                <w:sz w:val="22"/>
                <w:szCs w:val="22"/>
              </w:rPr>
              <w:t>25</w:t>
            </w:r>
          </w:p>
        </w:tc>
        <w:tc>
          <w:tcPr>
            <w:tcW w:w="6662" w:type="dxa"/>
            <w:tcBorders>
              <w:top w:val="single" w:sz="4" w:space="0" w:color="auto"/>
              <w:left w:val="single" w:sz="4" w:space="0" w:color="auto"/>
              <w:bottom w:val="single" w:sz="4" w:space="0" w:color="auto"/>
              <w:right w:val="single" w:sz="4" w:space="0" w:color="auto"/>
            </w:tcBorders>
            <w:vAlign w:val="bottom"/>
          </w:tcPr>
          <w:p w14:paraId="2581383E" w14:textId="4FC4F6DA" w:rsidR="00566744" w:rsidRDefault="00000000">
            <w:pPr>
              <w:rPr>
                <w:color w:val="000000"/>
                <w:sz w:val="22"/>
                <w:szCs w:val="22"/>
              </w:rPr>
            </w:pPr>
            <w:r>
              <w:rPr>
                <w:rFonts w:ascii="宋体" w:hAnsi="宋体" w:cs="宋体" w:hint="eastAsia"/>
                <w:color w:val="000000"/>
                <w:kern w:val="0"/>
                <w:sz w:val="22"/>
                <w:szCs w:val="22"/>
                <w:lang w:bidi="ar"/>
              </w:rPr>
              <w:t>富荣货币市场基金暂停部分代销机构大额申购（含转换转入、定期定额投资）业务的公告</w:t>
            </w:r>
          </w:p>
        </w:tc>
        <w:tc>
          <w:tcPr>
            <w:tcW w:w="2126" w:type="dxa"/>
            <w:tcBorders>
              <w:top w:val="single" w:sz="4" w:space="0" w:color="auto"/>
              <w:left w:val="single" w:sz="4" w:space="0" w:color="auto"/>
              <w:bottom w:val="single" w:sz="4" w:space="0" w:color="auto"/>
              <w:right w:val="single" w:sz="4" w:space="0" w:color="auto"/>
            </w:tcBorders>
            <w:vAlign w:val="center"/>
          </w:tcPr>
          <w:p w14:paraId="6957637C" w14:textId="33B3D131" w:rsidR="00566744" w:rsidRDefault="00000000">
            <w:pPr>
              <w:jc w:val="center"/>
              <w:rPr>
                <w:color w:val="000000"/>
                <w:sz w:val="22"/>
                <w:szCs w:val="22"/>
              </w:rPr>
            </w:pPr>
            <w:r>
              <w:rPr>
                <w:rFonts w:ascii="宋体" w:hAnsi="宋体" w:cs="宋体" w:hint="eastAsia"/>
                <w:color w:val="000000"/>
                <w:kern w:val="0"/>
                <w:sz w:val="22"/>
                <w:szCs w:val="22"/>
                <w:lang w:bidi="ar"/>
              </w:rPr>
              <w:t>2025年11月5日</w:t>
            </w:r>
          </w:p>
        </w:tc>
      </w:tr>
      <w:tr w:rsidR="00566744" w14:paraId="62459E2A"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39678732" w14:textId="146D2709" w:rsidR="00566744" w:rsidRDefault="00000000">
            <w:pPr>
              <w:rPr>
                <w:color w:val="000000"/>
                <w:sz w:val="22"/>
                <w:szCs w:val="22"/>
              </w:rPr>
            </w:pPr>
            <w:r>
              <w:rPr>
                <w:rFonts w:hint="eastAsia"/>
                <w:color w:val="000000"/>
                <w:sz w:val="22"/>
                <w:szCs w:val="22"/>
              </w:rPr>
              <w:t>26</w:t>
            </w:r>
          </w:p>
        </w:tc>
        <w:tc>
          <w:tcPr>
            <w:tcW w:w="6662" w:type="dxa"/>
            <w:tcBorders>
              <w:top w:val="single" w:sz="4" w:space="0" w:color="auto"/>
              <w:left w:val="single" w:sz="4" w:space="0" w:color="auto"/>
              <w:bottom w:val="single" w:sz="4" w:space="0" w:color="auto"/>
              <w:right w:val="single" w:sz="4" w:space="0" w:color="auto"/>
            </w:tcBorders>
            <w:vAlign w:val="bottom"/>
          </w:tcPr>
          <w:p w14:paraId="53BA4E19" w14:textId="3A7F3CC4" w:rsidR="00566744" w:rsidRDefault="00000000">
            <w:pPr>
              <w:rPr>
                <w:color w:val="000000"/>
                <w:sz w:val="22"/>
                <w:szCs w:val="22"/>
              </w:rPr>
            </w:pPr>
            <w:r>
              <w:rPr>
                <w:rFonts w:ascii="宋体" w:hAnsi="宋体" w:cs="宋体" w:hint="eastAsia"/>
                <w:color w:val="000000"/>
                <w:kern w:val="0"/>
                <w:sz w:val="22"/>
                <w:szCs w:val="22"/>
                <w:lang w:bidi="ar"/>
              </w:rPr>
              <w:t>富荣货币市场基金暂停部分代销机构大额申购（含转换转入、定期定额投资）业务的公告</w:t>
            </w:r>
          </w:p>
        </w:tc>
        <w:tc>
          <w:tcPr>
            <w:tcW w:w="2126" w:type="dxa"/>
            <w:tcBorders>
              <w:top w:val="single" w:sz="4" w:space="0" w:color="auto"/>
              <w:left w:val="single" w:sz="4" w:space="0" w:color="auto"/>
              <w:bottom w:val="single" w:sz="4" w:space="0" w:color="auto"/>
              <w:right w:val="single" w:sz="4" w:space="0" w:color="auto"/>
            </w:tcBorders>
            <w:vAlign w:val="center"/>
          </w:tcPr>
          <w:p w14:paraId="2D52F31E" w14:textId="2033F440" w:rsidR="00566744" w:rsidRDefault="00000000">
            <w:pPr>
              <w:jc w:val="center"/>
              <w:rPr>
                <w:color w:val="000000"/>
                <w:sz w:val="22"/>
                <w:szCs w:val="22"/>
              </w:rPr>
            </w:pPr>
            <w:r>
              <w:rPr>
                <w:rFonts w:ascii="宋体" w:hAnsi="宋体" w:cs="宋体" w:hint="eastAsia"/>
                <w:color w:val="000000"/>
                <w:kern w:val="0"/>
                <w:sz w:val="22"/>
                <w:szCs w:val="22"/>
                <w:lang w:bidi="ar"/>
              </w:rPr>
              <w:t>2025年11月12日</w:t>
            </w:r>
          </w:p>
        </w:tc>
      </w:tr>
      <w:tr w:rsidR="00566744" w14:paraId="615F183F"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23D18A0D" w14:textId="042DF2ED" w:rsidR="00566744" w:rsidRDefault="00000000">
            <w:pPr>
              <w:rPr>
                <w:color w:val="000000"/>
                <w:sz w:val="22"/>
                <w:szCs w:val="22"/>
              </w:rPr>
            </w:pPr>
            <w:r>
              <w:rPr>
                <w:rFonts w:hint="eastAsia"/>
                <w:color w:val="000000"/>
                <w:sz w:val="22"/>
                <w:szCs w:val="22"/>
              </w:rPr>
              <w:t>27</w:t>
            </w:r>
          </w:p>
        </w:tc>
        <w:tc>
          <w:tcPr>
            <w:tcW w:w="6662" w:type="dxa"/>
            <w:tcBorders>
              <w:top w:val="single" w:sz="4" w:space="0" w:color="auto"/>
              <w:left w:val="single" w:sz="4" w:space="0" w:color="auto"/>
              <w:bottom w:val="single" w:sz="4" w:space="0" w:color="auto"/>
              <w:right w:val="single" w:sz="4" w:space="0" w:color="auto"/>
            </w:tcBorders>
            <w:vAlign w:val="bottom"/>
          </w:tcPr>
          <w:p w14:paraId="38A9D191" w14:textId="71CD1FFF" w:rsidR="00566744" w:rsidRDefault="00000000">
            <w:pPr>
              <w:rPr>
                <w:color w:val="000000"/>
                <w:sz w:val="22"/>
                <w:szCs w:val="22"/>
              </w:rPr>
            </w:pPr>
            <w:r>
              <w:rPr>
                <w:rFonts w:ascii="宋体" w:hAnsi="宋体" w:cs="宋体" w:hint="eastAsia"/>
                <w:color w:val="000000"/>
                <w:kern w:val="0"/>
                <w:sz w:val="22"/>
                <w:szCs w:val="22"/>
                <w:lang w:bidi="ar"/>
              </w:rPr>
              <w:t>富荣货币市场基金暂停部分代销机构大额申购（含转换转入、定期定额投资）业务的公告</w:t>
            </w:r>
          </w:p>
        </w:tc>
        <w:tc>
          <w:tcPr>
            <w:tcW w:w="2126" w:type="dxa"/>
            <w:tcBorders>
              <w:top w:val="single" w:sz="4" w:space="0" w:color="auto"/>
              <w:left w:val="single" w:sz="4" w:space="0" w:color="auto"/>
              <w:bottom w:val="single" w:sz="4" w:space="0" w:color="auto"/>
              <w:right w:val="single" w:sz="4" w:space="0" w:color="auto"/>
            </w:tcBorders>
            <w:vAlign w:val="center"/>
          </w:tcPr>
          <w:p w14:paraId="65D96E08" w14:textId="79280FD6" w:rsidR="00566744" w:rsidRDefault="00000000">
            <w:pPr>
              <w:jc w:val="center"/>
              <w:rPr>
                <w:color w:val="000000"/>
                <w:sz w:val="22"/>
                <w:szCs w:val="22"/>
              </w:rPr>
            </w:pPr>
            <w:r>
              <w:rPr>
                <w:rFonts w:ascii="宋体" w:hAnsi="宋体" w:cs="宋体" w:hint="eastAsia"/>
                <w:color w:val="000000"/>
                <w:kern w:val="0"/>
                <w:sz w:val="22"/>
                <w:szCs w:val="22"/>
                <w:lang w:bidi="ar"/>
              </w:rPr>
              <w:t>2025年11月19日</w:t>
            </w:r>
          </w:p>
        </w:tc>
      </w:tr>
      <w:tr w:rsidR="00566744" w14:paraId="66B1D888"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183225F2" w14:textId="10F46D45" w:rsidR="00566744" w:rsidRDefault="00000000">
            <w:pPr>
              <w:rPr>
                <w:color w:val="000000"/>
                <w:sz w:val="22"/>
                <w:szCs w:val="22"/>
              </w:rPr>
            </w:pPr>
            <w:r>
              <w:rPr>
                <w:rFonts w:hint="eastAsia"/>
                <w:color w:val="000000"/>
                <w:sz w:val="22"/>
                <w:szCs w:val="22"/>
              </w:rPr>
              <w:t>28</w:t>
            </w:r>
          </w:p>
        </w:tc>
        <w:tc>
          <w:tcPr>
            <w:tcW w:w="6662" w:type="dxa"/>
            <w:tcBorders>
              <w:top w:val="single" w:sz="4" w:space="0" w:color="auto"/>
              <w:left w:val="single" w:sz="4" w:space="0" w:color="auto"/>
              <w:bottom w:val="single" w:sz="4" w:space="0" w:color="auto"/>
              <w:right w:val="single" w:sz="4" w:space="0" w:color="auto"/>
            </w:tcBorders>
            <w:vAlign w:val="bottom"/>
          </w:tcPr>
          <w:p w14:paraId="56E66E75" w14:textId="1841E1ED" w:rsidR="00566744" w:rsidRDefault="00000000">
            <w:pPr>
              <w:rPr>
                <w:color w:val="000000"/>
                <w:sz w:val="22"/>
                <w:szCs w:val="22"/>
              </w:rPr>
            </w:pPr>
            <w:r>
              <w:rPr>
                <w:rFonts w:ascii="宋体" w:hAnsi="宋体" w:cs="宋体" w:hint="eastAsia"/>
                <w:color w:val="000000"/>
                <w:kern w:val="0"/>
                <w:sz w:val="22"/>
                <w:szCs w:val="22"/>
                <w:lang w:bidi="ar"/>
              </w:rPr>
              <w:t>富荣货币市场基金暂停部分代销机构大额申购（含转换转入、定期定额投资）业务的公告</w:t>
            </w:r>
          </w:p>
        </w:tc>
        <w:tc>
          <w:tcPr>
            <w:tcW w:w="2126" w:type="dxa"/>
            <w:tcBorders>
              <w:top w:val="single" w:sz="4" w:space="0" w:color="auto"/>
              <w:left w:val="single" w:sz="4" w:space="0" w:color="auto"/>
              <w:bottom w:val="single" w:sz="4" w:space="0" w:color="auto"/>
              <w:right w:val="single" w:sz="4" w:space="0" w:color="auto"/>
            </w:tcBorders>
            <w:vAlign w:val="center"/>
          </w:tcPr>
          <w:p w14:paraId="61286B86" w14:textId="40E38910" w:rsidR="00566744" w:rsidRDefault="00000000">
            <w:pPr>
              <w:jc w:val="center"/>
              <w:rPr>
                <w:color w:val="000000"/>
                <w:sz w:val="22"/>
                <w:szCs w:val="22"/>
              </w:rPr>
            </w:pPr>
            <w:r>
              <w:rPr>
                <w:rFonts w:ascii="宋体" w:hAnsi="宋体" w:cs="宋体" w:hint="eastAsia"/>
                <w:color w:val="000000"/>
                <w:kern w:val="0"/>
                <w:sz w:val="22"/>
                <w:szCs w:val="22"/>
                <w:lang w:bidi="ar"/>
              </w:rPr>
              <w:t>2025年11月26日</w:t>
            </w:r>
          </w:p>
        </w:tc>
      </w:tr>
      <w:tr w:rsidR="00566744" w14:paraId="3AA94699"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4FCCC5FA" w14:textId="740DF1C4" w:rsidR="00566744" w:rsidRDefault="00000000">
            <w:pPr>
              <w:rPr>
                <w:color w:val="000000"/>
                <w:sz w:val="22"/>
                <w:szCs w:val="22"/>
              </w:rPr>
            </w:pPr>
            <w:r>
              <w:rPr>
                <w:rFonts w:hint="eastAsia"/>
                <w:color w:val="000000"/>
                <w:sz w:val="22"/>
                <w:szCs w:val="22"/>
              </w:rPr>
              <w:t>29</w:t>
            </w:r>
          </w:p>
        </w:tc>
        <w:tc>
          <w:tcPr>
            <w:tcW w:w="6662" w:type="dxa"/>
            <w:tcBorders>
              <w:top w:val="single" w:sz="4" w:space="0" w:color="auto"/>
              <w:left w:val="single" w:sz="4" w:space="0" w:color="auto"/>
              <w:bottom w:val="single" w:sz="4" w:space="0" w:color="auto"/>
              <w:right w:val="single" w:sz="4" w:space="0" w:color="auto"/>
            </w:tcBorders>
            <w:vAlign w:val="bottom"/>
          </w:tcPr>
          <w:p w14:paraId="7DD3E939" w14:textId="78A19781" w:rsidR="00566744" w:rsidRDefault="00000000">
            <w:pPr>
              <w:rPr>
                <w:color w:val="000000"/>
                <w:sz w:val="22"/>
                <w:szCs w:val="22"/>
              </w:rPr>
            </w:pPr>
            <w:r>
              <w:rPr>
                <w:rFonts w:ascii="宋体" w:hAnsi="宋体" w:cs="宋体" w:hint="eastAsia"/>
                <w:color w:val="000000"/>
                <w:kern w:val="0"/>
                <w:sz w:val="22"/>
                <w:szCs w:val="22"/>
                <w:lang w:bidi="ar"/>
              </w:rPr>
              <w:t>富荣货币市场基金暂停部分代销机构大额申购（含转换转入、定期定额投资）业务的公告</w:t>
            </w:r>
          </w:p>
        </w:tc>
        <w:tc>
          <w:tcPr>
            <w:tcW w:w="2126" w:type="dxa"/>
            <w:tcBorders>
              <w:top w:val="single" w:sz="4" w:space="0" w:color="auto"/>
              <w:left w:val="single" w:sz="4" w:space="0" w:color="auto"/>
              <w:bottom w:val="single" w:sz="4" w:space="0" w:color="auto"/>
              <w:right w:val="single" w:sz="4" w:space="0" w:color="auto"/>
            </w:tcBorders>
            <w:vAlign w:val="center"/>
          </w:tcPr>
          <w:p w14:paraId="45A73501" w14:textId="48E30539" w:rsidR="00566744" w:rsidRDefault="00000000">
            <w:pPr>
              <w:jc w:val="center"/>
              <w:rPr>
                <w:color w:val="000000"/>
                <w:sz w:val="22"/>
                <w:szCs w:val="22"/>
              </w:rPr>
            </w:pPr>
            <w:r>
              <w:rPr>
                <w:rFonts w:ascii="宋体" w:hAnsi="宋体" w:cs="宋体" w:hint="eastAsia"/>
                <w:color w:val="000000"/>
                <w:kern w:val="0"/>
                <w:sz w:val="22"/>
                <w:szCs w:val="22"/>
                <w:lang w:bidi="ar"/>
              </w:rPr>
              <w:t>2025年12月3日</w:t>
            </w:r>
          </w:p>
        </w:tc>
      </w:tr>
      <w:tr w:rsidR="00566744" w14:paraId="1B7B08B9"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0B063041" w14:textId="484C4A00" w:rsidR="00566744" w:rsidRDefault="00000000">
            <w:pPr>
              <w:rPr>
                <w:color w:val="000000"/>
                <w:sz w:val="22"/>
                <w:szCs w:val="22"/>
              </w:rPr>
            </w:pPr>
            <w:r>
              <w:rPr>
                <w:rFonts w:hint="eastAsia"/>
                <w:color w:val="000000"/>
                <w:sz w:val="22"/>
                <w:szCs w:val="22"/>
              </w:rPr>
              <w:t>30</w:t>
            </w:r>
          </w:p>
        </w:tc>
        <w:tc>
          <w:tcPr>
            <w:tcW w:w="6662" w:type="dxa"/>
            <w:tcBorders>
              <w:top w:val="single" w:sz="4" w:space="0" w:color="auto"/>
              <w:left w:val="single" w:sz="4" w:space="0" w:color="auto"/>
              <w:bottom w:val="single" w:sz="4" w:space="0" w:color="auto"/>
              <w:right w:val="single" w:sz="4" w:space="0" w:color="auto"/>
            </w:tcBorders>
            <w:vAlign w:val="bottom"/>
          </w:tcPr>
          <w:p w14:paraId="0775EAD5" w14:textId="31BFCA3A" w:rsidR="00566744" w:rsidRDefault="00000000">
            <w:pPr>
              <w:rPr>
                <w:color w:val="000000"/>
                <w:sz w:val="22"/>
                <w:szCs w:val="22"/>
              </w:rPr>
            </w:pPr>
            <w:r>
              <w:rPr>
                <w:rFonts w:ascii="宋体" w:hAnsi="宋体" w:cs="宋体" w:hint="eastAsia"/>
                <w:color w:val="000000"/>
                <w:kern w:val="0"/>
                <w:sz w:val="22"/>
                <w:szCs w:val="22"/>
                <w:lang w:bidi="ar"/>
              </w:rPr>
              <w:t>富荣货币市场基金暂停部分代销机构大额申购（含转换转入、定期定额投资）业务的公告</w:t>
            </w:r>
          </w:p>
        </w:tc>
        <w:tc>
          <w:tcPr>
            <w:tcW w:w="2126" w:type="dxa"/>
            <w:tcBorders>
              <w:top w:val="single" w:sz="4" w:space="0" w:color="auto"/>
              <w:left w:val="single" w:sz="4" w:space="0" w:color="auto"/>
              <w:bottom w:val="single" w:sz="4" w:space="0" w:color="auto"/>
              <w:right w:val="single" w:sz="4" w:space="0" w:color="auto"/>
            </w:tcBorders>
            <w:vAlign w:val="center"/>
          </w:tcPr>
          <w:p w14:paraId="51BEB037" w14:textId="0C98F4F1" w:rsidR="00566744" w:rsidRDefault="00000000">
            <w:pPr>
              <w:jc w:val="center"/>
              <w:rPr>
                <w:color w:val="000000"/>
                <w:sz w:val="22"/>
                <w:szCs w:val="22"/>
              </w:rPr>
            </w:pPr>
            <w:r>
              <w:rPr>
                <w:rFonts w:ascii="宋体" w:hAnsi="宋体" w:cs="宋体" w:hint="eastAsia"/>
                <w:color w:val="000000"/>
                <w:kern w:val="0"/>
                <w:sz w:val="22"/>
                <w:szCs w:val="22"/>
                <w:lang w:bidi="ar"/>
              </w:rPr>
              <w:t>2025年12月10日</w:t>
            </w:r>
          </w:p>
        </w:tc>
      </w:tr>
      <w:tr w:rsidR="00566744" w14:paraId="72B54791"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5A0A5368" w14:textId="62F9752D" w:rsidR="00566744" w:rsidRDefault="00000000">
            <w:pPr>
              <w:rPr>
                <w:color w:val="000000"/>
                <w:sz w:val="22"/>
                <w:szCs w:val="22"/>
              </w:rPr>
            </w:pPr>
            <w:r>
              <w:rPr>
                <w:rFonts w:hint="eastAsia"/>
                <w:color w:val="000000"/>
                <w:sz w:val="22"/>
                <w:szCs w:val="22"/>
              </w:rPr>
              <w:t>31</w:t>
            </w:r>
          </w:p>
        </w:tc>
        <w:tc>
          <w:tcPr>
            <w:tcW w:w="6662" w:type="dxa"/>
            <w:tcBorders>
              <w:top w:val="single" w:sz="4" w:space="0" w:color="auto"/>
              <w:left w:val="single" w:sz="4" w:space="0" w:color="auto"/>
              <w:bottom w:val="single" w:sz="4" w:space="0" w:color="auto"/>
              <w:right w:val="single" w:sz="4" w:space="0" w:color="auto"/>
            </w:tcBorders>
            <w:vAlign w:val="bottom"/>
          </w:tcPr>
          <w:p w14:paraId="592EB172" w14:textId="17111EF5" w:rsidR="00566744" w:rsidRDefault="00000000">
            <w:pPr>
              <w:rPr>
                <w:color w:val="000000"/>
                <w:sz w:val="22"/>
                <w:szCs w:val="22"/>
              </w:rPr>
            </w:pPr>
            <w:r>
              <w:rPr>
                <w:rFonts w:ascii="宋体" w:hAnsi="宋体" w:cs="宋体" w:hint="eastAsia"/>
                <w:color w:val="000000"/>
                <w:kern w:val="0"/>
                <w:sz w:val="22"/>
                <w:szCs w:val="22"/>
                <w:lang w:bidi="ar"/>
              </w:rPr>
              <w:t>富荣货币市场基金暂停部分代销机构大额申购（含转换转入、定期定额投资）业务的公告</w:t>
            </w:r>
          </w:p>
        </w:tc>
        <w:tc>
          <w:tcPr>
            <w:tcW w:w="2126" w:type="dxa"/>
            <w:tcBorders>
              <w:top w:val="single" w:sz="4" w:space="0" w:color="auto"/>
              <w:left w:val="single" w:sz="4" w:space="0" w:color="auto"/>
              <w:bottom w:val="single" w:sz="4" w:space="0" w:color="auto"/>
              <w:right w:val="single" w:sz="4" w:space="0" w:color="auto"/>
            </w:tcBorders>
            <w:vAlign w:val="center"/>
          </w:tcPr>
          <w:p w14:paraId="6F5A3522" w14:textId="1A69B3B8" w:rsidR="00566744" w:rsidRDefault="00000000">
            <w:pPr>
              <w:jc w:val="center"/>
              <w:rPr>
                <w:color w:val="000000"/>
                <w:sz w:val="22"/>
                <w:szCs w:val="22"/>
              </w:rPr>
            </w:pPr>
            <w:r>
              <w:rPr>
                <w:rFonts w:ascii="宋体" w:hAnsi="宋体" w:cs="宋体" w:hint="eastAsia"/>
                <w:color w:val="000000"/>
                <w:kern w:val="0"/>
                <w:sz w:val="22"/>
                <w:szCs w:val="22"/>
                <w:lang w:bidi="ar"/>
              </w:rPr>
              <w:t>2025年12月17日</w:t>
            </w:r>
          </w:p>
        </w:tc>
      </w:tr>
      <w:tr w:rsidR="00566744" w14:paraId="40F35F50"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2F878D5F" w14:textId="642061A0" w:rsidR="00566744" w:rsidRDefault="00000000">
            <w:pPr>
              <w:rPr>
                <w:color w:val="000000"/>
                <w:sz w:val="22"/>
                <w:szCs w:val="22"/>
              </w:rPr>
            </w:pPr>
            <w:r>
              <w:rPr>
                <w:rFonts w:hint="eastAsia"/>
                <w:color w:val="000000"/>
                <w:sz w:val="22"/>
                <w:szCs w:val="22"/>
              </w:rPr>
              <w:t>32</w:t>
            </w:r>
          </w:p>
        </w:tc>
        <w:tc>
          <w:tcPr>
            <w:tcW w:w="6662" w:type="dxa"/>
            <w:tcBorders>
              <w:top w:val="single" w:sz="4" w:space="0" w:color="auto"/>
              <w:left w:val="single" w:sz="4" w:space="0" w:color="auto"/>
              <w:bottom w:val="single" w:sz="4" w:space="0" w:color="auto"/>
              <w:right w:val="single" w:sz="4" w:space="0" w:color="auto"/>
            </w:tcBorders>
            <w:vAlign w:val="bottom"/>
          </w:tcPr>
          <w:p w14:paraId="7E474D8D" w14:textId="494E116A" w:rsidR="00566744" w:rsidRDefault="00000000">
            <w:pPr>
              <w:rPr>
                <w:color w:val="000000"/>
                <w:sz w:val="22"/>
                <w:szCs w:val="22"/>
              </w:rPr>
            </w:pPr>
            <w:r>
              <w:rPr>
                <w:rFonts w:ascii="宋体" w:hAnsi="宋体" w:cs="宋体" w:hint="eastAsia"/>
                <w:color w:val="000000"/>
                <w:kern w:val="0"/>
                <w:sz w:val="22"/>
                <w:szCs w:val="22"/>
                <w:lang w:bidi="ar"/>
              </w:rPr>
              <w:t>富荣货币市场基金暂停部分代销机构大额申购（含转换转入、定期定额投资）业务的公告</w:t>
            </w:r>
          </w:p>
        </w:tc>
        <w:tc>
          <w:tcPr>
            <w:tcW w:w="2126" w:type="dxa"/>
            <w:tcBorders>
              <w:top w:val="single" w:sz="4" w:space="0" w:color="auto"/>
              <w:left w:val="single" w:sz="4" w:space="0" w:color="auto"/>
              <w:bottom w:val="single" w:sz="4" w:space="0" w:color="auto"/>
              <w:right w:val="single" w:sz="4" w:space="0" w:color="auto"/>
            </w:tcBorders>
            <w:vAlign w:val="center"/>
          </w:tcPr>
          <w:p w14:paraId="10770479" w14:textId="490AE14B" w:rsidR="00566744" w:rsidRDefault="00000000">
            <w:pPr>
              <w:jc w:val="center"/>
              <w:rPr>
                <w:color w:val="000000"/>
                <w:sz w:val="22"/>
                <w:szCs w:val="22"/>
              </w:rPr>
            </w:pPr>
            <w:r>
              <w:rPr>
                <w:rFonts w:ascii="宋体" w:hAnsi="宋体" w:cs="宋体" w:hint="eastAsia"/>
                <w:color w:val="000000"/>
                <w:kern w:val="0"/>
                <w:sz w:val="22"/>
                <w:szCs w:val="22"/>
                <w:lang w:bidi="ar"/>
              </w:rPr>
              <w:t>2025年12月24日</w:t>
            </w:r>
          </w:p>
        </w:tc>
      </w:tr>
      <w:tr w:rsidR="00566744" w14:paraId="66549310"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539C533B" w14:textId="4171D835" w:rsidR="00566744" w:rsidRDefault="00000000">
            <w:pPr>
              <w:rPr>
                <w:color w:val="000000"/>
                <w:sz w:val="22"/>
                <w:szCs w:val="22"/>
              </w:rPr>
            </w:pPr>
            <w:r>
              <w:rPr>
                <w:rFonts w:hint="eastAsia"/>
                <w:color w:val="000000"/>
                <w:sz w:val="22"/>
                <w:szCs w:val="22"/>
              </w:rPr>
              <w:t>33</w:t>
            </w:r>
          </w:p>
        </w:tc>
        <w:tc>
          <w:tcPr>
            <w:tcW w:w="6662" w:type="dxa"/>
            <w:tcBorders>
              <w:top w:val="single" w:sz="4" w:space="0" w:color="auto"/>
              <w:left w:val="single" w:sz="4" w:space="0" w:color="auto"/>
              <w:bottom w:val="single" w:sz="4" w:space="0" w:color="auto"/>
              <w:right w:val="single" w:sz="4" w:space="0" w:color="auto"/>
            </w:tcBorders>
            <w:vAlign w:val="bottom"/>
          </w:tcPr>
          <w:p w14:paraId="2F31F01A" w14:textId="478048F0" w:rsidR="00566744" w:rsidRDefault="00000000">
            <w:pPr>
              <w:rPr>
                <w:color w:val="000000"/>
                <w:sz w:val="22"/>
                <w:szCs w:val="22"/>
              </w:rPr>
            </w:pPr>
            <w:r>
              <w:rPr>
                <w:rFonts w:ascii="宋体" w:hAnsi="宋体" w:cs="宋体" w:hint="eastAsia"/>
                <w:color w:val="000000"/>
                <w:kern w:val="0"/>
                <w:sz w:val="22"/>
                <w:szCs w:val="22"/>
                <w:lang w:bidi="ar"/>
              </w:rPr>
              <w:t>富荣基金管理有限公司关于提醒投资者持续完善身份信息资料的公告</w:t>
            </w:r>
          </w:p>
        </w:tc>
        <w:tc>
          <w:tcPr>
            <w:tcW w:w="2126" w:type="dxa"/>
            <w:tcBorders>
              <w:top w:val="single" w:sz="4" w:space="0" w:color="auto"/>
              <w:left w:val="single" w:sz="4" w:space="0" w:color="auto"/>
              <w:bottom w:val="single" w:sz="4" w:space="0" w:color="auto"/>
              <w:right w:val="single" w:sz="4" w:space="0" w:color="auto"/>
            </w:tcBorders>
            <w:vAlign w:val="center"/>
          </w:tcPr>
          <w:p w14:paraId="29D4DDFA" w14:textId="59A7A1A3" w:rsidR="00566744" w:rsidRDefault="00000000">
            <w:pPr>
              <w:jc w:val="center"/>
              <w:rPr>
                <w:color w:val="000000"/>
                <w:sz w:val="22"/>
                <w:szCs w:val="22"/>
              </w:rPr>
            </w:pPr>
            <w:r>
              <w:rPr>
                <w:rFonts w:ascii="宋体" w:hAnsi="宋体" w:cs="宋体" w:hint="eastAsia"/>
                <w:color w:val="000000"/>
                <w:kern w:val="0"/>
                <w:sz w:val="22"/>
                <w:szCs w:val="22"/>
                <w:lang w:bidi="ar"/>
              </w:rPr>
              <w:t>2025年12月24日</w:t>
            </w:r>
          </w:p>
        </w:tc>
      </w:tr>
      <w:tr w:rsidR="00566744" w14:paraId="4F8EB833"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559AC572" w14:textId="0EF0C662" w:rsidR="00566744" w:rsidRDefault="00000000">
            <w:pPr>
              <w:rPr>
                <w:color w:val="000000"/>
                <w:sz w:val="22"/>
                <w:szCs w:val="22"/>
              </w:rPr>
            </w:pPr>
            <w:r>
              <w:rPr>
                <w:rFonts w:hint="eastAsia"/>
                <w:color w:val="000000"/>
                <w:sz w:val="22"/>
                <w:szCs w:val="22"/>
              </w:rPr>
              <w:t>34</w:t>
            </w:r>
          </w:p>
        </w:tc>
        <w:tc>
          <w:tcPr>
            <w:tcW w:w="6662" w:type="dxa"/>
            <w:tcBorders>
              <w:top w:val="single" w:sz="4" w:space="0" w:color="auto"/>
              <w:left w:val="single" w:sz="4" w:space="0" w:color="auto"/>
              <w:bottom w:val="single" w:sz="4" w:space="0" w:color="auto"/>
              <w:right w:val="single" w:sz="4" w:space="0" w:color="auto"/>
            </w:tcBorders>
            <w:vAlign w:val="bottom"/>
          </w:tcPr>
          <w:p w14:paraId="2D959130" w14:textId="45F751C0" w:rsidR="00566744" w:rsidRDefault="00000000">
            <w:pPr>
              <w:rPr>
                <w:color w:val="000000"/>
                <w:sz w:val="22"/>
                <w:szCs w:val="22"/>
              </w:rPr>
            </w:pPr>
            <w:r>
              <w:rPr>
                <w:rFonts w:ascii="宋体" w:hAnsi="宋体" w:cs="宋体" w:hint="eastAsia"/>
                <w:color w:val="000000"/>
                <w:kern w:val="0"/>
                <w:sz w:val="22"/>
                <w:szCs w:val="22"/>
                <w:lang w:bidi="ar"/>
              </w:rPr>
              <w:t>富荣货币市场基金暂停部分代销机构大额申购（含转换转入、定期定额投资）业务的公告</w:t>
            </w:r>
          </w:p>
        </w:tc>
        <w:tc>
          <w:tcPr>
            <w:tcW w:w="2126" w:type="dxa"/>
            <w:tcBorders>
              <w:top w:val="single" w:sz="4" w:space="0" w:color="auto"/>
              <w:left w:val="single" w:sz="4" w:space="0" w:color="auto"/>
              <w:bottom w:val="single" w:sz="4" w:space="0" w:color="auto"/>
              <w:right w:val="single" w:sz="4" w:space="0" w:color="auto"/>
            </w:tcBorders>
            <w:vAlign w:val="center"/>
          </w:tcPr>
          <w:p w14:paraId="5DEFB20E" w14:textId="55F8F496" w:rsidR="00566744" w:rsidRDefault="00000000">
            <w:pPr>
              <w:jc w:val="center"/>
              <w:rPr>
                <w:color w:val="000000"/>
                <w:sz w:val="22"/>
                <w:szCs w:val="22"/>
              </w:rPr>
            </w:pPr>
            <w:r>
              <w:rPr>
                <w:rFonts w:ascii="宋体" w:hAnsi="宋体" w:cs="宋体" w:hint="eastAsia"/>
                <w:color w:val="000000"/>
                <w:kern w:val="0"/>
                <w:sz w:val="22"/>
                <w:szCs w:val="22"/>
                <w:lang w:bidi="ar"/>
              </w:rPr>
              <w:t>2025年12月29日</w:t>
            </w:r>
          </w:p>
        </w:tc>
      </w:tr>
      <w:tr w:rsidR="00566744" w14:paraId="2DB80181"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313D52B2" w14:textId="4ACC1481" w:rsidR="00566744" w:rsidRDefault="00000000">
            <w:pPr>
              <w:rPr>
                <w:color w:val="000000"/>
                <w:sz w:val="22"/>
                <w:szCs w:val="22"/>
              </w:rPr>
            </w:pPr>
            <w:r>
              <w:rPr>
                <w:rFonts w:hint="eastAsia"/>
                <w:color w:val="000000"/>
                <w:sz w:val="22"/>
                <w:szCs w:val="22"/>
              </w:rPr>
              <w:t>35</w:t>
            </w:r>
          </w:p>
        </w:tc>
        <w:tc>
          <w:tcPr>
            <w:tcW w:w="6662" w:type="dxa"/>
            <w:tcBorders>
              <w:top w:val="single" w:sz="4" w:space="0" w:color="auto"/>
              <w:left w:val="single" w:sz="4" w:space="0" w:color="auto"/>
              <w:bottom w:val="single" w:sz="4" w:space="0" w:color="auto"/>
              <w:right w:val="single" w:sz="4" w:space="0" w:color="auto"/>
            </w:tcBorders>
            <w:vAlign w:val="bottom"/>
          </w:tcPr>
          <w:p w14:paraId="189A4C29" w14:textId="28504981" w:rsidR="00566744" w:rsidRDefault="00000000">
            <w:pPr>
              <w:rPr>
                <w:color w:val="000000"/>
                <w:sz w:val="22"/>
                <w:szCs w:val="22"/>
              </w:rPr>
            </w:pPr>
            <w:r>
              <w:rPr>
                <w:rFonts w:ascii="宋体" w:hAnsi="宋体" w:cs="宋体" w:hint="eastAsia"/>
                <w:color w:val="000000"/>
                <w:kern w:val="0"/>
                <w:sz w:val="22"/>
                <w:szCs w:val="22"/>
                <w:lang w:bidi="ar"/>
              </w:rPr>
              <w:t>富荣货币市场基金暂停部分代销机构大额申购（含转换转入、定期定额投资）业务的公告</w:t>
            </w:r>
          </w:p>
        </w:tc>
        <w:tc>
          <w:tcPr>
            <w:tcW w:w="2126" w:type="dxa"/>
            <w:tcBorders>
              <w:top w:val="single" w:sz="4" w:space="0" w:color="auto"/>
              <w:left w:val="single" w:sz="4" w:space="0" w:color="auto"/>
              <w:bottom w:val="single" w:sz="4" w:space="0" w:color="auto"/>
              <w:right w:val="single" w:sz="4" w:space="0" w:color="auto"/>
            </w:tcBorders>
            <w:vAlign w:val="center"/>
          </w:tcPr>
          <w:p w14:paraId="72687E09" w14:textId="52646102" w:rsidR="00566744" w:rsidRDefault="00000000">
            <w:pPr>
              <w:jc w:val="center"/>
              <w:rPr>
                <w:color w:val="000000"/>
                <w:sz w:val="22"/>
                <w:szCs w:val="22"/>
              </w:rPr>
            </w:pPr>
            <w:r>
              <w:rPr>
                <w:rFonts w:ascii="宋体" w:hAnsi="宋体" w:cs="宋体" w:hint="eastAsia"/>
                <w:color w:val="000000"/>
                <w:kern w:val="0"/>
                <w:sz w:val="22"/>
                <w:szCs w:val="22"/>
                <w:lang w:bidi="ar"/>
              </w:rPr>
              <w:t>2026年1月7日</w:t>
            </w:r>
          </w:p>
        </w:tc>
      </w:tr>
      <w:tr w:rsidR="00566744" w14:paraId="33EB7C17"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071E6A70" w14:textId="6FEA6EF4" w:rsidR="00566744" w:rsidRDefault="00000000">
            <w:pPr>
              <w:rPr>
                <w:color w:val="000000"/>
                <w:sz w:val="22"/>
                <w:szCs w:val="22"/>
              </w:rPr>
            </w:pPr>
            <w:r>
              <w:rPr>
                <w:rFonts w:hint="eastAsia"/>
                <w:color w:val="000000"/>
                <w:sz w:val="22"/>
                <w:szCs w:val="22"/>
              </w:rPr>
              <w:t>36</w:t>
            </w:r>
          </w:p>
        </w:tc>
        <w:tc>
          <w:tcPr>
            <w:tcW w:w="6662" w:type="dxa"/>
            <w:tcBorders>
              <w:top w:val="single" w:sz="4" w:space="0" w:color="auto"/>
              <w:left w:val="single" w:sz="4" w:space="0" w:color="auto"/>
              <w:bottom w:val="single" w:sz="4" w:space="0" w:color="auto"/>
              <w:right w:val="single" w:sz="4" w:space="0" w:color="auto"/>
            </w:tcBorders>
            <w:vAlign w:val="bottom"/>
          </w:tcPr>
          <w:p w14:paraId="34E6037C" w14:textId="0FAF6FB2" w:rsidR="00566744" w:rsidRDefault="00000000">
            <w:pPr>
              <w:rPr>
                <w:color w:val="000000"/>
                <w:sz w:val="22"/>
                <w:szCs w:val="22"/>
              </w:rPr>
            </w:pPr>
            <w:r>
              <w:rPr>
                <w:rFonts w:ascii="宋体" w:hAnsi="宋体" w:cs="宋体" w:hint="eastAsia"/>
                <w:color w:val="000000"/>
                <w:kern w:val="0"/>
                <w:sz w:val="22"/>
                <w:szCs w:val="22"/>
                <w:lang w:bidi="ar"/>
              </w:rPr>
              <w:t>富荣货币市场基金恢复在浙商银行销售渠道的大额申购（含转换转入、定期定额投资）业务公告</w:t>
            </w:r>
          </w:p>
        </w:tc>
        <w:tc>
          <w:tcPr>
            <w:tcW w:w="2126" w:type="dxa"/>
            <w:tcBorders>
              <w:top w:val="single" w:sz="4" w:space="0" w:color="auto"/>
              <w:left w:val="single" w:sz="4" w:space="0" w:color="auto"/>
              <w:bottom w:val="single" w:sz="4" w:space="0" w:color="auto"/>
              <w:right w:val="single" w:sz="4" w:space="0" w:color="auto"/>
            </w:tcBorders>
            <w:vAlign w:val="center"/>
          </w:tcPr>
          <w:p w14:paraId="772079BF" w14:textId="6EC8932F" w:rsidR="00566744" w:rsidRDefault="00000000">
            <w:pPr>
              <w:jc w:val="center"/>
              <w:rPr>
                <w:color w:val="000000"/>
                <w:sz w:val="22"/>
                <w:szCs w:val="22"/>
              </w:rPr>
            </w:pPr>
            <w:r>
              <w:rPr>
                <w:rFonts w:ascii="宋体" w:hAnsi="宋体" w:cs="宋体" w:hint="eastAsia"/>
                <w:color w:val="000000"/>
                <w:kern w:val="0"/>
                <w:sz w:val="22"/>
                <w:szCs w:val="22"/>
                <w:lang w:bidi="ar"/>
              </w:rPr>
              <w:t>2026年1月10日</w:t>
            </w:r>
          </w:p>
        </w:tc>
      </w:tr>
      <w:tr w:rsidR="00566744" w14:paraId="5B640521"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6C0440D1" w14:textId="1FC3664A" w:rsidR="00566744" w:rsidRDefault="00000000">
            <w:pPr>
              <w:rPr>
                <w:color w:val="000000"/>
                <w:sz w:val="22"/>
                <w:szCs w:val="22"/>
              </w:rPr>
            </w:pPr>
            <w:r>
              <w:rPr>
                <w:rFonts w:hint="eastAsia"/>
                <w:color w:val="000000"/>
                <w:sz w:val="22"/>
                <w:szCs w:val="22"/>
              </w:rPr>
              <w:t>37</w:t>
            </w:r>
          </w:p>
        </w:tc>
        <w:tc>
          <w:tcPr>
            <w:tcW w:w="6662" w:type="dxa"/>
            <w:tcBorders>
              <w:top w:val="single" w:sz="4" w:space="0" w:color="auto"/>
              <w:left w:val="single" w:sz="4" w:space="0" w:color="auto"/>
              <w:bottom w:val="single" w:sz="4" w:space="0" w:color="auto"/>
              <w:right w:val="single" w:sz="4" w:space="0" w:color="auto"/>
            </w:tcBorders>
            <w:vAlign w:val="bottom"/>
          </w:tcPr>
          <w:p w14:paraId="7A37702F" w14:textId="2637F43C" w:rsidR="00566744" w:rsidRDefault="00000000">
            <w:pPr>
              <w:rPr>
                <w:color w:val="000000"/>
                <w:sz w:val="22"/>
                <w:szCs w:val="22"/>
              </w:rPr>
            </w:pPr>
            <w:r>
              <w:rPr>
                <w:rFonts w:ascii="宋体" w:hAnsi="宋体" w:cs="宋体" w:hint="eastAsia"/>
                <w:color w:val="000000"/>
                <w:kern w:val="0"/>
                <w:sz w:val="22"/>
                <w:szCs w:val="22"/>
                <w:lang w:bidi="ar"/>
              </w:rPr>
              <w:t>富荣货币市场基金恢复在珠海</w:t>
            </w:r>
            <w:proofErr w:type="gramStart"/>
            <w:r>
              <w:rPr>
                <w:rFonts w:ascii="宋体" w:hAnsi="宋体" w:cs="宋体" w:hint="eastAsia"/>
                <w:color w:val="000000"/>
                <w:kern w:val="0"/>
                <w:sz w:val="22"/>
                <w:szCs w:val="22"/>
                <w:lang w:bidi="ar"/>
              </w:rPr>
              <w:t>盈米基金</w:t>
            </w:r>
            <w:proofErr w:type="gramEnd"/>
            <w:r>
              <w:rPr>
                <w:rFonts w:ascii="宋体" w:hAnsi="宋体" w:cs="宋体" w:hint="eastAsia"/>
                <w:color w:val="000000"/>
                <w:kern w:val="0"/>
                <w:sz w:val="22"/>
                <w:szCs w:val="22"/>
                <w:lang w:bidi="ar"/>
              </w:rPr>
              <w:t>销售有限公司的大额申购（含转换转入、定期定额投资）业务公告</w:t>
            </w:r>
          </w:p>
        </w:tc>
        <w:tc>
          <w:tcPr>
            <w:tcW w:w="2126" w:type="dxa"/>
            <w:tcBorders>
              <w:top w:val="single" w:sz="4" w:space="0" w:color="auto"/>
              <w:left w:val="single" w:sz="4" w:space="0" w:color="auto"/>
              <w:bottom w:val="single" w:sz="4" w:space="0" w:color="auto"/>
              <w:right w:val="single" w:sz="4" w:space="0" w:color="auto"/>
            </w:tcBorders>
            <w:vAlign w:val="center"/>
          </w:tcPr>
          <w:p w14:paraId="3BD7A865" w14:textId="590522B0" w:rsidR="00566744" w:rsidRDefault="00000000">
            <w:pPr>
              <w:jc w:val="center"/>
              <w:rPr>
                <w:color w:val="000000"/>
                <w:sz w:val="22"/>
                <w:szCs w:val="22"/>
              </w:rPr>
            </w:pPr>
            <w:r>
              <w:rPr>
                <w:rFonts w:ascii="宋体" w:hAnsi="宋体" w:cs="宋体" w:hint="eastAsia"/>
                <w:color w:val="000000"/>
                <w:kern w:val="0"/>
                <w:sz w:val="22"/>
                <w:szCs w:val="22"/>
                <w:lang w:bidi="ar"/>
              </w:rPr>
              <w:t>2026年1月14日</w:t>
            </w:r>
          </w:p>
        </w:tc>
      </w:tr>
      <w:tr w:rsidR="00566744" w14:paraId="44D574AE"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2725A60C" w14:textId="35109859" w:rsidR="00566744" w:rsidRDefault="00000000">
            <w:pPr>
              <w:rPr>
                <w:color w:val="000000"/>
                <w:sz w:val="22"/>
                <w:szCs w:val="22"/>
              </w:rPr>
            </w:pPr>
            <w:r>
              <w:rPr>
                <w:rFonts w:hint="eastAsia"/>
                <w:color w:val="000000"/>
                <w:sz w:val="22"/>
                <w:szCs w:val="22"/>
              </w:rPr>
              <w:t>38</w:t>
            </w:r>
          </w:p>
        </w:tc>
        <w:tc>
          <w:tcPr>
            <w:tcW w:w="6662" w:type="dxa"/>
            <w:tcBorders>
              <w:top w:val="single" w:sz="4" w:space="0" w:color="auto"/>
              <w:left w:val="single" w:sz="4" w:space="0" w:color="auto"/>
              <w:bottom w:val="single" w:sz="4" w:space="0" w:color="auto"/>
              <w:right w:val="single" w:sz="4" w:space="0" w:color="auto"/>
            </w:tcBorders>
            <w:vAlign w:val="bottom"/>
          </w:tcPr>
          <w:p w14:paraId="6A5FD2C7" w14:textId="58B16313" w:rsidR="00566744" w:rsidRDefault="00000000">
            <w:pPr>
              <w:rPr>
                <w:color w:val="000000"/>
                <w:sz w:val="22"/>
                <w:szCs w:val="22"/>
              </w:rPr>
            </w:pPr>
            <w:r>
              <w:rPr>
                <w:rFonts w:ascii="宋体" w:hAnsi="宋体" w:cs="宋体" w:hint="eastAsia"/>
                <w:color w:val="000000"/>
                <w:kern w:val="0"/>
                <w:sz w:val="22"/>
                <w:szCs w:val="22"/>
                <w:lang w:bidi="ar"/>
              </w:rPr>
              <w:t>富荣基金管理有限公司旗下基金2025年第4季度报告提示性公告</w:t>
            </w:r>
          </w:p>
        </w:tc>
        <w:tc>
          <w:tcPr>
            <w:tcW w:w="2126" w:type="dxa"/>
            <w:tcBorders>
              <w:top w:val="single" w:sz="4" w:space="0" w:color="auto"/>
              <w:left w:val="single" w:sz="4" w:space="0" w:color="auto"/>
              <w:bottom w:val="single" w:sz="4" w:space="0" w:color="auto"/>
              <w:right w:val="single" w:sz="4" w:space="0" w:color="auto"/>
            </w:tcBorders>
            <w:vAlign w:val="center"/>
          </w:tcPr>
          <w:p w14:paraId="792613E0" w14:textId="7722EA09" w:rsidR="00566744" w:rsidRDefault="00000000">
            <w:pPr>
              <w:jc w:val="center"/>
              <w:rPr>
                <w:color w:val="000000"/>
                <w:sz w:val="22"/>
                <w:szCs w:val="22"/>
              </w:rPr>
            </w:pPr>
            <w:r>
              <w:rPr>
                <w:rFonts w:ascii="宋体" w:hAnsi="宋体" w:cs="宋体" w:hint="eastAsia"/>
                <w:color w:val="000000"/>
                <w:kern w:val="0"/>
                <w:sz w:val="22"/>
                <w:szCs w:val="22"/>
                <w:lang w:bidi="ar"/>
              </w:rPr>
              <w:t>2026年1月22日</w:t>
            </w:r>
          </w:p>
        </w:tc>
      </w:tr>
      <w:tr w:rsidR="00566744" w14:paraId="1D3FDC9E"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4BEA1E3D" w14:textId="11795E40" w:rsidR="00566744" w:rsidRDefault="00000000">
            <w:pPr>
              <w:rPr>
                <w:color w:val="000000"/>
                <w:sz w:val="22"/>
                <w:szCs w:val="22"/>
              </w:rPr>
            </w:pPr>
            <w:r>
              <w:rPr>
                <w:rFonts w:hint="eastAsia"/>
                <w:color w:val="000000"/>
                <w:sz w:val="22"/>
                <w:szCs w:val="22"/>
              </w:rPr>
              <w:t>39</w:t>
            </w:r>
          </w:p>
        </w:tc>
        <w:tc>
          <w:tcPr>
            <w:tcW w:w="6662" w:type="dxa"/>
            <w:tcBorders>
              <w:top w:val="single" w:sz="4" w:space="0" w:color="auto"/>
              <w:left w:val="single" w:sz="4" w:space="0" w:color="auto"/>
              <w:bottom w:val="single" w:sz="4" w:space="0" w:color="auto"/>
              <w:right w:val="single" w:sz="4" w:space="0" w:color="auto"/>
            </w:tcBorders>
            <w:vAlign w:val="bottom"/>
          </w:tcPr>
          <w:p w14:paraId="6F96DAA1" w14:textId="78216961" w:rsidR="00566744" w:rsidRDefault="00000000">
            <w:pPr>
              <w:rPr>
                <w:color w:val="000000"/>
                <w:sz w:val="22"/>
                <w:szCs w:val="22"/>
              </w:rPr>
            </w:pPr>
            <w:r>
              <w:rPr>
                <w:rFonts w:ascii="宋体" w:hAnsi="宋体" w:cs="宋体" w:hint="eastAsia"/>
                <w:color w:val="000000"/>
                <w:kern w:val="0"/>
                <w:sz w:val="22"/>
                <w:szCs w:val="22"/>
                <w:lang w:bidi="ar"/>
              </w:rPr>
              <w:t>富荣货币市场基金恢复在上海证达通基金销售有限公司的大额申购（含转换转入、定期定额投资）业务公告</w:t>
            </w:r>
          </w:p>
        </w:tc>
        <w:tc>
          <w:tcPr>
            <w:tcW w:w="2126" w:type="dxa"/>
            <w:tcBorders>
              <w:top w:val="single" w:sz="4" w:space="0" w:color="auto"/>
              <w:left w:val="single" w:sz="4" w:space="0" w:color="auto"/>
              <w:bottom w:val="single" w:sz="4" w:space="0" w:color="auto"/>
              <w:right w:val="single" w:sz="4" w:space="0" w:color="auto"/>
            </w:tcBorders>
            <w:vAlign w:val="center"/>
          </w:tcPr>
          <w:p w14:paraId="094E55D7" w14:textId="3D5E9B47" w:rsidR="00566744" w:rsidRDefault="00000000">
            <w:pPr>
              <w:jc w:val="center"/>
              <w:rPr>
                <w:color w:val="000000"/>
                <w:sz w:val="22"/>
                <w:szCs w:val="22"/>
              </w:rPr>
            </w:pPr>
            <w:r>
              <w:rPr>
                <w:rFonts w:ascii="宋体" w:hAnsi="宋体" w:cs="宋体" w:hint="eastAsia"/>
                <w:color w:val="000000"/>
                <w:kern w:val="0"/>
                <w:sz w:val="22"/>
                <w:szCs w:val="22"/>
                <w:lang w:bidi="ar"/>
              </w:rPr>
              <w:t>2026年3月3日</w:t>
            </w:r>
          </w:p>
        </w:tc>
      </w:tr>
      <w:tr w:rsidR="00566744" w14:paraId="0C4E5050"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35FF6620" w14:textId="7177B733" w:rsidR="00566744" w:rsidRDefault="00000000">
            <w:pPr>
              <w:rPr>
                <w:color w:val="000000"/>
                <w:sz w:val="22"/>
                <w:szCs w:val="22"/>
              </w:rPr>
            </w:pPr>
            <w:r>
              <w:rPr>
                <w:rFonts w:hint="eastAsia"/>
                <w:color w:val="000000"/>
                <w:sz w:val="22"/>
                <w:szCs w:val="22"/>
              </w:rPr>
              <w:t>40</w:t>
            </w:r>
          </w:p>
        </w:tc>
        <w:tc>
          <w:tcPr>
            <w:tcW w:w="6662" w:type="dxa"/>
            <w:tcBorders>
              <w:top w:val="single" w:sz="4" w:space="0" w:color="auto"/>
              <w:left w:val="single" w:sz="4" w:space="0" w:color="auto"/>
              <w:bottom w:val="single" w:sz="4" w:space="0" w:color="auto"/>
              <w:right w:val="single" w:sz="4" w:space="0" w:color="auto"/>
            </w:tcBorders>
            <w:vAlign w:val="bottom"/>
          </w:tcPr>
          <w:p w14:paraId="21FDB377" w14:textId="18BC1983" w:rsidR="00566744" w:rsidRDefault="00000000">
            <w:pPr>
              <w:rPr>
                <w:color w:val="000000"/>
                <w:sz w:val="22"/>
                <w:szCs w:val="22"/>
              </w:rPr>
            </w:pPr>
            <w:r>
              <w:rPr>
                <w:rFonts w:ascii="宋体" w:hAnsi="宋体" w:cs="宋体" w:hint="eastAsia"/>
                <w:color w:val="000000"/>
                <w:kern w:val="0"/>
                <w:sz w:val="22"/>
                <w:szCs w:val="22"/>
                <w:lang w:bidi="ar"/>
              </w:rPr>
              <w:t>富荣货币市场基金恢复在麦</w:t>
            </w:r>
            <w:proofErr w:type="gramStart"/>
            <w:r>
              <w:rPr>
                <w:rFonts w:ascii="宋体" w:hAnsi="宋体" w:cs="宋体" w:hint="eastAsia"/>
                <w:color w:val="000000"/>
                <w:kern w:val="0"/>
                <w:sz w:val="22"/>
                <w:szCs w:val="22"/>
                <w:lang w:bidi="ar"/>
              </w:rPr>
              <w:t>高证券</w:t>
            </w:r>
            <w:proofErr w:type="gramEnd"/>
            <w:r>
              <w:rPr>
                <w:rFonts w:ascii="宋体" w:hAnsi="宋体" w:cs="宋体" w:hint="eastAsia"/>
                <w:color w:val="000000"/>
                <w:kern w:val="0"/>
                <w:sz w:val="22"/>
                <w:szCs w:val="22"/>
                <w:lang w:bidi="ar"/>
              </w:rPr>
              <w:t>有限责任公司的大额申购（含转换转入、定期定额投资）业务公告</w:t>
            </w:r>
          </w:p>
        </w:tc>
        <w:tc>
          <w:tcPr>
            <w:tcW w:w="2126" w:type="dxa"/>
            <w:tcBorders>
              <w:top w:val="single" w:sz="4" w:space="0" w:color="auto"/>
              <w:left w:val="single" w:sz="4" w:space="0" w:color="auto"/>
              <w:bottom w:val="single" w:sz="4" w:space="0" w:color="auto"/>
              <w:right w:val="single" w:sz="4" w:space="0" w:color="auto"/>
            </w:tcBorders>
            <w:vAlign w:val="center"/>
          </w:tcPr>
          <w:p w14:paraId="1CDAADE8" w14:textId="46D7C11F" w:rsidR="00566744" w:rsidRDefault="00000000">
            <w:pPr>
              <w:jc w:val="center"/>
              <w:rPr>
                <w:color w:val="000000"/>
                <w:sz w:val="22"/>
                <w:szCs w:val="22"/>
              </w:rPr>
            </w:pPr>
            <w:r>
              <w:rPr>
                <w:rFonts w:ascii="宋体" w:hAnsi="宋体" w:cs="宋体" w:hint="eastAsia"/>
                <w:color w:val="000000"/>
                <w:kern w:val="0"/>
                <w:sz w:val="22"/>
                <w:szCs w:val="22"/>
                <w:lang w:bidi="ar"/>
              </w:rPr>
              <w:t>2026年3月12日</w:t>
            </w:r>
          </w:p>
        </w:tc>
      </w:tr>
      <w:tr w:rsidR="00566744" w14:paraId="303D3EDE"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336BB4ED" w14:textId="5E189A61" w:rsidR="00566744" w:rsidRDefault="00000000">
            <w:pPr>
              <w:rPr>
                <w:color w:val="000000"/>
                <w:sz w:val="22"/>
                <w:szCs w:val="22"/>
              </w:rPr>
            </w:pPr>
            <w:r>
              <w:rPr>
                <w:rFonts w:hint="eastAsia"/>
                <w:color w:val="000000"/>
                <w:sz w:val="22"/>
                <w:szCs w:val="22"/>
              </w:rPr>
              <w:t>41</w:t>
            </w:r>
          </w:p>
        </w:tc>
        <w:tc>
          <w:tcPr>
            <w:tcW w:w="6662" w:type="dxa"/>
            <w:tcBorders>
              <w:top w:val="single" w:sz="4" w:space="0" w:color="auto"/>
              <w:left w:val="single" w:sz="4" w:space="0" w:color="auto"/>
              <w:bottom w:val="single" w:sz="4" w:space="0" w:color="auto"/>
              <w:right w:val="single" w:sz="4" w:space="0" w:color="auto"/>
            </w:tcBorders>
            <w:vAlign w:val="bottom"/>
          </w:tcPr>
          <w:p w14:paraId="4608B3DA" w14:textId="70E7518E" w:rsidR="00566744" w:rsidRDefault="00000000">
            <w:pPr>
              <w:rPr>
                <w:color w:val="000000"/>
                <w:sz w:val="22"/>
                <w:szCs w:val="22"/>
              </w:rPr>
            </w:pPr>
            <w:r>
              <w:rPr>
                <w:rFonts w:ascii="宋体" w:hAnsi="宋体" w:cs="宋体" w:hint="eastAsia"/>
                <w:color w:val="000000"/>
                <w:kern w:val="0"/>
                <w:sz w:val="22"/>
                <w:szCs w:val="22"/>
                <w:lang w:bidi="ar"/>
              </w:rPr>
              <w:t>富荣货币市场基金恢复在招商证券股份有限公司的大额申购（含转换转入、定期定额投资）业务公告</w:t>
            </w:r>
          </w:p>
        </w:tc>
        <w:tc>
          <w:tcPr>
            <w:tcW w:w="2126" w:type="dxa"/>
            <w:tcBorders>
              <w:top w:val="single" w:sz="4" w:space="0" w:color="auto"/>
              <w:left w:val="single" w:sz="4" w:space="0" w:color="auto"/>
              <w:bottom w:val="single" w:sz="4" w:space="0" w:color="auto"/>
              <w:right w:val="single" w:sz="4" w:space="0" w:color="auto"/>
            </w:tcBorders>
            <w:vAlign w:val="center"/>
          </w:tcPr>
          <w:p w14:paraId="56E87E2C" w14:textId="3C0C7783" w:rsidR="00566744" w:rsidRDefault="00000000">
            <w:pPr>
              <w:jc w:val="center"/>
              <w:rPr>
                <w:color w:val="000000"/>
                <w:sz w:val="22"/>
                <w:szCs w:val="22"/>
              </w:rPr>
            </w:pPr>
            <w:r>
              <w:rPr>
                <w:rFonts w:ascii="宋体" w:hAnsi="宋体" w:cs="宋体" w:hint="eastAsia"/>
                <w:color w:val="000000"/>
                <w:kern w:val="0"/>
                <w:sz w:val="22"/>
                <w:szCs w:val="22"/>
                <w:lang w:bidi="ar"/>
              </w:rPr>
              <w:t>2026年3月31日</w:t>
            </w:r>
          </w:p>
        </w:tc>
      </w:tr>
      <w:tr w:rsidR="00566744" w14:paraId="1B32B981"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6E861641" w14:textId="77777777" w:rsidR="00566744" w:rsidRDefault="00000000">
            <w:pPr>
              <w:rPr>
                <w:color w:val="000000"/>
                <w:sz w:val="22"/>
                <w:szCs w:val="22"/>
              </w:rPr>
            </w:pPr>
            <w:r>
              <w:rPr>
                <w:rFonts w:hint="eastAsia"/>
                <w:color w:val="000000"/>
                <w:sz w:val="22"/>
                <w:szCs w:val="22"/>
              </w:rPr>
              <w:t>42</w:t>
            </w:r>
          </w:p>
        </w:tc>
        <w:tc>
          <w:tcPr>
            <w:tcW w:w="6662" w:type="dxa"/>
            <w:tcBorders>
              <w:top w:val="single" w:sz="4" w:space="0" w:color="auto"/>
              <w:left w:val="single" w:sz="4" w:space="0" w:color="auto"/>
              <w:bottom w:val="single" w:sz="4" w:space="0" w:color="auto"/>
              <w:right w:val="single" w:sz="4" w:space="0" w:color="auto"/>
            </w:tcBorders>
            <w:vAlign w:val="bottom"/>
          </w:tcPr>
          <w:p w14:paraId="2910A976" w14:textId="77777777" w:rsidR="00566744" w:rsidRDefault="00000000">
            <w:pPr>
              <w:rPr>
                <w:color w:val="000000"/>
                <w:sz w:val="22"/>
                <w:szCs w:val="22"/>
              </w:rPr>
            </w:pPr>
            <w:r>
              <w:rPr>
                <w:rFonts w:ascii="宋体" w:hAnsi="宋体" w:cs="宋体" w:hint="eastAsia"/>
                <w:color w:val="000000"/>
                <w:kern w:val="0"/>
                <w:sz w:val="22"/>
                <w:szCs w:val="22"/>
                <w:lang w:bidi="ar"/>
              </w:rPr>
              <w:t>富荣基金管理有限公司旗下全部基金2025年年度报告提示性公告</w:t>
            </w:r>
          </w:p>
        </w:tc>
        <w:tc>
          <w:tcPr>
            <w:tcW w:w="2126" w:type="dxa"/>
            <w:tcBorders>
              <w:top w:val="single" w:sz="4" w:space="0" w:color="auto"/>
              <w:left w:val="single" w:sz="4" w:space="0" w:color="auto"/>
              <w:bottom w:val="single" w:sz="4" w:space="0" w:color="auto"/>
              <w:right w:val="single" w:sz="4" w:space="0" w:color="auto"/>
            </w:tcBorders>
            <w:vAlign w:val="center"/>
          </w:tcPr>
          <w:p w14:paraId="7F41D26E" w14:textId="77777777" w:rsidR="00566744" w:rsidRDefault="00000000">
            <w:pPr>
              <w:jc w:val="center"/>
              <w:rPr>
                <w:color w:val="000000"/>
                <w:sz w:val="22"/>
                <w:szCs w:val="22"/>
              </w:rPr>
            </w:pPr>
            <w:r>
              <w:rPr>
                <w:rFonts w:ascii="宋体" w:hAnsi="宋体" w:cs="宋体" w:hint="eastAsia"/>
                <w:color w:val="000000"/>
                <w:kern w:val="0"/>
                <w:sz w:val="22"/>
                <w:szCs w:val="22"/>
                <w:lang w:bidi="ar"/>
              </w:rPr>
              <w:t>2026年3月31日</w:t>
            </w:r>
          </w:p>
        </w:tc>
      </w:tr>
      <w:tr w:rsidR="00566744" w14:paraId="07C20530"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6F1EDB1C" w14:textId="77777777" w:rsidR="00566744" w:rsidRDefault="00000000">
            <w:pPr>
              <w:rPr>
                <w:color w:val="000000"/>
                <w:sz w:val="22"/>
                <w:szCs w:val="22"/>
              </w:rPr>
            </w:pPr>
            <w:r>
              <w:rPr>
                <w:rFonts w:hint="eastAsia"/>
                <w:color w:val="000000"/>
                <w:sz w:val="22"/>
                <w:szCs w:val="22"/>
              </w:rPr>
              <w:t>43</w:t>
            </w:r>
          </w:p>
        </w:tc>
        <w:tc>
          <w:tcPr>
            <w:tcW w:w="6662" w:type="dxa"/>
            <w:tcBorders>
              <w:top w:val="single" w:sz="4" w:space="0" w:color="auto"/>
              <w:left w:val="single" w:sz="4" w:space="0" w:color="auto"/>
              <w:bottom w:val="single" w:sz="4" w:space="0" w:color="auto"/>
              <w:right w:val="single" w:sz="4" w:space="0" w:color="auto"/>
            </w:tcBorders>
            <w:vAlign w:val="bottom"/>
          </w:tcPr>
          <w:p w14:paraId="0DC8C413" w14:textId="77777777" w:rsidR="00566744" w:rsidRDefault="00000000">
            <w:pPr>
              <w:rPr>
                <w:color w:val="000000"/>
                <w:sz w:val="22"/>
                <w:szCs w:val="22"/>
              </w:rPr>
            </w:pPr>
            <w:r>
              <w:rPr>
                <w:rFonts w:ascii="宋体" w:hAnsi="宋体" w:cs="宋体" w:hint="eastAsia"/>
                <w:color w:val="000000"/>
                <w:kern w:val="0"/>
                <w:sz w:val="22"/>
                <w:szCs w:val="22"/>
                <w:lang w:bidi="ar"/>
              </w:rPr>
              <w:t>富荣货币市场基金恢复部分代销机构大额申购（含转换转入、定期</w:t>
            </w:r>
            <w:r>
              <w:rPr>
                <w:rFonts w:ascii="宋体" w:hAnsi="宋体" w:cs="宋体" w:hint="eastAsia"/>
                <w:color w:val="000000"/>
                <w:kern w:val="0"/>
                <w:sz w:val="22"/>
                <w:szCs w:val="22"/>
                <w:lang w:bidi="ar"/>
              </w:rPr>
              <w:lastRenderedPageBreak/>
              <w:t>定额投资）业务公告</w:t>
            </w:r>
          </w:p>
        </w:tc>
        <w:tc>
          <w:tcPr>
            <w:tcW w:w="2126" w:type="dxa"/>
            <w:tcBorders>
              <w:top w:val="single" w:sz="4" w:space="0" w:color="auto"/>
              <w:left w:val="single" w:sz="4" w:space="0" w:color="auto"/>
              <w:bottom w:val="single" w:sz="4" w:space="0" w:color="auto"/>
              <w:right w:val="single" w:sz="4" w:space="0" w:color="auto"/>
            </w:tcBorders>
            <w:vAlign w:val="center"/>
          </w:tcPr>
          <w:p w14:paraId="6A16CCF7" w14:textId="77777777" w:rsidR="00566744" w:rsidRDefault="00000000">
            <w:pPr>
              <w:jc w:val="center"/>
              <w:rPr>
                <w:color w:val="000000"/>
                <w:sz w:val="22"/>
                <w:szCs w:val="22"/>
              </w:rPr>
            </w:pPr>
            <w:r>
              <w:rPr>
                <w:rFonts w:ascii="宋体" w:hAnsi="宋体" w:cs="宋体" w:hint="eastAsia"/>
                <w:color w:val="000000"/>
                <w:kern w:val="0"/>
                <w:sz w:val="22"/>
                <w:szCs w:val="22"/>
                <w:lang w:bidi="ar"/>
              </w:rPr>
              <w:lastRenderedPageBreak/>
              <w:t>2026年4月8日</w:t>
            </w:r>
          </w:p>
        </w:tc>
      </w:tr>
      <w:tr w:rsidR="00566744" w14:paraId="2FF3CC5E"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1D440F4B" w14:textId="77777777" w:rsidR="00566744" w:rsidRDefault="00000000">
            <w:pPr>
              <w:rPr>
                <w:color w:val="000000"/>
                <w:sz w:val="22"/>
                <w:szCs w:val="22"/>
              </w:rPr>
            </w:pPr>
            <w:r>
              <w:rPr>
                <w:rFonts w:hint="eastAsia"/>
                <w:color w:val="000000"/>
                <w:sz w:val="22"/>
                <w:szCs w:val="22"/>
              </w:rPr>
              <w:t>44</w:t>
            </w:r>
          </w:p>
        </w:tc>
        <w:tc>
          <w:tcPr>
            <w:tcW w:w="6662" w:type="dxa"/>
            <w:tcBorders>
              <w:top w:val="single" w:sz="4" w:space="0" w:color="auto"/>
              <w:left w:val="single" w:sz="4" w:space="0" w:color="auto"/>
              <w:bottom w:val="single" w:sz="4" w:space="0" w:color="auto"/>
              <w:right w:val="single" w:sz="4" w:space="0" w:color="auto"/>
            </w:tcBorders>
            <w:vAlign w:val="bottom"/>
          </w:tcPr>
          <w:p w14:paraId="570B690A" w14:textId="77777777" w:rsidR="00566744" w:rsidRDefault="00000000">
            <w:pPr>
              <w:rPr>
                <w:color w:val="000000"/>
                <w:sz w:val="22"/>
                <w:szCs w:val="22"/>
              </w:rPr>
            </w:pPr>
            <w:r>
              <w:rPr>
                <w:rFonts w:ascii="宋体" w:hAnsi="宋体" w:cs="宋体" w:hint="eastAsia"/>
                <w:color w:val="000000"/>
                <w:kern w:val="0"/>
                <w:sz w:val="22"/>
                <w:szCs w:val="22"/>
                <w:lang w:bidi="ar"/>
              </w:rPr>
              <w:t>富荣基金管理有限公司关于旗下部分基金新增华泰证券股份有限公司为销售机构、开通基金定期定额投资业务和基金转换业务并参加费率优惠活动的公告</w:t>
            </w:r>
          </w:p>
        </w:tc>
        <w:tc>
          <w:tcPr>
            <w:tcW w:w="2126" w:type="dxa"/>
            <w:tcBorders>
              <w:top w:val="single" w:sz="4" w:space="0" w:color="auto"/>
              <w:left w:val="single" w:sz="4" w:space="0" w:color="auto"/>
              <w:bottom w:val="single" w:sz="4" w:space="0" w:color="auto"/>
              <w:right w:val="single" w:sz="4" w:space="0" w:color="auto"/>
            </w:tcBorders>
            <w:vAlign w:val="center"/>
          </w:tcPr>
          <w:p w14:paraId="6BC998B2" w14:textId="77777777" w:rsidR="00566744" w:rsidRDefault="00000000">
            <w:pPr>
              <w:jc w:val="center"/>
              <w:rPr>
                <w:color w:val="000000"/>
                <w:sz w:val="22"/>
                <w:szCs w:val="22"/>
              </w:rPr>
            </w:pPr>
            <w:r>
              <w:rPr>
                <w:rFonts w:ascii="宋体" w:hAnsi="宋体" w:cs="宋体" w:hint="eastAsia"/>
                <w:color w:val="000000"/>
                <w:kern w:val="0"/>
                <w:sz w:val="22"/>
                <w:szCs w:val="22"/>
                <w:lang w:bidi="ar"/>
              </w:rPr>
              <w:t>2026年4月10日</w:t>
            </w:r>
          </w:p>
        </w:tc>
      </w:tr>
      <w:tr w:rsidR="00566744" w14:paraId="697A2F70"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12C87359" w14:textId="77777777" w:rsidR="00566744" w:rsidRDefault="00000000">
            <w:pPr>
              <w:rPr>
                <w:color w:val="000000"/>
                <w:sz w:val="22"/>
                <w:szCs w:val="22"/>
              </w:rPr>
            </w:pPr>
            <w:r>
              <w:rPr>
                <w:rFonts w:hint="eastAsia"/>
                <w:color w:val="000000"/>
                <w:sz w:val="22"/>
                <w:szCs w:val="22"/>
              </w:rPr>
              <w:t>45</w:t>
            </w:r>
          </w:p>
        </w:tc>
        <w:tc>
          <w:tcPr>
            <w:tcW w:w="6662" w:type="dxa"/>
            <w:tcBorders>
              <w:top w:val="single" w:sz="4" w:space="0" w:color="auto"/>
              <w:left w:val="single" w:sz="4" w:space="0" w:color="auto"/>
              <w:bottom w:val="single" w:sz="4" w:space="0" w:color="auto"/>
              <w:right w:val="single" w:sz="4" w:space="0" w:color="auto"/>
            </w:tcBorders>
            <w:vAlign w:val="bottom"/>
          </w:tcPr>
          <w:p w14:paraId="2EFDE08B" w14:textId="77777777" w:rsidR="00566744" w:rsidRDefault="00000000">
            <w:pPr>
              <w:rPr>
                <w:color w:val="000000"/>
                <w:sz w:val="22"/>
                <w:szCs w:val="22"/>
              </w:rPr>
            </w:pPr>
            <w:r>
              <w:rPr>
                <w:rFonts w:ascii="宋体" w:hAnsi="宋体" w:cs="宋体" w:hint="eastAsia"/>
                <w:color w:val="000000"/>
                <w:kern w:val="0"/>
                <w:sz w:val="22"/>
                <w:szCs w:val="22"/>
                <w:lang w:bidi="ar"/>
              </w:rPr>
              <w:t>富荣基金管理有限公司旗下全部基金2026年第1季度报告提示性公告</w:t>
            </w:r>
          </w:p>
        </w:tc>
        <w:tc>
          <w:tcPr>
            <w:tcW w:w="2126" w:type="dxa"/>
            <w:tcBorders>
              <w:top w:val="single" w:sz="4" w:space="0" w:color="auto"/>
              <w:left w:val="single" w:sz="4" w:space="0" w:color="auto"/>
              <w:bottom w:val="single" w:sz="4" w:space="0" w:color="auto"/>
              <w:right w:val="single" w:sz="4" w:space="0" w:color="auto"/>
            </w:tcBorders>
            <w:vAlign w:val="center"/>
          </w:tcPr>
          <w:p w14:paraId="5C9C0BB6" w14:textId="77777777" w:rsidR="00566744" w:rsidRDefault="00000000">
            <w:pPr>
              <w:jc w:val="center"/>
              <w:rPr>
                <w:color w:val="000000"/>
                <w:sz w:val="22"/>
                <w:szCs w:val="22"/>
              </w:rPr>
            </w:pPr>
            <w:r>
              <w:rPr>
                <w:rFonts w:ascii="宋体" w:hAnsi="宋体" w:cs="宋体" w:hint="eastAsia"/>
                <w:color w:val="000000"/>
                <w:kern w:val="0"/>
                <w:sz w:val="22"/>
                <w:szCs w:val="22"/>
                <w:lang w:bidi="ar"/>
              </w:rPr>
              <w:t>2026年4月22日</w:t>
            </w:r>
          </w:p>
        </w:tc>
      </w:tr>
      <w:tr w:rsidR="00566744" w14:paraId="4A928C9E"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1957837B" w14:textId="77777777" w:rsidR="00566744" w:rsidRDefault="00000000">
            <w:pPr>
              <w:rPr>
                <w:color w:val="000000"/>
                <w:sz w:val="22"/>
                <w:szCs w:val="22"/>
              </w:rPr>
            </w:pPr>
            <w:r>
              <w:rPr>
                <w:rFonts w:hint="eastAsia"/>
                <w:color w:val="000000"/>
                <w:sz w:val="22"/>
                <w:szCs w:val="22"/>
              </w:rPr>
              <w:t>46</w:t>
            </w:r>
          </w:p>
        </w:tc>
        <w:tc>
          <w:tcPr>
            <w:tcW w:w="6662" w:type="dxa"/>
            <w:tcBorders>
              <w:top w:val="single" w:sz="4" w:space="0" w:color="auto"/>
              <w:left w:val="single" w:sz="4" w:space="0" w:color="auto"/>
              <w:bottom w:val="single" w:sz="4" w:space="0" w:color="auto"/>
              <w:right w:val="single" w:sz="4" w:space="0" w:color="auto"/>
            </w:tcBorders>
            <w:vAlign w:val="bottom"/>
          </w:tcPr>
          <w:p w14:paraId="4D5BC72C" w14:textId="77777777" w:rsidR="00566744" w:rsidRDefault="00000000">
            <w:pPr>
              <w:rPr>
                <w:color w:val="000000"/>
                <w:sz w:val="22"/>
                <w:szCs w:val="22"/>
              </w:rPr>
            </w:pPr>
            <w:r>
              <w:rPr>
                <w:rFonts w:ascii="宋体" w:hAnsi="宋体" w:cs="宋体" w:hint="eastAsia"/>
                <w:color w:val="000000"/>
                <w:kern w:val="0"/>
                <w:sz w:val="22"/>
                <w:szCs w:val="22"/>
                <w:lang w:bidi="ar"/>
              </w:rPr>
              <w:t>富荣货币市场基金恢复部分代销机构大额申购（含转换转入、定期定额投资）业务公告</w:t>
            </w:r>
          </w:p>
        </w:tc>
        <w:tc>
          <w:tcPr>
            <w:tcW w:w="2126" w:type="dxa"/>
            <w:tcBorders>
              <w:top w:val="single" w:sz="4" w:space="0" w:color="auto"/>
              <w:left w:val="single" w:sz="4" w:space="0" w:color="auto"/>
              <w:bottom w:val="single" w:sz="4" w:space="0" w:color="auto"/>
              <w:right w:val="single" w:sz="4" w:space="0" w:color="auto"/>
            </w:tcBorders>
            <w:vAlign w:val="center"/>
          </w:tcPr>
          <w:p w14:paraId="54F4B362" w14:textId="77777777" w:rsidR="00566744" w:rsidRDefault="00000000">
            <w:pPr>
              <w:jc w:val="center"/>
              <w:rPr>
                <w:color w:val="000000"/>
                <w:sz w:val="22"/>
                <w:szCs w:val="22"/>
              </w:rPr>
            </w:pPr>
            <w:r>
              <w:rPr>
                <w:rFonts w:ascii="宋体" w:hAnsi="宋体" w:cs="宋体" w:hint="eastAsia"/>
                <w:color w:val="000000"/>
                <w:kern w:val="0"/>
                <w:sz w:val="22"/>
                <w:szCs w:val="22"/>
                <w:lang w:bidi="ar"/>
              </w:rPr>
              <w:t>2026年4月27日</w:t>
            </w:r>
          </w:p>
        </w:tc>
      </w:tr>
      <w:tr w:rsidR="00566744" w14:paraId="19E5A2AC"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62030D27" w14:textId="77777777" w:rsidR="00566744" w:rsidRDefault="00000000">
            <w:pPr>
              <w:rPr>
                <w:color w:val="000000"/>
                <w:sz w:val="22"/>
                <w:szCs w:val="22"/>
              </w:rPr>
            </w:pPr>
            <w:r>
              <w:rPr>
                <w:rFonts w:hint="eastAsia"/>
                <w:color w:val="000000"/>
                <w:sz w:val="22"/>
                <w:szCs w:val="22"/>
              </w:rPr>
              <w:t>47</w:t>
            </w:r>
          </w:p>
        </w:tc>
        <w:tc>
          <w:tcPr>
            <w:tcW w:w="6662" w:type="dxa"/>
            <w:tcBorders>
              <w:top w:val="single" w:sz="4" w:space="0" w:color="auto"/>
              <w:left w:val="single" w:sz="4" w:space="0" w:color="auto"/>
              <w:bottom w:val="single" w:sz="4" w:space="0" w:color="auto"/>
              <w:right w:val="single" w:sz="4" w:space="0" w:color="auto"/>
            </w:tcBorders>
            <w:vAlign w:val="bottom"/>
          </w:tcPr>
          <w:p w14:paraId="2A1C793F" w14:textId="77777777" w:rsidR="00566744" w:rsidRDefault="00000000">
            <w:pPr>
              <w:rPr>
                <w:color w:val="000000"/>
                <w:sz w:val="22"/>
                <w:szCs w:val="22"/>
              </w:rPr>
            </w:pPr>
            <w:r>
              <w:rPr>
                <w:rFonts w:ascii="宋体" w:hAnsi="宋体" w:cs="宋体" w:hint="eastAsia"/>
                <w:color w:val="000000"/>
                <w:kern w:val="0"/>
                <w:sz w:val="22"/>
                <w:szCs w:val="22"/>
                <w:lang w:bidi="ar"/>
              </w:rPr>
              <w:t>富荣货币市场基金恢复部分代销机构大额申购（含转换转入、定期定额投资）业务公告</w:t>
            </w:r>
          </w:p>
        </w:tc>
        <w:tc>
          <w:tcPr>
            <w:tcW w:w="2126" w:type="dxa"/>
            <w:tcBorders>
              <w:top w:val="single" w:sz="4" w:space="0" w:color="auto"/>
              <w:left w:val="single" w:sz="4" w:space="0" w:color="auto"/>
              <w:bottom w:val="single" w:sz="4" w:space="0" w:color="auto"/>
              <w:right w:val="single" w:sz="4" w:space="0" w:color="auto"/>
            </w:tcBorders>
            <w:vAlign w:val="center"/>
          </w:tcPr>
          <w:p w14:paraId="216424D4" w14:textId="77777777" w:rsidR="00566744" w:rsidRDefault="00000000">
            <w:pPr>
              <w:jc w:val="center"/>
              <w:rPr>
                <w:color w:val="000000"/>
                <w:sz w:val="22"/>
                <w:szCs w:val="22"/>
              </w:rPr>
            </w:pPr>
            <w:r>
              <w:rPr>
                <w:rFonts w:ascii="宋体" w:hAnsi="宋体" w:cs="宋体" w:hint="eastAsia"/>
                <w:color w:val="000000"/>
                <w:kern w:val="0"/>
                <w:sz w:val="22"/>
                <w:szCs w:val="22"/>
                <w:lang w:bidi="ar"/>
              </w:rPr>
              <w:t>2026年5月11日</w:t>
            </w:r>
          </w:p>
        </w:tc>
      </w:tr>
      <w:tr w:rsidR="00566744" w14:paraId="3135C3E1"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616341C3" w14:textId="77777777" w:rsidR="00566744" w:rsidRDefault="00000000">
            <w:pPr>
              <w:rPr>
                <w:color w:val="000000"/>
                <w:sz w:val="22"/>
                <w:szCs w:val="22"/>
              </w:rPr>
            </w:pPr>
            <w:r>
              <w:rPr>
                <w:rFonts w:hint="eastAsia"/>
                <w:color w:val="000000"/>
                <w:sz w:val="22"/>
                <w:szCs w:val="22"/>
              </w:rPr>
              <w:t>48</w:t>
            </w:r>
          </w:p>
        </w:tc>
        <w:tc>
          <w:tcPr>
            <w:tcW w:w="6662" w:type="dxa"/>
            <w:tcBorders>
              <w:top w:val="single" w:sz="4" w:space="0" w:color="auto"/>
              <w:left w:val="single" w:sz="4" w:space="0" w:color="auto"/>
              <w:bottom w:val="single" w:sz="4" w:space="0" w:color="auto"/>
              <w:right w:val="single" w:sz="4" w:space="0" w:color="auto"/>
            </w:tcBorders>
            <w:vAlign w:val="bottom"/>
          </w:tcPr>
          <w:p w14:paraId="37DEC4A9" w14:textId="77777777" w:rsidR="00566744" w:rsidRDefault="00000000">
            <w:pPr>
              <w:rPr>
                <w:color w:val="000000"/>
                <w:sz w:val="22"/>
                <w:szCs w:val="22"/>
              </w:rPr>
            </w:pPr>
            <w:r>
              <w:rPr>
                <w:rFonts w:ascii="宋体" w:hAnsi="宋体" w:cs="宋体" w:hint="eastAsia"/>
                <w:color w:val="000000"/>
                <w:kern w:val="0"/>
                <w:sz w:val="22"/>
                <w:szCs w:val="22"/>
                <w:lang w:bidi="ar"/>
              </w:rPr>
              <w:t>富荣基金管理有限公司关于富荣货币市场基金在部分代销机构暂停办理申购（含定期定额申购）业务的公告</w:t>
            </w:r>
          </w:p>
        </w:tc>
        <w:tc>
          <w:tcPr>
            <w:tcW w:w="2126" w:type="dxa"/>
            <w:tcBorders>
              <w:top w:val="single" w:sz="4" w:space="0" w:color="auto"/>
              <w:left w:val="single" w:sz="4" w:space="0" w:color="auto"/>
              <w:bottom w:val="single" w:sz="4" w:space="0" w:color="auto"/>
              <w:right w:val="single" w:sz="4" w:space="0" w:color="auto"/>
            </w:tcBorders>
            <w:vAlign w:val="center"/>
          </w:tcPr>
          <w:p w14:paraId="782B53AB" w14:textId="77777777" w:rsidR="00566744" w:rsidRDefault="00000000">
            <w:pPr>
              <w:jc w:val="center"/>
              <w:rPr>
                <w:color w:val="000000"/>
                <w:sz w:val="22"/>
                <w:szCs w:val="22"/>
              </w:rPr>
            </w:pPr>
            <w:r>
              <w:rPr>
                <w:rFonts w:ascii="宋体" w:hAnsi="宋体" w:cs="宋体" w:hint="eastAsia"/>
                <w:color w:val="000000"/>
                <w:kern w:val="0"/>
                <w:sz w:val="22"/>
                <w:szCs w:val="22"/>
                <w:lang w:bidi="ar"/>
              </w:rPr>
              <w:t>2026年5月25日</w:t>
            </w:r>
          </w:p>
        </w:tc>
      </w:tr>
      <w:tr w:rsidR="00566744" w14:paraId="48EAF2FB"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3EA3EBF2" w14:textId="77777777" w:rsidR="00566744" w:rsidRDefault="00000000">
            <w:pPr>
              <w:rPr>
                <w:color w:val="000000"/>
                <w:sz w:val="22"/>
                <w:szCs w:val="22"/>
              </w:rPr>
            </w:pPr>
            <w:r>
              <w:rPr>
                <w:rFonts w:hint="eastAsia"/>
                <w:color w:val="000000"/>
                <w:sz w:val="22"/>
                <w:szCs w:val="22"/>
              </w:rPr>
              <w:t>49</w:t>
            </w:r>
          </w:p>
        </w:tc>
        <w:tc>
          <w:tcPr>
            <w:tcW w:w="6662" w:type="dxa"/>
            <w:tcBorders>
              <w:top w:val="single" w:sz="4" w:space="0" w:color="auto"/>
              <w:left w:val="single" w:sz="4" w:space="0" w:color="auto"/>
              <w:bottom w:val="single" w:sz="4" w:space="0" w:color="auto"/>
              <w:right w:val="single" w:sz="4" w:space="0" w:color="auto"/>
            </w:tcBorders>
            <w:vAlign w:val="bottom"/>
          </w:tcPr>
          <w:p w14:paraId="319F6F58" w14:textId="77777777" w:rsidR="00566744" w:rsidRDefault="00000000">
            <w:pPr>
              <w:rPr>
                <w:color w:val="000000"/>
                <w:sz w:val="22"/>
                <w:szCs w:val="22"/>
              </w:rPr>
            </w:pPr>
            <w:r>
              <w:rPr>
                <w:rFonts w:ascii="宋体" w:hAnsi="宋体" w:cs="宋体" w:hint="eastAsia"/>
                <w:color w:val="000000"/>
                <w:kern w:val="0"/>
                <w:sz w:val="22"/>
                <w:szCs w:val="22"/>
                <w:lang w:bidi="ar"/>
              </w:rPr>
              <w:t>富荣货币市场基金恢复代销机构大额申购（含转换转入、定期定额投资）业务公告</w:t>
            </w:r>
          </w:p>
        </w:tc>
        <w:tc>
          <w:tcPr>
            <w:tcW w:w="2126" w:type="dxa"/>
            <w:tcBorders>
              <w:top w:val="single" w:sz="4" w:space="0" w:color="auto"/>
              <w:left w:val="single" w:sz="4" w:space="0" w:color="auto"/>
              <w:bottom w:val="single" w:sz="4" w:space="0" w:color="auto"/>
              <w:right w:val="single" w:sz="4" w:space="0" w:color="auto"/>
            </w:tcBorders>
            <w:vAlign w:val="center"/>
          </w:tcPr>
          <w:p w14:paraId="4C7F40EF" w14:textId="77777777" w:rsidR="00566744" w:rsidRDefault="00000000">
            <w:pPr>
              <w:jc w:val="center"/>
              <w:rPr>
                <w:color w:val="000000"/>
                <w:sz w:val="22"/>
                <w:szCs w:val="22"/>
              </w:rPr>
            </w:pPr>
            <w:r>
              <w:rPr>
                <w:rFonts w:ascii="宋体" w:hAnsi="宋体" w:cs="宋体" w:hint="eastAsia"/>
                <w:color w:val="000000"/>
                <w:kern w:val="0"/>
                <w:sz w:val="22"/>
                <w:szCs w:val="22"/>
                <w:lang w:bidi="ar"/>
              </w:rPr>
              <w:t>2026年5月30日</w:t>
            </w:r>
          </w:p>
        </w:tc>
      </w:tr>
      <w:tr w:rsidR="00566744" w14:paraId="33F2A1B0"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2CF36DF6" w14:textId="77777777" w:rsidR="00566744" w:rsidRDefault="00000000">
            <w:pPr>
              <w:rPr>
                <w:color w:val="000000"/>
                <w:sz w:val="22"/>
                <w:szCs w:val="22"/>
              </w:rPr>
            </w:pPr>
            <w:r>
              <w:rPr>
                <w:rFonts w:hint="eastAsia"/>
                <w:color w:val="000000"/>
                <w:sz w:val="22"/>
                <w:szCs w:val="22"/>
              </w:rPr>
              <w:t>50</w:t>
            </w:r>
          </w:p>
        </w:tc>
        <w:tc>
          <w:tcPr>
            <w:tcW w:w="6662" w:type="dxa"/>
            <w:tcBorders>
              <w:top w:val="single" w:sz="4" w:space="0" w:color="auto"/>
              <w:left w:val="single" w:sz="4" w:space="0" w:color="auto"/>
              <w:bottom w:val="single" w:sz="4" w:space="0" w:color="auto"/>
              <w:right w:val="single" w:sz="4" w:space="0" w:color="auto"/>
            </w:tcBorders>
            <w:vAlign w:val="bottom"/>
          </w:tcPr>
          <w:p w14:paraId="11CE4A97" w14:textId="77777777" w:rsidR="00566744" w:rsidRDefault="00000000">
            <w:pPr>
              <w:rPr>
                <w:color w:val="000000"/>
                <w:sz w:val="22"/>
                <w:szCs w:val="22"/>
              </w:rPr>
            </w:pPr>
            <w:r>
              <w:rPr>
                <w:rFonts w:ascii="宋体" w:hAnsi="宋体" w:cs="宋体" w:hint="eastAsia"/>
                <w:color w:val="000000"/>
                <w:kern w:val="0"/>
                <w:sz w:val="22"/>
                <w:szCs w:val="22"/>
                <w:lang w:bidi="ar"/>
              </w:rPr>
              <w:t>富荣基金管理有限公司关于终止中证金牛（北京）基金销售有限公司办理旗下基金相关销售业务的公告</w:t>
            </w:r>
          </w:p>
        </w:tc>
        <w:tc>
          <w:tcPr>
            <w:tcW w:w="2126" w:type="dxa"/>
            <w:tcBorders>
              <w:top w:val="single" w:sz="4" w:space="0" w:color="auto"/>
              <w:left w:val="single" w:sz="4" w:space="0" w:color="auto"/>
              <w:bottom w:val="single" w:sz="4" w:space="0" w:color="auto"/>
              <w:right w:val="single" w:sz="4" w:space="0" w:color="auto"/>
            </w:tcBorders>
            <w:vAlign w:val="center"/>
          </w:tcPr>
          <w:p w14:paraId="32103CA0" w14:textId="77777777" w:rsidR="00566744" w:rsidRDefault="00000000">
            <w:pPr>
              <w:jc w:val="center"/>
              <w:rPr>
                <w:color w:val="000000"/>
                <w:sz w:val="22"/>
                <w:szCs w:val="22"/>
              </w:rPr>
            </w:pPr>
            <w:r>
              <w:rPr>
                <w:rFonts w:ascii="宋体" w:hAnsi="宋体" w:cs="宋体" w:hint="eastAsia"/>
                <w:color w:val="000000"/>
                <w:kern w:val="0"/>
                <w:sz w:val="22"/>
                <w:szCs w:val="22"/>
                <w:lang w:bidi="ar"/>
              </w:rPr>
              <w:t>2026年5月30日</w:t>
            </w:r>
          </w:p>
        </w:tc>
      </w:tr>
      <w:tr w:rsidR="00566744" w14:paraId="26B0D1C7"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76A769EB" w14:textId="77777777" w:rsidR="00566744" w:rsidRDefault="00000000">
            <w:pPr>
              <w:rPr>
                <w:color w:val="000000"/>
                <w:sz w:val="22"/>
                <w:szCs w:val="22"/>
              </w:rPr>
            </w:pPr>
            <w:r>
              <w:rPr>
                <w:rFonts w:hint="eastAsia"/>
                <w:color w:val="000000"/>
                <w:sz w:val="22"/>
                <w:szCs w:val="22"/>
              </w:rPr>
              <w:t>51</w:t>
            </w:r>
          </w:p>
        </w:tc>
        <w:tc>
          <w:tcPr>
            <w:tcW w:w="6662" w:type="dxa"/>
            <w:tcBorders>
              <w:top w:val="single" w:sz="4" w:space="0" w:color="auto"/>
              <w:left w:val="single" w:sz="4" w:space="0" w:color="auto"/>
              <w:bottom w:val="single" w:sz="4" w:space="0" w:color="auto"/>
              <w:right w:val="single" w:sz="4" w:space="0" w:color="auto"/>
            </w:tcBorders>
            <w:vAlign w:val="bottom"/>
          </w:tcPr>
          <w:p w14:paraId="0F974799" w14:textId="77777777" w:rsidR="00566744" w:rsidRDefault="00000000">
            <w:pPr>
              <w:rPr>
                <w:color w:val="000000"/>
                <w:sz w:val="22"/>
                <w:szCs w:val="22"/>
              </w:rPr>
            </w:pPr>
            <w:r>
              <w:rPr>
                <w:rFonts w:ascii="宋体" w:hAnsi="宋体" w:cs="宋体" w:hint="eastAsia"/>
                <w:color w:val="000000"/>
                <w:kern w:val="0"/>
                <w:sz w:val="22"/>
                <w:szCs w:val="22"/>
                <w:lang w:bidi="ar"/>
              </w:rPr>
              <w:t>富荣基金管理有限公司关于旗下部分基金新增民生证券股份有限公司为销售机构、开通基金定期定额投资业务和基金转换业务并参加费率优惠活动的公告</w:t>
            </w:r>
          </w:p>
        </w:tc>
        <w:tc>
          <w:tcPr>
            <w:tcW w:w="2126" w:type="dxa"/>
            <w:tcBorders>
              <w:top w:val="single" w:sz="4" w:space="0" w:color="auto"/>
              <w:left w:val="single" w:sz="4" w:space="0" w:color="auto"/>
              <w:bottom w:val="single" w:sz="4" w:space="0" w:color="auto"/>
              <w:right w:val="single" w:sz="4" w:space="0" w:color="auto"/>
            </w:tcBorders>
            <w:vAlign w:val="center"/>
          </w:tcPr>
          <w:p w14:paraId="39A2695C" w14:textId="77777777" w:rsidR="00566744" w:rsidRDefault="00000000">
            <w:pPr>
              <w:jc w:val="center"/>
              <w:rPr>
                <w:color w:val="000000"/>
                <w:sz w:val="22"/>
                <w:szCs w:val="22"/>
              </w:rPr>
            </w:pPr>
            <w:r>
              <w:rPr>
                <w:rFonts w:ascii="宋体" w:hAnsi="宋体" w:cs="宋体" w:hint="eastAsia"/>
                <w:color w:val="000000"/>
                <w:kern w:val="0"/>
                <w:sz w:val="22"/>
                <w:szCs w:val="22"/>
                <w:lang w:bidi="ar"/>
              </w:rPr>
              <w:t>2026年6月4日</w:t>
            </w:r>
          </w:p>
        </w:tc>
      </w:tr>
      <w:tr w:rsidR="00566744" w14:paraId="32865D43"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64079801" w14:textId="77777777" w:rsidR="00566744" w:rsidRDefault="00000000">
            <w:pPr>
              <w:rPr>
                <w:color w:val="000000"/>
                <w:sz w:val="22"/>
                <w:szCs w:val="22"/>
              </w:rPr>
            </w:pPr>
            <w:r>
              <w:rPr>
                <w:rFonts w:hint="eastAsia"/>
                <w:color w:val="000000"/>
                <w:sz w:val="22"/>
                <w:szCs w:val="22"/>
              </w:rPr>
              <w:t>52</w:t>
            </w:r>
          </w:p>
        </w:tc>
        <w:tc>
          <w:tcPr>
            <w:tcW w:w="6662" w:type="dxa"/>
            <w:tcBorders>
              <w:top w:val="single" w:sz="4" w:space="0" w:color="auto"/>
              <w:left w:val="single" w:sz="4" w:space="0" w:color="auto"/>
              <w:bottom w:val="single" w:sz="4" w:space="0" w:color="auto"/>
              <w:right w:val="single" w:sz="4" w:space="0" w:color="auto"/>
            </w:tcBorders>
            <w:vAlign w:val="bottom"/>
          </w:tcPr>
          <w:p w14:paraId="125F4FCF" w14:textId="77777777" w:rsidR="00566744" w:rsidRDefault="00000000">
            <w:pPr>
              <w:rPr>
                <w:color w:val="000000"/>
                <w:sz w:val="22"/>
                <w:szCs w:val="22"/>
              </w:rPr>
            </w:pPr>
            <w:r>
              <w:rPr>
                <w:rFonts w:ascii="宋体" w:hAnsi="宋体" w:cs="宋体" w:hint="eastAsia"/>
                <w:color w:val="000000"/>
                <w:kern w:val="0"/>
                <w:sz w:val="22"/>
                <w:szCs w:val="22"/>
                <w:lang w:bidi="ar"/>
              </w:rPr>
              <w:t>富荣基金管理有限公司关于富荣货币市场基金降低管理费率并修改基金合同和托管协议的公告</w:t>
            </w:r>
          </w:p>
        </w:tc>
        <w:tc>
          <w:tcPr>
            <w:tcW w:w="2126" w:type="dxa"/>
            <w:tcBorders>
              <w:top w:val="single" w:sz="4" w:space="0" w:color="auto"/>
              <w:left w:val="single" w:sz="4" w:space="0" w:color="auto"/>
              <w:bottom w:val="single" w:sz="4" w:space="0" w:color="auto"/>
              <w:right w:val="single" w:sz="4" w:space="0" w:color="auto"/>
            </w:tcBorders>
            <w:vAlign w:val="center"/>
          </w:tcPr>
          <w:p w14:paraId="6D856BD3" w14:textId="77777777" w:rsidR="00566744" w:rsidRDefault="00000000">
            <w:pPr>
              <w:jc w:val="center"/>
              <w:rPr>
                <w:color w:val="000000"/>
                <w:sz w:val="22"/>
                <w:szCs w:val="22"/>
              </w:rPr>
            </w:pPr>
            <w:r>
              <w:rPr>
                <w:rFonts w:ascii="宋体" w:hAnsi="宋体" w:cs="宋体" w:hint="eastAsia"/>
                <w:color w:val="000000"/>
                <w:kern w:val="0"/>
                <w:sz w:val="22"/>
                <w:szCs w:val="22"/>
                <w:lang w:bidi="ar"/>
              </w:rPr>
              <w:t>2026年6月22日</w:t>
            </w:r>
          </w:p>
        </w:tc>
      </w:tr>
      <w:tr w:rsidR="00566744" w14:paraId="56C7930F" w14:textId="77777777" w:rsidTr="004A5BE7">
        <w:tc>
          <w:tcPr>
            <w:tcW w:w="710" w:type="dxa"/>
            <w:tcBorders>
              <w:top w:val="single" w:sz="4" w:space="0" w:color="auto"/>
              <w:left w:val="single" w:sz="4" w:space="0" w:color="auto"/>
              <w:bottom w:val="single" w:sz="4" w:space="0" w:color="auto"/>
              <w:right w:val="single" w:sz="4" w:space="0" w:color="auto"/>
            </w:tcBorders>
            <w:vAlign w:val="center"/>
          </w:tcPr>
          <w:p w14:paraId="691A1ABD" w14:textId="77777777" w:rsidR="00566744" w:rsidRDefault="00000000">
            <w:pPr>
              <w:rPr>
                <w:color w:val="000000"/>
                <w:sz w:val="22"/>
                <w:szCs w:val="22"/>
              </w:rPr>
            </w:pPr>
            <w:r>
              <w:rPr>
                <w:rFonts w:hint="eastAsia"/>
                <w:color w:val="000000"/>
                <w:sz w:val="22"/>
                <w:szCs w:val="22"/>
              </w:rPr>
              <w:t>53</w:t>
            </w:r>
          </w:p>
        </w:tc>
        <w:tc>
          <w:tcPr>
            <w:tcW w:w="6662" w:type="dxa"/>
            <w:tcBorders>
              <w:top w:val="single" w:sz="4" w:space="0" w:color="auto"/>
              <w:left w:val="single" w:sz="4" w:space="0" w:color="auto"/>
              <w:bottom w:val="single" w:sz="4" w:space="0" w:color="auto"/>
              <w:right w:val="single" w:sz="4" w:space="0" w:color="auto"/>
            </w:tcBorders>
            <w:vAlign w:val="bottom"/>
          </w:tcPr>
          <w:p w14:paraId="2980BB80" w14:textId="77777777" w:rsidR="00566744" w:rsidRDefault="00000000">
            <w:pPr>
              <w:rPr>
                <w:color w:val="000000"/>
                <w:sz w:val="22"/>
                <w:szCs w:val="22"/>
              </w:rPr>
            </w:pPr>
            <w:r>
              <w:rPr>
                <w:rFonts w:ascii="宋体" w:hAnsi="宋体" w:cs="宋体" w:hint="eastAsia"/>
                <w:color w:val="000000"/>
                <w:kern w:val="0"/>
                <w:sz w:val="22"/>
                <w:szCs w:val="22"/>
                <w:lang w:bidi="ar"/>
              </w:rPr>
              <w:t>富荣基金管理有限公司关于提醒投资者持续完善身份信息资料的公告</w:t>
            </w:r>
          </w:p>
        </w:tc>
        <w:tc>
          <w:tcPr>
            <w:tcW w:w="2126" w:type="dxa"/>
            <w:tcBorders>
              <w:top w:val="single" w:sz="4" w:space="0" w:color="auto"/>
              <w:left w:val="single" w:sz="4" w:space="0" w:color="auto"/>
              <w:bottom w:val="single" w:sz="4" w:space="0" w:color="auto"/>
              <w:right w:val="single" w:sz="4" w:space="0" w:color="auto"/>
            </w:tcBorders>
            <w:vAlign w:val="center"/>
          </w:tcPr>
          <w:p w14:paraId="4AA5D41F" w14:textId="77777777" w:rsidR="00566744" w:rsidRDefault="00000000">
            <w:pPr>
              <w:jc w:val="center"/>
              <w:rPr>
                <w:color w:val="000000"/>
                <w:sz w:val="22"/>
                <w:szCs w:val="22"/>
              </w:rPr>
            </w:pPr>
            <w:r>
              <w:rPr>
                <w:rFonts w:ascii="宋体" w:hAnsi="宋体" w:cs="宋体" w:hint="eastAsia"/>
                <w:color w:val="000000"/>
                <w:kern w:val="0"/>
                <w:sz w:val="22"/>
                <w:szCs w:val="22"/>
                <w:lang w:bidi="ar"/>
              </w:rPr>
              <w:t>2026年6月25日</w:t>
            </w:r>
          </w:p>
        </w:tc>
      </w:tr>
    </w:tbl>
    <w:p w14:paraId="38A19F2B" w14:textId="77777777" w:rsidR="00566744" w:rsidRDefault="00566744">
      <w:pPr>
        <w:ind w:firstLine="484"/>
        <w:jc w:val="left"/>
        <w:rPr>
          <w:b/>
          <w:bCs/>
          <w:kern w:val="44"/>
          <w:sz w:val="24"/>
          <w:szCs w:val="44"/>
        </w:rPr>
      </w:pPr>
    </w:p>
    <w:p w14:paraId="2B640A44" w14:textId="77777777" w:rsidR="00566744" w:rsidRDefault="00000000">
      <w:pPr>
        <w:pStyle w:val="1"/>
        <w:spacing w:line="360" w:lineRule="auto"/>
        <w:jc w:val="center"/>
        <w:rPr>
          <w:b w:val="0"/>
          <w:bCs w:val="0"/>
          <w:sz w:val="24"/>
        </w:rPr>
      </w:pPr>
      <w:r>
        <w:br w:type="page"/>
      </w:r>
      <w:bookmarkStart w:id="160" w:name="_Toc78378603"/>
      <w:bookmarkStart w:id="161" w:name="_Toc1903"/>
      <w:bookmarkStart w:id="162" w:name="_Toc482624811"/>
      <w:bookmarkStart w:id="163" w:name="_Toc256666931"/>
      <w:bookmarkStart w:id="164" w:name="_Toc256666811"/>
      <w:r>
        <w:rPr>
          <w:rFonts w:ascii="宋体" w:hAnsi="宋体" w:hint="eastAsia"/>
          <w:color w:val="000000"/>
          <w:kern w:val="0"/>
          <w:sz w:val="24"/>
          <w:szCs w:val="24"/>
        </w:rPr>
        <w:lastRenderedPageBreak/>
        <w:t>第二十三部分</w:t>
      </w:r>
      <w:r>
        <w:rPr>
          <w:rFonts w:ascii="宋体" w:hAnsi="宋体"/>
          <w:color w:val="000000"/>
          <w:kern w:val="0"/>
          <w:sz w:val="24"/>
          <w:szCs w:val="24"/>
        </w:rPr>
        <w:t xml:space="preserve">  </w:t>
      </w:r>
      <w:r>
        <w:rPr>
          <w:rFonts w:ascii="宋体" w:hAnsi="宋体" w:hint="eastAsia"/>
          <w:color w:val="000000"/>
          <w:kern w:val="0"/>
          <w:sz w:val="24"/>
          <w:szCs w:val="24"/>
        </w:rPr>
        <w:t>招募说明书存放及查阅方式</w:t>
      </w:r>
      <w:bookmarkEnd w:id="160"/>
      <w:bookmarkEnd w:id="161"/>
      <w:bookmarkEnd w:id="162"/>
    </w:p>
    <w:p w14:paraId="37EA9DC8" w14:textId="77777777" w:rsidR="00566744" w:rsidRDefault="00000000">
      <w:pPr>
        <w:adjustRightInd w:val="0"/>
        <w:snapToGrid w:val="0"/>
        <w:spacing w:line="360" w:lineRule="auto"/>
        <w:ind w:firstLineChars="200" w:firstLine="480"/>
        <w:rPr>
          <w:rFonts w:asciiTheme="minorEastAsia" w:eastAsiaTheme="minorEastAsia" w:hAnsiTheme="minorEastAsia" w:cs="Arial" w:hint="eastAsia"/>
          <w:kern w:val="0"/>
          <w:sz w:val="24"/>
        </w:rPr>
      </w:pPr>
      <w:r>
        <w:rPr>
          <w:rFonts w:asciiTheme="minorEastAsia" w:eastAsiaTheme="minorEastAsia" w:hAnsiTheme="minorEastAsia" w:cs="Arial" w:hint="eastAsia"/>
          <w:kern w:val="0"/>
          <w:sz w:val="24"/>
        </w:rPr>
        <w:t>依法必须披露的信息发布后，基金管理人、基金托管人应当按照相关法律法规规定将信息置备于公司住所、基金上市交易的证券交易所，供社会公众查阅、复制</w:t>
      </w:r>
      <w:r>
        <w:rPr>
          <w:rFonts w:asciiTheme="minorEastAsia" w:eastAsiaTheme="minorEastAsia" w:hAnsiTheme="minorEastAsia" w:cs="Arial"/>
          <w:kern w:val="0"/>
          <w:sz w:val="24"/>
        </w:rPr>
        <w:t>；投资人在支付工本费后，可在合理时间内取得上述文件复制件或复印件。对投资人按此种方式所获得的文件及其复印件，基金管理人保证文本的内容与所公告的内容完全一致。</w:t>
      </w:r>
    </w:p>
    <w:p w14:paraId="3EB3DBA5" w14:textId="77777777" w:rsidR="00566744" w:rsidRDefault="00000000">
      <w:pPr>
        <w:adjustRightInd w:val="0"/>
        <w:snapToGrid w:val="0"/>
        <w:spacing w:line="360" w:lineRule="auto"/>
        <w:ind w:firstLineChars="200" w:firstLine="480"/>
        <w:rPr>
          <w:rFonts w:asciiTheme="minorEastAsia" w:eastAsiaTheme="minorEastAsia" w:hAnsiTheme="minorEastAsia" w:cs="Arial" w:hint="eastAsia"/>
          <w:kern w:val="0"/>
          <w:sz w:val="24"/>
        </w:rPr>
      </w:pPr>
      <w:r>
        <w:rPr>
          <w:rFonts w:asciiTheme="minorEastAsia" w:eastAsiaTheme="minorEastAsia" w:hAnsiTheme="minorEastAsia" w:cs="Arial"/>
          <w:kern w:val="0"/>
          <w:sz w:val="24"/>
        </w:rPr>
        <w:t>投资人还可以直接登录基金管理人的网站（www.furamc.com.cn）查阅和下载招募说明书</w:t>
      </w:r>
      <w:bookmarkStart w:id="165" w:name="_Toc482624812"/>
      <w:bookmarkStart w:id="166" w:name="_Toc29888"/>
      <w:r>
        <w:rPr>
          <w:sz w:val="24"/>
        </w:rPr>
        <w:br w:type="page"/>
      </w:r>
    </w:p>
    <w:p w14:paraId="14FE288E" w14:textId="77777777" w:rsidR="00566744" w:rsidRDefault="00000000">
      <w:pPr>
        <w:pStyle w:val="1"/>
        <w:spacing w:line="360" w:lineRule="auto"/>
        <w:jc w:val="center"/>
        <w:rPr>
          <w:rFonts w:ascii="宋体" w:hAnsi="宋体" w:hint="eastAsia"/>
          <w:color w:val="000000"/>
          <w:kern w:val="0"/>
          <w:sz w:val="24"/>
          <w:szCs w:val="24"/>
        </w:rPr>
      </w:pPr>
      <w:bookmarkStart w:id="167" w:name="_Toc78378604"/>
      <w:r>
        <w:rPr>
          <w:rFonts w:ascii="宋体" w:hAnsi="宋体" w:hint="eastAsia"/>
          <w:color w:val="000000"/>
          <w:kern w:val="0"/>
          <w:sz w:val="24"/>
          <w:szCs w:val="24"/>
        </w:rPr>
        <w:lastRenderedPageBreak/>
        <w:t>第二十四部分</w:t>
      </w:r>
      <w:r>
        <w:rPr>
          <w:rFonts w:ascii="宋体" w:hAnsi="宋体"/>
          <w:color w:val="000000"/>
          <w:kern w:val="0"/>
          <w:sz w:val="24"/>
          <w:szCs w:val="24"/>
        </w:rPr>
        <w:t xml:space="preserve">  </w:t>
      </w:r>
      <w:r>
        <w:rPr>
          <w:rFonts w:ascii="宋体" w:hAnsi="宋体" w:hint="eastAsia"/>
          <w:color w:val="000000"/>
          <w:kern w:val="0"/>
          <w:sz w:val="24"/>
          <w:szCs w:val="24"/>
        </w:rPr>
        <w:t>备查文件</w:t>
      </w:r>
      <w:bookmarkEnd w:id="163"/>
      <w:bookmarkEnd w:id="164"/>
      <w:bookmarkEnd w:id="165"/>
      <w:bookmarkEnd w:id="166"/>
      <w:bookmarkEnd w:id="167"/>
    </w:p>
    <w:p w14:paraId="75667A5E"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（一）中国证监会准予</w:t>
      </w:r>
      <w:r>
        <w:rPr>
          <w:rFonts w:hint="eastAsia"/>
          <w:bCs/>
          <w:sz w:val="24"/>
        </w:rPr>
        <w:t>富荣货币市场基金</w:t>
      </w:r>
      <w:r>
        <w:rPr>
          <w:rFonts w:ascii="宋体" w:hAnsi="宋体" w:hint="eastAsia"/>
          <w:color w:val="000000"/>
          <w:kern w:val="0"/>
          <w:sz w:val="24"/>
        </w:rPr>
        <w:t>募集注册的文件</w:t>
      </w:r>
    </w:p>
    <w:p w14:paraId="77715D7C"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（二）《</w:t>
      </w:r>
      <w:r>
        <w:rPr>
          <w:rFonts w:hint="eastAsia"/>
          <w:bCs/>
          <w:sz w:val="24"/>
        </w:rPr>
        <w:t>富荣货币市场基金</w:t>
      </w:r>
      <w:r>
        <w:rPr>
          <w:rFonts w:ascii="宋体" w:hAnsi="宋体" w:hint="eastAsia"/>
          <w:color w:val="000000"/>
          <w:kern w:val="0"/>
          <w:sz w:val="24"/>
        </w:rPr>
        <w:t>基金合同》</w:t>
      </w:r>
    </w:p>
    <w:p w14:paraId="531C4945"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（三）《</w:t>
      </w:r>
      <w:r>
        <w:rPr>
          <w:rFonts w:hint="eastAsia"/>
          <w:bCs/>
          <w:sz w:val="24"/>
        </w:rPr>
        <w:t>富荣货币市场基金</w:t>
      </w:r>
      <w:r>
        <w:rPr>
          <w:rFonts w:ascii="宋体" w:hAnsi="宋体" w:hint="eastAsia"/>
          <w:color w:val="000000"/>
          <w:kern w:val="0"/>
          <w:sz w:val="24"/>
        </w:rPr>
        <w:t>托管协议》</w:t>
      </w:r>
    </w:p>
    <w:p w14:paraId="7F33B334"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（四）关于申请募集</w:t>
      </w:r>
      <w:r>
        <w:rPr>
          <w:rFonts w:hint="eastAsia"/>
          <w:bCs/>
          <w:sz w:val="24"/>
        </w:rPr>
        <w:t>富荣货币市场基金</w:t>
      </w:r>
      <w:r>
        <w:rPr>
          <w:rFonts w:ascii="宋体" w:hAnsi="宋体" w:hint="eastAsia"/>
          <w:color w:val="000000"/>
          <w:kern w:val="0"/>
          <w:sz w:val="24"/>
        </w:rPr>
        <w:t>之法律意见</w:t>
      </w:r>
    </w:p>
    <w:p w14:paraId="7D6EDB9B"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（五）基金管理人业务资格批件、营业执照</w:t>
      </w:r>
    </w:p>
    <w:p w14:paraId="20EBC41E"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（六）基金托管人业务资格批件、营业执照</w:t>
      </w:r>
    </w:p>
    <w:p w14:paraId="0FCF81A7"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（七）中国证监会要求的其他文件</w:t>
      </w:r>
    </w:p>
    <w:p w14:paraId="26AD9379"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存放地点：上述备查文件存放在基金管理人、基金托管人的办公场所。</w:t>
      </w:r>
    </w:p>
    <w:p w14:paraId="6BFF5E73" w14:textId="77777777" w:rsidR="00566744" w:rsidRDefault="00000000">
      <w:pPr>
        <w:spacing w:line="360" w:lineRule="auto"/>
        <w:ind w:firstLineChars="200" w:firstLine="480"/>
        <w:rPr>
          <w:rFonts w:ascii="宋体" w:hAnsi="宋体" w:hint="eastAsia"/>
          <w:color w:val="000000"/>
          <w:kern w:val="0"/>
          <w:sz w:val="24"/>
        </w:rPr>
      </w:pPr>
      <w:r>
        <w:rPr>
          <w:rFonts w:ascii="宋体" w:hAnsi="宋体" w:hint="eastAsia"/>
          <w:color w:val="000000"/>
          <w:kern w:val="0"/>
          <w:sz w:val="24"/>
        </w:rPr>
        <w:t>查阅方式：投资人可以在办公时间免费查询；也可按工本费购买本基金备查文件复制件或复印件，但应以基金备查文件正本为准。</w:t>
      </w:r>
    </w:p>
    <w:p w14:paraId="3ED74548" w14:textId="77777777" w:rsidR="00566744" w:rsidRDefault="00566744">
      <w:pPr>
        <w:spacing w:line="360" w:lineRule="auto"/>
        <w:rPr>
          <w:rFonts w:ascii="宋体" w:hAnsi="宋体" w:hint="eastAsia"/>
          <w:color w:val="000000"/>
          <w:sz w:val="24"/>
        </w:rPr>
      </w:pPr>
    </w:p>
    <w:p w14:paraId="6389BD63" w14:textId="77777777" w:rsidR="00566744" w:rsidRDefault="00566744">
      <w:pPr>
        <w:spacing w:line="360" w:lineRule="auto"/>
        <w:rPr>
          <w:rFonts w:ascii="宋体" w:hAnsi="宋体" w:hint="eastAsia"/>
          <w:color w:val="000000"/>
          <w:sz w:val="24"/>
        </w:rPr>
      </w:pPr>
    </w:p>
    <w:p w14:paraId="36335DD3" w14:textId="77777777" w:rsidR="00566744" w:rsidRDefault="00566744">
      <w:pPr>
        <w:spacing w:line="360" w:lineRule="auto"/>
        <w:rPr>
          <w:rFonts w:ascii="宋体" w:hAnsi="宋体" w:hint="eastAsia"/>
          <w:color w:val="000000"/>
          <w:sz w:val="24"/>
        </w:rPr>
      </w:pPr>
    </w:p>
    <w:p w14:paraId="6BA33FD7" w14:textId="77777777" w:rsidR="00566744" w:rsidRDefault="00566744">
      <w:pPr>
        <w:spacing w:line="360" w:lineRule="auto"/>
        <w:rPr>
          <w:rFonts w:ascii="宋体" w:hAnsi="宋体" w:hint="eastAsia"/>
          <w:color w:val="000000"/>
          <w:sz w:val="24"/>
        </w:rPr>
      </w:pPr>
    </w:p>
    <w:p w14:paraId="70D5134A" w14:textId="77777777" w:rsidR="00566744" w:rsidRDefault="00000000">
      <w:pPr>
        <w:spacing w:line="360" w:lineRule="auto"/>
        <w:ind w:firstLineChars="200" w:firstLine="480"/>
        <w:jc w:val="right"/>
        <w:rPr>
          <w:rFonts w:ascii="宋体" w:hAnsi="宋体" w:hint="eastAsia"/>
          <w:color w:val="000000"/>
          <w:kern w:val="0"/>
          <w:sz w:val="24"/>
        </w:rPr>
      </w:pPr>
      <w:r>
        <w:rPr>
          <w:rFonts w:ascii="宋体" w:hAnsi="宋体" w:hint="eastAsia"/>
          <w:color w:val="000000"/>
          <w:kern w:val="0"/>
          <w:sz w:val="24"/>
        </w:rPr>
        <w:t>富荣基金管理有限公司</w:t>
      </w:r>
    </w:p>
    <w:p w14:paraId="3951E536" w14:textId="69B0F890" w:rsidR="00566744" w:rsidRDefault="00000000">
      <w:pPr>
        <w:spacing w:line="360" w:lineRule="auto"/>
        <w:jc w:val="right"/>
        <w:rPr>
          <w:rFonts w:ascii="宋体" w:hAnsi="宋体" w:hint="eastAsia"/>
          <w:color w:val="000000"/>
          <w:sz w:val="24"/>
        </w:rPr>
      </w:pPr>
      <w:r>
        <w:rPr>
          <w:rFonts w:ascii="宋体" w:hAnsi="宋体" w:hint="eastAsia"/>
          <w:color w:val="000000"/>
          <w:kern w:val="0"/>
          <w:sz w:val="24"/>
        </w:rPr>
        <w:t>二〇二六年七月三十一日</w:t>
      </w:r>
    </w:p>
    <w:p w14:paraId="15D30EAE" w14:textId="77777777" w:rsidR="00566744" w:rsidRDefault="00566744">
      <w:pPr>
        <w:spacing w:line="360" w:lineRule="auto"/>
        <w:jc w:val="right"/>
        <w:rPr>
          <w:rFonts w:ascii="宋体" w:hAnsi="宋体" w:hint="eastAsia"/>
          <w:color w:val="000000"/>
          <w:sz w:val="24"/>
        </w:rPr>
      </w:pPr>
    </w:p>
    <w:p w14:paraId="25B3B13B" w14:textId="77777777" w:rsidR="00566744" w:rsidRDefault="00566744">
      <w:pPr>
        <w:spacing w:line="360" w:lineRule="auto"/>
        <w:jc w:val="right"/>
        <w:rPr>
          <w:rFonts w:ascii="宋体" w:hAnsi="宋体" w:hint="eastAsia"/>
          <w:color w:val="000000"/>
          <w:sz w:val="24"/>
        </w:rPr>
      </w:pPr>
    </w:p>
    <w:sectPr w:rsidR="00566744">
      <w:pgSz w:w="12240" w:h="15840"/>
      <w:pgMar w:top="1440" w:right="1800" w:bottom="1440" w:left="1800"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315E7" w14:textId="77777777" w:rsidR="0038766A" w:rsidRDefault="0038766A">
      <w:r>
        <w:separator/>
      </w:r>
    </w:p>
  </w:endnote>
  <w:endnote w:type="continuationSeparator" w:id="0">
    <w:p w14:paraId="0A69CAC4" w14:textId="77777777" w:rsidR="0038766A" w:rsidRDefault="00387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Bold">
    <w:altName w:val="Arial"/>
    <w:panose1 w:val="020B0704020202020204"/>
    <w:charset w:val="00"/>
    <w:family w:val="roman"/>
    <w:pitch w:val="default"/>
    <w:sig w:usb0="00000000" w:usb1="00000000" w:usb2="00000000"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E47CA" w14:textId="77777777" w:rsidR="00566744" w:rsidRDefault="00000000">
    <w:pPr>
      <w:pStyle w:val="ad"/>
      <w:jc w:val="center"/>
    </w:pPr>
    <w:r>
      <w:fldChar w:fldCharType="begin"/>
    </w:r>
    <w:r>
      <w:instrText>PAGE   \* MERGEFORMAT</w:instrText>
    </w:r>
    <w:r>
      <w:fldChar w:fldCharType="separate"/>
    </w:r>
    <w:r>
      <w:rPr>
        <w:lang w:val="zh-CN"/>
      </w:rPr>
      <w:t>128</w:t>
    </w:r>
    <w:r>
      <w:rPr>
        <w:lang w:val="zh-C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2996822"/>
    </w:sdtPr>
    <w:sdtContent>
      <w:p w14:paraId="130D0E7E" w14:textId="77777777" w:rsidR="00566744" w:rsidRDefault="00000000">
        <w:pPr>
          <w:pStyle w:val="ad"/>
          <w:jc w:val="center"/>
        </w:pPr>
        <w:r>
          <w:fldChar w:fldCharType="begin"/>
        </w:r>
        <w:r>
          <w:instrText>PAGE   \* MERGEFORMAT</w:instrText>
        </w:r>
        <w:r>
          <w:fldChar w:fldCharType="separate"/>
        </w:r>
        <w:r>
          <w:rPr>
            <w:lang w:val="zh-CN"/>
          </w:rPr>
          <w:t>8</w:t>
        </w:r>
        <w:r>
          <w:fldChar w:fldCharType="end"/>
        </w:r>
      </w:p>
    </w:sdtContent>
  </w:sdt>
  <w:p w14:paraId="76F1A94C" w14:textId="77777777" w:rsidR="00566744" w:rsidRDefault="00566744">
    <w:pPr>
      <w:pStyle w:val="ad"/>
      <w:jc w:val="center"/>
      <w:rPr>
        <w:rFonts w:ascii="宋体" w:hAnsi="宋体" w:hint="eastAsia"/>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DEB7D" w14:textId="77777777" w:rsidR="0038766A" w:rsidRDefault="0038766A">
      <w:r>
        <w:separator/>
      </w:r>
    </w:p>
  </w:footnote>
  <w:footnote w:type="continuationSeparator" w:id="0">
    <w:p w14:paraId="70E27CC5" w14:textId="77777777" w:rsidR="0038766A" w:rsidRDefault="003876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777EE"/>
    <w:multiLevelType w:val="multilevel"/>
    <w:tmpl w:val="07D777EE"/>
    <w:lvl w:ilvl="0">
      <w:start w:val="1"/>
      <w:numFmt w:val="japaneseCounting"/>
      <w:lvlText w:val="%1、"/>
      <w:lvlJc w:val="left"/>
      <w:pPr>
        <w:ind w:left="906" w:hanging="480"/>
      </w:pPr>
      <w:rPr>
        <w:rFonts w:hint="default"/>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1" w15:restartNumberingAfterBreak="0">
    <w:nsid w:val="324F2C86"/>
    <w:multiLevelType w:val="multilevel"/>
    <w:tmpl w:val="324F2C86"/>
    <w:lvl w:ilvl="0">
      <w:start w:val="1"/>
      <w:numFmt w:val="decimal"/>
      <w:lvlText w:val="%1、"/>
      <w:lvlJc w:val="left"/>
      <w:pPr>
        <w:ind w:left="840" w:hanging="360"/>
      </w:pPr>
      <w:rPr>
        <w:rFonts w:ascii="宋体" w:eastAsia="宋体" w:hAnsi="宋体" w:hint="default"/>
        <w:sz w:val="24"/>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 w15:restartNumberingAfterBreak="0">
    <w:nsid w:val="3A3E1F68"/>
    <w:multiLevelType w:val="multilevel"/>
    <w:tmpl w:val="3A3E1F68"/>
    <w:lvl w:ilvl="0">
      <w:start w:val="1"/>
      <w:numFmt w:val="decimalEnclosedCircle"/>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 w15:restartNumberingAfterBreak="0">
    <w:nsid w:val="5C1A15CA"/>
    <w:multiLevelType w:val="multilevel"/>
    <w:tmpl w:val="5C1A15CA"/>
    <w:lvl w:ilvl="0">
      <w:start w:val="1"/>
      <w:numFmt w:val="decimal"/>
      <w:lvlText w:val="%1、"/>
      <w:lvlJc w:val="left"/>
      <w:pPr>
        <w:ind w:left="5322" w:hanging="360"/>
      </w:pPr>
      <w:rPr>
        <w:rFonts w:ascii="宋体" w:eastAsia="宋体" w:hAnsi="宋体"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4" w15:restartNumberingAfterBreak="0">
    <w:nsid w:val="5C6F4B3E"/>
    <w:multiLevelType w:val="multilevel"/>
    <w:tmpl w:val="5C6F4B3E"/>
    <w:lvl w:ilvl="0">
      <w:start w:val="1"/>
      <w:numFmt w:val="japaneseCounting"/>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5" w15:restartNumberingAfterBreak="0">
    <w:nsid w:val="660A29DE"/>
    <w:multiLevelType w:val="singleLevel"/>
    <w:tmpl w:val="660A29DE"/>
    <w:lvl w:ilvl="0">
      <w:start w:val="2"/>
      <w:numFmt w:val="chineseCounting"/>
      <w:suff w:val="nothing"/>
      <w:lvlText w:val="（%1）"/>
      <w:lvlJc w:val="left"/>
    </w:lvl>
  </w:abstractNum>
  <w:abstractNum w:abstractNumId="6" w15:restartNumberingAfterBreak="0">
    <w:nsid w:val="6B1D1232"/>
    <w:multiLevelType w:val="multilevel"/>
    <w:tmpl w:val="6B1D1232"/>
    <w:lvl w:ilvl="0">
      <w:start w:val="1"/>
      <w:numFmt w:val="decimal"/>
      <w:pStyle w:val="Level1"/>
      <w:lvlText w:val="%1"/>
      <w:lvlJc w:val="left"/>
      <w:pPr>
        <w:tabs>
          <w:tab w:val="left" w:pos="680"/>
        </w:tabs>
        <w:ind w:left="680" w:hanging="680"/>
      </w:pPr>
      <w:rPr>
        <w:rFonts w:ascii="Arial Bold" w:eastAsia="宋体" w:hAnsi="Arial Bold" w:hint="default"/>
        <w:b/>
        <w:i w:val="0"/>
        <w:sz w:val="24"/>
      </w:rPr>
    </w:lvl>
    <w:lvl w:ilvl="1">
      <w:start w:val="1"/>
      <w:numFmt w:val="decimal"/>
      <w:pStyle w:val="Level2"/>
      <w:lvlText w:val="%1.%2"/>
      <w:lvlJc w:val="left"/>
      <w:pPr>
        <w:tabs>
          <w:tab w:val="left" w:pos="680"/>
        </w:tabs>
        <w:ind w:left="680" w:hanging="680"/>
      </w:pPr>
      <w:rPr>
        <w:rFonts w:ascii="宋体" w:eastAsia="宋体" w:hint="eastAsia"/>
        <w:b/>
        <w:i w:val="0"/>
        <w:sz w:val="21"/>
      </w:rPr>
    </w:lvl>
    <w:lvl w:ilvl="2">
      <w:start w:val="1"/>
      <w:numFmt w:val="decimal"/>
      <w:pStyle w:val="Level3"/>
      <w:lvlText w:val="%1.%2.%3"/>
      <w:lvlJc w:val="left"/>
      <w:pPr>
        <w:tabs>
          <w:tab w:val="left" w:pos="1361"/>
        </w:tabs>
        <w:ind w:left="1361" w:hanging="681"/>
      </w:pPr>
      <w:rPr>
        <w:rFonts w:hint="default"/>
        <w:b/>
        <w:i w:val="0"/>
        <w:sz w:val="17"/>
      </w:rPr>
    </w:lvl>
    <w:lvl w:ilvl="3">
      <w:start w:val="1"/>
      <w:numFmt w:val="decimal"/>
      <w:lvlText w:val="(%4)"/>
      <w:lvlJc w:val="left"/>
      <w:pPr>
        <w:tabs>
          <w:tab w:val="left" w:pos="681"/>
        </w:tabs>
        <w:ind w:left="681" w:hanging="681"/>
      </w:pPr>
      <w:rPr>
        <w:rFonts w:ascii="Arial" w:hAnsi="Arial" w:hint="default"/>
        <w:b w:val="0"/>
        <w:i w:val="0"/>
        <w:sz w:val="20"/>
      </w:rPr>
    </w:lvl>
    <w:lvl w:ilvl="4">
      <w:start w:val="1"/>
      <w:numFmt w:val="lowerLetter"/>
      <w:pStyle w:val="Level5"/>
      <w:lvlText w:val="(%5)"/>
      <w:lvlJc w:val="left"/>
      <w:pPr>
        <w:tabs>
          <w:tab w:val="left" w:pos="2608"/>
        </w:tabs>
        <w:ind w:left="2608" w:hanging="567"/>
      </w:pPr>
      <w:rPr>
        <w:rFonts w:hint="default"/>
      </w:rPr>
    </w:lvl>
    <w:lvl w:ilvl="5">
      <w:start w:val="1"/>
      <w:numFmt w:val="upperRoman"/>
      <w:pStyle w:val="Level6"/>
      <w:lvlText w:val="(%6)"/>
      <w:lvlJc w:val="left"/>
      <w:pPr>
        <w:tabs>
          <w:tab w:val="left" w:pos="3288"/>
        </w:tabs>
        <w:ind w:left="3288" w:hanging="680"/>
      </w:pPr>
      <w:rPr>
        <w:rFonts w:hint="default"/>
      </w:rPr>
    </w:lvl>
    <w:lvl w:ilvl="6">
      <w:start w:val="1"/>
      <w:numFmt w:val="none"/>
      <w:pStyle w:val="Level7"/>
      <w:lvlText w:val=""/>
      <w:lvlJc w:val="left"/>
      <w:pPr>
        <w:tabs>
          <w:tab w:val="left" w:pos="3288"/>
        </w:tabs>
        <w:ind w:left="3288" w:hanging="680"/>
      </w:pPr>
      <w:rPr>
        <w:rFonts w:hint="default"/>
      </w:rPr>
    </w:lvl>
    <w:lvl w:ilvl="7">
      <w:start w:val="1"/>
      <w:numFmt w:val="none"/>
      <w:pStyle w:val="Level8"/>
      <w:lvlText w:val=""/>
      <w:lvlJc w:val="left"/>
      <w:pPr>
        <w:tabs>
          <w:tab w:val="left" w:pos="3288"/>
        </w:tabs>
        <w:ind w:left="3288" w:hanging="680"/>
      </w:pPr>
      <w:rPr>
        <w:rFonts w:hint="default"/>
      </w:rPr>
    </w:lvl>
    <w:lvl w:ilvl="8">
      <w:start w:val="1"/>
      <w:numFmt w:val="none"/>
      <w:pStyle w:val="Level9"/>
      <w:lvlText w:val=""/>
      <w:lvlJc w:val="left"/>
      <w:pPr>
        <w:tabs>
          <w:tab w:val="left" w:pos="3288"/>
        </w:tabs>
        <w:ind w:left="3288" w:hanging="680"/>
      </w:pPr>
      <w:rPr>
        <w:rFonts w:hint="default"/>
      </w:rPr>
    </w:lvl>
  </w:abstractNum>
  <w:abstractNum w:abstractNumId="7" w15:restartNumberingAfterBreak="0">
    <w:nsid w:val="6FE147B6"/>
    <w:multiLevelType w:val="singleLevel"/>
    <w:tmpl w:val="6FE147B6"/>
    <w:lvl w:ilvl="0">
      <w:start w:val="1"/>
      <w:numFmt w:val="decimal"/>
      <w:pStyle w:val="2"/>
      <w:lvlText w:val="(%1)"/>
      <w:lvlJc w:val="left"/>
      <w:pPr>
        <w:tabs>
          <w:tab w:val="left" w:pos="360"/>
        </w:tabs>
        <w:ind w:left="0" w:firstLine="0"/>
      </w:pPr>
      <w:rPr>
        <w:rFonts w:hint="eastAsia"/>
      </w:rPr>
    </w:lvl>
  </w:abstractNum>
  <w:num w:numId="1" w16cid:durableId="1592544135">
    <w:abstractNumId w:val="6"/>
  </w:num>
  <w:num w:numId="2" w16cid:durableId="740831634">
    <w:abstractNumId w:val="7"/>
  </w:num>
  <w:num w:numId="3" w16cid:durableId="830488254">
    <w:abstractNumId w:val="3"/>
  </w:num>
  <w:num w:numId="4" w16cid:durableId="404226224">
    <w:abstractNumId w:val="2"/>
  </w:num>
  <w:num w:numId="5" w16cid:durableId="1845782734">
    <w:abstractNumId w:val="5"/>
  </w:num>
  <w:num w:numId="6" w16cid:durableId="165558277">
    <w:abstractNumId w:val="0"/>
  </w:num>
  <w:num w:numId="7" w16cid:durableId="1099909914">
    <w:abstractNumId w:val="1"/>
  </w:num>
  <w:num w:numId="8" w16cid:durableId="12607161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defaultTabStop w:val="21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54F2"/>
    <w:rsid w:val="000013B9"/>
    <w:rsid w:val="00001501"/>
    <w:rsid w:val="00001C56"/>
    <w:rsid w:val="00001C73"/>
    <w:rsid w:val="00001D24"/>
    <w:rsid w:val="00001EB7"/>
    <w:rsid w:val="00001F95"/>
    <w:rsid w:val="0000294A"/>
    <w:rsid w:val="00002B21"/>
    <w:rsid w:val="000031D9"/>
    <w:rsid w:val="00003AE2"/>
    <w:rsid w:val="0000474C"/>
    <w:rsid w:val="00004900"/>
    <w:rsid w:val="0000497B"/>
    <w:rsid w:val="00004FBA"/>
    <w:rsid w:val="00005104"/>
    <w:rsid w:val="000052CB"/>
    <w:rsid w:val="00005D4B"/>
    <w:rsid w:val="0000633C"/>
    <w:rsid w:val="0000691A"/>
    <w:rsid w:val="00006B77"/>
    <w:rsid w:val="00006D8A"/>
    <w:rsid w:val="00007130"/>
    <w:rsid w:val="0001037E"/>
    <w:rsid w:val="000109F2"/>
    <w:rsid w:val="00010A30"/>
    <w:rsid w:val="00010EF0"/>
    <w:rsid w:val="00011A1C"/>
    <w:rsid w:val="00011D5E"/>
    <w:rsid w:val="00012247"/>
    <w:rsid w:val="000122ED"/>
    <w:rsid w:val="0001288C"/>
    <w:rsid w:val="0001362F"/>
    <w:rsid w:val="000143DD"/>
    <w:rsid w:val="000146EC"/>
    <w:rsid w:val="000147FE"/>
    <w:rsid w:val="00014AFF"/>
    <w:rsid w:val="00015331"/>
    <w:rsid w:val="00015C30"/>
    <w:rsid w:val="00015C84"/>
    <w:rsid w:val="000161CA"/>
    <w:rsid w:val="00016413"/>
    <w:rsid w:val="00016F88"/>
    <w:rsid w:val="0001707E"/>
    <w:rsid w:val="0002034D"/>
    <w:rsid w:val="0002055F"/>
    <w:rsid w:val="0002179D"/>
    <w:rsid w:val="000219BB"/>
    <w:rsid w:val="00021D0B"/>
    <w:rsid w:val="00022480"/>
    <w:rsid w:val="000224C8"/>
    <w:rsid w:val="00022730"/>
    <w:rsid w:val="00022EB8"/>
    <w:rsid w:val="00023007"/>
    <w:rsid w:val="0002311C"/>
    <w:rsid w:val="0002316F"/>
    <w:rsid w:val="000234E3"/>
    <w:rsid w:val="00023798"/>
    <w:rsid w:val="00023BA9"/>
    <w:rsid w:val="00024605"/>
    <w:rsid w:val="00024BDD"/>
    <w:rsid w:val="00024D67"/>
    <w:rsid w:val="00024D99"/>
    <w:rsid w:val="000254F5"/>
    <w:rsid w:val="00025602"/>
    <w:rsid w:val="0002565C"/>
    <w:rsid w:val="00025790"/>
    <w:rsid w:val="0002591D"/>
    <w:rsid w:val="00025F08"/>
    <w:rsid w:val="00025FB0"/>
    <w:rsid w:val="00026ED5"/>
    <w:rsid w:val="00027462"/>
    <w:rsid w:val="00027D0B"/>
    <w:rsid w:val="0003017C"/>
    <w:rsid w:val="00030E54"/>
    <w:rsid w:val="0003119E"/>
    <w:rsid w:val="0003144D"/>
    <w:rsid w:val="000324DC"/>
    <w:rsid w:val="0003291C"/>
    <w:rsid w:val="0003323D"/>
    <w:rsid w:val="00033E7E"/>
    <w:rsid w:val="00033EBD"/>
    <w:rsid w:val="00033ED0"/>
    <w:rsid w:val="00034021"/>
    <w:rsid w:val="00034ACD"/>
    <w:rsid w:val="00034FF6"/>
    <w:rsid w:val="000354F2"/>
    <w:rsid w:val="00035518"/>
    <w:rsid w:val="000359EB"/>
    <w:rsid w:val="00035DEB"/>
    <w:rsid w:val="000367D9"/>
    <w:rsid w:val="000368A3"/>
    <w:rsid w:val="000369BD"/>
    <w:rsid w:val="00036AAE"/>
    <w:rsid w:val="000373B5"/>
    <w:rsid w:val="00037AF3"/>
    <w:rsid w:val="00037C7A"/>
    <w:rsid w:val="00037D86"/>
    <w:rsid w:val="00040359"/>
    <w:rsid w:val="00040AD5"/>
    <w:rsid w:val="000425CB"/>
    <w:rsid w:val="00042999"/>
    <w:rsid w:val="00042B5E"/>
    <w:rsid w:val="0004310D"/>
    <w:rsid w:val="0004376B"/>
    <w:rsid w:val="000440FF"/>
    <w:rsid w:val="00044813"/>
    <w:rsid w:val="0004499D"/>
    <w:rsid w:val="00044A1D"/>
    <w:rsid w:val="00044BB1"/>
    <w:rsid w:val="000450D2"/>
    <w:rsid w:val="0004576A"/>
    <w:rsid w:val="00045F29"/>
    <w:rsid w:val="00046A22"/>
    <w:rsid w:val="00046BA9"/>
    <w:rsid w:val="0004760E"/>
    <w:rsid w:val="0004774A"/>
    <w:rsid w:val="000477A1"/>
    <w:rsid w:val="00047C88"/>
    <w:rsid w:val="00050138"/>
    <w:rsid w:val="00050365"/>
    <w:rsid w:val="000504BF"/>
    <w:rsid w:val="000506BF"/>
    <w:rsid w:val="0005188A"/>
    <w:rsid w:val="00052BD1"/>
    <w:rsid w:val="00053420"/>
    <w:rsid w:val="00053993"/>
    <w:rsid w:val="0005449C"/>
    <w:rsid w:val="000548C0"/>
    <w:rsid w:val="000548CD"/>
    <w:rsid w:val="00054F8E"/>
    <w:rsid w:val="000552DB"/>
    <w:rsid w:val="0005565F"/>
    <w:rsid w:val="00055BDD"/>
    <w:rsid w:val="0005617D"/>
    <w:rsid w:val="0005666B"/>
    <w:rsid w:val="000571B2"/>
    <w:rsid w:val="00057577"/>
    <w:rsid w:val="00057C18"/>
    <w:rsid w:val="00057C40"/>
    <w:rsid w:val="00057F3D"/>
    <w:rsid w:val="00060168"/>
    <w:rsid w:val="00060AE4"/>
    <w:rsid w:val="00061227"/>
    <w:rsid w:val="0006196B"/>
    <w:rsid w:val="00061E6A"/>
    <w:rsid w:val="0006238A"/>
    <w:rsid w:val="00062940"/>
    <w:rsid w:val="00062C3A"/>
    <w:rsid w:val="00062CDB"/>
    <w:rsid w:val="00062E27"/>
    <w:rsid w:val="00063E00"/>
    <w:rsid w:val="00064518"/>
    <w:rsid w:val="00064897"/>
    <w:rsid w:val="00064EC1"/>
    <w:rsid w:val="00065505"/>
    <w:rsid w:val="00065772"/>
    <w:rsid w:val="00065D12"/>
    <w:rsid w:val="00066775"/>
    <w:rsid w:val="000675EA"/>
    <w:rsid w:val="00067700"/>
    <w:rsid w:val="00067C13"/>
    <w:rsid w:val="000707B5"/>
    <w:rsid w:val="00070C6E"/>
    <w:rsid w:val="000712B6"/>
    <w:rsid w:val="000712F1"/>
    <w:rsid w:val="0007142C"/>
    <w:rsid w:val="000717A9"/>
    <w:rsid w:val="00071FCA"/>
    <w:rsid w:val="0007205E"/>
    <w:rsid w:val="000724BE"/>
    <w:rsid w:val="00072580"/>
    <w:rsid w:val="00072AB8"/>
    <w:rsid w:val="00072B61"/>
    <w:rsid w:val="00072F12"/>
    <w:rsid w:val="0007403A"/>
    <w:rsid w:val="000741B3"/>
    <w:rsid w:val="000742AA"/>
    <w:rsid w:val="0007439B"/>
    <w:rsid w:val="00074917"/>
    <w:rsid w:val="00074FE4"/>
    <w:rsid w:val="00075159"/>
    <w:rsid w:val="0007534F"/>
    <w:rsid w:val="000757FF"/>
    <w:rsid w:val="00075984"/>
    <w:rsid w:val="000763CC"/>
    <w:rsid w:val="00076F2D"/>
    <w:rsid w:val="00077B0E"/>
    <w:rsid w:val="00077C5C"/>
    <w:rsid w:val="000805A8"/>
    <w:rsid w:val="00080E81"/>
    <w:rsid w:val="0008131C"/>
    <w:rsid w:val="0008177B"/>
    <w:rsid w:val="0008195F"/>
    <w:rsid w:val="000819D8"/>
    <w:rsid w:val="00081DB6"/>
    <w:rsid w:val="00081DD2"/>
    <w:rsid w:val="00081F9C"/>
    <w:rsid w:val="00082C1C"/>
    <w:rsid w:val="00082DD0"/>
    <w:rsid w:val="000832B4"/>
    <w:rsid w:val="0008357A"/>
    <w:rsid w:val="00084C68"/>
    <w:rsid w:val="00084E3B"/>
    <w:rsid w:val="0008519E"/>
    <w:rsid w:val="00085564"/>
    <w:rsid w:val="00085DF5"/>
    <w:rsid w:val="00086766"/>
    <w:rsid w:val="00086D1A"/>
    <w:rsid w:val="000873CB"/>
    <w:rsid w:val="000905C3"/>
    <w:rsid w:val="00090961"/>
    <w:rsid w:val="00090CF2"/>
    <w:rsid w:val="000921AF"/>
    <w:rsid w:val="000937F4"/>
    <w:rsid w:val="00093868"/>
    <w:rsid w:val="000938FB"/>
    <w:rsid w:val="00093917"/>
    <w:rsid w:val="00093A2C"/>
    <w:rsid w:val="00093B4D"/>
    <w:rsid w:val="00093E56"/>
    <w:rsid w:val="00095292"/>
    <w:rsid w:val="00095312"/>
    <w:rsid w:val="0009636A"/>
    <w:rsid w:val="00096A7E"/>
    <w:rsid w:val="00096E2E"/>
    <w:rsid w:val="000974AE"/>
    <w:rsid w:val="00097917"/>
    <w:rsid w:val="000A039D"/>
    <w:rsid w:val="000A108A"/>
    <w:rsid w:val="000A1E04"/>
    <w:rsid w:val="000A3463"/>
    <w:rsid w:val="000A3768"/>
    <w:rsid w:val="000A3D3B"/>
    <w:rsid w:val="000A4352"/>
    <w:rsid w:val="000A4C3F"/>
    <w:rsid w:val="000A4E32"/>
    <w:rsid w:val="000A4FD8"/>
    <w:rsid w:val="000A52EA"/>
    <w:rsid w:val="000A595A"/>
    <w:rsid w:val="000A5CE0"/>
    <w:rsid w:val="000A5D50"/>
    <w:rsid w:val="000A699E"/>
    <w:rsid w:val="000A7065"/>
    <w:rsid w:val="000A79DF"/>
    <w:rsid w:val="000A7D1B"/>
    <w:rsid w:val="000A7DE8"/>
    <w:rsid w:val="000A7E43"/>
    <w:rsid w:val="000B00CC"/>
    <w:rsid w:val="000B00E5"/>
    <w:rsid w:val="000B06F4"/>
    <w:rsid w:val="000B078B"/>
    <w:rsid w:val="000B0BC3"/>
    <w:rsid w:val="000B1322"/>
    <w:rsid w:val="000B1586"/>
    <w:rsid w:val="000B170E"/>
    <w:rsid w:val="000B1773"/>
    <w:rsid w:val="000B1CF0"/>
    <w:rsid w:val="000B22C0"/>
    <w:rsid w:val="000B23DC"/>
    <w:rsid w:val="000B2493"/>
    <w:rsid w:val="000B282A"/>
    <w:rsid w:val="000B28C8"/>
    <w:rsid w:val="000B2A8C"/>
    <w:rsid w:val="000B3E39"/>
    <w:rsid w:val="000B4B81"/>
    <w:rsid w:val="000B4BCE"/>
    <w:rsid w:val="000B4F4C"/>
    <w:rsid w:val="000B50CF"/>
    <w:rsid w:val="000B52FD"/>
    <w:rsid w:val="000B590B"/>
    <w:rsid w:val="000B72A5"/>
    <w:rsid w:val="000B75E8"/>
    <w:rsid w:val="000B76B2"/>
    <w:rsid w:val="000C01B4"/>
    <w:rsid w:val="000C0499"/>
    <w:rsid w:val="000C0B26"/>
    <w:rsid w:val="000C1447"/>
    <w:rsid w:val="000C1541"/>
    <w:rsid w:val="000C1932"/>
    <w:rsid w:val="000C1BCD"/>
    <w:rsid w:val="000C2526"/>
    <w:rsid w:val="000C29C8"/>
    <w:rsid w:val="000C29E2"/>
    <w:rsid w:val="000C2DB0"/>
    <w:rsid w:val="000C2F3B"/>
    <w:rsid w:val="000C32FE"/>
    <w:rsid w:val="000C3E53"/>
    <w:rsid w:val="000C3FC7"/>
    <w:rsid w:val="000C3FE5"/>
    <w:rsid w:val="000C4499"/>
    <w:rsid w:val="000C4F77"/>
    <w:rsid w:val="000C4FF9"/>
    <w:rsid w:val="000C6308"/>
    <w:rsid w:val="000C682D"/>
    <w:rsid w:val="000C689F"/>
    <w:rsid w:val="000C6B1E"/>
    <w:rsid w:val="000C7B4F"/>
    <w:rsid w:val="000D0D9A"/>
    <w:rsid w:val="000D1694"/>
    <w:rsid w:val="000D19BC"/>
    <w:rsid w:val="000D1C99"/>
    <w:rsid w:val="000D22D7"/>
    <w:rsid w:val="000D263F"/>
    <w:rsid w:val="000D2F41"/>
    <w:rsid w:val="000D30E7"/>
    <w:rsid w:val="000D36E2"/>
    <w:rsid w:val="000D4975"/>
    <w:rsid w:val="000D4A6D"/>
    <w:rsid w:val="000D4E1C"/>
    <w:rsid w:val="000D7050"/>
    <w:rsid w:val="000D7691"/>
    <w:rsid w:val="000D76C9"/>
    <w:rsid w:val="000D7832"/>
    <w:rsid w:val="000D7C36"/>
    <w:rsid w:val="000D7C67"/>
    <w:rsid w:val="000D7D20"/>
    <w:rsid w:val="000D7F72"/>
    <w:rsid w:val="000D7FBA"/>
    <w:rsid w:val="000E06BC"/>
    <w:rsid w:val="000E0ABC"/>
    <w:rsid w:val="000E0F78"/>
    <w:rsid w:val="000E1090"/>
    <w:rsid w:val="000E1171"/>
    <w:rsid w:val="000E12A6"/>
    <w:rsid w:val="000E1A47"/>
    <w:rsid w:val="000E245B"/>
    <w:rsid w:val="000E24EA"/>
    <w:rsid w:val="000E2562"/>
    <w:rsid w:val="000E40C0"/>
    <w:rsid w:val="000E52DA"/>
    <w:rsid w:val="000E58CC"/>
    <w:rsid w:val="000E69CC"/>
    <w:rsid w:val="000E6B6F"/>
    <w:rsid w:val="000E7168"/>
    <w:rsid w:val="000E76C7"/>
    <w:rsid w:val="000E77A1"/>
    <w:rsid w:val="000F04AB"/>
    <w:rsid w:val="000F09DD"/>
    <w:rsid w:val="000F1352"/>
    <w:rsid w:val="000F23B8"/>
    <w:rsid w:val="000F2512"/>
    <w:rsid w:val="000F254D"/>
    <w:rsid w:val="000F275E"/>
    <w:rsid w:val="000F392C"/>
    <w:rsid w:val="000F3CF5"/>
    <w:rsid w:val="000F3D88"/>
    <w:rsid w:val="000F40AE"/>
    <w:rsid w:val="000F4559"/>
    <w:rsid w:val="000F4570"/>
    <w:rsid w:val="000F457D"/>
    <w:rsid w:val="000F4A25"/>
    <w:rsid w:val="000F4E27"/>
    <w:rsid w:val="000F4F40"/>
    <w:rsid w:val="000F5DD8"/>
    <w:rsid w:val="000F6104"/>
    <w:rsid w:val="000F660C"/>
    <w:rsid w:val="000F707B"/>
    <w:rsid w:val="0010100A"/>
    <w:rsid w:val="00101C2A"/>
    <w:rsid w:val="00101CC8"/>
    <w:rsid w:val="00102273"/>
    <w:rsid w:val="00102949"/>
    <w:rsid w:val="00102AA0"/>
    <w:rsid w:val="00102C54"/>
    <w:rsid w:val="00103560"/>
    <w:rsid w:val="00103A35"/>
    <w:rsid w:val="001040A0"/>
    <w:rsid w:val="0010450A"/>
    <w:rsid w:val="00104B40"/>
    <w:rsid w:val="00105548"/>
    <w:rsid w:val="001057A5"/>
    <w:rsid w:val="00105A9C"/>
    <w:rsid w:val="001060FE"/>
    <w:rsid w:val="00106170"/>
    <w:rsid w:val="00106224"/>
    <w:rsid w:val="00106980"/>
    <w:rsid w:val="00106AB1"/>
    <w:rsid w:val="00106B32"/>
    <w:rsid w:val="00106B39"/>
    <w:rsid w:val="00106B87"/>
    <w:rsid w:val="00106BB6"/>
    <w:rsid w:val="00107039"/>
    <w:rsid w:val="001077D4"/>
    <w:rsid w:val="00107E28"/>
    <w:rsid w:val="001102D9"/>
    <w:rsid w:val="00110BFF"/>
    <w:rsid w:val="00110FED"/>
    <w:rsid w:val="001110A8"/>
    <w:rsid w:val="001118BD"/>
    <w:rsid w:val="001119C6"/>
    <w:rsid w:val="00111D68"/>
    <w:rsid w:val="001124FE"/>
    <w:rsid w:val="001132F2"/>
    <w:rsid w:val="0011347D"/>
    <w:rsid w:val="00113591"/>
    <w:rsid w:val="001137B8"/>
    <w:rsid w:val="00114D9E"/>
    <w:rsid w:val="0011502A"/>
    <w:rsid w:val="00115F87"/>
    <w:rsid w:val="0011611E"/>
    <w:rsid w:val="00116125"/>
    <w:rsid w:val="00116430"/>
    <w:rsid w:val="00117103"/>
    <w:rsid w:val="001172CE"/>
    <w:rsid w:val="0011735C"/>
    <w:rsid w:val="001177F7"/>
    <w:rsid w:val="00117868"/>
    <w:rsid w:val="00117C14"/>
    <w:rsid w:val="00117C99"/>
    <w:rsid w:val="001207CB"/>
    <w:rsid w:val="00120856"/>
    <w:rsid w:val="00120AC0"/>
    <w:rsid w:val="00120FF0"/>
    <w:rsid w:val="001211FA"/>
    <w:rsid w:val="001212BA"/>
    <w:rsid w:val="0012130E"/>
    <w:rsid w:val="00121FD1"/>
    <w:rsid w:val="00122BBF"/>
    <w:rsid w:val="00123159"/>
    <w:rsid w:val="001234D7"/>
    <w:rsid w:val="00123BB8"/>
    <w:rsid w:val="00124BFF"/>
    <w:rsid w:val="00124C8B"/>
    <w:rsid w:val="001257E4"/>
    <w:rsid w:val="0012589C"/>
    <w:rsid w:val="00125BB2"/>
    <w:rsid w:val="00125EF8"/>
    <w:rsid w:val="00126778"/>
    <w:rsid w:val="0012699C"/>
    <w:rsid w:val="00126BBB"/>
    <w:rsid w:val="00126FC0"/>
    <w:rsid w:val="0012740A"/>
    <w:rsid w:val="0012765E"/>
    <w:rsid w:val="00127AC4"/>
    <w:rsid w:val="00127ED7"/>
    <w:rsid w:val="00127FCB"/>
    <w:rsid w:val="0013017F"/>
    <w:rsid w:val="0013032D"/>
    <w:rsid w:val="00130E3B"/>
    <w:rsid w:val="00131182"/>
    <w:rsid w:val="0013163E"/>
    <w:rsid w:val="0013190F"/>
    <w:rsid w:val="0013222A"/>
    <w:rsid w:val="00132329"/>
    <w:rsid w:val="00133313"/>
    <w:rsid w:val="001333AE"/>
    <w:rsid w:val="00133534"/>
    <w:rsid w:val="00133A55"/>
    <w:rsid w:val="00133FDA"/>
    <w:rsid w:val="00134547"/>
    <w:rsid w:val="001346FC"/>
    <w:rsid w:val="00134D02"/>
    <w:rsid w:val="00135C99"/>
    <w:rsid w:val="00136E66"/>
    <w:rsid w:val="001377D4"/>
    <w:rsid w:val="00137A01"/>
    <w:rsid w:val="00137C83"/>
    <w:rsid w:val="00137F9D"/>
    <w:rsid w:val="001405D6"/>
    <w:rsid w:val="00140603"/>
    <w:rsid w:val="00140637"/>
    <w:rsid w:val="0014147D"/>
    <w:rsid w:val="0014159E"/>
    <w:rsid w:val="00141A75"/>
    <w:rsid w:val="00141A98"/>
    <w:rsid w:val="00141CCB"/>
    <w:rsid w:val="00141DCB"/>
    <w:rsid w:val="00141F9D"/>
    <w:rsid w:val="00142212"/>
    <w:rsid w:val="001425F9"/>
    <w:rsid w:val="00142691"/>
    <w:rsid w:val="0014274E"/>
    <w:rsid w:val="0014295D"/>
    <w:rsid w:val="001435BC"/>
    <w:rsid w:val="0014368F"/>
    <w:rsid w:val="00143AEC"/>
    <w:rsid w:val="00143DFA"/>
    <w:rsid w:val="00143F7E"/>
    <w:rsid w:val="00144135"/>
    <w:rsid w:val="00144852"/>
    <w:rsid w:val="00144C6A"/>
    <w:rsid w:val="00144CB8"/>
    <w:rsid w:val="0014510E"/>
    <w:rsid w:val="001455CC"/>
    <w:rsid w:val="00145639"/>
    <w:rsid w:val="00145EEA"/>
    <w:rsid w:val="00146182"/>
    <w:rsid w:val="0014699C"/>
    <w:rsid w:val="00147308"/>
    <w:rsid w:val="001474CD"/>
    <w:rsid w:val="00147B7B"/>
    <w:rsid w:val="0015008E"/>
    <w:rsid w:val="001506BB"/>
    <w:rsid w:val="00150DC6"/>
    <w:rsid w:val="00150F03"/>
    <w:rsid w:val="00150F2B"/>
    <w:rsid w:val="00151F4E"/>
    <w:rsid w:val="00152F0B"/>
    <w:rsid w:val="00153358"/>
    <w:rsid w:val="001535F4"/>
    <w:rsid w:val="001537DB"/>
    <w:rsid w:val="00153C01"/>
    <w:rsid w:val="00153CE6"/>
    <w:rsid w:val="00154644"/>
    <w:rsid w:val="00155571"/>
    <w:rsid w:val="001562E8"/>
    <w:rsid w:val="00156856"/>
    <w:rsid w:val="00156AAB"/>
    <w:rsid w:val="00156B7A"/>
    <w:rsid w:val="00156D1B"/>
    <w:rsid w:val="001575C5"/>
    <w:rsid w:val="001577FE"/>
    <w:rsid w:val="00157DD6"/>
    <w:rsid w:val="00157E28"/>
    <w:rsid w:val="00157F93"/>
    <w:rsid w:val="0016026E"/>
    <w:rsid w:val="001607F0"/>
    <w:rsid w:val="00160A07"/>
    <w:rsid w:val="00160FF9"/>
    <w:rsid w:val="00161DAE"/>
    <w:rsid w:val="00161F73"/>
    <w:rsid w:val="00162F3C"/>
    <w:rsid w:val="0016407E"/>
    <w:rsid w:val="00165BD3"/>
    <w:rsid w:val="00165EFD"/>
    <w:rsid w:val="001670D0"/>
    <w:rsid w:val="001676AA"/>
    <w:rsid w:val="00167705"/>
    <w:rsid w:val="0016799D"/>
    <w:rsid w:val="00167DCD"/>
    <w:rsid w:val="001704DB"/>
    <w:rsid w:val="00170503"/>
    <w:rsid w:val="001707D8"/>
    <w:rsid w:val="00170A69"/>
    <w:rsid w:val="001712E6"/>
    <w:rsid w:val="00171561"/>
    <w:rsid w:val="00171A41"/>
    <w:rsid w:val="00171CE1"/>
    <w:rsid w:val="0017209C"/>
    <w:rsid w:val="001724D4"/>
    <w:rsid w:val="00172664"/>
    <w:rsid w:val="00172919"/>
    <w:rsid w:val="00172ED3"/>
    <w:rsid w:val="0017322F"/>
    <w:rsid w:val="001732AD"/>
    <w:rsid w:val="00174429"/>
    <w:rsid w:val="00174F1D"/>
    <w:rsid w:val="0017520D"/>
    <w:rsid w:val="00175636"/>
    <w:rsid w:val="00175961"/>
    <w:rsid w:val="00175BBB"/>
    <w:rsid w:val="00175F49"/>
    <w:rsid w:val="0017602E"/>
    <w:rsid w:val="00176829"/>
    <w:rsid w:val="001768C3"/>
    <w:rsid w:val="0017725D"/>
    <w:rsid w:val="0017738D"/>
    <w:rsid w:val="00177789"/>
    <w:rsid w:val="001807F4"/>
    <w:rsid w:val="00180C19"/>
    <w:rsid w:val="001815C9"/>
    <w:rsid w:val="00181F39"/>
    <w:rsid w:val="00182253"/>
    <w:rsid w:val="001826D2"/>
    <w:rsid w:val="0018298D"/>
    <w:rsid w:val="00182C19"/>
    <w:rsid w:val="001835C9"/>
    <w:rsid w:val="00183A85"/>
    <w:rsid w:val="00183DBA"/>
    <w:rsid w:val="00184C2A"/>
    <w:rsid w:val="001851FC"/>
    <w:rsid w:val="00185D9E"/>
    <w:rsid w:val="0018676F"/>
    <w:rsid w:val="001869D1"/>
    <w:rsid w:val="00186C31"/>
    <w:rsid w:val="00187108"/>
    <w:rsid w:val="001876A7"/>
    <w:rsid w:val="00187C9C"/>
    <w:rsid w:val="0019044C"/>
    <w:rsid w:val="00190946"/>
    <w:rsid w:val="00190E79"/>
    <w:rsid w:val="00191218"/>
    <w:rsid w:val="00191501"/>
    <w:rsid w:val="00192752"/>
    <w:rsid w:val="001929E5"/>
    <w:rsid w:val="00192AEB"/>
    <w:rsid w:val="00192F27"/>
    <w:rsid w:val="00193137"/>
    <w:rsid w:val="001933D1"/>
    <w:rsid w:val="001935EF"/>
    <w:rsid w:val="00193B46"/>
    <w:rsid w:val="00193CE6"/>
    <w:rsid w:val="001943E8"/>
    <w:rsid w:val="001945B0"/>
    <w:rsid w:val="00194812"/>
    <w:rsid w:val="00194F4E"/>
    <w:rsid w:val="00195575"/>
    <w:rsid w:val="00196146"/>
    <w:rsid w:val="001964B7"/>
    <w:rsid w:val="0019697F"/>
    <w:rsid w:val="001969B2"/>
    <w:rsid w:val="001A0826"/>
    <w:rsid w:val="001A0F3E"/>
    <w:rsid w:val="001A0F5F"/>
    <w:rsid w:val="001A15DB"/>
    <w:rsid w:val="001A293A"/>
    <w:rsid w:val="001A2BDB"/>
    <w:rsid w:val="001A3151"/>
    <w:rsid w:val="001A3251"/>
    <w:rsid w:val="001A3342"/>
    <w:rsid w:val="001A385D"/>
    <w:rsid w:val="001A3CE4"/>
    <w:rsid w:val="001A3E19"/>
    <w:rsid w:val="001A49B1"/>
    <w:rsid w:val="001A5B41"/>
    <w:rsid w:val="001A5CCE"/>
    <w:rsid w:val="001A6C76"/>
    <w:rsid w:val="001A6DDC"/>
    <w:rsid w:val="001A798A"/>
    <w:rsid w:val="001A7BD6"/>
    <w:rsid w:val="001B0803"/>
    <w:rsid w:val="001B08DD"/>
    <w:rsid w:val="001B1671"/>
    <w:rsid w:val="001B168E"/>
    <w:rsid w:val="001B2039"/>
    <w:rsid w:val="001B23CF"/>
    <w:rsid w:val="001B24D6"/>
    <w:rsid w:val="001B2B68"/>
    <w:rsid w:val="001B3A1A"/>
    <w:rsid w:val="001B3B44"/>
    <w:rsid w:val="001B3BB6"/>
    <w:rsid w:val="001B3EC7"/>
    <w:rsid w:val="001B42CD"/>
    <w:rsid w:val="001B45EE"/>
    <w:rsid w:val="001B48DB"/>
    <w:rsid w:val="001B4DC4"/>
    <w:rsid w:val="001B5367"/>
    <w:rsid w:val="001B5597"/>
    <w:rsid w:val="001B64DF"/>
    <w:rsid w:val="001B6A47"/>
    <w:rsid w:val="001B7A02"/>
    <w:rsid w:val="001C0334"/>
    <w:rsid w:val="001C0D24"/>
    <w:rsid w:val="001C0F7F"/>
    <w:rsid w:val="001C17C6"/>
    <w:rsid w:val="001C2538"/>
    <w:rsid w:val="001C2B26"/>
    <w:rsid w:val="001C2C17"/>
    <w:rsid w:val="001C3141"/>
    <w:rsid w:val="001C3395"/>
    <w:rsid w:val="001C45B3"/>
    <w:rsid w:val="001C49DB"/>
    <w:rsid w:val="001C4E9C"/>
    <w:rsid w:val="001C54CF"/>
    <w:rsid w:val="001C5934"/>
    <w:rsid w:val="001C5964"/>
    <w:rsid w:val="001C5C0D"/>
    <w:rsid w:val="001C6791"/>
    <w:rsid w:val="001C7F7A"/>
    <w:rsid w:val="001D082F"/>
    <w:rsid w:val="001D0CAB"/>
    <w:rsid w:val="001D1428"/>
    <w:rsid w:val="001D1741"/>
    <w:rsid w:val="001D1E65"/>
    <w:rsid w:val="001D20A4"/>
    <w:rsid w:val="001D217E"/>
    <w:rsid w:val="001D2568"/>
    <w:rsid w:val="001D2A4E"/>
    <w:rsid w:val="001D2EEF"/>
    <w:rsid w:val="001D3284"/>
    <w:rsid w:val="001D35F1"/>
    <w:rsid w:val="001D380F"/>
    <w:rsid w:val="001D3B54"/>
    <w:rsid w:val="001D42A9"/>
    <w:rsid w:val="001D433C"/>
    <w:rsid w:val="001D5415"/>
    <w:rsid w:val="001D54D3"/>
    <w:rsid w:val="001D54F2"/>
    <w:rsid w:val="001D5741"/>
    <w:rsid w:val="001D5CCA"/>
    <w:rsid w:val="001D6830"/>
    <w:rsid w:val="001D6C45"/>
    <w:rsid w:val="001D6D63"/>
    <w:rsid w:val="001D7167"/>
    <w:rsid w:val="001D74DC"/>
    <w:rsid w:val="001D7603"/>
    <w:rsid w:val="001D7F06"/>
    <w:rsid w:val="001E0E99"/>
    <w:rsid w:val="001E1EEF"/>
    <w:rsid w:val="001E20A2"/>
    <w:rsid w:val="001E2614"/>
    <w:rsid w:val="001E2C42"/>
    <w:rsid w:val="001E2C8F"/>
    <w:rsid w:val="001E2E67"/>
    <w:rsid w:val="001E3C50"/>
    <w:rsid w:val="001E4A76"/>
    <w:rsid w:val="001E5400"/>
    <w:rsid w:val="001E5C71"/>
    <w:rsid w:val="001E61AA"/>
    <w:rsid w:val="001E6319"/>
    <w:rsid w:val="001E67DD"/>
    <w:rsid w:val="001E7696"/>
    <w:rsid w:val="001E7B1F"/>
    <w:rsid w:val="001F03CE"/>
    <w:rsid w:val="001F03F5"/>
    <w:rsid w:val="001F0DE1"/>
    <w:rsid w:val="001F1336"/>
    <w:rsid w:val="001F1DFA"/>
    <w:rsid w:val="001F255D"/>
    <w:rsid w:val="001F2665"/>
    <w:rsid w:val="001F277D"/>
    <w:rsid w:val="001F2AD7"/>
    <w:rsid w:val="001F2B69"/>
    <w:rsid w:val="001F2F00"/>
    <w:rsid w:val="001F33F9"/>
    <w:rsid w:val="001F436E"/>
    <w:rsid w:val="001F502B"/>
    <w:rsid w:val="001F585A"/>
    <w:rsid w:val="001F661E"/>
    <w:rsid w:val="001F6AA1"/>
    <w:rsid w:val="001F6DFA"/>
    <w:rsid w:val="001F711D"/>
    <w:rsid w:val="001F7290"/>
    <w:rsid w:val="001F757E"/>
    <w:rsid w:val="001F7646"/>
    <w:rsid w:val="001F76B8"/>
    <w:rsid w:val="00200053"/>
    <w:rsid w:val="002002F6"/>
    <w:rsid w:val="00201058"/>
    <w:rsid w:val="00201D07"/>
    <w:rsid w:val="00201F0F"/>
    <w:rsid w:val="002020AF"/>
    <w:rsid w:val="002023BF"/>
    <w:rsid w:val="00202638"/>
    <w:rsid w:val="002028A7"/>
    <w:rsid w:val="0020295B"/>
    <w:rsid w:val="002029A0"/>
    <w:rsid w:val="00202B33"/>
    <w:rsid w:val="002032E3"/>
    <w:rsid w:val="00203602"/>
    <w:rsid w:val="00203901"/>
    <w:rsid w:val="00203D3F"/>
    <w:rsid w:val="00205255"/>
    <w:rsid w:val="00205379"/>
    <w:rsid w:val="00205417"/>
    <w:rsid w:val="0020619F"/>
    <w:rsid w:val="002064D1"/>
    <w:rsid w:val="002067A9"/>
    <w:rsid w:val="00206837"/>
    <w:rsid w:val="00206DB6"/>
    <w:rsid w:val="00207083"/>
    <w:rsid w:val="002072CA"/>
    <w:rsid w:val="002077E2"/>
    <w:rsid w:val="00207B0A"/>
    <w:rsid w:val="00207C37"/>
    <w:rsid w:val="00207DC6"/>
    <w:rsid w:val="00210113"/>
    <w:rsid w:val="00210822"/>
    <w:rsid w:val="002116B7"/>
    <w:rsid w:val="00211953"/>
    <w:rsid w:val="00211C4E"/>
    <w:rsid w:val="00211F83"/>
    <w:rsid w:val="002128D6"/>
    <w:rsid w:val="00212CAC"/>
    <w:rsid w:val="00213A7B"/>
    <w:rsid w:val="00213A7C"/>
    <w:rsid w:val="00213E85"/>
    <w:rsid w:val="0021546B"/>
    <w:rsid w:val="00215A29"/>
    <w:rsid w:val="00215D03"/>
    <w:rsid w:val="00216B63"/>
    <w:rsid w:val="00217046"/>
    <w:rsid w:val="002177AE"/>
    <w:rsid w:val="00217C81"/>
    <w:rsid w:val="00217D81"/>
    <w:rsid w:val="0022005C"/>
    <w:rsid w:val="00220BF2"/>
    <w:rsid w:val="0022114E"/>
    <w:rsid w:val="00221282"/>
    <w:rsid w:val="00221724"/>
    <w:rsid w:val="0022194C"/>
    <w:rsid w:val="00221A4B"/>
    <w:rsid w:val="0022257E"/>
    <w:rsid w:val="00222B10"/>
    <w:rsid w:val="00222FFB"/>
    <w:rsid w:val="002236F5"/>
    <w:rsid w:val="002237FA"/>
    <w:rsid w:val="00223A0A"/>
    <w:rsid w:val="00223AC9"/>
    <w:rsid w:val="00224CF4"/>
    <w:rsid w:val="00225224"/>
    <w:rsid w:val="0022534F"/>
    <w:rsid w:val="00225871"/>
    <w:rsid w:val="002259F7"/>
    <w:rsid w:val="00225C66"/>
    <w:rsid w:val="00225F72"/>
    <w:rsid w:val="0022600E"/>
    <w:rsid w:val="00226750"/>
    <w:rsid w:val="00227172"/>
    <w:rsid w:val="0022793F"/>
    <w:rsid w:val="002279C1"/>
    <w:rsid w:val="00227EBE"/>
    <w:rsid w:val="00230C6B"/>
    <w:rsid w:val="00230E5C"/>
    <w:rsid w:val="00231960"/>
    <w:rsid w:val="002319D1"/>
    <w:rsid w:val="00231B11"/>
    <w:rsid w:val="0023250D"/>
    <w:rsid w:val="00232906"/>
    <w:rsid w:val="00232A80"/>
    <w:rsid w:val="00232CEE"/>
    <w:rsid w:val="00232F2F"/>
    <w:rsid w:val="0023332F"/>
    <w:rsid w:val="00233958"/>
    <w:rsid w:val="00234076"/>
    <w:rsid w:val="00234085"/>
    <w:rsid w:val="002340BD"/>
    <w:rsid w:val="00234237"/>
    <w:rsid w:val="00234325"/>
    <w:rsid w:val="002343E1"/>
    <w:rsid w:val="00234CBC"/>
    <w:rsid w:val="00234CC8"/>
    <w:rsid w:val="00235413"/>
    <w:rsid w:val="00235441"/>
    <w:rsid w:val="00235671"/>
    <w:rsid w:val="002368BD"/>
    <w:rsid w:val="00236982"/>
    <w:rsid w:val="00237895"/>
    <w:rsid w:val="00240010"/>
    <w:rsid w:val="00240313"/>
    <w:rsid w:val="00240925"/>
    <w:rsid w:val="00240D98"/>
    <w:rsid w:val="0024131C"/>
    <w:rsid w:val="002417C4"/>
    <w:rsid w:val="00242247"/>
    <w:rsid w:val="002424E6"/>
    <w:rsid w:val="0024274D"/>
    <w:rsid w:val="002427FF"/>
    <w:rsid w:val="00242A98"/>
    <w:rsid w:val="0024323A"/>
    <w:rsid w:val="002432CA"/>
    <w:rsid w:val="00243620"/>
    <w:rsid w:val="00243909"/>
    <w:rsid w:val="0024406F"/>
    <w:rsid w:val="00244094"/>
    <w:rsid w:val="0024416A"/>
    <w:rsid w:val="0024424B"/>
    <w:rsid w:val="00244255"/>
    <w:rsid w:val="00244277"/>
    <w:rsid w:val="00244A99"/>
    <w:rsid w:val="00244EC4"/>
    <w:rsid w:val="00246C1E"/>
    <w:rsid w:val="00246D76"/>
    <w:rsid w:val="00246F5C"/>
    <w:rsid w:val="00247C68"/>
    <w:rsid w:val="0025002C"/>
    <w:rsid w:val="002505F9"/>
    <w:rsid w:val="0025065E"/>
    <w:rsid w:val="00250976"/>
    <w:rsid w:val="00250FE9"/>
    <w:rsid w:val="002511A6"/>
    <w:rsid w:val="002518C6"/>
    <w:rsid w:val="00251D43"/>
    <w:rsid w:val="00252682"/>
    <w:rsid w:val="00252DF9"/>
    <w:rsid w:val="0025329E"/>
    <w:rsid w:val="00254A3F"/>
    <w:rsid w:val="00255333"/>
    <w:rsid w:val="00255458"/>
    <w:rsid w:val="00255690"/>
    <w:rsid w:val="00255D3A"/>
    <w:rsid w:val="00256940"/>
    <w:rsid w:val="00256AB5"/>
    <w:rsid w:val="00256FFE"/>
    <w:rsid w:val="00257280"/>
    <w:rsid w:val="00257375"/>
    <w:rsid w:val="00257A7E"/>
    <w:rsid w:val="00260D29"/>
    <w:rsid w:val="00261C88"/>
    <w:rsid w:val="0026269F"/>
    <w:rsid w:val="00262C11"/>
    <w:rsid w:val="0026329D"/>
    <w:rsid w:val="002635F3"/>
    <w:rsid w:val="002636B4"/>
    <w:rsid w:val="00263911"/>
    <w:rsid w:val="00263C2C"/>
    <w:rsid w:val="002640F7"/>
    <w:rsid w:val="00264299"/>
    <w:rsid w:val="00264335"/>
    <w:rsid w:val="00264962"/>
    <w:rsid w:val="002654A2"/>
    <w:rsid w:val="00266558"/>
    <w:rsid w:val="00266C64"/>
    <w:rsid w:val="002677DD"/>
    <w:rsid w:val="00267B3D"/>
    <w:rsid w:val="00267BDE"/>
    <w:rsid w:val="00270684"/>
    <w:rsid w:val="00270A86"/>
    <w:rsid w:val="00270DBA"/>
    <w:rsid w:val="0027119B"/>
    <w:rsid w:val="00271294"/>
    <w:rsid w:val="00271D80"/>
    <w:rsid w:val="002720C2"/>
    <w:rsid w:val="00272601"/>
    <w:rsid w:val="0027288A"/>
    <w:rsid w:val="00272B00"/>
    <w:rsid w:val="00273692"/>
    <w:rsid w:val="00273C0C"/>
    <w:rsid w:val="0027455F"/>
    <w:rsid w:val="00274B9B"/>
    <w:rsid w:val="0027512B"/>
    <w:rsid w:val="00275CC9"/>
    <w:rsid w:val="00275F5B"/>
    <w:rsid w:val="00276A6D"/>
    <w:rsid w:val="00277437"/>
    <w:rsid w:val="00277DC5"/>
    <w:rsid w:val="00280147"/>
    <w:rsid w:val="002802D2"/>
    <w:rsid w:val="002803D5"/>
    <w:rsid w:val="00281EF4"/>
    <w:rsid w:val="0028335F"/>
    <w:rsid w:val="002833DB"/>
    <w:rsid w:val="00283BCA"/>
    <w:rsid w:val="00283E80"/>
    <w:rsid w:val="0028511C"/>
    <w:rsid w:val="00285557"/>
    <w:rsid w:val="00285D83"/>
    <w:rsid w:val="00285E60"/>
    <w:rsid w:val="00286019"/>
    <w:rsid w:val="00287076"/>
    <w:rsid w:val="0029094D"/>
    <w:rsid w:val="00290AA1"/>
    <w:rsid w:val="00290BFC"/>
    <w:rsid w:val="00290C63"/>
    <w:rsid w:val="00290FEB"/>
    <w:rsid w:val="002911F9"/>
    <w:rsid w:val="0029196E"/>
    <w:rsid w:val="002919CE"/>
    <w:rsid w:val="0029283A"/>
    <w:rsid w:val="00292A84"/>
    <w:rsid w:val="002931D6"/>
    <w:rsid w:val="0029381B"/>
    <w:rsid w:val="00293B4E"/>
    <w:rsid w:val="00293F3B"/>
    <w:rsid w:val="00293FCE"/>
    <w:rsid w:val="00295392"/>
    <w:rsid w:val="00295B02"/>
    <w:rsid w:val="00295E50"/>
    <w:rsid w:val="00296564"/>
    <w:rsid w:val="00296CBB"/>
    <w:rsid w:val="00297215"/>
    <w:rsid w:val="0029732D"/>
    <w:rsid w:val="00297473"/>
    <w:rsid w:val="002A12E3"/>
    <w:rsid w:val="002A136F"/>
    <w:rsid w:val="002A1D69"/>
    <w:rsid w:val="002A27FB"/>
    <w:rsid w:val="002A30A3"/>
    <w:rsid w:val="002A318E"/>
    <w:rsid w:val="002A325B"/>
    <w:rsid w:val="002A455C"/>
    <w:rsid w:val="002A4805"/>
    <w:rsid w:val="002A4849"/>
    <w:rsid w:val="002A4B03"/>
    <w:rsid w:val="002A4B48"/>
    <w:rsid w:val="002A519F"/>
    <w:rsid w:val="002A5F83"/>
    <w:rsid w:val="002A6B09"/>
    <w:rsid w:val="002A76E0"/>
    <w:rsid w:val="002A7B2A"/>
    <w:rsid w:val="002A7FBC"/>
    <w:rsid w:val="002B0239"/>
    <w:rsid w:val="002B0404"/>
    <w:rsid w:val="002B23C7"/>
    <w:rsid w:val="002B31FA"/>
    <w:rsid w:val="002B3B1D"/>
    <w:rsid w:val="002B3C5D"/>
    <w:rsid w:val="002B4255"/>
    <w:rsid w:val="002B4A63"/>
    <w:rsid w:val="002B51F6"/>
    <w:rsid w:val="002B57E2"/>
    <w:rsid w:val="002B5FD8"/>
    <w:rsid w:val="002B621C"/>
    <w:rsid w:val="002B6B18"/>
    <w:rsid w:val="002B6B31"/>
    <w:rsid w:val="002B6D4E"/>
    <w:rsid w:val="002B6F98"/>
    <w:rsid w:val="002B708D"/>
    <w:rsid w:val="002B755E"/>
    <w:rsid w:val="002B78BD"/>
    <w:rsid w:val="002B79B1"/>
    <w:rsid w:val="002B7BC0"/>
    <w:rsid w:val="002C096D"/>
    <w:rsid w:val="002C0ACA"/>
    <w:rsid w:val="002C116D"/>
    <w:rsid w:val="002C1251"/>
    <w:rsid w:val="002C186D"/>
    <w:rsid w:val="002C19B2"/>
    <w:rsid w:val="002C2060"/>
    <w:rsid w:val="002C38AD"/>
    <w:rsid w:val="002C3989"/>
    <w:rsid w:val="002C4185"/>
    <w:rsid w:val="002C4262"/>
    <w:rsid w:val="002C45A3"/>
    <w:rsid w:val="002C4DF5"/>
    <w:rsid w:val="002C4FD7"/>
    <w:rsid w:val="002C554D"/>
    <w:rsid w:val="002C5D6C"/>
    <w:rsid w:val="002C6464"/>
    <w:rsid w:val="002C64D8"/>
    <w:rsid w:val="002C6F32"/>
    <w:rsid w:val="002C7003"/>
    <w:rsid w:val="002C74FD"/>
    <w:rsid w:val="002C7BAB"/>
    <w:rsid w:val="002D0451"/>
    <w:rsid w:val="002D063D"/>
    <w:rsid w:val="002D0829"/>
    <w:rsid w:val="002D1223"/>
    <w:rsid w:val="002D1B6A"/>
    <w:rsid w:val="002D2179"/>
    <w:rsid w:val="002D2408"/>
    <w:rsid w:val="002D2515"/>
    <w:rsid w:val="002D27AF"/>
    <w:rsid w:val="002D355D"/>
    <w:rsid w:val="002D35B0"/>
    <w:rsid w:val="002D3D6E"/>
    <w:rsid w:val="002D507E"/>
    <w:rsid w:val="002D6043"/>
    <w:rsid w:val="002D6055"/>
    <w:rsid w:val="002D696E"/>
    <w:rsid w:val="002D6AC9"/>
    <w:rsid w:val="002D702D"/>
    <w:rsid w:val="002E06DC"/>
    <w:rsid w:val="002E11D3"/>
    <w:rsid w:val="002E1A73"/>
    <w:rsid w:val="002E2531"/>
    <w:rsid w:val="002E2C4C"/>
    <w:rsid w:val="002E32A3"/>
    <w:rsid w:val="002E362E"/>
    <w:rsid w:val="002E387B"/>
    <w:rsid w:val="002E3AF3"/>
    <w:rsid w:val="002E40F7"/>
    <w:rsid w:val="002E42FD"/>
    <w:rsid w:val="002E43F6"/>
    <w:rsid w:val="002E4609"/>
    <w:rsid w:val="002E504C"/>
    <w:rsid w:val="002E5108"/>
    <w:rsid w:val="002E52B1"/>
    <w:rsid w:val="002E5309"/>
    <w:rsid w:val="002E5FF0"/>
    <w:rsid w:val="002E6249"/>
    <w:rsid w:val="002E65DA"/>
    <w:rsid w:val="002E7468"/>
    <w:rsid w:val="002E7851"/>
    <w:rsid w:val="002E78E2"/>
    <w:rsid w:val="002E791A"/>
    <w:rsid w:val="002E7B2C"/>
    <w:rsid w:val="002F00BF"/>
    <w:rsid w:val="002F045D"/>
    <w:rsid w:val="002F1053"/>
    <w:rsid w:val="002F1144"/>
    <w:rsid w:val="002F1F4B"/>
    <w:rsid w:val="002F22E9"/>
    <w:rsid w:val="002F27B2"/>
    <w:rsid w:val="002F2EC0"/>
    <w:rsid w:val="002F32BF"/>
    <w:rsid w:val="002F3BA6"/>
    <w:rsid w:val="002F3DCC"/>
    <w:rsid w:val="002F4040"/>
    <w:rsid w:val="002F4D8A"/>
    <w:rsid w:val="002F50DA"/>
    <w:rsid w:val="002F5A37"/>
    <w:rsid w:val="002F6A7B"/>
    <w:rsid w:val="002F6E29"/>
    <w:rsid w:val="002F7251"/>
    <w:rsid w:val="002F75EB"/>
    <w:rsid w:val="00300358"/>
    <w:rsid w:val="00300C56"/>
    <w:rsid w:val="00300F98"/>
    <w:rsid w:val="00301211"/>
    <w:rsid w:val="0030128B"/>
    <w:rsid w:val="00302D0A"/>
    <w:rsid w:val="00303D0A"/>
    <w:rsid w:val="00304A1B"/>
    <w:rsid w:val="0030594C"/>
    <w:rsid w:val="00306328"/>
    <w:rsid w:val="003066F5"/>
    <w:rsid w:val="00307263"/>
    <w:rsid w:val="003074D0"/>
    <w:rsid w:val="0030768E"/>
    <w:rsid w:val="003076B8"/>
    <w:rsid w:val="00307C6D"/>
    <w:rsid w:val="00307CB9"/>
    <w:rsid w:val="00307EC3"/>
    <w:rsid w:val="0031087E"/>
    <w:rsid w:val="00310B3B"/>
    <w:rsid w:val="00310BFA"/>
    <w:rsid w:val="00310D1D"/>
    <w:rsid w:val="003111B0"/>
    <w:rsid w:val="00311A0D"/>
    <w:rsid w:val="00311A5A"/>
    <w:rsid w:val="00311DEC"/>
    <w:rsid w:val="0031249B"/>
    <w:rsid w:val="00312527"/>
    <w:rsid w:val="00313651"/>
    <w:rsid w:val="003141AD"/>
    <w:rsid w:val="0031498A"/>
    <w:rsid w:val="00314C92"/>
    <w:rsid w:val="00314C98"/>
    <w:rsid w:val="00315085"/>
    <w:rsid w:val="00315AAF"/>
    <w:rsid w:val="00315EA0"/>
    <w:rsid w:val="00315FF4"/>
    <w:rsid w:val="00316CCA"/>
    <w:rsid w:val="00316D17"/>
    <w:rsid w:val="00316F22"/>
    <w:rsid w:val="00317274"/>
    <w:rsid w:val="003172C8"/>
    <w:rsid w:val="0031776D"/>
    <w:rsid w:val="003178FC"/>
    <w:rsid w:val="00317EE6"/>
    <w:rsid w:val="0032011B"/>
    <w:rsid w:val="003203BB"/>
    <w:rsid w:val="00320E4F"/>
    <w:rsid w:val="00321399"/>
    <w:rsid w:val="003219CC"/>
    <w:rsid w:val="00321A5A"/>
    <w:rsid w:val="00321AE8"/>
    <w:rsid w:val="00321B83"/>
    <w:rsid w:val="00321EBE"/>
    <w:rsid w:val="003221EB"/>
    <w:rsid w:val="0032229B"/>
    <w:rsid w:val="00322300"/>
    <w:rsid w:val="0032395F"/>
    <w:rsid w:val="00323FDA"/>
    <w:rsid w:val="003240D9"/>
    <w:rsid w:val="00324570"/>
    <w:rsid w:val="00324C40"/>
    <w:rsid w:val="00324C5C"/>
    <w:rsid w:val="00325265"/>
    <w:rsid w:val="0032556A"/>
    <w:rsid w:val="003257C1"/>
    <w:rsid w:val="00325E36"/>
    <w:rsid w:val="00325E4C"/>
    <w:rsid w:val="00326761"/>
    <w:rsid w:val="003267E1"/>
    <w:rsid w:val="00326F66"/>
    <w:rsid w:val="003273E6"/>
    <w:rsid w:val="00327D8B"/>
    <w:rsid w:val="003303C3"/>
    <w:rsid w:val="00330407"/>
    <w:rsid w:val="00330BA8"/>
    <w:rsid w:val="00331210"/>
    <w:rsid w:val="0033123E"/>
    <w:rsid w:val="00331459"/>
    <w:rsid w:val="00331892"/>
    <w:rsid w:val="00331DD7"/>
    <w:rsid w:val="00331DDC"/>
    <w:rsid w:val="00331E33"/>
    <w:rsid w:val="00331FB4"/>
    <w:rsid w:val="003321BC"/>
    <w:rsid w:val="00332B00"/>
    <w:rsid w:val="00332EF1"/>
    <w:rsid w:val="00333266"/>
    <w:rsid w:val="0033342C"/>
    <w:rsid w:val="003334D3"/>
    <w:rsid w:val="0033350F"/>
    <w:rsid w:val="00333639"/>
    <w:rsid w:val="00333C4E"/>
    <w:rsid w:val="00334386"/>
    <w:rsid w:val="003352A9"/>
    <w:rsid w:val="00335379"/>
    <w:rsid w:val="00336435"/>
    <w:rsid w:val="003364D6"/>
    <w:rsid w:val="003365BB"/>
    <w:rsid w:val="00336808"/>
    <w:rsid w:val="00336F09"/>
    <w:rsid w:val="00337561"/>
    <w:rsid w:val="003375FC"/>
    <w:rsid w:val="003378B8"/>
    <w:rsid w:val="003405BB"/>
    <w:rsid w:val="00340848"/>
    <w:rsid w:val="0034206D"/>
    <w:rsid w:val="00342961"/>
    <w:rsid w:val="00342D72"/>
    <w:rsid w:val="00342F04"/>
    <w:rsid w:val="00344456"/>
    <w:rsid w:val="0034494E"/>
    <w:rsid w:val="00344E08"/>
    <w:rsid w:val="00344F02"/>
    <w:rsid w:val="00345704"/>
    <w:rsid w:val="003467D4"/>
    <w:rsid w:val="00346A91"/>
    <w:rsid w:val="00346AE0"/>
    <w:rsid w:val="00347953"/>
    <w:rsid w:val="00347FB2"/>
    <w:rsid w:val="00350711"/>
    <w:rsid w:val="0035083F"/>
    <w:rsid w:val="0035174C"/>
    <w:rsid w:val="00351E5E"/>
    <w:rsid w:val="00352525"/>
    <w:rsid w:val="003525EC"/>
    <w:rsid w:val="00352B71"/>
    <w:rsid w:val="00352E46"/>
    <w:rsid w:val="00353087"/>
    <w:rsid w:val="003530AA"/>
    <w:rsid w:val="00353D23"/>
    <w:rsid w:val="00354576"/>
    <w:rsid w:val="003546C1"/>
    <w:rsid w:val="003554D6"/>
    <w:rsid w:val="00356F15"/>
    <w:rsid w:val="00356F5A"/>
    <w:rsid w:val="00356F78"/>
    <w:rsid w:val="003573CD"/>
    <w:rsid w:val="0035750C"/>
    <w:rsid w:val="00357BBD"/>
    <w:rsid w:val="00357CAC"/>
    <w:rsid w:val="003608F3"/>
    <w:rsid w:val="00360F21"/>
    <w:rsid w:val="003613EF"/>
    <w:rsid w:val="0036144D"/>
    <w:rsid w:val="003614D5"/>
    <w:rsid w:val="00361BB0"/>
    <w:rsid w:val="00361E3A"/>
    <w:rsid w:val="00362480"/>
    <w:rsid w:val="00362989"/>
    <w:rsid w:val="00362C21"/>
    <w:rsid w:val="003630A9"/>
    <w:rsid w:val="003638CA"/>
    <w:rsid w:val="0036397D"/>
    <w:rsid w:val="00364EFF"/>
    <w:rsid w:val="00365123"/>
    <w:rsid w:val="003651CA"/>
    <w:rsid w:val="00365313"/>
    <w:rsid w:val="0036546F"/>
    <w:rsid w:val="0036571B"/>
    <w:rsid w:val="0036690B"/>
    <w:rsid w:val="00366EB6"/>
    <w:rsid w:val="0036745B"/>
    <w:rsid w:val="0036774E"/>
    <w:rsid w:val="00367C79"/>
    <w:rsid w:val="00367CE2"/>
    <w:rsid w:val="00367DB0"/>
    <w:rsid w:val="00370159"/>
    <w:rsid w:val="003703CF"/>
    <w:rsid w:val="00370BF4"/>
    <w:rsid w:val="00370E69"/>
    <w:rsid w:val="00370E95"/>
    <w:rsid w:val="003720F5"/>
    <w:rsid w:val="003721E4"/>
    <w:rsid w:val="00372410"/>
    <w:rsid w:val="003725A1"/>
    <w:rsid w:val="00372798"/>
    <w:rsid w:val="00372D44"/>
    <w:rsid w:val="003731CC"/>
    <w:rsid w:val="00373955"/>
    <w:rsid w:val="00374381"/>
    <w:rsid w:val="003743B4"/>
    <w:rsid w:val="0037493F"/>
    <w:rsid w:val="00374B95"/>
    <w:rsid w:val="00374BBB"/>
    <w:rsid w:val="00374D3C"/>
    <w:rsid w:val="003750EC"/>
    <w:rsid w:val="003759EF"/>
    <w:rsid w:val="00375EDE"/>
    <w:rsid w:val="00375FA7"/>
    <w:rsid w:val="00377825"/>
    <w:rsid w:val="00380367"/>
    <w:rsid w:val="00380B89"/>
    <w:rsid w:val="00381272"/>
    <w:rsid w:val="00381F99"/>
    <w:rsid w:val="0038323C"/>
    <w:rsid w:val="0038499C"/>
    <w:rsid w:val="00384F7D"/>
    <w:rsid w:val="00385119"/>
    <w:rsid w:val="00385390"/>
    <w:rsid w:val="0038577C"/>
    <w:rsid w:val="003859A9"/>
    <w:rsid w:val="00385E80"/>
    <w:rsid w:val="00385F9D"/>
    <w:rsid w:val="003864B8"/>
    <w:rsid w:val="00386AAE"/>
    <w:rsid w:val="0038709F"/>
    <w:rsid w:val="003875BD"/>
    <w:rsid w:val="0038766A"/>
    <w:rsid w:val="00387A34"/>
    <w:rsid w:val="003901A8"/>
    <w:rsid w:val="00390E6E"/>
    <w:rsid w:val="00391F8E"/>
    <w:rsid w:val="00392830"/>
    <w:rsid w:val="003929DA"/>
    <w:rsid w:val="00393DAF"/>
    <w:rsid w:val="003942BB"/>
    <w:rsid w:val="00394DFC"/>
    <w:rsid w:val="00395414"/>
    <w:rsid w:val="003956B2"/>
    <w:rsid w:val="0039570A"/>
    <w:rsid w:val="00395D93"/>
    <w:rsid w:val="00396500"/>
    <w:rsid w:val="00396A1A"/>
    <w:rsid w:val="0039728C"/>
    <w:rsid w:val="003972E9"/>
    <w:rsid w:val="0039775C"/>
    <w:rsid w:val="00397F3D"/>
    <w:rsid w:val="003A0B18"/>
    <w:rsid w:val="003A0E0C"/>
    <w:rsid w:val="003A165D"/>
    <w:rsid w:val="003A1997"/>
    <w:rsid w:val="003A1BA2"/>
    <w:rsid w:val="003A20B2"/>
    <w:rsid w:val="003A275B"/>
    <w:rsid w:val="003A291E"/>
    <w:rsid w:val="003A2BE3"/>
    <w:rsid w:val="003A2CD2"/>
    <w:rsid w:val="003A37AC"/>
    <w:rsid w:val="003A3DA6"/>
    <w:rsid w:val="003A4854"/>
    <w:rsid w:val="003A4A70"/>
    <w:rsid w:val="003A4CB2"/>
    <w:rsid w:val="003A5D3C"/>
    <w:rsid w:val="003A6D00"/>
    <w:rsid w:val="003A6F60"/>
    <w:rsid w:val="003A7034"/>
    <w:rsid w:val="003A704D"/>
    <w:rsid w:val="003A7A80"/>
    <w:rsid w:val="003A7A90"/>
    <w:rsid w:val="003B00FB"/>
    <w:rsid w:val="003B05E4"/>
    <w:rsid w:val="003B0B85"/>
    <w:rsid w:val="003B1243"/>
    <w:rsid w:val="003B1AE0"/>
    <w:rsid w:val="003B1F13"/>
    <w:rsid w:val="003B2127"/>
    <w:rsid w:val="003B2C0A"/>
    <w:rsid w:val="003B2F06"/>
    <w:rsid w:val="003B313D"/>
    <w:rsid w:val="003B3314"/>
    <w:rsid w:val="003B348F"/>
    <w:rsid w:val="003B49F1"/>
    <w:rsid w:val="003B541E"/>
    <w:rsid w:val="003B5829"/>
    <w:rsid w:val="003B598F"/>
    <w:rsid w:val="003B5A91"/>
    <w:rsid w:val="003B6B63"/>
    <w:rsid w:val="003B6F90"/>
    <w:rsid w:val="003B719E"/>
    <w:rsid w:val="003B76EF"/>
    <w:rsid w:val="003C046E"/>
    <w:rsid w:val="003C0C56"/>
    <w:rsid w:val="003C0D2C"/>
    <w:rsid w:val="003C1504"/>
    <w:rsid w:val="003C23A7"/>
    <w:rsid w:val="003C23AD"/>
    <w:rsid w:val="003C279A"/>
    <w:rsid w:val="003C2AE9"/>
    <w:rsid w:val="003C3938"/>
    <w:rsid w:val="003C3F5D"/>
    <w:rsid w:val="003C47D7"/>
    <w:rsid w:val="003C5750"/>
    <w:rsid w:val="003C5AE9"/>
    <w:rsid w:val="003C5CDF"/>
    <w:rsid w:val="003C6722"/>
    <w:rsid w:val="003C756C"/>
    <w:rsid w:val="003C771C"/>
    <w:rsid w:val="003C7CFA"/>
    <w:rsid w:val="003C7F05"/>
    <w:rsid w:val="003D050D"/>
    <w:rsid w:val="003D06AC"/>
    <w:rsid w:val="003D0940"/>
    <w:rsid w:val="003D0D7B"/>
    <w:rsid w:val="003D2359"/>
    <w:rsid w:val="003D242C"/>
    <w:rsid w:val="003D2B20"/>
    <w:rsid w:val="003D3B02"/>
    <w:rsid w:val="003D50C4"/>
    <w:rsid w:val="003D5246"/>
    <w:rsid w:val="003D61C3"/>
    <w:rsid w:val="003D6819"/>
    <w:rsid w:val="003D6885"/>
    <w:rsid w:val="003D72EA"/>
    <w:rsid w:val="003D73F5"/>
    <w:rsid w:val="003D75B7"/>
    <w:rsid w:val="003D7928"/>
    <w:rsid w:val="003D7B53"/>
    <w:rsid w:val="003E01B8"/>
    <w:rsid w:val="003E0384"/>
    <w:rsid w:val="003E070A"/>
    <w:rsid w:val="003E0C5D"/>
    <w:rsid w:val="003E18B3"/>
    <w:rsid w:val="003E18FB"/>
    <w:rsid w:val="003E1996"/>
    <w:rsid w:val="003E21FB"/>
    <w:rsid w:val="003E3329"/>
    <w:rsid w:val="003E3A09"/>
    <w:rsid w:val="003E3C22"/>
    <w:rsid w:val="003E5854"/>
    <w:rsid w:val="003E6D50"/>
    <w:rsid w:val="003E75B9"/>
    <w:rsid w:val="003E7E60"/>
    <w:rsid w:val="003E7F11"/>
    <w:rsid w:val="003F082D"/>
    <w:rsid w:val="003F0990"/>
    <w:rsid w:val="003F10A3"/>
    <w:rsid w:val="003F1118"/>
    <w:rsid w:val="003F122D"/>
    <w:rsid w:val="003F1AC5"/>
    <w:rsid w:val="003F1E24"/>
    <w:rsid w:val="003F2238"/>
    <w:rsid w:val="003F2269"/>
    <w:rsid w:val="003F22D6"/>
    <w:rsid w:val="003F3BBA"/>
    <w:rsid w:val="003F3C56"/>
    <w:rsid w:val="003F3D38"/>
    <w:rsid w:val="003F4035"/>
    <w:rsid w:val="003F42A5"/>
    <w:rsid w:val="003F4883"/>
    <w:rsid w:val="003F493D"/>
    <w:rsid w:val="003F4F3C"/>
    <w:rsid w:val="003F63B4"/>
    <w:rsid w:val="003F64D4"/>
    <w:rsid w:val="003F662F"/>
    <w:rsid w:val="003F695C"/>
    <w:rsid w:val="003F75D2"/>
    <w:rsid w:val="003F77B4"/>
    <w:rsid w:val="003F7C26"/>
    <w:rsid w:val="0040047D"/>
    <w:rsid w:val="004005CE"/>
    <w:rsid w:val="0040122C"/>
    <w:rsid w:val="00401239"/>
    <w:rsid w:val="004012B6"/>
    <w:rsid w:val="004017CC"/>
    <w:rsid w:val="00401C57"/>
    <w:rsid w:val="00401EA4"/>
    <w:rsid w:val="00402676"/>
    <w:rsid w:val="004028F1"/>
    <w:rsid w:val="0040342E"/>
    <w:rsid w:val="0040349B"/>
    <w:rsid w:val="00404667"/>
    <w:rsid w:val="004047B7"/>
    <w:rsid w:val="00404C8E"/>
    <w:rsid w:val="00404EEB"/>
    <w:rsid w:val="0040557F"/>
    <w:rsid w:val="00405644"/>
    <w:rsid w:val="00406176"/>
    <w:rsid w:val="00406B64"/>
    <w:rsid w:val="00406D1C"/>
    <w:rsid w:val="004075E3"/>
    <w:rsid w:val="00407749"/>
    <w:rsid w:val="0041009C"/>
    <w:rsid w:val="004111E4"/>
    <w:rsid w:val="004115FE"/>
    <w:rsid w:val="0041174A"/>
    <w:rsid w:val="00411A57"/>
    <w:rsid w:val="00411B2E"/>
    <w:rsid w:val="00412229"/>
    <w:rsid w:val="00412C25"/>
    <w:rsid w:val="00413889"/>
    <w:rsid w:val="004138AA"/>
    <w:rsid w:val="00414D2A"/>
    <w:rsid w:val="00415239"/>
    <w:rsid w:val="0041699F"/>
    <w:rsid w:val="00416BBD"/>
    <w:rsid w:val="0041719E"/>
    <w:rsid w:val="00417496"/>
    <w:rsid w:val="00417847"/>
    <w:rsid w:val="0042050B"/>
    <w:rsid w:val="004208C3"/>
    <w:rsid w:val="00420ED2"/>
    <w:rsid w:val="0042132A"/>
    <w:rsid w:val="004218AC"/>
    <w:rsid w:val="00422D94"/>
    <w:rsid w:val="00423586"/>
    <w:rsid w:val="0042360D"/>
    <w:rsid w:val="00423B37"/>
    <w:rsid w:val="00424E65"/>
    <w:rsid w:val="0042580E"/>
    <w:rsid w:val="004258EF"/>
    <w:rsid w:val="00425968"/>
    <w:rsid w:val="004260F1"/>
    <w:rsid w:val="00427085"/>
    <w:rsid w:val="0042717B"/>
    <w:rsid w:val="00427653"/>
    <w:rsid w:val="0042767E"/>
    <w:rsid w:val="00427CA0"/>
    <w:rsid w:val="00427CA6"/>
    <w:rsid w:val="00430787"/>
    <w:rsid w:val="00431197"/>
    <w:rsid w:val="004319CB"/>
    <w:rsid w:val="00431DD0"/>
    <w:rsid w:val="00431F84"/>
    <w:rsid w:val="0043227F"/>
    <w:rsid w:val="00432319"/>
    <w:rsid w:val="00432B0F"/>
    <w:rsid w:val="00432B78"/>
    <w:rsid w:val="00432C37"/>
    <w:rsid w:val="00432C4C"/>
    <w:rsid w:val="004332FB"/>
    <w:rsid w:val="00433320"/>
    <w:rsid w:val="004333B5"/>
    <w:rsid w:val="004337E7"/>
    <w:rsid w:val="00433CFA"/>
    <w:rsid w:val="00434753"/>
    <w:rsid w:val="00434BF8"/>
    <w:rsid w:val="004352FD"/>
    <w:rsid w:val="00435666"/>
    <w:rsid w:val="00436905"/>
    <w:rsid w:val="00437453"/>
    <w:rsid w:val="0043752E"/>
    <w:rsid w:val="004375AC"/>
    <w:rsid w:val="004377C1"/>
    <w:rsid w:val="004377C7"/>
    <w:rsid w:val="00437ABE"/>
    <w:rsid w:val="0044059F"/>
    <w:rsid w:val="00440FB7"/>
    <w:rsid w:val="00441418"/>
    <w:rsid w:val="00441828"/>
    <w:rsid w:val="00441A06"/>
    <w:rsid w:val="00441E1E"/>
    <w:rsid w:val="004425FB"/>
    <w:rsid w:val="0044276E"/>
    <w:rsid w:val="004428AA"/>
    <w:rsid w:val="00443000"/>
    <w:rsid w:val="0044359C"/>
    <w:rsid w:val="00443675"/>
    <w:rsid w:val="00443E38"/>
    <w:rsid w:val="00443FA7"/>
    <w:rsid w:val="004446FA"/>
    <w:rsid w:val="00444CFE"/>
    <w:rsid w:val="00444D57"/>
    <w:rsid w:val="0044504D"/>
    <w:rsid w:val="004463B8"/>
    <w:rsid w:val="00446D96"/>
    <w:rsid w:val="00446E15"/>
    <w:rsid w:val="00447057"/>
    <w:rsid w:val="00447AA2"/>
    <w:rsid w:val="004507B0"/>
    <w:rsid w:val="0045084E"/>
    <w:rsid w:val="0045093B"/>
    <w:rsid w:val="00450B08"/>
    <w:rsid w:val="00450D50"/>
    <w:rsid w:val="00450DD0"/>
    <w:rsid w:val="004510BF"/>
    <w:rsid w:val="00451BCC"/>
    <w:rsid w:val="004520B6"/>
    <w:rsid w:val="00452111"/>
    <w:rsid w:val="004522B2"/>
    <w:rsid w:val="00453340"/>
    <w:rsid w:val="004542A5"/>
    <w:rsid w:val="0045430B"/>
    <w:rsid w:val="00454392"/>
    <w:rsid w:val="00454E73"/>
    <w:rsid w:val="00454ED3"/>
    <w:rsid w:val="0045514F"/>
    <w:rsid w:val="004551BF"/>
    <w:rsid w:val="004553F9"/>
    <w:rsid w:val="004567E9"/>
    <w:rsid w:val="00456926"/>
    <w:rsid w:val="00456E31"/>
    <w:rsid w:val="00456F57"/>
    <w:rsid w:val="00457CCF"/>
    <w:rsid w:val="0046140C"/>
    <w:rsid w:val="004618C5"/>
    <w:rsid w:val="00461B6B"/>
    <w:rsid w:val="00461BEE"/>
    <w:rsid w:val="00461F38"/>
    <w:rsid w:val="0046303A"/>
    <w:rsid w:val="004631C3"/>
    <w:rsid w:val="00463275"/>
    <w:rsid w:val="00463CFC"/>
    <w:rsid w:val="0046438D"/>
    <w:rsid w:val="00464682"/>
    <w:rsid w:val="004658B3"/>
    <w:rsid w:val="00465E27"/>
    <w:rsid w:val="00465F76"/>
    <w:rsid w:val="0046627F"/>
    <w:rsid w:val="00466388"/>
    <w:rsid w:val="00466D01"/>
    <w:rsid w:val="00466E6D"/>
    <w:rsid w:val="00467D8C"/>
    <w:rsid w:val="00467E50"/>
    <w:rsid w:val="00470378"/>
    <w:rsid w:val="0047151C"/>
    <w:rsid w:val="004715DE"/>
    <w:rsid w:val="00471934"/>
    <w:rsid w:val="00471BD0"/>
    <w:rsid w:val="00471E58"/>
    <w:rsid w:val="00471F22"/>
    <w:rsid w:val="00472800"/>
    <w:rsid w:val="00473133"/>
    <w:rsid w:val="00473CB8"/>
    <w:rsid w:val="00474190"/>
    <w:rsid w:val="00474C19"/>
    <w:rsid w:val="00474F6A"/>
    <w:rsid w:val="00475AF3"/>
    <w:rsid w:val="004769A9"/>
    <w:rsid w:val="00477347"/>
    <w:rsid w:val="0047740A"/>
    <w:rsid w:val="00477F18"/>
    <w:rsid w:val="004803CB"/>
    <w:rsid w:val="004809C2"/>
    <w:rsid w:val="00481237"/>
    <w:rsid w:val="004822E3"/>
    <w:rsid w:val="00482B2B"/>
    <w:rsid w:val="00482DFF"/>
    <w:rsid w:val="00483585"/>
    <w:rsid w:val="0048378C"/>
    <w:rsid w:val="00483AA4"/>
    <w:rsid w:val="0048487D"/>
    <w:rsid w:val="00485443"/>
    <w:rsid w:val="00486E77"/>
    <w:rsid w:val="0048779C"/>
    <w:rsid w:val="00487CFE"/>
    <w:rsid w:val="004904F6"/>
    <w:rsid w:val="00490C96"/>
    <w:rsid w:val="00491137"/>
    <w:rsid w:val="004924E5"/>
    <w:rsid w:val="0049320A"/>
    <w:rsid w:val="00493873"/>
    <w:rsid w:val="00493F47"/>
    <w:rsid w:val="004955D4"/>
    <w:rsid w:val="004958DE"/>
    <w:rsid w:val="00495AFA"/>
    <w:rsid w:val="00495EAE"/>
    <w:rsid w:val="004963A8"/>
    <w:rsid w:val="00496DE6"/>
    <w:rsid w:val="00496F03"/>
    <w:rsid w:val="00497F9B"/>
    <w:rsid w:val="004A00BC"/>
    <w:rsid w:val="004A02B4"/>
    <w:rsid w:val="004A02F4"/>
    <w:rsid w:val="004A0699"/>
    <w:rsid w:val="004A0A9E"/>
    <w:rsid w:val="004A0CAE"/>
    <w:rsid w:val="004A0DF1"/>
    <w:rsid w:val="004A123D"/>
    <w:rsid w:val="004A1773"/>
    <w:rsid w:val="004A1C29"/>
    <w:rsid w:val="004A1DCB"/>
    <w:rsid w:val="004A1E3F"/>
    <w:rsid w:val="004A2017"/>
    <w:rsid w:val="004A224B"/>
    <w:rsid w:val="004A2254"/>
    <w:rsid w:val="004A251F"/>
    <w:rsid w:val="004A3656"/>
    <w:rsid w:val="004A3ADC"/>
    <w:rsid w:val="004A4508"/>
    <w:rsid w:val="004A4B2A"/>
    <w:rsid w:val="004A5802"/>
    <w:rsid w:val="004A59CA"/>
    <w:rsid w:val="004A5B2E"/>
    <w:rsid w:val="004A5BE7"/>
    <w:rsid w:val="004A65FF"/>
    <w:rsid w:val="004A6B25"/>
    <w:rsid w:val="004A6E3F"/>
    <w:rsid w:val="004A7681"/>
    <w:rsid w:val="004A7C58"/>
    <w:rsid w:val="004B0359"/>
    <w:rsid w:val="004B0B8F"/>
    <w:rsid w:val="004B13DB"/>
    <w:rsid w:val="004B1544"/>
    <w:rsid w:val="004B224D"/>
    <w:rsid w:val="004B2D5D"/>
    <w:rsid w:val="004B2D90"/>
    <w:rsid w:val="004B30D8"/>
    <w:rsid w:val="004B3264"/>
    <w:rsid w:val="004B3C4B"/>
    <w:rsid w:val="004B442D"/>
    <w:rsid w:val="004B5154"/>
    <w:rsid w:val="004B53DC"/>
    <w:rsid w:val="004B63A3"/>
    <w:rsid w:val="004B6F1B"/>
    <w:rsid w:val="004B7308"/>
    <w:rsid w:val="004B758D"/>
    <w:rsid w:val="004B7C7A"/>
    <w:rsid w:val="004C063F"/>
    <w:rsid w:val="004C0B89"/>
    <w:rsid w:val="004C15B2"/>
    <w:rsid w:val="004C15BB"/>
    <w:rsid w:val="004C1F7B"/>
    <w:rsid w:val="004C272D"/>
    <w:rsid w:val="004C281C"/>
    <w:rsid w:val="004C33DF"/>
    <w:rsid w:val="004C416C"/>
    <w:rsid w:val="004C449C"/>
    <w:rsid w:val="004C48A0"/>
    <w:rsid w:val="004C4B24"/>
    <w:rsid w:val="004C4EF4"/>
    <w:rsid w:val="004C506D"/>
    <w:rsid w:val="004C6508"/>
    <w:rsid w:val="004C6584"/>
    <w:rsid w:val="004C6716"/>
    <w:rsid w:val="004C6947"/>
    <w:rsid w:val="004C6D15"/>
    <w:rsid w:val="004C7A34"/>
    <w:rsid w:val="004C7C3E"/>
    <w:rsid w:val="004C7CA9"/>
    <w:rsid w:val="004D0599"/>
    <w:rsid w:val="004D15B4"/>
    <w:rsid w:val="004D19A6"/>
    <w:rsid w:val="004D2175"/>
    <w:rsid w:val="004D27CE"/>
    <w:rsid w:val="004D2DEE"/>
    <w:rsid w:val="004D3B14"/>
    <w:rsid w:val="004D45F6"/>
    <w:rsid w:val="004D4D82"/>
    <w:rsid w:val="004D4E86"/>
    <w:rsid w:val="004D57F6"/>
    <w:rsid w:val="004D5CF7"/>
    <w:rsid w:val="004D604E"/>
    <w:rsid w:val="004D6795"/>
    <w:rsid w:val="004D7A31"/>
    <w:rsid w:val="004D7E0D"/>
    <w:rsid w:val="004E14A2"/>
    <w:rsid w:val="004E1F27"/>
    <w:rsid w:val="004E2631"/>
    <w:rsid w:val="004E263D"/>
    <w:rsid w:val="004E2B16"/>
    <w:rsid w:val="004E2FF7"/>
    <w:rsid w:val="004E3020"/>
    <w:rsid w:val="004E3294"/>
    <w:rsid w:val="004E34F7"/>
    <w:rsid w:val="004E3AA3"/>
    <w:rsid w:val="004E3AD7"/>
    <w:rsid w:val="004E3D73"/>
    <w:rsid w:val="004E42A5"/>
    <w:rsid w:val="004E457D"/>
    <w:rsid w:val="004E5235"/>
    <w:rsid w:val="004E5612"/>
    <w:rsid w:val="004E6825"/>
    <w:rsid w:val="004E6870"/>
    <w:rsid w:val="004E73CE"/>
    <w:rsid w:val="004E76B1"/>
    <w:rsid w:val="004E7ADE"/>
    <w:rsid w:val="004E7E2D"/>
    <w:rsid w:val="004F03B5"/>
    <w:rsid w:val="004F0753"/>
    <w:rsid w:val="004F0961"/>
    <w:rsid w:val="004F0A85"/>
    <w:rsid w:val="004F0E00"/>
    <w:rsid w:val="004F143B"/>
    <w:rsid w:val="004F1FEE"/>
    <w:rsid w:val="004F307F"/>
    <w:rsid w:val="004F31F4"/>
    <w:rsid w:val="004F36FB"/>
    <w:rsid w:val="004F379E"/>
    <w:rsid w:val="004F37A9"/>
    <w:rsid w:val="004F3D28"/>
    <w:rsid w:val="004F3E06"/>
    <w:rsid w:val="004F3E5D"/>
    <w:rsid w:val="004F410D"/>
    <w:rsid w:val="004F498F"/>
    <w:rsid w:val="004F4C58"/>
    <w:rsid w:val="004F4DE8"/>
    <w:rsid w:val="004F4E99"/>
    <w:rsid w:val="004F4FF5"/>
    <w:rsid w:val="004F551A"/>
    <w:rsid w:val="004F567F"/>
    <w:rsid w:val="004F5ADF"/>
    <w:rsid w:val="004F5FD4"/>
    <w:rsid w:val="004F6483"/>
    <w:rsid w:val="004F6C48"/>
    <w:rsid w:val="004F7139"/>
    <w:rsid w:val="004F71C7"/>
    <w:rsid w:val="004F72F7"/>
    <w:rsid w:val="004F7696"/>
    <w:rsid w:val="005002F6"/>
    <w:rsid w:val="005004CD"/>
    <w:rsid w:val="00500935"/>
    <w:rsid w:val="00500F1D"/>
    <w:rsid w:val="00501448"/>
    <w:rsid w:val="00502265"/>
    <w:rsid w:val="00502818"/>
    <w:rsid w:val="005053D8"/>
    <w:rsid w:val="00505695"/>
    <w:rsid w:val="0050577B"/>
    <w:rsid w:val="00505BA0"/>
    <w:rsid w:val="00505BB3"/>
    <w:rsid w:val="00505D3B"/>
    <w:rsid w:val="005063ED"/>
    <w:rsid w:val="005064E5"/>
    <w:rsid w:val="005064EB"/>
    <w:rsid w:val="00506AEE"/>
    <w:rsid w:val="00506B78"/>
    <w:rsid w:val="00506CC7"/>
    <w:rsid w:val="00506CE5"/>
    <w:rsid w:val="00506D22"/>
    <w:rsid w:val="005073F8"/>
    <w:rsid w:val="0050798D"/>
    <w:rsid w:val="00510717"/>
    <w:rsid w:val="0051080C"/>
    <w:rsid w:val="00510A78"/>
    <w:rsid w:val="00510BAF"/>
    <w:rsid w:val="00510D7B"/>
    <w:rsid w:val="00510EAF"/>
    <w:rsid w:val="00511057"/>
    <w:rsid w:val="00511197"/>
    <w:rsid w:val="00511520"/>
    <w:rsid w:val="0051176B"/>
    <w:rsid w:val="00511798"/>
    <w:rsid w:val="00511BDF"/>
    <w:rsid w:val="00511D6A"/>
    <w:rsid w:val="00511E13"/>
    <w:rsid w:val="0051287D"/>
    <w:rsid w:val="00512EE8"/>
    <w:rsid w:val="00513E0C"/>
    <w:rsid w:val="00513EE1"/>
    <w:rsid w:val="0051412C"/>
    <w:rsid w:val="0051453C"/>
    <w:rsid w:val="00514690"/>
    <w:rsid w:val="0051475A"/>
    <w:rsid w:val="00514832"/>
    <w:rsid w:val="00514E0F"/>
    <w:rsid w:val="00514EB8"/>
    <w:rsid w:val="0051577B"/>
    <w:rsid w:val="00515BB6"/>
    <w:rsid w:val="00516031"/>
    <w:rsid w:val="005167BF"/>
    <w:rsid w:val="00517443"/>
    <w:rsid w:val="00517602"/>
    <w:rsid w:val="00517F25"/>
    <w:rsid w:val="0052021B"/>
    <w:rsid w:val="00520725"/>
    <w:rsid w:val="005207EF"/>
    <w:rsid w:val="00520F7B"/>
    <w:rsid w:val="0052106C"/>
    <w:rsid w:val="00521C24"/>
    <w:rsid w:val="005224F0"/>
    <w:rsid w:val="00522931"/>
    <w:rsid w:val="00522E2E"/>
    <w:rsid w:val="00523549"/>
    <w:rsid w:val="005249D4"/>
    <w:rsid w:val="00525131"/>
    <w:rsid w:val="005255C7"/>
    <w:rsid w:val="00525790"/>
    <w:rsid w:val="00525C09"/>
    <w:rsid w:val="00525E73"/>
    <w:rsid w:val="00526111"/>
    <w:rsid w:val="00526455"/>
    <w:rsid w:val="00526748"/>
    <w:rsid w:val="00526C1A"/>
    <w:rsid w:val="00526DB3"/>
    <w:rsid w:val="005273C1"/>
    <w:rsid w:val="00527569"/>
    <w:rsid w:val="0052799D"/>
    <w:rsid w:val="005279FE"/>
    <w:rsid w:val="00531B6B"/>
    <w:rsid w:val="005325A8"/>
    <w:rsid w:val="005327E5"/>
    <w:rsid w:val="00533BF6"/>
    <w:rsid w:val="00533C69"/>
    <w:rsid w:val="00533FA3"/>
    <w:rsid w:val="0053466F"/>
    <w:rsid w:val="00534B4E"/>
    <w:rsid w:val="0053545F"/>
    <w:rsid w:val="0053559C"/>
    <w:rsid w:val="005356B6"/>
    <w:rsid w:val="00535A74"/>
    <w:rsid w:val="00535ACB"/>
    <w:rsid w:val="005360C9"/>
    <w:rsid w:val="00536A7D"/>
    <w:rsid w:val="00536A9F"/>
    <w:rsid w:val="00537212"/>
    <w:rsid w:val="00537430"/>
    <w:rsid w:val="005377E4"/>
    <w:rsid w:val="00537DE2"/>
    <w:rsid w:val="0054073F"/>
    <w:rsid w:val="00540832"/>
    <w:rsid w:val="00540CC2"/>
    <w:rsid w:val="00540DC0"/>
    <w:rsid w:val="005410CF"/>
    <w:rsid w:val="005422EF"/>
    <w:rsid w:val="00542A3E"/>
    <w:rsid w:val="00543022"/>
    <w:rsid w:val="005437F0"/>
    <w:rsid w:val="00543B39"/>
    <w:rsid w:val="00543F8B"/>
    <w:rsid w:val="00544CB7"/>
    <w:rsid w:val="00544F99"/>
    <w:rsid w:val="00545900"/>
    <w:rsid w:val="00545AC2"/>
    <w:rsid w:val="00545CAE"/>
    <w:rsid w:val="00545CD3"/>
    <w:rsid w:val="00546842"/>
    <w:rsid w:val="00546B80"/>
    <w:rsid w:val="0054712D"/>
    <w:rsid w:val="005501F6"/>
    <w:rsid w:val="00550924"/>
    <w:rsid w:val="00550B40"/>
    <w:rsid w:val="005513DD"/>
    <w:rsid w:val="0055144E"/>
    <w:rsid w:val="00551C2E"/>
    <w:rsid w:val="00551D59"/>
    <w:rsid w:val="00551EFC"/>
    <w:rsid w:val="00552351"/>
    <w:rsid w:val="00552758"/>
    <w:rsid w:val="00552BEB"/>
    <w:rsid w:val="00552CBF"/>
    <w:rsid w:val="00553041"/>
    <w:rsid w:val="00553089"/>
    <w:rsid w:val="00553FC9"/>
    <w:rsid w:val="00554ABB"/>
    <w:rsid w:val="00555456"/>
    <w:rsid w:val="00555603"/>
    <w:rsid w:val="005556B6"/>
    <w:rsid w:val="00555A34"/>
    <w:rsid w:val="00556744"/>
    <w:rsid w:val="00557373"/>
    <w:rsid w:val="00557696"/>
    <w:rsid w:val="005577EB"/>
    <w:rsid w:val="00557957"/>
    <w:rsid w:val="00557EA8"/>
    <w:rsid w:val="0056013A"/>
    <w:rsid w:val="00560992"/>
    <w:rsid w:val="00560D75"/>
    <w:rsid w:val="00560F7E"/>
    <w:rsid w:val="00561440"/>
    <w:rsid w:val="005614C2"/>
    <w:rsid w:val="00561AF0"/>
    <w:rsid w:val="00561FC6"/>
    <w:rsid w:val="00562199"/>
    <w:rsid w:val="005621BA"/>
    <w:rsid w:val="0056239F"/>
    <w:rsid w:val="00562415"/>
    <w:rsid w:val="005627D0"/>
    <w:rsid w:val="00562A19"/>
    <w:rsid w:val="00562E8A"/>
    <w:rsid w:val="00562FBE"/>
    <w:rsid w:val="0056374B"/>
    <w:rsid w:val="00563B7A"/>
    <w:rsid w:val="00563BD3"/>
    <w:rsid w:val="00563ECF"/>
    <w:rsid w:val="0056464D"/>
    <w:rsid w:val="00564A0F"/>
    <w:rsid w:val="0056529B"/>
    <w:rsid w:val="005654C7"/>
    <w:rsid w:val="00565515"/>
    <w:rsid w:val="00565562"/>
    <w:rsid w:val="00565D08"/>
    <w:rsid w:val="00566063"/>
    <w:rsid w:val="00566744"/>
    <w:rsid w:val="00566AA0"/>
    <w:rsid w:val="005679F7"/>
    <w:rsid w:val="00567B98"/>
    <w:rsid w:val="0057092F"/>
    <w:rsid w:val="0057127E"/>
    <w:rsid w:val="00571589"/>
    <w:rsid w:val="0057168F"/>
    <w:rsid w:val="00572589"/>
    <w:rsid w:val="00572B9D"/>
    <w:rsid w:val="00572BCE"/>
    <w:rsid w:val="005733BB"/>
    <w:rsid w:val="00573562"/>
    <w:rsid w:val="005739FB"/>
    <w:rsid w:val="00574B59"/>
    <w:rsid w:val="005754FF"/>
    <w:rsid w:val="00575555"/>
    <w:rsid w:val="0057567B"/>
    <w:rsid w:val="00575C73"/>
    <w:rsid w:val="00575D58"/>
    <w:rsid w:val="00575D83"/>
    <w:rsid w:val="00576300"/>
    <w:rsid w:val="005767F3"/>
    <w:rsid w:val="0057690E"/>
    <w:rsid w:val="00576DBD"/>
    <w:rsid w:val="005778C5"/>
    <w:rsid w:val="005779D8"/>
    <w:rsid w:val="00577B47"/>
    <w:rsid w:val="00577DCF"/>
    <w:rsid w:val="00577ECC"/>
    <w:rsid w:val="005807BF"/>
    <w:rsid w:val="005812C5"/>
    <w:rsid w:val="00581CD5"/>
    <w:rsid w:val="005821DB"/>
    <w:rsid w:val="00582272"/>
    <w:rsid w:val="00582705"/>
    <w:rsid w:val="00582F20"/>
    <w:rsid w:val="00582FE0"/>
    <w:rsid w:val="00583F23"/>
    <w:rsid w:val="005840D7"/>
    <w:rsid w:val="0058436B"/>
    <w:rsid w:val="00584512"/>
    <w:rsid w:val="00584524"/>
    <w:rsid w:val="00584637"/>
    <w:rsid w:val="0058481A"/>
    <w:rsid w:val="00585333"/>
    <w:rsid w:val="00585527"/>
    <w:rsid w:val="0058642D"/>
    <w:rsid w:val="00586DAE"/>
    <w:rsid w:val="0058738B"/>
    <w:rsid w:val="0058758A"/>
    <w:rsid w:val="00590938"/>
    <w:rsid w:val="00590D2B"/>
    <w:rsid w:val="00590E51"/>
    <w:rsid w:val="005921F1"/>
    <w:rsid w:val="005922ED"/>
    <w:rsid w:val="0059361D"/>
    <w:rsid w:val="00593FEF"/>
    <w:rsid w:val="005944F2"/>
    <w:rsid w:val="00594A72"/>
    <w:rsid w:val="00594F73"/>
    <w:rsid w:val="005950F0"/>
    <w:rsid w:val="00595275"/>
    <w:rsid w:val="00595292"/>
    <w:rsid w:val="0059572E"/>
    <w:rsid w:val="00596012"/>
    <w:rsid w:val="005971AD"/>
    <w:rsid w:val="0059730C"/>
    <w:rsid w:val="00597EBE"/>
    <w:rsid w:val="00597FDB"/>
    <w:rsid w:val="005A0023"/>
    <w:rsid w:val="005A0803"/>
    <w:rsid w:val="005A10DB"/>
    <w:rsid w:val="005A1174"/>
    <w:rsid w:val="005A1635"/>
    <w:rsid w:val="005A1853"/>
    <w:rsid w:val="005A1A6C"/>
    <w:rsid w:val="005A2B12"/>
    <w:rsid w:val="005A4C14"/>
    <w:rsid w:val="005A4F8A"/>
    <w:rsid w:val="005A5301"/>
    <w:rsid w:val="005A53FD"/>
    <w:rsid w:val="005A5988"/>
    <w:rsid w:val="005A5EA9"/>
    <w:rsid w:val="005A6329"/>
    <w:rsid w:val="005A644B"/>
    <w:rsid w:val="005A6609"/>
    <w:rsid w:val="005A66D2"/>
    <w:rsid w:val="005A702F"/>
    <w:rsid w:val="005A721C"/>
    <w:rsid w:val="005A753D"/>
    <w:rsid w:val="005B09FF"/>
    <w:rsid w:val="005B0B84"/>
    <w:rsid w:val="005B0BBC"/>
    <w:rsid w:val="005B0EF6"/>
    <w:rsid w:val="005B1679"/>
    <w:rsid w:val="005B175A"/>
    <w:rsid w:val="005B1875"/>
    <w:rsid w:val="005B18F6"/>
    <w:rsid w:val="005B1A82"/>
    <w:rsid w:val="005B1B73"/>
    <w:rsid w:val="005B237E"/>
    <w:rsid w:val="005B2D00"/>
    <w:rsid w:val="005B31D3"/>
    <w:rsid w:val="005B3420"/>
    <w:rsid w:val="005B553B"/>
    <w:rsid w:val="005B6634"/>
    <w:rsid w:val="005B6EBE"/>
    <w:rsid w:val="005B733E"/>
    <w:rsid w:val="005B7345"/>
    <w:rsid w:val="005B76E2"/>
    <w:rsid w:val="005B7AF8"/>
    <w:rsid w:val="005B7D8B"/>
    <w:rsid w:val="005C0053"/>
    <w:rsid w:val="005C0242"/>
    <w:rsid w:val="005C04F3"/>
    <w:rsid w:val="005C065F"/>
    <w:rsid w:val="005C1C3A"/>
    <w:rsid w:val="005C1C6B"/>
    <w:rsid w:val="005C202B"/>
    <w:rsid w:val="005C22F5"/>
    <w:rsid w:val="005C368A"/>
    <w:rsid w:val="005C387B"/>
    <w:rsid w:val="005C3FA1"/>
    <w:rsid w:val="005C4ED0"/>
    <w:rsid w:val="005C565C"/>
    <w:rsid w:val="005C5BC9"/>
    <w:rsid w:val="005C64F7"/>
    <w:rsid w:val="005C6902"/>
    <w:rsid w:val="005C71EF"/>
    <w:rsid w:val="005C7BB5"/>
    <w:rsid w:val="005C7CAB"/>
    <w:rsid w:val="005C7EAB"/>
    <w:rsid w:val="005D041A"/>
    <w:rsid w:val="005D0D0A"/>
    <w:rsid w:val="005D121D"/>
    <w:rsid w:val="005D1847"/>
    <w:rsid w:val="005D1909"/>
    <w:rsid w:val="005D2035"/>
    <w:rsid w:val="005D22CD"/>
    <w:rsid w:val="005D2535"/>
    <w:rsid w:val="005D2658"/>
    <w:rsid w:val="005D3849"/>
    <w:rsid w:val="005D3A94"/>
    <w:rsid w:val="005D495C"/>
    <w:rsid w:val="005D51D7"/>
    <w:rsid w:val="005D5BA5"/>
    <w:rsid w:val="005D5BC0"/>
    <w:rsid w:val="005D6257"/>
    <w:rsid w:val="005D62C5"/>
    <w:rsid w:val="005D6602"/>
    <w:rsid w:val="005D677D"/>
    <w:rsid w:val="005D69CC"/>
    <w:rsid w:val="005D6CBF"/>
    <w:rsid w:val="005D71F2"/>
    <w:rsid w:val="005D7301"/>
    <w:rsid w:val="005D791A"/>
    <w:rsid w:val="005D7963"/>
    <w:rsid w:val="005E11AE"/>
    <w:rsid w:val="005E1693"/>
    <w:rsid w:val="005E20E0"/>
    <w:rsid w:val="005E2209"/>
    <w:rsid w:val="005E25AA"/>
    <w:rsid w:val="005E29B5"/>
    <w:rsid w:val="005E2C9F"/>
    <w:rsid w:val="005E2DED"/>
    <w:rsid w:val="005E32AA"/>
    <w:rsid w:val="005E35E5"/>
    <w:rsid w:val="005E388C"/>
    <w:rsid w:val="005E4260"/>
    <w:rsid w:val="005E4AF1"/>
    <w:rsid w:val="005E5457"/>
    <w:rsid w:val="005E548F"/>
    <w:rsid w:val="005E5661"/>
    <w:rsid w:val="005E579A"/>
    <w:rsid w:val="005E57C9"/>
    <w:rsid w:val="005E61D0"/>
    <w:rsid w:val="005E62B0"/>
    <w:rsid w:val="005E69E1"/>
    <w:rsid w:val="005E69EB"/>
    <w:rsid w:val="005F0A72"/>
    <w:rsid w:val="005F13A9"/>
    <w:rsid w:val="005F1423"/>
    <w:rsid w:val="005F1BC2"/>
    <w:rsid w:val="005F1C0A"/>
    <w:rsid w:val="005F20EA"/>
    <w:rsid w:val="005F22F8"/>
    <w:rsid w:val="005F25A0"/>
    <w:rsid w:val="005F3701"/>
    <w:rsid w:val="005F3D19"/>
    <w:rsid w:val="005F3EFA"/>
    <w:rsid w:val="005F3FE4"/>
    <w:rsid w:val="005F4133"/>
    <w:rsid w:val="005F4475"/>
    <w:rsid w:val="005F4A45"/>
    <w:rsid w:val="005F5298"/>
    <w:rsid w:val="005F616B"/>
    <w:rsid w:val="005F617B"/>
    <w:rsid w:val="005F6237"/>
    <w:rsid w:val="005F7760"/>
    <w:rsid w:val="0060064E"/>
    <w:rsid w:val="0060146E"/>
    <w:rsid w:val="006014C9"/>
    <w:rsid w:val="00601B87"/>
    <w:rsid w:val="006023AC"/>
    <w:rsid w:val="00602546"/>
    <w:rsid w:val="006029F9"/>
    <w:rsid w:val="00602D2F"/>
    <w:rsid w:val="00603A22"/>
    <w:rsid w:val="00603DFA"/>
    <w:rsid w:val="006040F8"/>
    <w:rsid w:val="0060440B"/>
    <w:rsid w:val="00605037"/>
    <w:rsid w:val="0060535B"/>
    <w:rsid w:val="0060556C"/>
    <w:rsid w:val="006059D7"/>
    <w:rsid w:val="00605BA4"/>
    <w:rsid w:val="00605F2A"/>
    <w:rsid w:val="006069A1"/>
    <w:rsid w:val="00607440"/>
    <w:rsid w:val="0061028A"/>
    <w:rsid w:val="00610929"/>
    <w:rsid w:val="00610FD3"/>
    <w:rsid w:val="00610FEC"/>
    <w:rsid w:val="00611556"/>
    <w:rsid w:val="00611CD8"/>
    <w:rsid w:val="00612A2E"/>
    <w:rsid w:val="006132F5"/>
    <w:rsid w:val="00613316"/>
    <w:rsid w:val="0061346D"/>
    <w:rsid w:val="00613473"/>
    <w:rsid w:val="00613C59"/>
    <w:rsid w:val="006155A5"/>
    <w:rsid w:val="00615F36"/>
    <w:rsid w:val="00616025"/>
    <w:rsid w:val="00616C7A"/>
    <w:rsid w:val="00616FA8"/>
    <w:rsid w:val="006170A8"/>
    <w:rsid w:val="006179C0"/>
    <w:rsid w:val="00617E09"/>
    <w:rsid w:val="00620120"/>
    <w:rsid w:val="0062067D"/>
    <w:rsid w:val="0062079F"/>
    <w:rsid w:val="00620C13"/>
    <w:rsid w:val="00620DE8"/>
    <w:rsid w:val="00622818"/>
    <w:rsid w:val="006236F9"/>
    <w:rsid w:val="00624043"/>
    <w:rsid w:val="00624957"/>
    <w:rsid w:val="00624BDD"/>
    <w:rsid w:val="0062515D"/>
    <w:rsid w:val="0062532E"/>
    <w:rsid w:val="00625514"/>
    <w:rsid w:val="00625BC9"/>
    <w:rsid w:val="0062692B"/>
    <w:rsid w:val="006270DD"/>
    <w:rsid w:val="00627153"/>
    <w:rsid w:val="00627998"/>
    <w:rsid w:val="006305C5"/>
    <w:rsid w:val="006318D1"/>
    <w:rsid w:val="00631FAA"/>
    <w:rsid w:val="0063266A"/>
    <w:rsid w:val="00632E54"/>
    <w:rsid w:val="00632E8F"/>
    <w:rsid w:val="006330A4"/>
    <w:rsid w:val="00633135"/>
    <w:rsid w:val="00633D76"/>
    <w:rsid w:val="00633EED"/>
    <w:rsid w:val="00634416"/>
    <w:rsid w:val="00634D18"/>
    <w:rsid w:val="006351A1"/>
    <w:rsid w:val="00635F7B"/>
    <w:rsid w:val="006362CF"/>
    <w:rsid w:val="006367FD"/>
    <w:rsid w:val="00636892"/>
    <w:rsid w:val="0063715C"/>
    <w:rsid w:val="00637184"/>
    <w:rsid w:val="00637200"/>
    <w:rsid w:val="00637376"/>
    <w:rsid w:val="00637449"/>
    <w:rsid w:val="006378BA"/>
    <w:rsid w:val="006379EA"/>
    <w:rsid w:val="006379F0"/>
    <w:rsid w:val="00637E77"/>
    <w:rsid w:val="00637EA3"/>
    <w:rsid w:val="0064041B"/>
    <w:rsid w:val="006409F0"/>
    <w:rsid w:val="00640D51"/>
    <w:rsid w:val="00640F5E"/>
    <w:rsid w:val="0064101D"/>
    <w:rsid w:val="006413EB"/>
    <w:rsid w:val="006417A8"/>
    <w:rsid w:val="00641F8A"/>
    <w:rsid w:val="006420A9"/>
    <w:rsid w:val="006421EF"/>
    <w:rsid w:val="00642657"/>
    <w:rsid w:val="00643701"/>
    <w:rsid w:val="00644082"/>
    <w:rsid w:val="00644621"/>
    <w:rsid w:val="006456E6"/>
    <w:rsid w:val="006457B3"/>
    <w:rsid w:val="006459AE"/>
    <w:rsid w:val="00645FC4"/>
    <w:rsid w:val="0064686A"/>
    <w:rsid w:val="006468BD"/>
    <w:rsid w:val="00646953"/>
    <w:rsid w:val="00646E1A"/>
    <w:rsid w:val="006476D1"/>
    <w:rsid w:val="006478CA"/>
    <w:rsid w:val="00647F11"/>
    <w:rsid w:val="006500D1"/>
    <w:rsid w:val="00650AAD"/>
    <w:rsid w:val="00651734"/>
    <w:rsid w:val="0065243B"/>
    <w:rsid w:val="006525E5"/>
    <w:rsid w:val="006537C9"/>
    <w:rsid w:val="0065423A"/>
    <w:rsid w:val="00654F37"/>
    <w:rsid w:val="00655BEB"/>
    <w:rsid w:val="00655CCB"/>
    <w:rsid w:val="00656CA5"/>
    <w:rsid w:val="00656E79"/>
    <w:rsid w:val="006573A6"/>
    <w:rsid w:val="0065744F"/>
    <w:rsid w:val="00657CC6"/>
    <w:rsid w:val="00660001"/>
    <w:rsid w:val="00660799"/>
    <w:rsid w:val="00661410"/>
    <w:rsid w:val="00661A7B"/>
    <w:rsid w:val="00661E7F"/>
    <w:rsid w:val="006621EF"/>
    <w:rsid w:val="0066298B"/>
    <w:rsid w:val="00662A69"/>
    <w:rsid w:val="0066317E"/>
    <w:rsid w:val="0066337E"/>
    <w:rsid w:val="00663887"/>
    <w:rsid w:val="006639F6"/>
    <w:rsid w:val="00663B67"/>
    <w:rsid w:val="0066525C"/>
    <w:rsid w:val="006653DB"/>
    <w:rsid w:val="00666352"/>
    <w:rsid w:val="006669C9"/>
    <w:rsid w:val="006669F3"/>
    <w:rsid w:val="00666C69"/>
    <w:rsid w:val="00667569"/>
    <w:rsid w:val="00667BFE"/>
    <w:rsid w:val="00667D35"/>
    <w:rsid w:val="0067111B"/>
    <w:rsid w:val="006714B3"/>
    <w:rsid w:val="00671CFC"/>
    <w:rsid w:val="0067298D"/>
    <w:rsid w:val="006737C0"/>
    <w:rsid w:val="006739F9"/>
    <w:rsid w:val="00673E8C"/>
    <w:rsid w:val="00674264"/>
    <w:rsid w:val="00674649"/>
    <w:rsid w:val="006747BB"/>
    <w:rsid w:val="00675F97"/>
    <w:rsid w:val="00676245"/>
    <w:rsid w:val="00676CAC"/>
    <w:rsid w:val="00676FB7"/>
    <w:rsid w:val="00677F2F"/>
    <w:rsid w:val="00677FC7"/>
    <w:rsid w:val="00680074"/>
    <w:rsid w:val="0068063F"/>
    <w:rsid w:val="006809CE"/>
    <w:rsid w:val="0068100F"/>
    <w:rsid w:val="006810AF"/>
    <w:rsid w:val="006810DA"/>
    <w:rsid w:val="00681131"/>
    <w:rsid w:val="0068197F"/>
    <w:rsid w:val="0068235E"/>
    <w:rsid w:val="00682B19"/>
    <w:rsid w:val="00682D7A"/>
    <w:rsid w:val="00682DF9"/>
    <w:rsid w:val="00682FF6"/>
    <w:rsid w:val="0068302B"/>
    <w:rsid w:val="0068385E"/>
    <w:rsid w:val="00683950"/>
    <w:rsid w:val="006839ED"/>
    <w:rsid w:val="00683F2C"/>
    <w:rsid w:val="006840A1"/>
    <w:rsid w:val="00684618"/>
    <w:rsid w:val="00684F89"/>
    <w:rsid w:val="00685208"/>
    <w:rsid w:val="0068600A"/>
    <w:rsid w:val="006863A5"/>
    <w:rsid w:val="0069019C"/>
    <w:rsid w:val="006904C9"/>
    <w:rsid w:val="0069084D"/>
    <w:rsid w:val="00690A20"/>
    <w:rsid w:val="00690BFC"/>
    <w:rsid w:val="00690C35"/>
    <w:rsid w:val="00690E52"/>
    <w:rsid w:val="00690F76"/>
    <w:rsid w:val="00691338"/>
    <w:rsid w:val="006913C4"/>
    <w:rsid w:val="00691A37"/>
    <w:rsid w:val="00691B01"/>
    <w:rsid w:val="00692257"/>
    <w:rsid w:val="006931C2"/>
    <w:rsid w:val="006932F1"/>
    <w:rsid w:val="006933EC"/>
    <w:rsid w:val="00693B7E"/>
    <w:rsid w:val="006946AC"/>
    <w:rsid w:val="0069475F"/>
    <w:rsid w:val="00694812"/>
    <w:rsid w:val="006953F1"/>
    <w:rsid w:val="0069551F"/>
    <w:rsid w:val="0069562A"/>
    <w:rsid w:val="00695E2B"/>
    <w:rsid w:val="00695F53"/>
    <w:rsid w:val="00696539"/>
    <w:rsid w:val="00696DB5"/>
    <w:rsid w:val="006971F4"/>
    <w:rsid w:val="006973AA"/>
    <w:rsid w:val="006973F2"/>
    <w:rsid w:val="006975F8"/>
    <w:rsid w:val="00697D10"/>
    <w:rsid w:val="00697D24"/>
    <w:rsid w:val="00697EC7"/>
    <w:rsid w:val="006A10DD"/>
    <w:rsid w:val="006A22AD"/>
    <w:rsid w:val="006A2555"/>
    <w:rsid w:val="006A270E"/>
    <w:rsid w:val="006A2BEB"/>
    <w:rsid w:val="006A2C3B"/>
    <w:rsid w:val="006A2CA1"/>
    <w:rsid w:val="006A2F0B"/>
    <w:rsid w:val="006A3530"/>
    <w:rsid w:val="006A3B6E"/>
    <w:rsid w:val="006A3DF7"/>
    <w:rsid w:val="006A4614"/>
    <w:rsid w:val="006A4EF3"/>
    <w:rsid w:val="006A4F03"/>
    <w:rsid w:val="006A5292"/>
    <w:rsid w:val="006A5B6F"/>
    <w:rsid w:val="006A5E67"/>
    <w:rsid w:val="006A6DD4"/>
    <w:rsid w:val="006A6F6A"/>
    <w:rsid w:val="006A724B"/>
    <w:rsid w:val="006B0B34"/>
    <w:rsid w:val="006B0E01"/>
    <w:rsid w:val="006B11DB"/>
    <w:rsid w:val="006B14FD"/>
    <w:rsid w:val="006B1793"/>
    <w:rsid w:val="006B1B59"/>
    <w:rsid w:val="006B21E5"/>
    <w:rsid w:val="006B356B"/>
    <w:rsid w:val="006B45DF"/>
    <w:rsid w:val="006B47B2"/>
    <w:rsid w:val="006B494A"/>
    <w:rsid w:val="006B49C5"/>
    <w:rsid w:val="006B50F9"/>
    <w:rsid w:val="006B563F"/>
    <w:rsid w:val="006B5931"/>
    <w:rsid w:val="006B5CBE"/>
    <w:rsid w:val="006B60EC"/>
    <w:rsid w:val="006B65F4"/>
    <w:rsid w:val="006B6D9F"/>
    <w:rsid w:val="006B7227"/>
    <w:rsid w:val="006B76FF"/>
    <w:rsid w:val="006B7877"/>
    <w:rsid w:val="006B7A82"/>
    <w:rsid w:val="006B7D2E"/>
    <w:rsid w:val="006C0439"/>
    <w:rsid w:val="006C070B"/>
    <w:rsid w:val="006C07F6"/>
    <w:rsid w:val="006C0CC9"/>
    <w:rsid w:val="006C136D"/>
    <w:rsid w:val="006C1CAF"/>
    <w:rsid w:val="006C1E11"/>
    <w:rsid w:val="006C2388"/>
    <w:rsid w:val="006C36AB"/>
    <w:rsid w:val="006C37BD"/>
    <w:rsid w:val="006C3F96"/>
    <w:rsid w:val="006C4906"/>
    <w:rsid w:val="006C57F5"/>
    <w:rsid w:val="006C5E05"/>
    <w:rsid w:val="006C6C52"/>
    <w:rsid w:val="006C6E28"/>
    <w:rsid w:val="006C7048"/>
    <w:rsid w:val="006C7192"/>
    <w:rsid w:val="006C7242"/>
    <w:rsid w:val="006C74E2"/>
    <w:rsid w:val="006D011A"/>
    <w:rsid w:val="006D0588"/>
    <w:rsid w:val="006D1077"/>
    <w:rsid w:val="006D13C8"/>
    <w:rsid w:val="006D1B5E"/>
    <w:rsid w:val="006D1D83"/>
    <w:rsid w:val="006D223D"/>
    <w:rsid w:val="006D24CB"/>
    <w:rsid w:val="006D25B7"/>
    <w:rsid w:val="006D274E"/>
    <w:rsid w:val="006D27D8"/>
    <w:rsid w:val="006D27DF"/>
    <w:rsid w:val="006D3215"/>
    <w:rsid w:val="006D347A"/>
    <w:rsid w:val="006D34E3"/>
    <w:rsid w:val="006D37B7"/>
    <w:rsid w:val="006D3AFD"/>
    <w:rsid w:val="006D4462"/>
    <w:rsid w:val="006D49DC"/>
    <w:rsid w:val="006D510B"/>
    <w:rsid w:val="006D57D7"/>
    <w:rsid w:val="006D5B68"/>
    <w:rsid w:val="006D6AF2"/>
    <w:rsid w:val="006D70B3"/>
    <w:rsid w:val="006D73BF"/>
    <w:rsid w:val="006D7B4A"/>
    <w:rsid w:val="006D7F61"/>
    <w:rsid w:val="006E0362"/>
    <w:rsid w:val="006E0B4B"/>
    <w:rsid w:val="006E18D7"/>
    <w:rsid w:val="006E1C81"/>
    <w:rsid w:val="006E1E59"/>
    <w:rsid w:val="006E3236"/>
    <w:rsid w:val="006E34A4"/>
    <w:rsid w:val="006E3AFA"/>
    <w:rsid w:val="006E3F76"/>
    <w:rsid w:val="006E40C8"/>
    <w:rsid w:val="006E410B"/>
    <w:rsid w:val="006E46A8"/>
    <w:rsid w:val="006E4D3D"/>
    <w:rsid w:val="006E4F00"/>
    <w:rsid w:val="006E5194"/>
    <w:rsid w:val="006E56F6"/>
    <w:rsid w:val="006E597C"/>
    <w:rsid w:val="006E6225"/>
    <w:rsid w:val="006E63E3"/>
    <w:rsid w:val="006E649F"/>
    <w:rsid w:val="006E68D2"/>
    <w:rsid w:val="006E744E"/>
    <w:rsid w:val="006E79D6"/>
    <w:rsid w:val="006F04CC"/>
    <w:rsid w:val="006F07A9"/>
    <w:rsid w:val="006F0DC3"/>
    <w:rsid w:val="006F0EFA"/>
    <w:rsid w:val="006F1131"/>
    <w:rsid w:val="006F12CB"/>
    <w:rsid w:val="006F16C7"/>
    <w:rsid w:val="006F17C4"/>
    <w:rsid w:val="006F1AB7"/>
    <w:rsid w:val="006F1F77"/>
    <w:rsid w:val="006F23E0"/>
    <w:rsid w:val="006F3304"/>
    <w:rsid w:val="006F3C3D"/>
    <w:rsid w:val="006F3D14"/>
    <w:rsid w:val="006F3DD0"/>
    <w:rsid w:val="006F3FA4"/>
    <w:rsid w:val="006F4438"/>
    <w:rsid w:val="006F477A"/>
    <w:rsid w:val="006F4D10"/>
    <w:rsid w:val="006F4E48"/>
    <w:rsid w:val="006F5273"/>
    <w:rsid w:val="006F58AA"/>
    <w:rsid w:val="006F58DE"/>
    <w:rsid w:val="006F5ABB"/>
    <w:rsid w:val="006F61D9"/>
    <w:rsid w:val="006F657E"/>
    <w:rsid w:val="006F66DA"/>
    <w:rsid w:val="006F69DD"/>
    <w:rsid w:val="006F7426"/>
    <w:rsid w:val="006F774E"/>
    <w:rsid w:val="006F7E46"/>
    <w:rsid w:val="00700510"/>
    <w:rsid w:val="00700EE8"/>
    <w:rsid w:val="0070125B"/>
    <w:rsid w:val="00701D9C"/>
    <w:rsid w:val="00701E4A"/>
    <w:rsid w:val="00702021"/>
    <w:rsid w:val="00702F6F"/>
    <w:rsid w:val="00703E13"/>
    <w:rsid w:val="00703F5B"/>
    <w:rsid w:val="007040B9"/>
    <w:rsid w:val="0070501D"/>
    <w:rsid w:val="0070578C"/>
    <w:rsid w:val="00705B8D"/>
    <w:rsid w:val="007060D6"/>
    <w:rsid w:val="00706827"/>
    <w:rsid w:val="00706E21"/>
    <w:rsid w:val="0070736E"/>
    <w:rsid w:val="0070771F"/>
    <w:rsid w:val="007078E1"/>
    <w:rsid w:val="00707939"/>
    <w:rsid w:val="007104D2"/>
    <w:rsid w:val="0071147C"/>
    <w:rsid w:val="007119F1"/>
    <w:rsid w:val="00711BCD"/>
    <w:rsid w:val="00712065"/>
    <w:rsid w:val="007122BE"/>
    <w:rsid w:val="00713570"/>
    <w:rsid w:val="00713618"/>
    <w:rsid w:val="007138A4"/>
    <w:rsid w:val="00713DCD"/>
    <w:rsid w:val="0071420A"/>
    <w:rsid w:val="007145C5"/>
    <w:rsid w:val="00714D72"/>
    <w:rsid w:val="00716140"/>
    <w:rsid w:val="00716281"/>
    <w:rsid w:val="0071691D"/>
    <w:rsid w:val="0071694B"/>
    <w:rsid w:val="00716FFC"/>
    <w:rsid w:val="00717428"/>
    <w:rsid w:val="00717907"/>
    <w:rsid w:val="00717EC1"/>
    <w:rsid w:val="00720363"/>
    <w:rsid w:val="00720BAB"/>
    <w:rsid w:val="00721A00"/>
    <w:rsid w:val="00722988"/>
    <w:rsid w:val="00722991"/>
    <w:rsid w:val="00722DE2"/>
    <w:rsid w:val="0072400C"/>
    <w:rsid w:val="007241B5"/>
    <w:rsid w:val="007241F5"/>
    <w:rsid w:val="00724EF9"/>
    <w:rsid w:val="007254FF"/>
    <w:rsid w:val="007264CC"/>
    <w:rsid w:val="00726D96"/>
    <w:rsid w:val="00726DEE"/>
    <w:rsid w:val="00726FF1"/>
    <w:rsid w:val="0072712F"/>
    <w:rsid w:val="007276A9"/>
    <w:rsid w:val="00730A5A"/>
    <w:rsid w:val="00730AE7"/>
    <w:rsid w:val="00730DD8"/>
    <w:rsid w:val="00731155"/>
    <w:rsid w:val="007315CC"/>
    <w:rsid w:val="00731B46"/>
    <w:rsid w:val="00731F8A"/>
    <w:rsid w:val="0073291D"/>
    <w:rsid w:val="00732AFA"/>
    <w:rsid w:val="00732FD1"/>
    <w:rsid w:val="007335DE"/>
    <w:rsid w:val="0073387B"/>
    <w:rsid w:val="0073438D"/>
    <w:rsid w:val="007345B4"/>
    <w:rsid w:val="00734937"/>
    <w:rsid w:val="007352C1"/>
    <w:rsid w:val="007354F4"/>
    <w:rsid w:val="007360B5"/>
    <w:rsid w:val="00736AB2"/>
    <w:rsid w:val="00736C19"/>
    <w:rsid w:val="00736DD9"/>
    <w:rsid w:val="00736EDD"/>
    <w:rsid w:val="00737200"/>
    <w:rsid w:val="00737341"/>
    <w:rsid w:val="007378F6"/>
    <w:rsid w:val="00737E04"/>
    <w:rsid w:val="00740915"/>
    <w:rsid w:val="007409B1"/>
    <w:rsid w:val="00740A35"/>
    <w:rsid w:val="00740DCF"/>
    <w:rsid w:val="00741301"/>
    <w:rsid w:val="007418B6"/>
    <w:rsid w:val="00741F62"/>
    <w:rsid w:val="007423B7"/>
    <w:rsid w:val="00742488"/>
    <w:rsid w:val="007424AC"/>
    <w:rsid w:val="007436E5"/>
    <w:rsid w:val="00743FCA"/>
    <w:rsid w:val="00744692"/>
    <w:rsid w:val="00744BE3"/>
    <w:rsid w:val="00745165"/>
    <w:rsid w:val="007453AC"/>
    <w:rsid w:val="007457A9"/>
    <w:rsid w:val="0074594E"/>
    <w:rsid w:val="00745EEF"/>
    <w:rsid w:val="0074645D"/>
    <w:rsid w:val="00746D8E"/>
    <w:rsid w:val="007470CC"/>
    <w:rsid w:val="007471AC"/>
    <w:rsid w:val="00747297"/>
    <w:rsid w:val="007475B0"/>
    <w:rsid w:val="00747AAF"/>
    <w:rsid w:val="00747B6C"/>
    <w:rsid w:val="0075003B"/>
    <w:rsid w:val="0075011C"/>
    <w:rsid w:val="00750D8E"/>
    <w:rsid w:val="00751727"/>
    <w:rsid w:val="00751AE5"/>
    <w:rsid w:val="00751DCD"/>
    <w:rsid w:val="0075227A"/>
    <w:rsid w:val="007523D0"/>
    <w:rsid w:val="00752545"/>
    <w:rsid w:val="00752828"/>
    <w:rsid w:val="007528BC"/>
    <w:rsid w:val="00752B11"/>
    <w:rsid w:val="00752F37"/>
    <w:rsid w:val="00753CD8"/>
    <w:rsid w:val="00753FE2"/>
    <w:rsid w:val="00754064"/>
    <w:rsid w:val="007540B0"/>
    <w:rsid w:val="007545D4"/>
    <w:rsid w:val="00754887"/>
    <w:rsid w:val="007552AC"/>
    <w:rsid w:val="00755F00"/>
    <w:rsid w:val="00755F29"/>
    <w:rsid w:val="00756404"/>
    <w:rsid w:val="00756D48"/>
    <w:rsid w:val="00756D78"/>
    <w:rsid w:val="00757450"/>
    <w:rsid w:val="00757521"/>
    <w:rsid w:val="00757B69"/>
    <w:rsid w:val="007604A9"/>
    <w:rsid w:val="0076052A"/>
    <w:rsid w:val="00760958"/>
    <w:rsid w:val="00760A97"/>
    <w:rsid w:val="00761B15"/>
    <w:rsid w:val="00761EC6"/>
    <w:rsid w:val="00762015"/>
    <w:rsid w:val="0076301A"/>
    <w:rsid w:val="00763427"/>
    <w:rsid w:val="00763A0C"/>
    <w:rsid w:val="0076413F"/>
    <w:rsid w:val="00764479"/>
    <w:rsid w:val="00764887"/>
    <w:rsid w:val="007649BD"/>
    <w:rsid w:val="0076599D"/>
    <w:rsid w:val="00765E39"/>
    <w:rsid w:val="00765ECE"/>
    <w:rsid w:val="00765F68"/>
    <w:rsid w:val="007667E2"/>
    <w:rsid w:val="00766AFE"/>
    <w:rsid w:val="00770512"/>
    <w:rsid w:val="00770596"/>
    <w:rsid w:val="007706E0"/>
    <w:rsid w:val="0077099F"/>
    <w:rsid w:val="00770A3A"/>
    <w:rsid w:val="00770DBF"/>
    <w:rsid w:val="00770FB1"/>
    <w:rsid w:val="00771403"/>
    <w:rsid w:val="00771438"/>
    <w:rsid w:val="00772CAF"/>
    <w:rsid w:val="00772FA9"/>
    <w:rsid w:val="00773169"/>
    <w:rsid w:val="00773A10"/>
    <w:rsid w:val="00773B0E"/>
    <w:rsid w:val="00773E39"/>
    <w:rsid w:val="00773F4E"/>
    <w:rsid w:val="00773FE7"/>
    <w:rsid w:val="007747E3"/>
    <w:rsid w:val="00774AED"/>
    <w:rsid w:val="00774B8C"/>
    <w:rsid w:val="00775379"/>
    <w:rsid w:val="00776002"/>
    <w:rsid w:val="007772A4"/>
    <w:rsid w:val="007774BF"/>
    <w:rsid w:val="007777A4"/>
    <w:rsid w:val="00777BE1"/>
    <w:rsid w:val="00777D26"/>
    <w:rsid w:val="00777D81"/>
    <w:rsid w:val="00777DF6"/>
    <w:rsid w:val="00777E15"/>
    <w:rsid w:val="007807C6"/>
    <w:rsid w:val="00780A8C"/>
    <w:rsid w:val="00780F0C"/>
    <w:rsid w:val="00781212"/>
    <w:rsid w:val="0078143C"/>
    <w:rsid w:val="00781504"/>
    <w:rsid w:val="00783052"/>
    <w:rsid w:val="0078310D"/>
    <w:rsid w:val="00783355"/>
    <w:rsid w:val="00783BD3"/>
    <w:rsid w:val="00784313"/>
    <w:rsid w:val="007843E1"/>
    <w:rsid w:val="00784773"/>
    <w:rsid w:val="00784EDE"/>
    <w:rsid w:val="0078540A"/>
    <w:rsid w:val="00785468"/>
    <w:rsid w:val="00786009"/>
    <w:rsid w:val="00786ADD"/>
    <w:rsid w:val="00786B6E"/>
    <w:rsid w:val="007879CA"/>
    <w:rsid w:val="00787AC6"/>
    <w:rsid w:val="00787B3A"/>
    <w:rsid w:val="00787C02"/>
    <w:rsid w:val="00787E97"/>
    <w:rsid w:val="0079008F"/>
    <w:rsid w:val="00790457"/>
    <w:rsid w:val="0079104A"/>
    <w:rsid w:val="00791275"/>
    <w:rsid w:val="00791290"/>
    <w:rsid w:val="00791FD5"/>
    <w:rsid w:val="007920DA"/>
    <w:rsid w:val="0079217C"/>
    <w:rsid w:val="0079236E"/>
    <w:rsid w:val="00792590"/>
    <w:rsid w:val="0079294A"/>
    <w:rsid w:val="00792AC9"/>
    <w:rsid w:val="007932FC"/>
    <w:rsid w:val="00793344"/>
    <w:rsid w:val="00793B33"/>
    <w:rsid w:val="007948E4"/>
    <w:rsid w:val="00794A3F"/>
    <w:rsid w:val="00794AD7"/>
    <w:rsid w:val="0079537F"/>
    <w:rsid w:val="007956B6"/>
    <w:rsid w:val="007960C3"/>
    <w:rsid w:val="0079644B"/>
    <w:rsid w:val="007967BE"/>
    <w:rsid w:val="00796B25"/>
    <w:rsid w:val="00796B7A"/>
    <w:rsid w:val="00796C74"/>
    <w:rsid w:val="00796CA2"/>
    <w:rsid w:val="007974B5"/>
    <w:rsid w:val="007A09EA"/>
    <w:rsid w:val="007A0BEF"/>
    <w:rsid w:val="007A0DBD"/>
    <w:rsid w:val="007A18C0"/>
    <w:rsid w:val="007A1D78"/>
    <w:rsid w:val="007A1E22"/>
    <w:rsid w:val="007A1F49"/>
    <w:rsid w:val="007A231F"/>
    <w:rsid w:val="007A2ADC"/>
    <w:rsid w:val="007A2B54"/>
    <w:rsid w:val="007A3271"/>
    <w:rsid w:val="007A3D10"/>
    <w:rsid w:val="007A3FEA"/>
    <w:rsid w:val="007A40DC"/>
    <w:rsid w:val="007A470D"/>
    <w:rsid w:val="007A4973"/>
    <w:rsid w:val="007A4C00"/>
    <w:rsid w:val="007A505C"/>
    <w:rsid w:val="007A5665"/>
    <w:rsid w:val="007A56DE"/>
    <w:rsid w:val="007A64D7"/>
    <w:rsid w:val="007A6E28"/>
    <w:rsid w:val="007A758F"/>
    <w:rsid w:val="007A7668"/>
    <w:rsid w:val="007A7708"/>
    <w:rsid w:val="007B00A4"/>
    <w:rsid w:val="007B0D7F"/>
    <w:rsid w:val="007B0E6B"/>
    <w:rsid w:val="007B17CE"/>
    <w:rsid w:val="007B17E8"/>
    <w:rsid w:val="007B217D"/>
    <w:rsid w:val="007B21D4"/>
    <w:rsid w:val="007B2B85"/>
    <w:rsid w:val="007B44E7"/>
    <w:rsid w:val="007B514B"/>
    <w:rsid w:val="007B520A"/>
    <w:rsid w:val="007B587F"/>
    <w:rsid w:val="007B588A"/>
    <w:rsid w:val="007B58DF"/>
    <w:rsid w:val="007B6FBA"/>
    <w:rsid w:val="007B6FEF"/>
    <w:rsid w:val="007B7220"/>
    <w:rsid w:val="007B7933"/>
    <w:rsid w:val="007B7A42"/>
    <w:rsid w:val="007B7AFF"/>
    <w:rsid w:val="007B7C27"/>
    <w:rsid w:val="007C02DA"/>
    <w:rsid w:val="007C08BA"/>
    <w:rsid w:val="007C098E"/>
    <w:rsid w:val="007C14CA"/>
    <w:rsid w:val="007C179B"/>
    <w:rsid w:val="007C250E"/>
    <w:rsid w:val="007C2571"/>
    <w:rsid w:val="007C273F"/>
    <w:rsid w:val="007C29C8"/>
    <w:rsid w:val="007C3530"/>
    <w:rsid w:val="007C36D2"/>
    <w:rsid w:val="007C399B"/>
    <w:rsid w:val="007C3EE9"/>
    <w:rsid w:val="007C3FE1"/>
    <w:rsid w:val="007C4906"/>
    <w:rsid w:val="007C50EB"/>
    <w:rsid w:val="007C6028"/>
    <w:rsid w:val="007C6511"/>
    <w:rsid w:val="007C659E"/>
    <w:rsid w:val="007C6E0D"/>
    <w:rsid w:val="007C71A2"/>
    <w:rsid w:val="007C73E2"/>
    <w:rsid w:val="007C7EAB"/>
    <w:rsid w:val="007D0558"/>
    <w:rsid w:val="007D09EC"/>
    <w:rsid w:val="007D0D73"/>
    <w:rsid w:val="007D135E"/>
    <w:rsid w:val="007D16B7"/>
    <w:rsid w:val="007D18D3"/>
    <w:rsid w:val="007D19F3"/>
    <w:rsid w:val="007D19F7"/>
    <w:rsid w:val="007D339F"/>
    <w:rsid w:val="007D3439"/>
    <w:rsid w:val="007D37BB"/>
    <w:rsid w:val="007D3879"/>
    <w:rsid w:val="007D3E92"/>
    <w:rsid w:val="007D47DD"/>
    <w:rsid w:val="007D590C"/>
    <w:rsid w:val="007D5ACD"/>
    <w:rsid w:val="007D6985"/>
    <w:rsid w:val="007D7160"/>
    <w:rsid w:val="007D7D50"/>
    <w:rsid w:val="007D7F84"/>
    <w:rsid w:val="007E09D1"/>
    <w:rsid w:val="007E0CA8"/>
    <w:rsid w:val="007E0F10"/>
    <w:rsid w:val="007E10AF"/>
    <w:rsid w:val="007E10F1"/>
    <w:rsid w:val="007E13A9"/>
    <w:rsid w:val="007E1A5A"/>
    <w:rsid w:val="007E2248"/>
    <w:rsid w:val="007E2380"/>
    <w:rsid w:val="007E3855"/>
    <w:rsid w:val="007E3B2F"/>
    <w:rsid w:val="007E44C4"/>
    <w:rsid w:val="007E4591"/>
    <w:rsid w:val="007E4C8F"/>
    <w:rsid w:val="007E51C4"/>
    <w:rsid w:val="007E5223"/>
    <w:rsid w:val="007E52DB"/>
    <w:rsid w:val="007E590B"/>
    <w:rsid w:val="007E6877"/>
    <w:rsid w:val="007E7324"/>
    <w:rsid w:val="007E7B68"/>
    <w:rsid w:val="007F0175"/>
    <w:rsid w:val="007F043D"/>
    <w:rsid w:val="007F17D1"/>
    <w:rsid w:val="007F1824"/>
    <w:rsid w:val="007F1CED"/>
    <w:rsid w:val="007F2599"/>
    <w:rsid w:val="007F2779"/>
    <w:rsid w:val="007F2AA2"/>
    <w:rsid w:val="007F2FF8"/>
    <w:rsid w:val="007F3146"/>
    <w:rsid w:val="007F3D0D"/>
    <w:rsid w:val="007F4089"/>
    <w:rsid w:val="007F4219"/>
    <w:rsid w:val="007F43BD"/>
    <w:rsid w:val="007F4FB4"/>
    <w:rsid w:val="007F53E3"/>
    <w:rsid w:val="007F598B"/>
    <w:rsid w:val="007F5F67"/>
    <w:rsid w:val="007F5F7E"/>
    <w:rsid w:val="007F669E"/>
    <w:rsid w:val="007F67BA"/>
    <w:rsid w:val="007F6C3E"/>
    <w:rsid w:val="007F6F69"/>
    <w:rsid w:val="007F7D83"/>
    <w:rsid w:val="008006C9"/>
    <w:rsid w:val="0080102F"/>
    <w:rsid w:val="0080104C"/>
    <w:rsid w:val="0080144D"/>
    <w:rsid w:val="00801A48"/>
    <w:rsid w:val="00801FB1"/>
    <w:rsid w:val="00802AB6"/>
    <w:rsid w:val="008032C0"/>
    <w:rsid w:val="00803558"/>
    <w:rsid w:val="00804066"/>
    <w:rsid w:val="00804887"/>
    <w:rsid w:val="00804B8D"/>
    <w:rsid w:val="00804D20"/>
    <w:rsid w:val="00805E4D"/>
    <w:rsid w:val="00806480"/>
    <w:rsid w:val="00806640"/>
    <w:rsid w:val="00806DCE"/>
    <w:rsid w:val="008079E1"/>
    <w:rsid w:val="00810092"/>
    <w:rsid w:val="0081040B"/>
    <w:rsid w:val="00810B15"/>
    <w:rsid w:val="00811532"/>
    <w:rsid w:val="00812199"/>
    <w:rsid w:val="00812441"/>
    <w:rsid w:val="0081285C"/>
    <w:rsid w:val="00812B04"/>
    <w:rsid w:val="0081409A"/>
    <w:rsid w:val="00814533"/>
    <w:rsid w:val="008147F1"/>
    <w:rsid w:val="00814D3A"/>
    <w:rsid w:val="00814DB5"/>
    <w:rsid w:val="0081500B"/>
    <w:rsid w:val="008155B0"/>
    <w:rsid w:val="0081585B"/>
    <w:rsid w:val="00815A2E"/>
    <w:rsid w:val="00815D0F"/>
    <w:rsid w:val="008171E3"/>
    <w:rsid w:val="008172D7"/>
    <w:rsid w:val="00817495"/>
    <w:rsid w:val="008178F9"/>
    <w:rsid w:val="00817927"/>
    <w:rsid w:val="00820518"/>
    <w:rsid w:val="00820BD6"/>
    <w:rsid w:val="00821025"/>
    <w:rsid w:val="008210A2"/>
    <w:rsid w:val="008213EB"/>
    <w:rsid w:val="00821E76"/>
    <w:rsid w:val="00821E78"/>
    <w:rsid w:val="00822CEF"/>
    <w:rsid w:val="00822F8B"/>
    <w:rsid w:val="008233DA"/>
    <w:rsid w:val="00823618"/>
    <w:rsid w:val="0082382C"/>
    <w:rsid w:val="00824D8A"/>
    <w:rsid w:val="00824FD7"/>
    <w:rsid w:val="00825336"/>
    <w:rsid w:val="008254AA"/>
    <w:rsid w:val="008254EF"/>
    <w:rsid w:val="008255B7"/>
    <w:rsid w:val="0082577F"/>
    <w:rsid w:val="00825BB5"/>
    <w:rsid w:val="00825C1F"/>
    <w:rsid w:val="00825CAA"/>
    <w:rsid w:val="0082611B"/>
    <w:rsid w:val="00826220"/>
    <w:rsid w:val="00826905"/>
    <w:rsid w:val="0082767D"/>
    <w:rsid w:val="008277DB"/>
    <w:rsid w:val="00827BE7"/>
    <w:rsid w:val="008301FA"/>
    <w:rsid w:val="00830627"/>
    <w:rsid w:val="00830FA5"/>
    <w:rsid w:val="0083119B"/>
    <w:rsid w:val="0083187D"/>
    <w:rsid w:val="00831FD0"/>
    <w:rsid w:val="008322CC"/>
    <w:rsid w:val="008327E6"/>
    <w:rsid w:val="00832DAF"/>
    <w:rsid w:val="00833149"/>
    <w:rsid w:val="00833A7E"/>
    <w:rsid w:val="00834024"/>
    <w:rsid w:val="00834D15"/>
    <w:rsid w:val="00834D55"/>
    <w:rsid w:val="008351B9"/>
    <w:rsid w:val="0083572D"/>
    <w:rsid w:val="0083574F"/>
    <w:rsid w:val="00835FD3"/>
    <w:rsid w:val="00836537"/>
    <w:rsid w:val="0083673A"/>
    <w:rsid w:val="00836DF4"/>
    <w:rsid w:val="0083760E"/>
    <w:rsid w:val="008402B0"/>
    <w:rsid w:val="008403E0"/>
    <w:rsid w:val="008405A1"/>
    <w:rsid w:val="00840831"/>
    <w:rsid w:val="00841ED7"/>
    <w:rsid w:val="008421DF"/>
    <w:rsid w:val="00843AE4"/>
    <w:rsid w:val="00844745"/>
    <w:rsid w:val="008448A5"/>
    <w:rsid w:val="008455FA"/>
    <w:rsid w:val="00845603"/>
    <w:rsid w:val="00846681"/>
    <w:rsid w:val="008469D0"/>
    <w:rsid w:val="0085017F"/>
    <w:rsid w:val="0085046D"/>
    <w:rsid w:val="00850BE0"/>
    <w:rsid w:val="00852038"/>
    <w:rsid w:val="00852146"/>
    <w:rsid w:val="008526B9"/>
    <w:rsid w:val="00852852"/>
    <w:rsid w:val="00852B9D"/>
    <w:rsid w:val="00853940"/>
    <w:rsid w:val="00853AF3"/>
    <w:rsid w:val="00853B48"/>
    <w:rsid w:val="00853D3F"/>
    <w:rsid w:val="00854065"/>
    <w:rsid w:val="0085420E"/>
    <w:rsid w:val="00854551"/>
    <w:rsid w:val="00854E4E"/>
    <w:rsid w:val="008556CE"/>
    <w:rsid w:val="008559BA"/>
    <w:rsid w:val="00855B2B"/>
    <w:rsid w:val="00855D89"/>
    <w:rsid w:val="00856F82"/>
    <w:rsid w:val="00857123"/>
    <w:rsid w:val="00857B15"/>
    <w:rsid w:val="00857BDC"/>
    <w:rsid w:val="00860E06"/>
    <w:rsid w:val="00861029"/>
    <w:rsid w:val="008610F3"/>
    <w:rsid w:val="008622F3"/>
    <w:rsid w:val="00862AEF"/>
    <w:rsid w:val="00862F33"/>
    <w:rsid w:val="00863CC7"/>
    <w:rsid w:val="00864FD2"/>
    <w:rsid w:val="0086568D"/>
    <w:rsid w:val="0086586B"/>
    <w:rsid w:val="00865B2F"/>
    <w:rsid w:val="00865DD0"/>
    <w:rsid w:val="00865F3C"/>
    <w:rsid w:val="0086632A"/>
    <w:rsid w:val="00866C01"/>
    <w:rsid w:val="008673CC"/>
    <w:rsid w:val="00867491"/>
    <w:rsid w:val="00867564"/>
    <w:rsid w:val="00867A40"/>
    <w:rsid w:val="00867E13"/>
    <w:rsid w:val="00867FA6"/>
    <w:rsid w:val="0087035D"/>
    <w:rsid w:val="00870379"/>
    <w:rsid w:val="00870575"/>
    <w:rsid w:val="00870697"/>
    <w:rsid w:val="00870D85"/>
    <w:rsid w:val="00870ECD"/>
    <w:rsid w:val="0087141B"/>
    <w:rsid w:val="008718F5"/>
    <w:rsid w:val="00871F9E"/>
    <w:rsid w:val="008721C7"/>
    <w:rsid w:val="00872228"/>
    <w:rsid w:val="00872934"/>
    <w:rsid w:val="00872936"/>
    <w:rsid w:val="00873171"/>
    <w:rsid w:val="008742D5"/>
    <w:rsid w:val="008747EB"/>
    <w:rsid w:val="00874890"/>
    <w:rsid w:val="008753CC"/>
    <w:rsid w:val="00876142"/>
    <w:rsid w:val="00876583"/>
    <w:rsid w:val="00876E9E"/>
    <w:rsid w:val="0087760B"/>
    <w:rsid w:val="00877E2E"/>
    <w:rsid w:val="00877F7E"/>
    <w:rsid w:val="008801EF"/>
    <w:rsid w:val="00880857"/>
    <w:rsid w:val="00880973"/>
    <w:rsid w:val="00880A0F"/>
    <w:rsid w:val="00880CAB"/>
    <w:rsid w:val="00880CF4"/>
    <w:rsid w:val="00880D67"/>
    <w:rsid w:val="008812E6"/>
    <w:rsid w:val="0088170A"/>
    <w:rsid w:val="00881CAE"/>
    <w:rsid w:val="00881F81"/>
    <w:rsid w:val="0088213C"/>
    <w:rsid w:val="0088298B"/>
    <w:rsid w:val="008836A0"/>
    <w:rsid w:val="00883CC9"/>
    <w:rsid w:val="00883EAA"/>
    <w:rsid w:val="008848DB"/>
    <w:rsid w:val="00884932"/>
    <w:rsid w:val="00884E60"/>
    <w:rsid w:val="0088555F"/>
    <w:rsid w:val="00885B3D"/>
    <w:rsid w:val="0088601E"/>
    <w:rsid w:val="00886287"/>
    <w:rsid w:val="00886476"/>
    <w:rsid w:val="0088687C"/>
    <w:rsid w:val="00887051"/>
    <w:rsid w:val="00887351"/>
    <w:rsid w:val="00890017"/>
    <w:rsid w:val="00890DC3"/>
    <w:rsid w:val="008912FA"/>
    <w:rsid w:val="0089164F"/>
    <w:rsid w:val="00891D5A"/>
    <w:rsid w:val="0089201F"/>
    <w:rsid w:val="008923F9"/>
    <w:rsid w:val="008924DB"/>
    <w:rsid w:val="00892948"/>
    <w:rsid w:val="008936FF"/>
    <w:rsid w:val="008945B1"/>
    <w:rsid w:val="00894E11"/>
    <w:rsid w:val="00895EC4"/>
    <w:rsid w:val="00895F24"/>
    <w:rsid w:val="00896592"/>
    <w:rsid w:val="0089692E"/>
    <w:rsid w:val="00896942"/>
    <w:rsid w:val="00896BCB"/>
    <w:rsid w:val="00897F03"/>
    <w:rsid w:val="008A01C7"/>
    <w:rsid w:val="008A0286"/>
    <w:rsid w:val="008A08E0"/>
    <w:rsid w:val="008A0CDE"/>
    <w:rsid w:val="008A1750"/>
    <w:rsid w:val="008A1C6D"/>
    <w:rsid w:val="008A2151"/>
    <w:rsid w:val="008A280A"/>
    <w:rsid w:val="008A28DE"/>
    <w:rsid w:val="008A2A5A"/>
    <w:rsid w:val="008A418A"/>
    <w:rsid w:val="008A4AF5"/>
    <w:rsid w:val="008A4CBC"/>
    <w:rsid w:val="008A5037"/>
    <w:rsid w:val="008A51C8"/>
    <w:rsid w:val="008A530D"/>
    <w:rsid w:val="008A7004"/>
    <w:rsid w:val="008A755B"/>
    <w:rsid w:val="008A787B"/>
    <w:rsid w:val="008A7AA2"/>
    <w:rsid w:val="008B000C"/>
    <w:rsid w:val="008B0961"/>
    <w:rsid w:val="008B1284"/>
    <w:rsid w:val="008B147A"/>
    <w:rsid w:val="008B1BC6"/>
    <w:rsid w:val="008B2E68"/>
    <w:rsid w:val="008B305C"/>
    <w:rsid w:val="008B34B2"/>
    <w:rsid w:val="008B44B1"/>
    <w:rsid w:val="008B4797"/>
    <w:rsid w:val="008B5500"/>
    <w:rsid w:val="008B595F"/>
    <w:rsid w:val="008B6201"/>
    <w:rsid w:val="008B6262"/>
    <w:rsid w:val="008B640F"/>
    <w:rsid w:val="008B66EF"/>
    <w:rsid w:val="008B684A"/>
    <w:rsid w:val="008B731A"/>
    <w:rsid w:val="008B754C"/>
    <w:rsid w:val="008B75A8"/>
    <w:rsid w:val="008B7878"/>
    <w:rsid w:val="008B7944"/>
    <w:rsid w:val="008B7C40"/>
    <w:rsid w:val="008B7C9C"/>
    <w:rsid w:val="008C19F0"/>
    <w:rsid w:val="008C1C65"/>
    <w:rsid w:val="008C36C6"/>
    <w:rsid w:val="008C3897"/>
    <w:rsid w:val="008C3F76"/>
    <w:rsid w:val="008C4E84"/>
    <w:rsid w:val="008C508F"/>
    <w:rsid w:val="008C530C"/>
    <w:rsid w:val="008C556E"/>
    <w:rsid w:val="008C60C4"/>
    <w:rsid w:val="008C613F"/>
    <w:rsid w:val="008C6E68"/>
    <w:rsid w:val="008C7FD0"/>
    <w:rsid w:val="008D09D8"/>
    <w:rsid w:val="008D1312"/>
    <w:rsid w:val="008D1B9D"/>
    <w:rsid w:val="008D1C95"/>
    <w:rsid w:val="008D1F38"/>
    <w:rsid w:val="008D22F9"/>
    <w:rsid w:val="008D2345"/>
    <w:rsid w:val="008D2C6E"/>
    <w:rsid w:val="008D3433"/>
    <w:rsid w:val="008D34E9"/>
    <w:rsid w:val="008D3926"/>
    <w:rsid w:val="008D3A6A"/>
    <w:rsid w:val="008D4156"/>
    <w:rsid w:val="008D4161"/>
    <w:rsid w:val="008D448B"/>
    <w:rsid w:val="008D4B20"/>
    <w:rsid w:val="008D58BF"/>
    <w:rsid w:val="008D596D"/>
    <w:rsid w:val="008D5B95"/>
    <w:rsid w:val="008D5CA0"/>
    <w:rsid w:val="008D5CF3"/>
    <w:rsid w:val="008D61C9"/>
    <w:rsid w:val="008D62BE"/>
    <w:rsid w:val="008D6DB6"/>
    <w:rsid w:val="008D6E16"/>
    <w:rsid w:val="008D7013"/>
    <w:rsid w:val="008D770D"/>
    <w:rsid w:val="008E0149"/>
    <w:rsid w:val="008E04FE"/>
    <w:rsid w:val="008E0EAF"/>
    <w:rsid w:val="008E0FDD"/>
    <w:rsid w:val="008E22B6"/>
    <w:rsid w:val="008E22FF"/>
    <w:rsid w:val="008E2949"/>
    <w:rsid w:val="008E406C"/>
    <w:rsid w:val="008E436A"/>
    <w:rsid w:val="008E4E72"/>
    <w:rsid w:val="008E5215"/>
    <w:rsid w:val="008E5332"/>
    <w:rsid w:val="008E5538"/>
    <w:rsid w:val="008E5EA7"/>
    <w:rsid w:val="008E6794"/>
    <w:rsid w:val="008E78AC"/>
    <w:rsid w:val="008E7F5F"/>
    <w:rsid w:val="008F00EE"/>
    <w:rsid w:val="008F086B"/>
    <w:rsid w:val="008F099A"/>
    <w:rsid w:val="008F0DE3"/>
    <w:rsid w:val="008F14D4"/>
    <w:rsid w:val="008F20F0"/>
    <w:rsid w:val="008F2533"/>
    <w:rsid w:val="008F32BD"/>
    <w:rsid w:val="008F3635"/>
    <w:rsid w:val="008F3D0A"/>
    <w:rsid w:val="008F3E30"/>
    <w:rsid w:val="008F3FC9"/>
    <w:rsid w:val="008F3FDB"/>
    <w:rsid w:val="008F434D"/>
    <w:rsid w:val="008F4C6F"/>
    <w:rsid w:val="008F4F86"/>
    <w:rsid w:val="008F5F56"/>
    <w:rsid w:val="008F65EE"/>
    <w:rsid w:val="008F6915"/>
    <w:rsid w:val="008F6DD9"/>
    <w:rsid w:val="008F7556"/>
    <w:rsid w:val="008F795B"/>
    <w:rsid w:val="008F79B2"/>
    <w:rsid w:val="008F7B95"/>
    <w:rsid w:val="009000F5"/>
    <w:rsid w:val="00900892"/>
    <w:rsid w:val="00900D4C"/>
    <w:rsid w:val="0090114E"/>
    <w:rsid w:val="00901752"/>
    <w:rsid w:val="00901BFE"/>
    <w:rsid w:val="009027ED"/>
    <w:rsid w:val="00902D76"/>
    <w:rsid w:val="0090384E"/>
    <w:rsid w:val="00903DF7"/>
    <w:rsid w:val="0090420B"/>
    <w:rsid w:val="0090484B"/>
    <w:rsid w:val="00904A87"/>
    <w:rsid w:val="009054F8"/>
    <w:rsid w:val="00905D66"/>
    <w:rsid w:val="0090659B"/>
    <w:rsid w:val="009067E0"/>
    <w:rsid w:val="00906A78"/>
    <w:rsid w:val="00906E55"/>
    <w:rsid w:val="00906FCC"/>
    <w:rsid w:val="00907B2D"/>
    <w:rsid w:val="00910239"/>
    <w:rsid w:val="00910FE4"/>
    <w:rsid w:val="009111E9"/>
    <w:rsid w:val="009117BA"/>
    <w:rsid w:val="00911A8C"/>
    <w:rsid w:val="00911D76"/>
    <w:rsid w:val="00911FEB"/>
    <w:rsid w:val="009128D7"/>
    <w:rsid w:val="00912DC3"/>
    <w:rsid w:val="00913C36"/>
    <w:rsid w:val="00913F62"/>
    <w:rsid w:val="009142DD"/>
    <w:rsid w:val="009143C3"/>
    <w:rsid w:val="00914AD1"/>
    <w:rsid w:val="0091523E"/>
    <w:rsid w:val="00915E48"/>
    <w:rsid w:val="00915F88"/>
    <w:rsid w:val="009163F2"/>
    <w:rsid w:val="0091642A"/>
    <w:rsid w:val="009165BA"/>
    <w:rsid w:val="009169B7"/>
    <w:rsid w:val="00916E94"/>
    <w:rsid w:val="00920437"/>
    <w:rsid w:val="00920463"/>
    <w:rsid w:val="009205EC"/>
    <w:rsid w:val="00921284"/>
    <w:rsid w:val="009215B7"/>
    <w:rsid w:val="0092184B"/>
    <w:rsid w:val="00921E2B"/>
    <w:rsid w:val="00921E7B"/>
    <w:rsid w:val="009227E6"/>
    <w:rsid w:val="00922876"/>
    <w:rsid w:val="009236FE"/>
    <w:rsid w:val="0092380D"/>
    <w:rsid w:val="00923925"/>
    <w:rsid w:val="009239B8"/>
    <w:rsid w:val="00923BFD"/>
    <w:rsid w:val="00923E2A"/>
    <w:rsid w:val="00924570"/>
    <w:rsid w:val="00924DA5"/>
    <w:rsid w:val="00924FD7"/>
    <w:rsid w:val="009259A2"/>
    <w:rsid w:val="00925B14"/>
    <w:rsid w:val="00926279"/>
    <w:rsid w:val="0092637C"/>
    <w:rsid w:val="00926647"/>
    <w:rsid w:val="0092667D"/>
    <w:rsid w:val="009267FC"/>
    <w:rsid w:val="00926A85"/>
    <w:rsid w:val="00927159"/>
    <w:rsid w:val="00927459"/>
    <w:rsid w:val="009275DF"/>
    <w:rsid w:val="00927D54"/>
    <w:rsid w:val="009303FF"/>
    <w:rsid w:val="00930DB4"/>
    <w:rsid w:val="009310CF"/>
    <w:rsid w:val="0093113A"/>
    <w:rsid w:val="009320A0"/>
    <w:rsid w:val="009325F1"/>
    <w:rsid w:val="009327AE"/>
    <w:rsid w:val="00932995"/>
    <w:rsid w:val="00932CC6"/>
    <w:rsid w:val="00933155"/>
    <w:rsid w:val="00933756"/>
    <w:rsid w:val="0093399A"/>
    <w:rsid w:val="00933FBF"/>
    <w:rsid w:val="009344F4"/>
    <w:rsid w:val="0093483A"/>
    <w:rsid w:val="009348A4"/>
    <w:rsid w:val="00934E3F"/>
    <w:rsid w:val="009350DC"/>
    <w:rsid w:val="009350F7"/>
    <w:rsid w:val="00935534"/>
    <w:rsid w:val="009357AB"/>
    <w:rsid w:val="009361D9"/>
    <w:rsid w:val="00936551"/>
    <w:rsid w:val="009368FE"/>
    <w:rsid w:val="00936964"/>
    <w:rsid w:val="00936E6F"/>
    <w:rsid w:val="0093755D"/>
    <w:rsid w:val="0094085F"/>
    <w:rsid w:val="00941B86"/>
    <w:rsid w:val="00941D68"/>
    <w:rsid w:val="00942588"/>
    <w:rsid w:val="0094276E"/>
    <w:rsid w:val="009429E4"/>
    <w:rsid w:val="00942B4B"/>
    <w:rsid w:val="009430DE"/>
    <w:rsid w:val="009438C7"/>
    <w:rsid w:val="009440B0"/>
    <w:rsid w:val="00944A78"/>
    <w:rsid w:val="00945836"/>
    <w:rsid w:val="00945AFE"/>
    <w:rsid w:val="00945BC9"/>
    <w:rsid w:val="00945C85"/>
    <w:rsid w:val="00945F8F"/>
    <w:rsid w:val="00946294"/>
    <w:rsid w:val="009468A3"/>
    <w:rsid w:val="00946EC2"/>
    <w:rsid w:val="00947CDC"/>
    <w:rsid w:val="009502C6"/>
    <w:rsid w:val="009504E9"/>
    <w:rsid w:val="00950C55"/>
    <w:rsid w:val="00951E06"/>
    <w:rsid w:val="00952693"/>
    <w:rsid w:val="00952F44"/>
    <w:rsid w:val="009532EB"/>
    <w:rsid w:val="00953383"/>
    <w:rsid w:val="009536CE"/>
    <w:rsid w:val="00953A05"/>
    <w:rsid w:val="00953FD2"/>
    <w:rsid w:val="00954412"/>
    <w:rsid w:val="009557F4"/>
    <w:rsid w:val="009558AB"/>
    <w:rsid w:val="009558ED"/>
    <w:rsid w:val="00955B2E"/>
    <w:rsid w:val="00955D7D"/>
    <w:rsid w:val="0095689D"/>
    <w:rsid w:val="00956D35"/>
    <w:rsid w:val="00956DA1"/>
    <w:rsid w:val="00957208"/>
    <w:rsid w:val="00957300"/>
    <w:rsid w:val="009579C1"/>
    <w:rsid w:val="00957BDD"/>
    <w:rsid w:val="00957D12"/>
    <w:rsid w:val="009600E3"/>
    <w:rsid w:val="009603AC"/>
    <w:rsid w:val="009609E8"/>
    <w:rsid w:val="00960B3E"/>
    <w:rsid w:val="00960D3A"/>
    <w:rsid w:val="00960E47"/>
    <w:rsid w:val="009612E1"/>
    <w:rsid w:val="00961C64"/>
    <w:rsid w:val="00962C91"/>
    <w:rsid w:val="00962D88"/>
    <w:rsid w:val="00962D8F"/>
    <w:rsid w:val="00962DF3"/>
    <w:rsid w:val="00963197"/>
    <w:rsid w:val="00963646"/>
    <w:rsid w:val="00963D52"/>
    <w:rsid w:val="00964223"/>
    <w:rsid w:val="0096469E"/>
    <w:rsid w:val="0096484A"/>
    <w:rsid w:val="00964AC7"/>
    <w:rsid w:val="0096502B"/>
    <w:rsid w:val="0096556B"/>
    <w:rsid w:val="00965DAF"/>
    <w:rsid w:val="00966749"/>
    <w:rsid w:val="0096678A"/>
    <w:rsid w:val="00966A99"/>
    <w:rsid w:val="00966B80"/>
    <w:rsid w:val="00966C62"/>
    <w:rsid w:val="00967D9C"/>
    <w:rsid w:val="009702BA"/>
    <w:rsid w:val="00971392"/>
    <w:rsid w:val="009713D4"/>
    <w:rsid w:val="00971461"/>
    <w:rsid w:val="00971AE3"/>
    <w:rsid w:val="009724AC"/>
    <w:rsid w:val="0097388D"/>
    <w:rsid w:val="00973BE3"/>
    <w:rsid w:val="00973DCB"/>
    <w:rsid w:val="0097429F"/>
    <w:rsid w:val="00974374"/>
    <w:rsid w:val="0097476D"/>
    <w:rsid w:val="0097481C"/>
    <w:rsid w:val="0097533C"/>
    <w:rsid w:val="009755E5"/>
    <w:rsid w:val="00975787"/>
    <w:rsid w:val="00976500"/>
    <w:rsid w:val="009765FF"/>
    <w:rsid w:val="0097661C"/>
    <w:rsid w:val="009767B3"/>
    <w:rsid w:val="00977286"/>
    <w:rsid w:val="00977532"/>
    <w:rsid w:val="00977BBE"/>
    <w:rsid w:val="00977DBF"/>
    <w:rsid w:val="00977EDD"/>
    <w:rsid w:val="00980178"/>
    <w:rsid w:val="00980237"/>
    <w:rsid w:val="009806CC"/>
    <w:rsid w:val="00980835"/>
    <w:rsid w:val="0098084A"/>
    <w:rsid w:val="00980A3C"/>
    <w:rsid w:val="00980D28"/>
    <w:rsid w:val="00980FC6"/>
    <w:rsid w:val="00981262"/>
    <w:rsid w:val="009814AC"/>
    <w:rsid w:val="00981857"/>
    <w:rsid w:val="0098187C"/>
    <w:rsid w:val="00981BFD"/>
    <w:rsid w:val="00981EE1"/>
    <w:rsid w:val="009822FA"/>
    <w:rsid w:val="0098234E"/>
    <w:rsid w:val="009823A7"/>
    <w:rsid w:val="00982C87"/>
    <w:rsid w:val="0098301A"/>
    <w:rsid w:val="0098587E"/>
    <w:rsid w:val="00985F91"/>
    <w:rsid w:val="0098668E"/>
    <w:rsid w:val="00986A10"/>
    <w:rsid w:val="00987732"/>
    <w:rsid w:val="00987A57"/>
    <w:rsid w:val="00990270"/>
    <w:rsid w:val="009909DE"/>
    <w:rsid w:val="00990B49"/>
    <w:rsid w:val="00990E87"/>
    <w:rsid w:val="009913C1"/>
    <w:rsid w:val="00991BDC"/>
    <w:rsid w:val="00991BE2"/>
    <w:rsid w:val="0099258E"/>
    <w:rsid w:val="009927CE"/>
    <w:rsid w:val="00992C68"/>
    <w:rsid w:val="009932E6"/>
    <w:rsid w:val="00993320"/>
    <w:rsid w:val="009936CD"/>
    <w:rsid w:val="00993A3C"/>
    <w:rsid w:val="00993D79"/>
    <w:rsid w:val="00994A27"/>
    <w:rsid w:val="0099619A"/>
    <w:rsid w:val="009965B0"/>
    <w:rsid w:val="009972B2"/>
    <w:rsid w:val="00997F76"/>
    <w:rsid w:val="009A0187"/>
    <w:rsid w:val="009A0519"/>
    <w:rsid w:val="009A0FB6"/>
    <w:rsid w:val="009A1778"/>
    <w:rsid w:val="009A18A2"/>
    <w:rsid w:val="009A1A02"/>
    <w:rsid w:val="009A1BA2"/>
    <w:rsid w:val="009A1F1B"/>
    <w:rsid w:val="009A334D"/>
    <w:rsid w:val="009A34C5"/>
    <w:rsid w:val="009A5C0A"/>
    <w:rsid w:val="009A669F"/>
    <w:rsid w:val="009A68AD"/>
    <w:rsid w:val="009A6EF9"/>
    <w:rsid w:val="009A719B"/>
    <w:rsid w:val="009B0169"/>
    <w:rsid w:val="009B0203"/>
    <w:rsid w:val="009B0C4B"/>
    <w:rsid w:val="009B109B"/>
    <w:rsid w:val="009B1FE6"/>
    <w:rsid w:val="009B2D09"/>
    <w:rsid w:val="009B2F99"/>
    <w:rsid w:val="009B2FD4"/>
    <w:rsid w:val="009B3680"/>
    <w:rsid w:val="009B37E3"/>
    <w:rsid w:val="009B3AB3"/>
    <w:rsid w:val="009B3EE3"/>
    <w:rsid w:val="009B3EFE"/>
    <w:rsid w:val="009B4570"/>
    <w:rsid w:val="009B47E4"/>
    <w:rsid w:val="009B4B55"/>
    <w:rsid w:val="009B4D84"/>
    <w:rsid w:val="009B6812"/>
    <w:rsid w:val="009B6E3F"/>
    <w:rsid w:val="009B7120"/>
    <w:rsid w:val="009B7898"/>
    <w:rsid w:val="009B79C6"/>
    <w:rsid w:val="009B7C04"/>
    <w:rsid w:val="009C005C"/>
    <w:rsid w:val="009C07CF"/>
    <w:rsid w:val="009C0884"/>
    <w:rsid w:val="009C12BD"/>
    <w:rsid w:val="009C15A1"/>
    <w:rsid w:val="009C16C1"/>
    <w:rsid w:val="009C1C60"/>
    <w:rsid w:val="009C228C"/>
    <w:rsid w:val="009C22A5"/>
    <w:rsid w:val="009C28E3"/>
    <w:rsid w:val="009C2949"/>
    <w:rsid w:val="009C2C23"/>
    <w:rsid w:val="009C315A"/>
    <w:rsid w:val="009C344C"/>
    <w:rsid w:val="009C54BB"/>
    <w:rsid w:val="009C5756"/>
    <w:rsid w:val="009C58FD"/>
    <w:rsid w:val="009C5D43"/>
    <w:rsid w:val="009C5E67"/>
    <w:rsid w:val="009C61F9"/>
    <w:rsid w:val="009C65E2"/>
    <w:rsid w:val="009C6DB2"/>
    <w:rsid w:val="009C6EB3"/>
    <w:rsid w:val="009C6F2C"/>
    <w:rsid w:val="009C7047"/>
    <w:rsid w:val="009C77E6"/>
    <w:rsid w:val="009C7DE6"/>
    <w:rsid w:val="009D0556"/>
    <w:rsid w:val="009D0B67"/>
    <w:rsid w:val="009D0F23"/>
    <w:rsid w:val="009D0FE7"/>
    <w:rsid w:val="009D139C"/>
    <w:rsid w:val="009D19F8"/>
    <w:rsid w:val="009D1AEA"/>
    <w:rsid w:val="009D1D53"/>
    <w:rsid w:val="009D273C"/>
    <w:rsid w:val="009D2F50"/>
    <w:rsid w:val="009D3227"/>
    <w:rsid w:val="009D3228"/>
    <w:rsid w:val="009D354D"/>
    <w:rsid w:val="009D3681"/>
    <w:rsid w:val="009D3E79"/>
    <w:rsid w:val="009D3F6A"/>
    <w:rsid w:val="009D4022"/>
    <w:rsid w:val="009D45DA"/>
    <w:rsid w:val="009D46BA"/>
    <w:rsid w:val="009D5414"/>
    <w:rsid w:val="009D5CF7"/>
    <w:rsid w:val="009D5F04"/>
    <w:rsid w:val="009D618D"/>
    <w:rsid w:val="009D62EC"/>
    <w:rsid w:val="009D6375"/>
    <w:rsid w:val="009D7FDF"/>
    <w:rsid w:val="009E0416"/>
    <w:rsid w:val="009E0658"/>
    <w:rsid w:val="009E0834"/>
    <w:rsid w:val="009E0BB0"/>
    <w:rsid w:val="009E0C74"/>
    <w:rsid w:val="009E1DBB"/>
    <w:rsid w:val="009E2202"/>
    <w:rsid w:val="009E2362"/>
    <w:rsid w:val="009E24C5"/>
    <w:rsid w:val="009E2792"/>
    <w:rsid w:val="009E29A1"/>
    <w:rsid w:val="009E2D5C"/>
    <w:rsid w:val="009E38A2"/>
    <w:rsid w:val="009E3A8D"/>
    <w:rsid w:val="009E3C05"/>
    <w:rsid w:val="009E40AB"/>
    <w:rsid w:val="009E4805"/>
    <w:rsid w:val="009E4DAB"/>
    <w:rsid w:val="009E4F73"/>
    <w:rsid w:val="009E540C"/>
    <w:rsid w:val="009E613D"/>
    <w:rsid w:val="009E71DD"/>
    <w:rsid w:val="009E7936"/>
    <w:rsid w:val="009F0009"/>
    <w:rsid w:val="009F0172"/>
    <w:rsid w:val="009F119D"/>
    <w:rsid w:val="009F130D"/>
    <w:rsid w:val="009F17FE"/>
    <w:rsid w:val="009F1FAB"/>
    <w:rsid w:val="009F2124"/>
    <w:rsid w:val="009F2A49"/>
    <w:rsid w:val="009F2D8F"/>
    <w:rsid w:val="009F3453"/>
    <w:rsid w:val="009F38B2"/>
    <w:rsid w:val="009F42BD"/>
    <w:rsid w:val="009F461C"/>
    <w:rsid w:val="009F4CCD"/>
    <w:rsid w:val="009F56BD"/>
    <w:rsid w:val="009F6106"/>
    <w:rsid w:val="009F65A0"/>
    <w:rsid w:val="009F66FF"/>
    <w:rsid w:val="009F6935"/>
    <w:rsid w:val="009F761C"/>
    <w:rsid w:val="009F7CCC"/>
    <w:rsid w:val="00A00821"/>
    <w:rsid w:val="00A009C7"/>
    <w:rsid w:val="00A00E66"/>
    <w:rsid w:val="00A0104F"/>
    <w:rsid w:val="00A019A2"/>
    <w:rsid w:val="00A01A83"/>
    <w:rsid w:val="00A01F79"/>
    <w:rsid w:val="00A020E7"/>
    <w:rsid w:val="00A02692"/>
    <w:rsid w:val="00A02FC3"/>
    <w:rsid w:val="00A0306D"/>
    <w:rsid w:val="00A04735"/>
    <w:rsid w:val="00A04FDA"/>
    <w:rsid w:val="00A05261"/>
    <w:rsid w:val="00A05D38"/>
    <w:rsid w:val="00A05E31"/>
    <w:rsid w:val="00A060BF"/>
    <w:rsid w:val="00A0620F"/>
    <w:rsid w:val="00A063CD"/>
    <w:rsid w:val="00A065AC"/>
    <w:rsid w:val="00A06AA8"/>
    <w:rsid w:val="00A0734A"/>
    <w:rsid w:val="00A077C2"/>
    <w:rsid w:val="00A07883"/>
    <w:rsid w:val="00A07A4C"/>
    <w:rsid w:val="00A07BC3"/>
    <w:rsid w:val="00A07D26"/>
    <w:rsid w:val="00A07DFA"/>
    <w:rsid w:val="00A1010D"/>
    <w:rsid w:val="00A1031C"/>
    <w:rsid w:val="00A10478"/>
    <w:rsid w:val="00A10887"/>
    <w:rsid w:val="00A10E5C"/>
    <w:rsid w:val="00A10E81"/>
    <w:rsid w:val="00A10FB2"/>
    <w:rsid w:val="00A10FDD"/>
    <w:rsid w:val="00A1101B"/>
    <w:rsid w:val="00A117AD"/>
    <w:rsid w:val="00A1252E"/>
    <w:rsid w:val="00A12788"/>
    <w:rsid w:val="00A1289E"/>
    <w:rsid w:val="00A13906"/>
    <w:rsid w:val="00A139B4"/>
    <w:rsid w:val="00A1487E"/>
    <w:rsid w:val="00A1498F"/>
    <w:rsid w:val="00A15389"/>
    <w:rsid w:val="00A161A7"/>
    <w:rsid w:val="00A16402"/>
    <w:rsid w:val="00A17965"/>
    <w:rsid w:val="00A20747"/>
    <w:rsid w:val="00A20BE9"/>
    <w:rsid w:val="00A20EC6"/>
    <w:rsid w:val="00A2119A"/>
    <w:rsid w:val="00A21673"/>
    <w:rsid w:val="00A21F67"/>
    <w:rsid w:val="00A21FD9"/>
    <w:rsid w:val="00A2224F"/>
    <w:rsid w:val="00A222AB"/>
    <w:rsid w:val="00A22438"/>
    <w:rsid w:val="00A22446"/>
    <w:rsid w:val="00A2270B"/>
    <w:rsid w:val="00A22A02"/>
    <w:rsid w:val="00A22E9C"/>
    <w:rsid w:val="00A23428"/>
    <w:rsid w:val="00A238E6"/>
    <w:rsid w:val="00A240E8"/>
    <w:rsid w:val="00A244A4"/>
    <w:rsid w:val="00A25299"/>
    <w:rsid w:val="00A257FB"/>
    <w:rsid w:val="00A25A70"/>
    <w:rsid w:val="00A25BAE"/>
    <w:rsid w:val="00A26C95"/>
    <w:rsid w:val="00A26F24"/>
    <w:rsid w:val="00A27FD6"/>
    <w:rsid w:val="00A30212"/>
    <w:rsid w:val="00A302B5"/>
    <w:rsid w:val="00A308FF"/>
    <w:rsid w:val="00A3094C"/>
    <w:rsid w:val="00A30AEA"/>
    <w:rsid w:val="00A30C04"/>
    <w:rsid w:val="00A310C6"/>
    <w:rsid w:val="00A319E1"/>
    <w:rsid w:val="00A31A25"/>
    <w:rsid w:val="00A323E4"/>
    <w:rsid w:val="00A32F50"/>
    <w:rsid w:val="00A33765"/>
    <w:rsid w:val="00A33D4F"/>
    <w:rsid w:val="00A33D54"/>
    <w:rsid w:val="00A344EE"/>
    <w:rsid w:val="00A345ED"/>
    <w:rsid w:val="00A34ABC"/>
    <w:rsid w:val="00A34D39"/>
    <w:rsid w:val="00A358DC"/>
    <w:rsid w:val="00A36A25"/>
    <w:rsid w:val="00A37480"/>
    <w:rsid w:val="00A37652"/>
    <w:rsid w:val="00A37AD3"/>
    <w:rsid w:val="00A4089D"/>
    <w:rsid w:val="00A40AB4"/>
    <w:rsid w:val="00A41A61"/>
    <w:rsid w:val="00A41C42"/>
    <w:rsid w:val="00A41CFB"/>
    <w:rsid w:val="00A42349"/>
    <w:rsid w:val="00A429B4"/>
    <w:rsid w:val="00A43476"/>
    <w:rsid w:val="00A4499C"/>
    <w:rsid w:val="00A44F56"/>
    <w:rsid w:val="00A4586B"/>
    <w:rsid w:val="00A458DA"/>
    <w:rsid w:val="00A45E3B"/>
    <w:rsid w:val="00A466F7"/>
    <w:rsid w:val="00A4694B"/>
    <w:rsid w:val="00A4722F"/>
    <w:rsid w:val="00A476CC"/>
    <w:rsid w:val="00A47BDB"/>
    <w:rsid w:val="00A505BD"/>
    <w:rsid w:val="00A506CC"/>
    <w:rsid w:val="00A50C4A"/>
    <w:rsid w:val="00A50C5B"/>
    <w:rsid w:val="00A52974"/>
    <w:rsid w:val="00A53411"/>
    <w:rsid w:val="00A53725"/>
    <w:rsid w:val="00A53735"/>
    <w:rsid w:val="00A53A7A"/>
    <w:rsid w:val="00A54727"/>
    <w:rsid w:val="00A54C88"/>
    <w:rsid w:val="00A54FC1"/>
    <w:rsid w:val="00A55056"/>
    <w:rsid w:val="00A550D2"/>
    <w:rsid w:val="00A5527F"/>
    <w:rsid w:val="00A556A3"/>
    <w:rsid w:val="00A55936"/>
    <w:rsid w:val="00A55E5E"/>
    <w:rsid w:val="00A55F84"/>
    <w:rsid w:val="00A567E3"/>
    <w:rsid w:val="00A56BD3"/>
    <w:rsid w:val="00A56E86"/>
    <w:rsid w:val="00A574F1"/>
    <w:rsid w:val="00A60369"/>
    <w:rsid w:val="00A61507"/>
    <w:rsid w:val="00A617D5"/>
    <w:rsid w:val="00A61C16"/>
    <w:rsid w:val="00A61D7B"/>
    <w:rsid w:val="00A61EDC"/>
    <w:rsid w:val="00A622A5"/>
    <w:rsid w:val="00A62C6A"/>
    <w:rsid w:val="00A64B46"/>
    <w:rsid w:val="00A655D9"/>
    <w:rsid w:val="00A65E4A"/>
    <w:rsid w:val="00A6608C"/>
    <w:rsid w:val="00A6655C"/>
    <w:rsid w:val="00A6679A"/>
    <w:rsid w:val="00A668B1"/>
    <w:rsid w:val="00A67384"/>
    <w:rsid w:val="00A67704"/>
    <w:rsid w:val="00A678D5"/>
    <w:rsid w:val="00A70318"/>
    <w:rsid w:val="00A70463"/>
    <w:rsid w:val="00A70576"/>
    <w:rsid w:val="00A70EA5"/>
    <w:rsid w:val="00A70EC8"/>
    <w:rsid w:val="00A716C2"/>
    <w:rsid w:val="00A71A1D"/>
    <w:rsid w:val="00A72401"/>
    <w:rsid w:val="00A72A24"/>
    <w:rsid w:val="00A72B1C"/>
    <w:rsid w:val="00A739A5"/>
    <w:rsid w:val="00A73B59"/>
    <w:rsid w:val="00A73C50"/>
    <w:rsid w:val="00A73D03"/>
    <w:rsid w:val="00A73F8C"/>
    <w:rsid w:val="00A742EF"/>
    <w:rsid w:val="00A7435B"/>
    <w:rsid w:val="00A74637"/>
    <w:rsid w:val="00A7484A"/>
    <w:rsid w:val="00A74FB9"/>
    <w:rsid w:val="00A75432"/>
    <w:rsid w:val="00A7662C"/>
    <w:rsid w:val="00A7666A"/>
    <w:rsid w:val="00A76BD8"/>
    <w:rsid w:val="00A77629"/>
    <w:rsid w:val="00A77664"/>
    <w:rsid w:val="00A77FE5"/>
    <w:rsid w:val="00A808EB"/>
    <w:rsid w:val="00A816B4"/>
    <w:rsid w:val="00A816C8"/>
    <w:rsid w:val="00A818D7"/>
    <w:rsid w:val="00A81B75"/>
    <w:rsid w:val="00A820D2"/>
    <w:rsid w:val="00A82558"/>
    <w:rsid w:val="00A829F8"/>
    <w:rsid w:val="00A82FCA"/>
    <w:rsid w:val="00A83905"/>
    <w:rsid w:val="00A83B5E"/>
    <w:rsid w:val="00A84014"/>
    <w:rsid w:val="00A8427B"/>
    <w:rsid w:val="00A845C5"/>
    <w:rsid w:val="00A85797"/>
    <w:rsid w:val="00A85EE2"/>
    <w:rsid w:val="00A86AA2"/>
    <w:rsid w:val="00A86AD1"/>
    <w:rsid w:val="00A86F39"/>
    <w:rsid w:val="00A872C6"/>
    <w:rsid w:val="00A8763E"/>
    <w:rsid w:val="00A8791F"/>
    <w:rsid w:val="00A87947"/>
    <w:rsid w:val="00A87DDB"/>
    <w:rsid w:val="00A87F10"/>
    <w:rsid w:val="00A9022F"/>
    <w:rsid w:val="00A9024A"/>
    <w:rsid w:val="00A90805"/>
    <w:rsid w:val="00A908F9"/>
    <w:rsid w:val="00A90BE6"/>
    <w:rsid w:val="00A914F9"/>
    <w:rsid w:val="00A91871"/>
    <w:rsid w:val="00A91950"/>
    <w:rsid w:val="00A91CEE"/>
    <w:rsid w:val="00A91EAA"/>
    <w:rsid w:val="00A923F3"/>
    <w:rsid w:val="00A92514"/>
    <w:rsid w:val="00A92E18"/>
    <w:rsid w:val="00A955B8"/>
    <w:rsid w:val="00A95EB5"/>
    <w:rsid w:val="00A963B6"/>
    <w:rsid w:val="00A96973"/>
    <w:rsid w:val="00A97004"/>
    <w:rsid w:val="00A97122"/>
    <w:rsid w:val="00A97561"/>
    <w:rsid w:val="00A97630"/>
    <w:rsid w:val="00A979CF"/>
    <w:rsid w:val="00A97DFB"/>
    <w:rsid w:val="00AA00C6"/>
    <w:rsid w:val="00AA017E"/>
    <w:rsid w:val="00AA05DB"/>
    <w:rsid w:val="00AA0B7E"/>
    <w:rsid w:val="00AA0EA7"/>
    <w:rsid w:val="00AA112F"/>
    <w:rsid w:val="00AA1248"/>
    <w:rsid w:val="00AA12DB"/>
    <w:rsid w:val="00AA169D"/>
    <w:rsid w:val="00AA1A5E"/>
    <w:rsid w:val="00AA1DE6"/>
    <w:rsid w:val="00AA215E"/>
    <w:rsid w:val="00AA2612"/>
    <w:rsid w:val="00AA2AE6"/>
    <w:rsid w:val="00AA2B25"/>
    <w:rsid w:val="00AA3996"/>
    <w:rsid w:val="00AA3EA2"/>
    <w:rsid w:val="00AA3FB7"/>
    <w:rsid w:val="00AA64ED"/>
    <w:rsid w:val="00AA6555"/>
    <w:rsid w:val="00AA65BC"/>
    <w:rsid w:val="00AA65C1"/>
    <w:rsid w:val="00AA6C51"/>
    <w:rsid w:val="00AA75BF"/>
    <w:rsid w:val="00AA7BBD"/>
    <w:rsid w:val="00AB0091"/>
    <w:rsid w:val="00AB08AC"/>
    <w:rsid w:val="00AB0B35"/>
    <w:rsid w:val="00AB1D36"/>
    <w:rsid w:val="00AB1F4D"/>
    <w:rsid w:val="00AB2157"/>
    <w:rsid w:val="00AB22BA"/>
    <w:rsid w:val="00AB3C5E"/>
    <w:rsid w:val="00AB4160"/>
    <w:rsid w:val="00AB4509"/>
    <w:rsid w:val="00AB45E3"/>
    <w:rsid w:val="00AB4B7F"/>
    <w:rsid w:val="00AB52B6"/>
    <w:rsid w:val="00AB58D3"/>
    <w:rsid w:val="00AB5B84"/>
    <w:rsid w:val="00AB5FE5"/>
    <w:rsid w:val="00AB6020"/>
    <w:rsid w:val="00AB65FB"/>
    <w:rsid w:val="00AB683F"/>
    <w:rsid w:val="00AB6C5A"/>
    <w:rsid w:val="00AB6D72"/>
    <w:rsid w:val="00AB6F5E"/>
    <w:rsid w:val="00AB71CD"/>
    <w:rsid w:val="00AB751E"/>
    <w:rsid w:val="00AB7586"/>
    <w:rsid w:val="00AB7B17"/>
    <w:rsid w:val="00AC13B0"/>
    <w:rsid w:val="00AC16B8"/>
    <w:rsid w:val="00AC1DE3"/>
    <w:rsid w:val="00AC233A"/>
    <w:rsid w:val="00AC2529"/>
    <w:rsid w:val="00AC27FD"/>
    <w:rsid w:val="00AC295C"/>
    <w:rsid w:val="00AC2ED1"/>
    <w:rsid w:val="00AC30C7"/>
    <w:rsid w:val="00AC341C"/>
    <w:rsid w:val="00AC35D4"/>
    <w:rsid w:val="00AC4265"/>
    <w:rsid w:val="00AC46B8"/>
    <w:rsid w:val="00AC473E"/>
    <w:rsid w:val="00AC47A7"/>
    <w:rsid w:val="00AC4902"/>
    <w:rsid w:val="00AC4AA1"/>
    <w:rsid w:val="00AC5055"/>
    <w:rsid w:val="00AC641B"/>
    <w:rsid w:val="00AC6771"/>
    <w:rsid w:val="00AC68E7"/>
    <w:rsid w:val="00AC6F46"/>
    <w:rsid w:val="00AC7720"/>
    <w:rsid w:val="00AC7B56"/>
    <w:rsid w:val="00AD078E"/>
    <w:rsid w:val="00AD0ACF"/>
    <w:rsid w:val="00AD0E4B"/>
    <w:rsid w:val="00AD14C1"/>
    <w:rsid w:val="00AD3126"/>
    <w:rsid w:val="00AD347E"/>
    <w:rsid w:val="00AD351A"/>
    <w:rsid w:val="00AD3B2C"/>
    <w:rsid w:val="00AD3B89"/>
    <w:rsid w:val="00AD4316"/>
    <w:rsid w:val="00AD492A"/>
    <w:rsid w:val="00AD4C95"/>
    <w:rsid w:val="00AD521C"/>
    <w:rsid w:val="00AD53EC"/>
    <w:rsid w:val="00AD652F"/>
    <w:rsid w:val="00AD728F"/>
    <w:rsid w:val="00AD7465"/>
    <w:rsid w:val="00AD7726"/>
    <w:rsid w:val="00AD7DF2"/>
    <w:rsid w:val="00AE1541"/>
    <w:rsid w:val="00AE185A"/>
    <w:rsid w:val="00AE1883"/>
    <w:rsid w:val="00AE1EEF"/>
    <w:rsid w:val="00AE23BF"/>
    <w:rsid w:val="00AE2836"/>
    <w:rsid w:val="00AE2E91"/>
    <w:rsid w:val="00AE3048"/>
    <w:rsid w:val="00AE3F68"/>
    <w:rsid w:val="00AE5306"/>
    <w:rsid w:val="00AE593C"/>
    <w:rsid w:val="00AE59B4"/>
    <w:rsid w:val="00AE5DE3"/>
    <w:rsid w:val="00AE63E6"/>
    <w:rsid w:val="00AE6428"/>
    <w:rsid w:val="00AE6448"/>
    <w:rsid w:val="00AE69FC"/>
    <w:rsid w:val="00AE7297"/>
    <w:rsid w:val="00AE75C1"/>
    <w:rsid w:val="00AE7C3B"/>
    <w:rsid w:val="00AE7D2E"/>
    <w:rsid w:val="00AF00FE"/>
    <w:rsid w:val="00AF0204"/>
    <w:rsid w:val="00AF15AA"/>
    <w:rsid w:val="00AF16B5"/>
    <w:rsid w:val="00AF1747"/>
    <w:rsid w:val="00AF1D12"/>
    <w:rsid w:val="00AF1F56"/>
    <w:rsid w:val="00AF222E"/>
    <w:rsid w:val="00AF22E9"/>
    <w:rsid w:val="00AF246B"/>
    <w:rsid w:val="00AF273D"/>
    <w:rsid w:val="00AF2B77"/>
    <w:rsid w:val="00AF3139"/>
    <w:rsid w:val="00AF3C66"/>
    <w:rsid w:val="00AF3C9E"/>
    <w:rsid w:val="00AF3D86"/>
    <w:rsid w:val="00AF4C48"/>
    <w:rsid w:val="00AF575D"/>
    <w:rsid w:val="00AF5A79"/>
    <w:rsid w:val="00AF608D"/>
    <w:rsid w:val="00AF6355"/>
    <w:rsid w:val="00AF698D"/>
    <w:rsid w:val="00AF6B10"/>
    <w:rsid w:val="00AF6F62"/>
    <w:rsid w:val="00AF70BE"/>
    <w:rsid w:val="00AF79C9"/>
    <w:rsid w:val="00AF7A8E"/>
    <w:rsid w:val="00B005D1"/>
    <w:rsid w:val="00B00704"/>
    <w:rsid w:val="00B009F3"/>
    <w:rsid w:val="00B00CDE"/>
    <w:rsid w:val="00B00F1D"/>
    <w:rsid w:val="00B01448"/>
    <w:rsid w:val="00B0204C"/>
    <w:rsid w:val="00B02EA9"/>
    <w:rsid w:val="00B03493"/>
    <w:rsid w:val="00B036FE"/>
    <w:rsid w:val="00B04032"/>
    <w:rsid w:val="00B05646"/>
    <w:rsid w:val="00B05D17"/>
    <w:rsid w:val="00B0657B"/>
    <w:rsid w:val="00B067DE"/>
    <w:rsid w:val="00B079FB"/>
    <w:rsid w:val="00B07B61"/>
    <w:rsid w:val="00B07C53"/>
    <w:rsid w:val="00B1032E"/>
    <w:rsid w:val="00B1040D"/>
    <w:rsid w:val="00B109E3"/>
    <w:rsid w:val="00B1105A"/>
    <w:rsid w:val="00B11390"/>
    <w:rsid w:val="00B11624"/>
    <w:rsid w:val="00B12064"/>
    <w:rsid w:val="00B122B1"/>
    <w:rsid w:val="00B1265D"/>
    <w:rsid w:val="00B12C7A"/>
    <w:rsid w:val="00B13842"/>
    <w:rsid w:val="00B13CFE"/>
    <w:rsid w:val="00B14A0E"/>
    <w:rsid w:val="00B14A91"/>
    <w:rsid w:val="00B14C66"/>
    <w:rsid w:val="00B15CBB"/>
    <w:rsid w:val="00B1634F"/>
    <w:rsid w:val="00B16474"/>
    <w:rsid w:val="00B16955"/>
    <w:rsid w:val="00B16A5B"/>
    <w:rsid w:val="00B17B70"/>
    <w:rsid w:val="00B17DB7"/>
    <w:rsid w:val="00B17FCA"/>
    <w:rsid w:val="00B202CC"/>
    <w:rsid w:val="00B204E6"/>
    <w:rsid w:val="00B20B4C"/>
    <w:rsid w:val="00B218E5"/>
    <w:rsid w:val="00B22B68"/>
    <w:rsid w:val="00B2368F"/>
    <w:rsid w:val="00B24A47"/>
    <w:rsid w:val="00B2560D"/>
    <w:rsid w:val="00B25923"/>
    <w:rsid w:val="00B25A72"/>
    <w:rsid w:val="00B2649D"/>
    <w:rsid w:val="00B26698"/>
    <w:rsid w:val="00B26A3B"/>
    <w:rsid w:val="00B26D60"/>
    <w:rsid w:val="00B26E38"/>
    <w:rsid w:val="00B26EC3"/>
    <w:rsid w:val="00B27942"/>
    <w:rsid w:val="00B27C13"/>
    <w:rsid w:val="00B30C3F"/>
    <w:rsid w:val="00B30D5D"/>
    <w:rsid w:val="00B30E5A"/>
    <w:rsid w:val="00B31D9A"/>
    <w:rsid w:val="00B32536"/>
    <w:rsid w:val="00B328D1"/>
    <w:rsid w:val="00B32EF0"/>
    <w:rsid w:val="00B33E1C"/>
    <w:rsid w:val="00B3444B"/>
    <w:rsid w:val="00B34E19"/>
    <w:rsid w:val="00B34F5C"/>
    <w:rsid w:val="00B351AA"/>
    <w:rsid w:val="00B354A8"/>
    <w:rsid w:val="00B35D32"/>
    <w:rsid w:val="00B35DA2"/>
    <w:rsid w:val="00B3670B"/>
    <w:rsid w:val="00B36F7B"/>
    <w:rsid w:val="00B370E0"/>
    <w:rsid w:val="00B3717C"/>
    <w:rsid w:val="00B37299"/>
    <w:rsid w:val="00B376E3"/>
    <w:rsid w:val="00B4022F"/>
    <w:rsid w:val="00B404A0"/>
    <w:rsid w:val="00B40537"/>
    <w:rsid w:val="00B40548"/>
    <w:rsid w:val="00B407DC"/>
    <w:rsid w:val="00B40FC9"/>
    <w:rsid w:val="00B41D7C"/>
    <w:rsid w:val="00B41DAE"/>
    <w:rsid w:val="00B4241E"/>
    <w:rsid w:val="00B42776"/>
    <w:rsid w:val="00B42D2B"/>
    <w:rsid w:val="00B430B3"/>
    <w:rsid w:val="00B43325"/>
    <w:rsid w:val="00B43452"/>
    <w:rsid w:val="00B440B9"/>
    <w:rsid w:val="00B441A0"/>
    <w:rsid w:val="00B448C0"/>
    <w:rsid w:val="00B44E05"/>
    <w:rsid w:val="00B4688E"/>
    <w:rsid w:val="00B46DAB"/>
    <w:rsid w:val="00B47605"/>
    <w:rsid w:val="00B47B55"/>
    <w:rsid w:val="00B50437"/>
    <w:rsid w:val="00B50558"/>
    <w:rsid w:val="00B50BF6"/>
    <w:rsid w:val="00B50D48"/>
    <w:rsid w:val="00B50F09"/>
    <w:rsid w:val="00B51CED"/>
    <w:rsid w:val="00B51F1F"/>
    <w:rsid w:val="00B520A1"/>
    <w:rsid w:val="00B521BC"/>
    <w:rsid w:val="00B524EC"/>
    <w:rsid w:val="00B525D7"/>
    <w:rsid w:val="00B52714"/>
    <w:rsid w:val="00B527BA"/>
    <w:rsid w:val="00B5320E"/>
    <w:rsid w:val="00B53569"/>
    <w:rsid w:val="00B539A3"/>
    <w:rsid w:val="00B53C21"/>
    <w:rsid w:val="00B53E34"/>
    <w:rsid w:val="00B5419B"/>
    <w:rsid w:val="00B54E81"/>
    <w:rsid w:val="00B55083"/>
    <w:rsid w:val="00B5508D"/>
    <w:rsid w:val="00B55C8B"/>
    <w:rsid w:val="00B55D68"/>
    <w:rsid w:val="00B56C39"/>
    <w:rsid w:val="00B571C1"/>
    <w:rsid w:val="00B57C27"/>
    <w:rsid w:val="00B608DA"/>
    <w:rsid w:val="00B61B5F"/>
    <w:rsid w:val="00B61C51"/>
    <w:rsid w:val="00B61D63"/>
    <w:rsid w:val="00B6368E"/>
    <w:rsid w:val="00B63FB4"/>
    <w:rsid w:val="00B64E88"/>
    <w:rsid w:val="00B656F8"/>
    <w:rsid w:val="00B658C9"/>
    <w:rsid w:val="00B65E4D"/>
    <w:rsid w:val="00B66020"/>
    <w:rsid w:val="00B668DD"/>
    <w:rsid w:val="00B66914"/>
    <w:rsid w:val="00B66C0B"/>
    <w:rsid w:val="00B66F1C"/>
    <w:rsid w:val="00B672E4"/>
    <w:rsid w:val="00B674ED"/>
    <w:rsid w:val="00B67659"/>
    <w:rsid w:val="00B7007A"/>
    <w:rsid w:val="00B703A5"/>
    <w:rsid w:val="00B7069A"/>
    <w:rsid w:val="00B70A16"/>
    <w:rsid w:val="00B70B57"/>
    <w:rsid w:val="00B710C6"/>
    <w:rsid w:val="00B720E3"/>
    <w:rsid w:val="00B7266C"/>
    <w:rsid w:val="00B72A11"/>
    <w:rsid w:val="00B72DE1"/>
    <w:rsid w:val="00B72F73"/>
    <w:rsid w:val="00B735C8"/>
    <w:rsid w:val="00B739C1"/>
    <w:rsid w:val="00B73F24"/>
    <w:rsid w:val="00B741EE"/>
    <w:rsid w:val="00B743A2"/>
    <w:rsid w:val="00B74513"/>
    <w:rsid w:val="00B74816"/>
    <w:rsid w:val="00B74BF2"/>
    <w:rsid w:val="00B74E51"/>
    <w:rsid w:val="00B75556"/>
    <w:rsid w:val="00B75AB5"/>
    <w:rsid w:val="00B75D41"/>
    <w:rsid w:val="00B76979"/>
    <w:rsid w:val="00B76C8C"/>
    <w:rsid w:val="00B76DAA"/>
    <w:rsid w:val="00B772D3"/>
    <w:rsid w:val="00B7759B"/>
    <w:rsid w:val="00B77BEB"/>
    <w:rsid w:val="00B77ED7"/>
    <w:rsid w:val="00B80A48"/>
    <w:rsid w:val="00B80DE8"/>
    <w:rsid w:val="00B80FC3"/>
    <w:rsid w:val="00B810A2"/>
    <w:rsid w:val="00B81312"/>
    <w:rsid w:val="00B82244"/>
    <w:rsid w:val="00B8275A"/>
    <w:rsid w:val="00B82D94"/>
    <w:rsid w:val="00B8314D"/>
    <w:rsid w:val="00B8319F"/>
    <w:rsid w:val="00B83217"/>
    <w:rsid w:val="00B8343A"/>
    <w:rsid w:val="00B842CC"/>
    <w:rsid w:val="00B843EB"/>
    <w:rsid w:val="00B847CB"/>
    <w:rsid w:val="00B85A07"/>
    <w:rsid w:val="00B86704"/>
    <w:rsid w:val="00B86B87"/>
    <w:rsid w:val="00B86D04"/>
    <w:rsid w:val="00B906D2"/>
    <w:rsid w:val="00B9073C"/>
    <w:rsid w:val="00B90847"/>
    <w:rsid w:val="00B90BDF"/>
    <w:rsid w:val="00B915EC"/>
    <w:rsid w:val="00B91B7E"/>
    <w:rsid w:val="00B91B9E"/>
    <w:rsid w:val="00B91C63"/>
    <w:rsid w:val="00B92A15"/>
    <w:rsid w:val="00B92D4F"/>
    <w:rsid w:val="00B92FB0"/>
    <w:rsid w:val="00B936F4"/>
    <w:rsid w:val="00B939D1"/>
    <w:rsid w:val="00B93A05"/>
    <w:rsid w:val="00B93A94"/>
    <w:rsid w:val="00B94155"/>
    <w:rsid w:val="00B9454B"/>
    <w:rsid w:val="00B946F9"/>
    <w:rsid w:val="00B95408"/>
    <w:rsid w:val="00B95544"/>
    <w:rsid w:val="00B955D9"/>
    <w:rsid w:val="00B95EC8"/>
    <w:rsid w:val="00B96337"/>
    <w:rsid w:val="00B96464"/>
    <w:rsid w:val="00B96560"/>
    <w:rsid w:val="00B968C7"/>
    <w:rsid w:val="00B968F1"/>
    <w:rsid w:val="00B978B1"/>
    <w:rsid w:val="00BA0003"/>
    <w:rsid w:val="00BA032C"/>
    <w:rsid w:val="00BA0CD2"/>
    <w:rsid w:val="00BA0E41"/>
    <w:rsid w:val="00BA132C"/>
    <w:rsid w:val="00BA150E"/>
    <w:rsid w:val="00BA182F"/>
    <w:rsid w:val="00BA1FE0"/>
    <w:rsid w:val="00BA2211"/>
    <w:rsid w:val="00BA2D5C"/>
    <w:rsid w:val="00BA35C5"/>
    <w:rsid w:val="00BA38E5"/>
    <w:rsid w:val="00BA398D"/>
    <w:rsid w:val="00BA475F"/>
    <w:rsid w:val="00BA4E62"/>
    <w:rsid w:val="00BA531F"/>
    <w:rsid w:val="00BA5CFA"/>
    <w:rsid w:val="00BA6073"/>
    <w:rsid w:val="00BA6406"/>
    <w:rsid w:val="00BA6904"/>
    <w:rsid w:val="00BA6950"/>
    <w:rsid w:val="00BA6F09"/>
    <w:rsid w:val="00BA6FFE"/>
    <w:rsid w:val="00BA7156"/>
    <w:rsid w:val="00BA724F"/>
    <w:rsid w:val="00BA7A1C"/>
    <w:rsid w:val="00BA7B18"/>
    <w:rsid w:val="00BA7EDC"/>
    <w:rsid w:val="00BB036F"/>
    <w:rsid w:val="00BB14CC"/>
    <w:rsid w:val="00BB1765"/>
    <w:rsid w:val="00BB1D8D"/>
    <w:rsid w:val="00BB230F"/>
    <w:rsid w:val="00BB28F2"/>
    <w:rsid w:val="00BB3C44"/>
    <w:rsid w:val="00BB471F"/>
    <w:rsid w:val="00BB47F2"/>
    <w:rsid w:val="00BB583B"/>
    <w:rsid w:val="00BB5FC9"/>
    <w:rsid w:val="00BB6295"/>
    <w:rsid w:val="00BB636B"/>
    <w:rsid w:val="00BB6A85"/>
    <w:rsid w:val="00BB6C32"/>
    <w:rsid w:val="00BB6C82"/>
    <w:rsid w:val="00BC0257"/>
    <w:rsid w:val="00BC039B"/>
    <w:rsid w:val="00BC109B"/>
    <w:rsid w:val="00BC1190"/>
    <w:rsid w:val="00BC18EF"/>
    <w:rsid w:val="00BC1E05"/>
    <w:rsid w:val="00BC2D4C"/>
    <w:rsid w:val="00BC30CD"/>
    <w:rsid w:val="00BC3196"/>
    <w:rsid w:val="00BC3298"/>
    <w:rsid w:val="00BC399E"/>
    <w:rsid w:val="00BC3CDE"/>
    <w:rsid w:val="00BC3D40"/>
    <w:rsid w:val="00BC4375"/>
    <w:rsid w:val="00BC4498"/>
    <w:rsid w:val="00BC5BB5"/>
    <w:rsid w:val="00BC5DC4"/>
    <w:rsid w:val="00BC62C3"/>
    <w:rsid w:val="00BC67EE"/>
    <w:rsid w:val="00BC6BB5"/>
    <w:rsid w:val="00BC6FD0"/>
    <w:rsid w:val="00BC7090"/>
    <w:rsid w:val="00BC70F0"/>
    <w:rsid w:val="00BC7211"/>
    <w:rsid w:val="00BC7B06"/>
    <w:rsid w:val="00BC7C37"/>
    <w:rsid w:val="00BC7EC8"/>
    <w:rsid w:val="00BD01B5"/>
    <w:rsid w:val="00BD02E9"/>
    <w:rsid w:val="00BD09AD"/>
    <w:rsid w:val="00BD125F"/>
    <w:rsid w:val="00BD16A3"/>
    <w:rsid w:val="00BD23D0"/>
    <w:rsid w:val="00BD2A21"/>
    <w:rsid w:val="00BD33DD"/>
    <w:rsid w:val="00BD5039"/>
    <w:rsid w:val="00BD55D2"/>
    <w:rsid w:val="00BD5713"/>
    <w:rsid w:val="00BD5D44"/>
    <w:rsid w:val="00BD65D6"/>
    <w:rsid w:val="00BD6964"/>
    <w:rsid w:val="00BD6A85"/>
    <w:rsid w:val="00BD7830"/>
    <w:rsid w:val="00BD7881"/>
    <w:rsid w:val="00BE032D"/>
    <w:rsid w:val="00BE0BB1"/>
    <w:rsid w:val="00BE1612"/>
    <w:rsid w:val="00BE1B43"/>
    <w:rsid w:val="00BE2417"/>
    <w:rsid w:val="00BE322F"/>
    <w:rsid w:val="00BE35FC"/>
    <w:rsid w:val="00BE383F"/>
    <w:rsid w:val="00BE3F0E"/>
    <w:rsid w:val="00BE4121"/>
    <w:rsid w:val="00BE455B"/>
    <w:rsid w:val="00BE5932"/>
    <w:rsid w:val="00BE5AC4"/>
    <w:rsid w:val="00BE6156"/>
    <w:rsid w:val="00BE680E"/>
    <w:rsid w:val="00BE6F79"/>
    <w:rsid w:val="00BE705D"/>
    <w:rsid w:val="00BE7250"/>
    <w:rsid w:val="00BE77E6"/>
    <w:rsid w:val="00BE7ACA"/>
    <w:rsid w:val="00BF1253"/>
    <w:rsid w:val="00BF1268"/>
    <w:rsid w:val="00BF12C0"/>
    <w:rsid w:val="00BF1B5C"/>
    <w:rsid w:val="00BF220A"/>
    <w:rsid w:val="00BF2501"/>
    <w:rsid w:val="00BF2864"/>
    <w:rsid w:val="00BF2B61"/>
    <w:rsid w:val="00BF2DE1"/>
    <w:rsid w:val="00BF3481"/>
    <w:rsid w:val="00BF3516"/>
    <w:rsid w:val="00BF3790"/>
    <w:rsid w:val="00BF39FF"/>
    <w:rsid w:val="00BF3E9B"/>
    <w:rsid w:val="00BF4618"/>
    <w:rsid w:val="00BF47FE"/>
    <w:rsid w:val="00BF4A41"/>
    <w:rsid w:val="00BF50AA"/>
    <w:rsid w:val="00BF54C3"/>
    <w:rsid w:val="00BF5AE4"/>
    <w:rsid w:val="00BF5DD4"/>
    <w:rsid w:val="00BF635F"/>
    <w:rsid w:val="00BF64A8"/>
    <w:rsid w:val="00BF68A8"/>
    <w:rsid w:val="00BF697B"/>
    <w:rsid w:val="00BF757B"/>
    <w:rsid w:val="00BF77F2"/>
    <w:rsid w:val="00BF7C90"/>
    <w:rsid w:val="00BF7D0A"/>
    <w:rsid w:val="00C00E3D"/>
    <w:rsid w:val="00C0120C"/>
    <w:rsid w:val="00C012BE"/>
    <w:rsid w:val="00C015BA"/>
    <w:rsid w:val="00C019A5"/>
    <w:rsid w:val="00C01C0A"/>
    <w:rsid w:val="00C01C48"/>
    <w:rsid w:val="00C020DC"/>
    <w:rsid w:val="00C02215"/>
    <w:rsid w:val="00C025D5"/>
    <w:rsid w:val="00C02FEB"/>
    <w:rsid w:val="00C04AC7"/>
    <w:rsid w:val="00C05AD3"/>
    <w:rsid w:val="00C0725E"/>
    <w:rsid w:val="00C0770A"/>
    <w:rsid w:val="00C07899"/>
    <w:rsid w:val="00C07A06"/>
    <w:rsid w:val="00C07AAD"/>
    <w:rsid w:val="00C10B07"/>
    <w:rsid w:val="00C11384"/>
    <w:rsid w:val="00C1168D"/>
    <w:rsid w:val="00C124C8"/>
    <w:rsid w:val="00C14622"/>
    <w:rsid w:val="00C16072"/>
    <w:rsid w:val="00C169BC"/>
    <w:rsid w:val="00C16D54"/>
    <w:rsid w:val="00C16DA0"/>
    <w:rsid w:val="00C17771"/>
    <w:rsid w:val="00C204AE"/>
    <w:rsid w:val="00C213BF"/>
    <w:rsid w:val="00C21607"/>
    <w:rsid w:val="00C2169C"/>
    <w:rsid w:val="00C21765"/>
    <w:rsid w:val="00C21831"/>
    <w:rsid w:val="00C2240E"/>
    <w:rsid w:val="00C226C0"/>
    <w:rsid w:val="00C22B27"/>
    <w:rsid w:val="00C23276"/>
    <w:rsid w:val="00C23A43"/>
    <w:rsid w:val="00C2495C"/>
    <w:rsid w:val="00C2496F"/>
    <w:rsid w:val="00C24CA6"/>
    <w:rsid w:val="00C2514A"/>
    <w:rsid w:val="00C25281"/>
    <w:rsid w:val="00C25371"/>
    <w:rsid w:val="00C25621"/>
    <w:rsid w:val="00C2585B"/>
    <w:rsid w:val="00C262C6"/>
    <w:rsid w:val="00C267C8"/>
    <w:rsid w:val="00C274FA"/>
    <w:rsid w:val="00C27938"/>
    <w:rsid w:val="00C3009D"/>
    <w:rsid w:val="00C30D8A"/>
    <w:rsid w:val="00C30DD0"/>
    <w:rsid w:val="00C3255A"/>
    <w:rsid w:val="00C32BDF"/>
    <w:rsid w:val="00C32DEE"/>
    <w:rsid w:val="00C3315A"/>
    <w:rsid w:val="00C34285"/>
    <w:rsid w:val="00C34848"/>
    <w:rsid w:val="00C3498D"/>
    <w:rsid w:val="00C34B2E"/>
    <w:rsid w:val="00C34C36"/>
    <w:rsid w:val="00C34F34"/>
    <w:rsid w:val="00C35370"/>
    <w:rsid w:val="00C35EDF"/>
    <w:rsid w:val="00C36761"/>
    <w:rsid w:val="00C3689A"/>
    <w:rsid w:val="00C36910"/>
    <w:rsid w:val="00C36C01"/>
    <w:rsid w:val="00C36D78"/>
    <w:rsid w:val="00C37CFF"/>
    <w:rsid w:val="00C40496"/>
    <w:rsid w:val="00C4049C"/>
    <w:rsid w:val="00C40791"/>
    <w:rsid w:val="00C40DDD"/>
    <w:rsid w:val="00C426CA"/>
    <w:rsid w:val="00C429A6"/>
    <w:rsid w:val="00C4313B"/>
    <w:rsid w:val="00C43216"/>
    <w:rsid w:val="00C432A4"/>
    <w:rsid w:val="00C43415"/>
    <w:rsid w:val="00C44359"/>
    <w:rsid w:val="00C4453D"/>
    <w:rsid w:val="00C4479E"/>
    <w:rsid w:val="00C448AA"/>
    <w:rsid w:val="00C44F97"/>
    <w:rsid w:val="00C45A7A"/>
    <w:rsid w:val="00C45B47"/>
    <w:rsid w:val="00C4694C"/>
    <w:rsid w:val="00C46B37"/>
    <w:rsid w:val="00C47111"/>
    <w:rsid w:val="00C471B2"/>
    <w:rsid w:val="00C47786"/>
    <w:rsid w:val="00C47797"/>
    <w:rsid w:val="00C50632"/>
    <w:rsid w:val="00C50648"/>
    <w:rsid w:val="00C515EA"/>
    <w:rsid w:val="00C516ED"/>
    <w:rsid w:val="00C51831"/>
    <w:rsid w:val="00C51F6F"/>
    <w:rsid w:val="00C53223"/>
    <w:rsid w:val="00C53506"/>
    <w:rsid w:val="00C536FA"/>
    <w:rsid w:val="00C53D23"/>
    <w:rsid w:val="00C548B6"/>
    <w:rsid w:val="00C54C18"/>
    <w:rsid w:val="00C559C3"/>
    <w:rsid w:val="00C55F61"/>
    <w:rsid w:val="00C5650F"/>
    <w:rsid w:val="00C56748"/>
    <w:rsid w:val="00C56EDB"/>
    <w:rsid w:val="00C571B1"/>
    <w:rsid w:val="00C5744D"/>
    <w:rsid w:val="00C577AE"/>
    <w:rsid w:val="00C57BD3"/>
    <w:rsid w:val="00C617BB"/>
    <w:rsid w:val="00C618D1"/>
    <w:rsid w:val="00C61AFE"/>
    <w:rsid w:val="00C61B09"/>
    <w:rsid w:val="00C61C1D"/>
    <w:rsid w:val="00C6229B"/>
    <w:rsid w:val="00C627EE"/>
    <w:rsid w:val="00C62955"/>
    <w:rsid w:val="00C62C62"/>
    <w:rsid w:val="00C62D5B"/>
    <w:rsid w:val="00C6338E"/>
    <w:rsid w:val="00C6388D"/>
    <w:rsid w:val="00C6392A"/>
    <w:rsid w:val="00C63A44"/>
    <w:rsid w:val="00C63E23"/>
    <w:rsid w:val="00C642C3"/>
    <w:rsid w:val="00C6504C"/>
    <w:rsid w:val="00C65106"/>
    <w:rsid w:val="00C66421"/>
    <w:rsid w:val="00C6710E"/>
    <w:rsid w:val="00C676E2"/>
    <w:rsid w:val="00C67B25"/>
    <w:rsid w:val="00C70BDB"/>
    <w:rsid w:val="00C70CBA"/>
    <w:rsid w:val="00C70EA8"/>
    <w:rsid w:val="00C71F82"/>
    <w:rsid w:val="00C71FA4"/>
    <w:rsid w:val="00C728A0"/>
    <w:rsid w:val="00C7372E"/>
    <w:rsid w:val="00C741EA"/>
    <w:rsid w:val="00C741F8"/>
    <w:rsid w:val="00C74417"/>
    <w:rsid w:val="00C75167"/>
    <w:rsid w:val="00C7587D"/>
    <w:rsid w:val="00C76129"/>
    <w:rsid w:val="00C76735"/>
    <w:rsid w:val="00C77160"/>
    <w:rsid w:val="00C77BD6"/>
    <w:rsid w:val="00C77ECC"/>
    <w:rsid w:val="00C77F8A"/>
    <w:rsid w:val="00C80790"/>
    <w:rsid w:val="00C80834"/>
    <w:rsid w:val="00C81031"/>
    <w:rsid w:val="00C8123F"/>
    <w:rsid w:val="00C81697"/>
    <w:rsid w:val="00C816F9"/>
    <w:rsid w:val="00C81F4F"/>
    <w:rsid w:val="00C82C9F"/>
    <w:rsid w:val="00C83CBD"/>
    <w:rsid w:val="00C83D35"/>
    <w:rsid w:val="00C83DE3"/>
    <w:rsid w:val="00C847DE"/>
    <w:rsid w:val="00C849B4"/>
    <w:rsid w:val="00C84FD5"/>
    <w:rsid w:val="00C851D6"/>
    <w:rsid w:val="00C853EE"/>
    <w:rsid w:val="00C85FED"/>
    <w:rsid w:val="00C87C71"/>
    <w:rsid w:val="00C90B2A"/>
    <w:rsid w:val="00C91ECC"/>
    <w:rsid w:val="00C91F96"/>
    <w:rsid w:val="00C91FEC"/>
    <w:rsid w:val="00C92022"/>
    <w:rsid w:val="00C92186"/>
    <w:rsid w:val="00C924C6"/>
    <w:rsid w:val="00C92509"/>
    <w:rsid w:val="00C9263C"/>
    <w:rsid w:val="00C929E6"/>
    <w:rsid w:val="00C936BC"/>
    <w:rsid w:val="00C940D9"/>
    <w:rsid w:val="00C9432E"/>
    <w:rsid w:val="00C95EE1"/>
    <w:rsid w:val="00C9611B"/>
    <w:rsid w:val="00C96439"/>
    <w:rsid w:val="00C965A2"/>
    <w:rsid w:val="00C9677B"/>
    <w:rsid w:val="00C96B7D"/>
    <w:rsid w:val="00C96F49"/>
    <w:rsid w:val="00C96FED"/>
    <w:rsid w:val="00C97111"/>
    <w:rsid w:val="00C973AE"/>
    <w:rsid w:val="00C973BA"/>
    <w:rsid w:val="00C9742C"/>
    <w:rsid w:val="00CA0A43"/>
    <w:rsid w:val="00CA112B"/>
    <w:rsid w:val="00CA30E8"/>
    <w:rsid w:val="00CA3578"/>
    <w:rsid w:val="00CA4E04"/>
    <w:rsid w:val="00CA4FFB"/>
    <w:rsid w:val="00CA5776"/>
    <w:rsid w:val="00CA5BCA"/>
    <w:rsid w:val="00CA7835"/>
    <w:rsid w:val="00CA7DD7"/>
    <w:rsid w:val="00CA7F8B"/>
    <w:rsid w:val="00CB0AA1"/>
    <w:rsid w:val="00CB0C95"/>
    <w:rsid w:val="00CB146C"/>
    <w:rsid w:val="00CB194D"/>
    <w:rsid w:val="00CB1BC5"/>
    <w:rsid w:val="00CB1F4D"/>
    <w:rsid w:val="00CB2385"/>
    <w:rsid w:val="00CB295A"/>
    <w:rsid w:val="00CB2D5D"/>
    <w:rsid w:val="00CB329B"/>
    <w:rsid w:val="00CB4204"/>
    <w:rsid w:val="00CB51FE"/>
    <w:rsid w:val="00CB5C4F"/>
    <w:rsid w:val="00CB6947"/>
    <w:rsid w:val="00CB74D8"/>
    <w:rsid w:val="00CB795F"/>
    <w:rsid w:val="00CB7B23"/>
    <w:rsid w:val="00CC0208"/>
    <w:rsid w:val="00CC08E4"/>
    <w:rsid w:val="00CC1094"/>
    <w:rsid w:val="00CC1BF6"/>
    <w:rsid w:val="00CC2159"/>
    <w:rsid w:val="00CC243D"/>
    <w:rsid w:val="00CC255D"/>
    <w:rsid w:val="00CC25A5"/>
    <w:rsid w:val="00CC2C5E"/>
    <w:rsid w:val="00CC2D02"/>
    <w:rsid w:val="00CC2D33"/>
    <w:rsid w:val="00CC2E3D"/>
    <w:rsid w:val="00CC356D"/>
    <w:rsid w:val="00CC3C67"/>
    <w:rsid w:val="00CC3DFD"/>
    <w:rsid w:val="00CC435A"/>
    <w:rsid w:val="00CC43B6"/>
    <w:rsid w:val="00CC4BD3"/>
    <w:rsid w:val="00CC54DA"/>
    <w:rsid w:val="00CC5F8E"/>
    <w:rsid w:val="00CC60DA"/>
    <w:rsid w:val="00CC79C3"/>
    <w:rsid w:val="00CC7A20"/>
    <w:rsid w:val="00CC7FCC"/>
    <w:rsid w:val="00CD05E8"/>
    <w:rsid w:val="00CD0D0A"/>
    <w:rsid w:val="00CD0F27"/>
    <w:rsid w:val="00CD0F2F"/>
    <w:rsid w:val="00CD11ED"/>
    <w:rsid w:val="00CD13C4"/>
    <w:rsid w:val="00CD1936"/>
    <w:rsid w:val="00CD2241"/>
    <w:rsid w:val="00CD29A7"/>
    <w:rsid w:val="00CD29D1"/>
    <w:rsid w:val="00CD3120"/>
    <w:rsid w:val="00CD3164"/>
    <w:rsid w:val="00CD326D"/>
    <w:rsid w:val="00CD37C6"/>
    <w:rsid w:val="00CD4030"/>
    <w:rsid w:val="00CD408F"/>
    <w:rsid w:val="00CD4EDD"/>
    <w:rsid w:val="00CD4F0D"/>
    <w:rsid w:val="00CD50C8"/>
    <w:rsid w:val="00CD52B8"/>
    <w:rsid w:val="00CD5A5B"/>
    <w:rsid w:val="00CD66E5"/>
    <w:rsid w:val="00CD6E21"/>
    <w:rsid w:val="00CD6EF2"/>
    <w:rsid w:val="00CD74C9"/>
    <w:rsid w:val="00CD74DC"/>
    <w:rsid w:val="00CD7697"/>
    <w:rsid w:val="00CD7711"/>
    <w:rsid w:val="00CD7D9C"/>
    <w:rsid w:val="00CE0B00"/>
    <w:rsid w:val="00CE0F7C"/>
    <w:rsid w:val="00CE1B82"/>
    <w:rsid w:val="00CE1DDA"/>
    <w:rsid w:val="00CE2C1E"/>
    <w:rsid w:val="00CE3159"/>
    <w:rsid w:val="00CE3D35"/>
    <w:rsid w:val="00CE3D48"/>
    <w:rsid w:val="00CE45FD"/>
    <w:rsid w:val="00CE4BB9"/>
    <w:rsid w:val="00CE6681"/>
    <w:rsid w:val="00CE7045"/>
    <w:rsid w:val="00CE729B"/>
    <w:rsid w:val="00CE7347"/>
    <w:rsid w:val="00CE7A35"/>
    <w:rsid w:val="00CE7A4B"/>
    <w:rsid w:val="00CE7B57"/>
    <w:rsid w:val="00CE7E40"/>
    <w:rsid w:val="00CE7E5A"/>
    <w:rsid w:val="00CE7E64"/>
    <w:rsid w:val="00CF0183"/>
    <w:rsid w:val="00CF0669"/>
    <w:rsid w:val="00CF0C4A"/>
    <w:rsid w:val="00CF0D0B"/>
    <w:rsid w:val="00CF1618"/>
    <w:rsid w:val="00CF1672"/>
    <w:rsid w:val="00CF19F7"/>
    <w:rsid w:val="00CF1D07"/>
    <w:rsid w:val="00CF1D29"/>
    <w:rsid w:val="00CF1F4F"/>
    <w:rsid w:val="00CF22D3"/>
    <w:rsid w:val="00CF2404"/>
    <w:rsid w:val="00CF2421"/>
    <w:rsid w:val="00CF270A"/>
    <w:rsid w:val="00CF2C5C"/>
    <w:rsid w:val="00CF2F5C"/>
    <w:rsid w:val="00CF33CA"/>
    <w:rsid w:val="00CF3CC7"/>
    <w:rsid w:val="00CF4B39"/>
    <w:rsid w:val="00CF587E"/>
    <w:rsid w:val="00CF5A62"/>
    <w:rsid w:val="00CF5C57"/>
    <w:rsid w:val="00CF6437"/>
    <w:rsid w:val="00CF65E5"/>
    <w:rsid w:val="00CF6BC1"/>
    <w:rsid w:val="00CF6CE9"/>
    <w:rsid w:val="00CF7001"/>
    <w:rsid w:val="00CF7C1C"/>
    <w:rsid w:val="00CF7E7B"/>
    <w:rsid w:val="00D000A8"/>
    <w:rsid w:val="00D00507"/>
    <w:rsid w:val="00D00A50"/>
    <w:rsid w:val="00D00B75"/>
    <w:rsid w:val="00D01142"/>
    <w:rsid w:val="00D01794"/>
    <w:rsid w:val="00D01873"/>
    <w:rsid w:val="00D01FB1"/>
    <w:rsid w:val="00D024D9"/>
    <w:rsid w:val="00D03309"/>
    <w:rsid w:val="00D03C66"/>
    <w:rsid w:val="00D03EF5"/>
    <w:rsid w:val="00D04107"/>
    <w:rsid w:val="00D043DF"/>
    <w:rsid w:val="00D048A3"/>
    <w:rsid w:val="00D0493C"/>
    <w:rsid w:val="00D04EB0"/>
    <w:rsid w:val="00D051C9"/>
    <w:rsid w:val="00D052A7"/>
    <w:rsid w:val="00D06671"/>
    <w:rsid w:val="00D06B0F"/>
    <w:rsid w:val="00D06B46"/>
    <w:rsid w:val="00D07045"/>
    <w:rsid w:val="00D071BD"/>
    <w:rsid w:val="00D07426"/>
    <w:rsid w:val="00D07BE4"/>
    <w:rsid w:val="00D10895"/>
    <w:rsid w:val="00D108B9"/>
    <w:rsid w:val="00D112DB"/>
    <w:rsid w:val="00D11306"/>
    <w:rsid w:val="00D11503"/>
    <w:rsid w:val="00D11A65"/>
    <w:rsid w:val="00D11A84"/>
    <w:rsid w:val="00D11AA0"/>
    <w:rsid w:val="00D11B51"/>
    <w:rsid w:val="00D11EF5"/>
    <w:rsid w:val="00D12706"/>
    <w:rsid w:val="00D12A7D"/>
    <w:rsid w:val="00D13175"/>
    <w:rsid w:val="00D132DD"/>
    <w:rsid w:val="00D13345"/>
    <w:rsid w:val="00D13490"/>
    <w:rsid w:val="00D14240"/>
    <w:rsid w:val="00D14994"/>
    <w:rsid w:val="00D15727"/>
    <w:rsid w:val="00D1619E"/>
    <w:rsid w:val="00D17CB8"/>
    <w:rsid w:val="00D17E2A"/>
    <w:rsid w:val="00D17FFD"/>
    <w:rsid w:val="00D200BA"/>
    <w:rsid w:val="00D21289"/>
    <w:rsid w:val="00D216F3"/>
    <w:rsid w:val="00D21885"/>
    <w:rsid w:val="00D21CAA"/>
    <w:rsid w:val="00D225D7"/>
    <w:rsid w:val="00D227B2"/>
    <w:rsid w:val="00D22B68"/>
    <w:rsid w:val="00D22E11"/>
    <w:rsid w:val="00D230D3"/>
    <w:rsid w:val="00D2439A"/>
    <w:rsid w:val="00D243D6"/>
    <w:rsid w:val="00D24E7E"/>
    <w:rsid w:val="00D24FC3"/>
    <w:rsid w:val="00D25067"/>
    <w:rsid w:val="00D2536D"/>
    <w:rsid w:val="00D25797"/>
    <w:rsid w:val="00D25DB4"/>
    <w:rsid w:val="00D26460"/>
    <w:rsid w:val="00D26C4A"/>
    <w:rsid w:val="00D274F3"/>
    <w:rsid w:val="00D279E2"/>
    <w:rsid w:val="00D27DDD"/>
    <w:rsid w:val="00D301CC"/>
    <w:rsid w:val="00D33307"/>
    <w:rsid w:val="00D33667"/>
    <w:rsid w:val="00D3405B"/>
    <w:rsid w:val="00D34220"/>
    <w:rsid w:val="00D3455E"/>
    <w:rsid w:val="00D34BF6"/>
    <w:rsid w:val="00D34C44"/>
    <w:rsid w:val="00D35456"/>
    <w:rsid w:val="00D35F5A"/>
    <w:rsid w:val="00D361AE"/>
    <w:rsid w:val="00D3630A"/>
    <w:rsid w:val="00D366C3"/>
    <w:rsid w:val="00D372DC"/>
    <w:rsid w:val="00D37390"/>
    <w:rsid w:val="00D375DB"/>
    <w:rsid w:val="00D3773D"/>
    <w:rsid w:val="00D37F0D"/>
    <w:rsid w:val="00D406E3"/>
    <w:rsid w:val="00D40EB5"/>
    <w:rsid w:val="00D41239"/>
    <w:rsid w:val="00D4156D"/>
    <w:rsid w:val="00D42A35"/>
    <w:rsid w:val="00D42B95"/>
    <w:rsid w:val="00D42C39"/>
    <w:rsid w:val="00D43BC8"/>
    <w:rsid w:val="00D43FFC"/>
    <w:rsid w:val="00D440A1"/>
    <w:rsid w:val="00D44191"/>
    <w:rsid w:val="00D44310"/>
    <w:rsid w:val="00D444CB"/>
    <w:rsid w:val="00D445CD"/>
    <w:rsid w:val="00D44EDF"/>
    <w:rsid w:val="00D4502E"/>
    <w:rsid w:val="00D45EAF"/>
    <w:rsid w:val="00D45F9C"/>
    <w:rsid w:val="00D46045"/>
    <w:rsid w:val="00D46CB8"/>
    <w:rsid w:val="00D4729D"/>
    <w:rsid w:val="00D47930"/>
    <w:rsid w:val="00D4794E"/>
    <w:rsid w:val="00D47DBD"/>
    <w:rsid w:val="00D50471"/>
    <w:rsid w:val="00D508B5"/>
    <w:rsid w:val="00D51A74"/>
    <w:rsid w:val="00D51EF2"/>
    <w:rsid w:val="00D52823"/>
    <w:rsid w:val="00D52858"/>
    <w:rsid w:val="00D52E24"/>
    <w:rsid w:val="00D5321D"/>
    <w:rsid w:val="00D53350"/>
    <w:rsid w:val="00D53909"/>
    <w:rsid w:val="00D53F50"/>
    <w:rsid w:val="00D545B8"/>
    <w:rsid w:val="00D545DC"/>
    <w:rsid w:val="00D545E0"/>
    <w:rsid w:val="00D54BDE"/>
    <w:rsid w:val="00D54C58"/>
    <w:rsid w:val="00D5515E"/>
    <w:rsid w:val="00D557BE"/>
    <w:rsid w:val="00D55C9E"/>
    <w:rsid w:val="00D55EA8"/>
    <w:rsid w:val="00D56056"/>
    <w:rsid w:val="00D5624B"/>
    <w:rsid w:val="00D563F5"/>
    <w:rsid w:val="00D565D1"/>
    <w:rsid w:val="00D56F11"/>
    <w:rsid w:val="00D5710E"/>
    <w:rsid w:val="00D5758C"/>
    <w:rsid w:val="00D6031A"/>
    <w:rsid w:val="00D609CD"/>
    <w:rsid w:val="00D613A4"/>
    <w:rsid w:val="00D61879"/>
    <w:rsid w:val="00D62ABE"/>
    <w:rsid w:val="00D62BAC"/>
    <w:rsid w:val="00D62C78"/>
    <w:rsid w:val="00D62D1D"/>
    <w:rsid w:val="00D636EE"/>
    <w:rsid w:val="00D63869"/>
    <w:rsid w:val="00D63E1F"/>
    <w:rsid w:val="00D63EF0"/>
    <w:rsid w:val="00D6402D"/>
    <w:rsid w:val="00D64DB0"/>
    <w:rsid w:val="00D650A1"/>
    <w:rsid w:val="00D651E0"/>
    <w:rsid w:val="00D655A0"/>
    <w:rsid w:val="00D657C1"/>
    <w:rsid w:val="00D6597A"/>
    <w:rsid w:val="00D65B5F"/>
    <w:rsid w:val="00D65F26"/>
    <w:rsid w:val="00D6622D"/>
    <w:rsid w:val="00D66F9C"/>
    <w:rsid w:val="00D672EE"/>
    <w:rsid w:val="00D67AB6"/>
    <w:rsid w:val="00D7079F"/>
    <w:rsid w:val="00D70C4F"/>
    <w:rsid w:val="00D70E1A"/>
    <w:rsid w:val="00D721FB"/>
    <w:rsid w:val="00D725CA"/>
    <w:rsid w:val="00D728B2"/>
    <w:rsid w:val="00D72EAB"/>
    <w:rsid w:val="00D73194"/>
    <w:rsid w:val="00D73922"/>
    <w:rsid w:val="00D74AF9"/>
    <w:rsid w:val="00D74C03"/>
    <w:rsid w:val="00D75895"/>
    <w:rsid w:val="00D758F4"/>
    <w:rsid w:val="00D75C56"/>
    <w:rsid w:val="00D76434"/>
    <w:rsid w:val="00D76FCB"/>
    <w:rsid w:val="00D770B2"/>
    <w:rsid w:val="00D77C7D"/>
    <w:rsid w:val="00D800D2"/>
    <w:rsid w:val="00D80146"/>
    <w:rsid w:val="00D80B18"/>
    <w:rsid w:val="00D80CDB"/>
    <w:rsid w:val="00D81427"/>
    <w:rsid w:val="00D816ED"/>
    <w:rsid w:val="00D82553"/>
    <w:rsid w:val="00D82678"/>
    <w:rsid w:val="00D83562"/>
    <w:rsid w:val="00D840F6"/>
    <w:rsid w:val="00D84AD6"/>
    <w:rsid w:val="00D84B21"/>
    <w:rsid w:val="00D84B6D"/>
    <w:rsid w:val="00D852B6"/>
    <w:rsid w:val="00D8580C"/>
    <w:rsid w:val="00D85E67"/>
    <w:rsid w:val="00D8660C"/>
    <w:rsid w:val="00D86835"/>
    <w:rsid w:val="00D86AD0"/>
    <w:rsid w:val="00D86D7B"/>
    <w:rsid w:val="00D87B8F"/>
    <w:rsid w:val="00D87DB9"/>
    <w:rsid w:val="00D90179"/>
    <w:rsid w:val="00D904C5"/>
    <w:rsid w:val="00D90FDC"/>
    <w:rsid w:val="00D92663"/>
    <w:rsid w:val="00D92C2B"/>
    <w:rsid w:val="00D92DAA"/>
    <w:rsid w:val="00D93026"/>
    <w:rsid w:val="00D94341"/>
    <w:rsid w:val="00D946AF"/>
    <w:rsid w:val="00D9517E"/>
    <w:rsid w:val="00D951C8"/>
    <w:rsid w:val="00D9523D"/>
    <w:rsid w:val="00D95267"/>
    <w:rsid w:val="00D96572"/>
    <w:rsid w:val="00D96D39"/>
    <w:rsid w:val="00D96F2C"/>
    <w:rsid w:val="00D97461"/>
    <w:rsid w:val="00D975B8"/>
    <w:rsid w:val="00D97611"/>
    <w:rsid w:val="00D9789F"/>
    <w:rsid w:val="00D97E6C"/>
    <w:rsid w:val="00DA0531"/>
    <w:rsid w:val="00DA05C0"/>
    <w:rsid w:val="00DA0F1A"/>
    <w:rsid w:val="00DA194D"/>
    <w:rsid w:val="00DA1A13"/>
    <w:rsid w:val="00DA1BAE"/>
    <w:rsid w:val="00DA206C"/>
    <w:rsid w:val="00DA28C4"/>
    <w:rsid w:val="00DA2A88"/>
    <w:rsid w:val="00DA2C2E"/>
    <w:rsid w:val="00DA3326"/>
    <w:rsid w:val="00DA3692"/>
    <w:rsid w:val="00DA3C5A"/>
    <w:rsid w:val="00DA3C92"/>
    <w:rsid w:val="00DA3ED8"/>
    <w:rsid w:val="00DA40E0"/>
    <w:rsid w:val="00DA4282"/>
    <w:rsid w:val="00DA477A"/>
    <w:rsid w:val="00DA4CC3"/>
    <w:rsid w:val="00DA4E00"/>
    <w:rsid w:val="00DA4F43"/>
    <w:rsid w:val="00DA52F4"/>
    <w:rsid w:val="00DA5BE3"/>
    <w:rsid w:val="00DA5D0F"/>
    <w:rsid w:val="00DA6299"/>
    <w:rsid w:val="00DA6B1A"/>
    <w:rsid w:val="00DA7624"/>
    <w:rsid w:val="00DA7D35"/>
    <w:rsid w:val="00DA7ED1"/>
    <w:rsid w:val="00DB1027"/>
    <w:rsid w:val="00DB1783"/>
    <w:rsid w:val="00DB1D10"/>
    <w:rsid w:val="00DB2724"/>
    <w:rsid w:val="00DB2914"/>
    <w:rsid w:val="00DB2A48"/>
    <w:rsid w:val="00DB2C89"/>
    <w:rsid w:val="00DB32EA"/>
    <w:rsid w:val="00DB33B9"/>
    <w:rsid w:val="00DB4064"/>
    <w:rsid w:val="00DB4DD5"/>
    <w:rsid w:val="00DB519B"/>
    <w:rsid w:val="00DB66C5"/>
    <w:rsid w:val="00DB71A1"/>
    <w:rsid w:val="00DB7984"/>
    <w:rsid w:val="00DC0139"/>
    <w:rsid w:val="00DC014A"/>
    <w:rsid w:val="00DC0912"/>
    <w:rsid w:val="00DC099B"/>
    <w:rsid w:val="00DC1805"/>
    <w:rsid w:val="00DC1C31"/>
    <w:rsid w:val="00DC24F1"/>
    <w:rsid w:val="00DC32F5"/>
    <w:rsid w:val="00DC3EF6"/>
    <w:rsid w:val="00DC4689"/>
    <w:rsid w:val="00DC5CFC"/>
    <w:rsid w:val="00DC5DB2"/>
    <w:rsid w:val="00DC5F70"/>
    <w:rsid w:val="00DC6039"/>
    <w:rsid w:val="00DC60B5"/>
    <w:rsid w:val="00DC6356"/>
    <w:rsid w:val="00DC63DE"/>
    <w:rsid w:val="00DC6830"/>
    <w:rsid w:val="00DC6869"/>
    <w:rsid w:val="00DC7155"/>
    <w:rsid w:val="00DC75A7"/>
    <w:rsid w:val="00DD0086"/>
    <w:rsid w:val="00DD0788"/>
    <w:rsid w:val="00DD0DBA"/>
    <w:rsid w:val="00DD19B4"/>
    <w:rsid w:val="00DD1C42"/>
    <w:rsid w:val="00DD1E1C"/>
    <w:rsid w:val="00DD1FE0"/>
    <w:rsid w:val="00DD20DC"/>
    <w:rsid w:val="00DD213A"/>
    <w:rsid w:val="00DD29AF"/>
    <w:rsid w:val="00DD2A89"/>
    <w:rsid w:val="00DD2AAE"/>
    <w:rsid w:val="00DD3075"/>
    <w:rsid w:val="00DD30E8"/>
    <w:rsid w:val="00DD384B"/>
    <w:rsid w:val="00DD3DC8"/>
    <w:rsid w:val="00DD4A8F"/>
    <w:rsid w:val="00DD4AA3"/>
    <w:rsid w:val="00DD4BD9"/>
    <w:rsid w:val="00DD5717"/>
    <w:rsid w:val="00DD5A9D"/>
    <w:rsid w:val="00DD5AD7"/>
    <w:rsid w:val="00DD5CC3"/>
    <w:rsid w:val="00DD5F66"/>
    <w:rsid w:val="00DD645A"/>
    <w:rsid w:val="00DD7293"/>
    <w:rsid w:val="00DD7E57"/>
    <w:rsid w:val="00DE06AA"/>
    <w:rsid w:val="00DE0C72"/>
    <w:rsid w:val="00DE0F48"/>
    <w:rsid w:val="00DE0FE1"/>
    <w:rsid w:val="00DE128A"/>
    <w:rsid w:val="00DE157F"/>
    <w:rsid w:val="00DE16BE"/>
    <w:rsid w:val="00DE1B2B"/>
    <w:rsid w:val="00DE22EB"/>
    <w:rsid w:val="00DE296E"/>
    <w:rsid w:val="00DE2DAF"/>
    <w:rsid w:val="00DE315C"/>
    <w:rsid w:val="00DE3228"/>
    <w:rsid w:val="00DE35B6"/>
    <w:rsid w:val="00DE3764"/>
    <w:rsid w:val="00DE4077"/>
    <w:rsid w:val="00DE44D5"/>
    <w:rsid w:val="00DE47EB"/>
    <w:rsid w:val="00DE4C70"/>
    <w:rsid w:val="00DE5404"/>
    <w:rsid w:val="00DE5627"/>
    <w:rsid w:val="00DE568E"/>
    <w:rsid w:val="00DE5913"/>
    <w:rsid w:val="00DE5BB3"/>
    <w:rsid w:val="00DE5E2E"/>
    <w:rsid w:val="00DE5FD5"/>
    <w:rsid w:val="00DE65F8"/>
    <w:rsid w:val="00DE6ABA"/>
    <w:rsid w:val="00DE6E02"/>
    <w:rsid w:val="00DE7320"/>
    <w:rsid w:val="00DE77B9"/>
    <w:rsid w:val="00DE78FB"/>
    <w:rsid w:val="00DE7DA2"/>
    <w:rsid w:val="00DE7E51"/>
    <w:rsid w:val="00DF08F7"/>
    <w:rsid w:val="00DF0A2F"/>
    <w:rsid w:val="00DF0A46"/>
    <w:rsid w:val="00DF0B69"/>
    <w:rsid w:val="00DF0B6D"/>
    <w:rsid w:val="00DF161C"/>
    <w:rsid w:val="00DF19E9"/>
    <w:rsid w:val="00DF1A0D"/>
    <w:rsid w:val="00DF1BC8"/>
    <w:rsid w:val="00DF216C"/>
    <w:rsid w:val="00DF317C"/>
    <w:rsid w:val="00DF3736"/>
    <w:rsid w:val="00DF397D"/>
    <w:rsid w:val="00DF447A"/>
    <w:rsid w:val="00DF4680"/>
    <w:rsid w:val="00DF554A"/>
    <w:rsid w:val="00DF631D"/>
    <w:rsid w:val="00DF7200"/>
    <w:rsid w:val="00E00227"/>
    <w:rsid w:val="00E004A7"/>
    <w:rsid w:val="00E00972"/>
    <w:rsid w:val="00E00BD1"/>
    <w:rsid w:val="00E00BE0"/>
    <w:rsid w:val="00E00E4D"/>
    <w:rsid w:val="00E0167F"/>
    <w:rsid w:val="00E01E8B"/>
    <w:rsid w:val="00E02262"/>
    <w:rsid w:val="00E02A47"/>
    <w:rsid w:val="00E02AD5"/>
    <w:rsid w:val="00E03D82"/>
    <w:rsid w:val="00E04044"/>
    <w:rsid w:val="00E040C1"/>
    <w:rsid w:val="00E04150"/>
    <w:rsid w:val="00E059F5"/>
    <w:rsid w:val="00E05A21"/>
    <w:rsid w:val="00E06A94"/>
    <w:rsid w:val="00E06B24"/>
    <w:rsid w:val="00E07637"/>
    <w:rsid w:val="00E076D6"/>
    <w:rsid w:val="00E07949"/>
    <w:rsid w:val="00E07A9A"/>
    <w:rsid w:val="00E07B3E"/>
    <w:rsid w:val="00E07BC5"/>
    <w:rsid w:val="00E07D09"/>
    <w:rsid w:val="00E1024C"/>
    <w:rsid w:val="00E10B0D"/>
    <w:rsid w:val="00E10C84"/>
    <w:rsid w:val="00E11442"/>
    <w:rsid w:val="00E125C9"/>
    <w:rsid w:val="00E12729"/>
    <w:rsid w:val="00E13D95"/>
    <w:rsid w:val="00E13DDB"/>
    <w:rsid w:val="00E1429E"/>
    <w:rsid w:val="00E15454"/>
    <w:rsid w:val="00E15517"/>
    <w:rsid w:val="00E15822"/>
    <w:rsid w:val="00E160EB"/>
    <w:rsid w:val="00E16269"/>
    <w:rsid w:val="00E166D4"/>
    <w:rsid w:val="00E1679B"/>
    <w:rsid w:val="00E1691D"/>
    <w:rsid w:val="00E16E67"/>
    <w:rsid w:val="00E17569"/>
    <w:rsid w:val="00E2003E"/>
    <w:rsid w:val="00E20452"/>
    <w:rsid w:val="00E20778"/>
    <w:rsid w:val="00E217BC"/>
    <w:rsid w:val="00E21930"/>
    <w:rsid w:val="00E21C5A"/>
    <w:rsid w:val="00E221EE"/>
    <w:rsid w:val="00E22306"/>
    <w:rsid w:val="00E22BA9"/>
    <w:rsid w:val="00E22BC3"/>
    <w:rsid w:val="00E22E38"/>
    <w:rsid w:val="00E23796"/>
    <w:rsid w:val="00E23877"/>
    <w:rsid w:val="00E23EC5"/>
    <w:rsid w:val="00E24AE2"/>
    <w:rsid w:val="00E24E0F"/>
    <w:rsid w:val="00E250C8"/>
    <w:rsid w:val="00E25D9C"/>
    <w:rsid w:val="00E25F43"/>
    <w:rsid w:val="00E27A26"/>
    <w:rsid w:val="00E27A47"/>
    <w:rsid w:val="00E3014F"/>
    <w:rsid w:val="00E301E2"/>
    <w:rsid w:val="00E30277"/>
    <w:rsid w:val="00E308F2"/>
    <w:rsid w:val="00E309B9"/>
    <w:rsid w:val="00E30A90"/>
    <w:rsid w:val="00E3167E"/>
    <w:rsid w:val="00E31C78"/>
    <w:rsid w:val="00E31FA4"/>
    <w:rsid w:val="00E33C0E"/>
    <w:rsid w:val="00E33EBD"/>
    <w:rsid w:val="00E34C85"/>
    <w:rsid w:val="00E34D5D"/>
    <w:rsid w:val="00E34F12"/>
    <w:rsid w:val="00E34FF2"/>
    <w:rsid w:val="00E353D2"/>
    <w:rsid w:val="00E35807"/>
    <w:rsid w:val="00E35D4C"/>
    <w:rsid w:val="00E3618C"/>
    <w:rsid w:val="00E3687D"/>
    <w:rsid w:val="00E36C9D"/>
    <w:rsid w:val="00E373D9"/>
    <w:rsid w:val="00E37B77"/>
    <w:rsid w:val="00E37F92"/>
    <w:rsid w:val="00E40109"/>
    <w:rsid w:val="00E40335"/>
    <w:rsid w:val="00E40A7E"/>
    <w:rsid w:val="00E41110"/>
    <w:rsid w:val="00E4139F"/>
    <w:rsid w:val="00E419BD"/>
    <w:rsid w:val="00E4200D"/>
    <w:rsid w:val="00E42653"/>
    <w:rsid w:val="00E43318"/>
    <w:rsid w:val="00E454EB"/>
    <w:rsid w:val="00E457D6"/>
    <w:rsid w:val="00E46C30"/>
    <w:rsid w:val="00E47974"/>
    <w:rsid w:val="00E47A49"/>
    <w:rsid w:val="00E47B64"/>
    <w:rsid w:val="00E47E72"/>
    <w:rsid w:val="00E506DE"/>
    <w:rsid w:val="00E50A54"/>
    <w:rsid w:val="00E50AC2"/>
    <w:rsid w:val="00E50FE4"/>
    <w:rsid w:val="00E51627"/>
    <w:rsid w:val="00E5214C"/>
    <w:rsid w:val="00E5219F"/>
    <w:rsid w:val="00E521A3"/>
    <w:rsid w:val="00E521D6"/>
    <w:rsid w:val="00E525BC"/>
    <w:rsid w:val="00E5281B"/>
    <w:rsid w:val="00E52EE9"/>
    <w:rsid w:val="00E5398D"/>
    <w:rsid w:val="00E53E0A"/>
    <w:rsid w:val="00E54324"/>
    <w:rsid w:val="00E55868"/>
    <w:rsid w:val="00E55EA4"/>
    <w:rsid w:val="00E55F56"/>
    <w:rsid w:val="00E56D6F"/>
    <w:rsid w:val="00E5749D"/>
    <w:rsid w:val="00E576FE"/>
    <w:rsid w:val="00E57E5A"/>
    <w:rsid w:val="00E60433"/>
    <w:rsid w:val="00E614ED"/>
    <w:rsid w:val="00E615A2"/>
    <w:rsid w:val="00E618B2"/>
    <w:rsid w:val="00E62E91"/>
    <w:rsid w:val="00E6306F"/>
    <w:rsid w:val="00E63550"/>
    <w:rsid w:val="00E6357A"/>
    <w:rsid w:val="00E63686"/>
    <w:rsid w:val="00E639BC"/>
    <w:rsid w:val="00E63A0D"/>
    <w:rsid w:val="00E641C7"/>
    <w:rsid w:val="00E643C4"/>
    <w:rsid w:val="00E6475E"/>
    <w:rsid w:val="00E64A3C"/>
    <w:rsid w:val="00E650BB"/>
    <w:rsid w:val="00E65B0E"/>
    <w:rsid w:val="00E65D73"/>
    <w:rsid w:val="00E6614C"/>
    <w:rsid w:val="00E66FD4"/>
    <w:rsid w:val="00E67118"/>
    <w:rsid w:val="00E67283"/>
    <w:rsid w:val="00E70662"/>
    <w:rsid w:val="00E70976"/>
    <w:rsid w:val="00E70C1C"/>
    <w:rsid w:val="00E717EC"/>
    <w:rsid w:val="00E72031"/>
    <w:rsid w:val="00E7272A"/>
    <w:rsid w:val="00E73C15"/>
    <w:rsid w:val="00E7421F"/>
    <w:rsid w:val="00E74241"/>
    <w:rsid w:val="00E74520"/>
    <w:rsid w:val="00E74581"/>
    <w:rsid w:val="00E750AF"/>
    <w:rsid w:val="00E75168"/>
    <w:rsid w:val="00E7528F"/>
    <w:rsid w:val="00E756BB"/>
    <w:rsid w:val="00E7669A"/>
    <w:rsid w:val="00E77367"/>
    <w:rsid w:val="00E77A7A"/>
    <w:rsid w:val="00E77BC4"/>
    <w:rsid w:val="00E80CA5"/>
    <w:rsid w:val="00E81019"/>
    <w:rsid w:val="00E810C9"/>
    <w:rsid w:val="00E8181C"/>
    <w:rsid w:val="00E81B53"/>
    <w:rsid w:val="00E8232E"/>
    <w:rsid w:val="00E826F3"/>
    <w:rsid w:val="00E82951"/>
    <w:rsid w:val="00E82AEA"/>
    <w:rsid w:val="00E82DAA"/>
    <w:rsid w:val="00E82F17"/>
    <w:rsid w:val="00E83968"/>
    <w:rsid w:val="00E83A96"/>
    <w:rsid w:val="00E84016"/>
    <w:rsid w:val="00E84ABE"/>
    <w:rsid w:val="00E84F36"/>
    <w:rsid w:val="00E8549A"/>
    <w:rsid w:val="00E85520"/>
    <w:rsid w:val="00E855E1"/>
    <w:rsid w:val="00E856DE"/>
    <w:rsid w:val="00E85CAE"/>
    <w:rsid w:val="00E8625E"/>
    <w:rsid w:val="00E87372"/>
    <w:rsid w:val="00E878B3"/>
    <w:rsid w:val="00E90196"/>
    <w:rsid w:val="00E90736"/>
    <w:rsid w:val="00E90DDD"/>
    <w:rsid w:val="00E913A9"/>
    <w:rsid w:val="00E916A7"/>
    <w:rsid w:val="00E91983"/>
    <w:rsid w:val="00E92041"/>
    <w:rsid w:val="00E92A96"/>
    <w:rsid w:val="00E9303C"/>
    <w:rsid w:val="00E93660"/>
    <w:rsid w:val="00E93EDA"/>
    <w:rsid w:val="00E93FCD"/>
    <w:rsid w:val="00E94407"/>
    <w:rsid w:val="00E945C6"/>
    <w:rsid w:val="00E95BD7"/>
    <w:rsid w:val="00E96F63"/>
    <w:rsid w:val="00EA00A0"/>
    <w:rsid w:val="00EA00F4"/>
    <w:rsid w:val="00EA0478"/>
    <w:rsid w:val="00EA0755"/>
    <w:rsid w:val="00EA0D0F"/>
    <w:rsid w:val="00EA0E72"/>
    <w:rsid w:val="00EA2DAF"/>
    <w:rsid w:val="00EA3281"/>
    <w:rsid w:val="00EA334D"/>
    <w:rsid w:val="00EA3715"/>
    <w:rsid w:val="00EA3773"/>
    <w:rsid w:val="00EA3F76"/>
    <w:rsid w:val="00EA4AF5"/>
    <w:rsid w:val="00EA4D1A"/>
    <w:rsid w:val="00EA505E"/>
    <w:rsid w:val="00EA57B9"/>
    <w:rsid w:val="00EA57E2"/>
    <w:rsid w:val="00EA5958"/>
    <w:rsid w:val="00EA59FB"/>
    <w:rsid w:val="00EA6F5B"/>
    <w:rsid w:val="00EA7F61"/>
    <w:rsid w:val="00EB0BC3"/>
    <w:rsid w:val="00EB0E78"/>
    <w:rsid w:val="00EB107A"/>
    <w:rsid w:val="00EB116E"/>
    <w:rsid w:val="00EB1289"/>
    <w:rsid w:val="00EB15E9"/>
    <w:rsid w:val="00EB1AB9"/>
    <w:rsid w:val="00EB20A1"/>
    <w:rsid w:val="00EB323A"/>
    <w:rsid w:val="00EB3864"/>
    <w:rsid w:val="00EB4423"/>
    <w:rsid w:val="00EB4752"/>
    <w:rsid w:val="00EB48B8"/>
    <w:rsid w:val="00EB4CE2"/>
    <w:rsid w:val="00EB4CFA"/>
    <w:rsid w:val="00EB552D"/>
    <w:rsid w:val="00EB57D8"/>
    <w:rsid w:val="00EB5D4D"/>
    <w:rsid w:val="00EB5F3B"/>
    <w:rsid w:val="00EB5FE3"/>
    <w:rsid w:val="00EB65C1"/>
    <w:rsid w:val="00EB692E"/>
    <w:rsid w:val="00EB6BA6"/>
    <w:rsid w:val="00EB6D70"/>
    <w:rsid w:val="00EB6E37"/>
    <w:rsid w:val="00EB6EE2"/>
    <w:rsid w:val="00EB70D7"/>
    <w:rsid w:val="00EB7C10"/>
    <w:rsid w:val="00EC064B"/>
    <w:rsid w:val="00EC1C55"/>
    <w:rsid w:val="00EC2405"/>
    <w:rsid w:val="00EC2C24"/>
    <w:rsid w:val="00EC2DFE"/>
    <w:rsid w:val="00EC3293"/>
    <w:rsid w:val="00EC3A6A"/>
    <w:rsid w:val="00EC3B3E"/>
    <w:rsid w:val="00EC3BCD"/>
    <w:rsid w:val="00EC3E8B"/>
    <w:rsid w:val="00EC40B7"/>
    <w:rsid w:val="00EC495F"/>
    <w:rsid w:val="00EC4E49"/>
    <w:rsid w:val="00EC4F36"/>
    <w:rsid w:val="00EC5E0A"/>
    <w:rsid w:val="00EC62B0"/>
    <w:rsid w:val="00EC64A9"/>
    <w:rsid w:val="00EC6957"/>
    <w:rsid w:val="00EC6B92"/>
    <w:rsid w:val="00EC6F8F"/>
    <w:rsid w:val="00EC768A"/>
    <w:rsid w:val="00EC77A1"/>
    <w:rsid w:val="00EC7841"/>
    <w:rsid w:val="00EC7862"/>
    <w:rsid w:val="00EC7A25"/>
    <w:rsid w:val="00ED0108"/>
    <w:rsid w:val="00ED0875"/>
    <w:rsid w:val="00ED0E2A"/>
    <w:rsid w:val="00ED1034"/>
    <w:rsid w:val="00ED1886"/>
    <w:rsid w:val="00ED1CD7"/>
    <w:rsid w:val="00ED27B4"/>
    <w:rsid w:val="00ED27F9"/>
    <w:rsid w:val="00ED29FC"/>
    <w:rsid w:val="00ED2EA7"/>
    <w:rsid w:val="00ED319D"/>
    <w:rsid w:val="00ED31D0"/>
    <w:rsid w:val="00ED39EA"/>
    <w:rsid w:val="00ED3A7B"/>
    <w:rsid w:val="00ED3C07"/>
    <w:rsid w:val="00ED3E3C"/>
    <w:rsid w:val="00ED40D6"/>
    <w:rsid w:val="00ED578D"/>
    <w:rsid w:val="00ED5A46"/>
    <w:rsid w:val="00ED5F98"/>
    <w:rsid w:val="00ED6761"/>
    <w:rsid w:val="00ED6E0E"/>
    <w:rsid w:val="00ED73AC"/>
    <w:rsid w:val="00ED7A73"/>
    <w:rsid w:val="00ED7C38"/>
    <w:rsid w:val="00ED7DAA"/>
    <w:rsid w:val="00EE0445"/>
    <w:rsid w:val="00EE0460"/>
    <w:rsid w:val="00EE047E"/>
    <w:rsid w:val="00EE1CCA"/>
    <w:rsid w:val="00EE1D43"/>
    <w:rsid w:val="00EE22A4"/>
    <w:rsid w:val="00EE24E7"/>
    <w:rsid w:val="00EE2748"/>
    <w:rsid w:val="00EE28F0"/>
    <w:rsid w:val="00EE2D17"/>
    <w:rsid w:val="00EE4480"/>
    <w:rsid w:val="00EE4815"/>
    <w:rsid w:val="00EE4AD0"/>
    <w:rsid w:val="00EE4C83"/>
    <w:rsid w:val="00EE51B6"/>
    <w:rsid w:val="00EE56E6"/>
    <w:rsid w:val="00EE5A8A"/>
    <w:rsid w:val="00EE61CC"/>
    <w:rsid w:val="00EE6B45"/>
    <w:rsid w:val="00EE6B5F"/>
    <w:rsid w:val="00EE6C2D"/>
    <w:rsid w:val="00EE6D6D"/>
    <w:rsid w:val="00EE7465"/>
    <w:rsid w:val="00EF053C"/>
    <w:rsid w:val="00EF06DA"/>
    <w:rsid w:val="00EF0708"/>
    <w:rsid w:val="00EF1477"/>
    <w:rsid w:val="00EF1E23"/>
    <w:rsid w:val="00EF2897"/>
    <w:rsid w:val="00EF3317"/>
    <w:rsid w:val="00EF3952"/>
    <w:rsid w:val="00EF3C40"/>
    <w:rsid w:val="00EF3C7F"/>
    <w:rsid w:val="00EF3E0D"/>
    <w:rsid w:val="00EF3F59"/>
    <w:rsid w:val="00EF455F"/>
    <w:rsid w:val="00EF46C4"/>
    <w:rsid w:val="00EF4DB0"/>
    <w:rsid w:val="00EF4FA4"/>
    <w:rsid w:val="00EF6597"/>
    <w:rsid w:val="00EF68B2"/>
    <w:rsid w:val="00EF73BD"/>
    <w:rsid w:val="00EF75B9"/>
    <w:rsid w:val="00F00755"/>
    <w:rsid w:val="00F00860"/>
    <w:rsid w:val="00F016DB"/>
    <w:rsid w:val="00F019D8"/>
    <w:rsid w:val="00F01F00"/>
    <w:rsid w:val="00F01FC0"/>
    <w:rsid w:val="00F02F5E"/>
    <w:rsid w:val="00F031A4"/>
    <w:rsid w:val="00F032D7"/>
    <w:rsid w:val="00F038DF"/>
    <w:rsid w:val="00F03B78"/>
    <w:rsid w:val="00F03D76"/>
    <w:rsid w:val="00F04EB1"/>
    <w:rsid w:val="00F055D2"/>
    <w:rsid w:val="00F05ED4"/>
    <w:rsid w:val="00F061FB"/>
    <w:rsid w:val="00F068CE"/>
    <w:rsid w:val="00F06D76"/>
    <w:rsid w:val="00F0708C"/>
    <w:rsid w:val="00F0778F"/>
    <w:rsid w:val="00F1016D"/>
    <w:rsid w:val="00F10C00"/>
    <w:rsid w:val="00F10F5D"/>
    <w:rsid w:val="00F113EE"/>
    <w:rsid w:val="00F1174D"/>
    <w:rsid w:val="00F12261"/>
    <w:rsid w:val="00F124AE"/>
    <w:rsid w:val="00F12817"/>
    <w:rsid w:val="00F128DE"/>
    <w:rsid w:val="00F12DFB"/>
    <w:rsid w:val="00F12DFD"/>
    <w:rsid w:val="00F13343"/>
    <w:rsid w:val="00F13BBC"/>
    <w:rsid w:val="00F14119"/>
    <w:rsid w:val="00F14D12"/>
    <w:rsid w:val="00F15043"/>
    <w:rsid w:val="00F157D2"/>
    <w:rsid w:val="00F15A7D"/>
    <w:rsid w:val="00F16196"/>
    <w:rsid w:val="00F16600"/>
    <w:rsid w:val="00F1690F"/>
    <w:rsid w:val="00F17231"/>
    <w:rsid w:val="00F17DDD"/>
    <w:rsid w:val="00F17EE1"/>
    <w:rsid w:val="00F20CFF"/>
    <w:rsid w:val="00F2105C"/>
    <w:rsid w:val="00F2134E"/>
    <w:rsid w:val="00F219D1"/>
    <w:rsid w:val="00F21A88"/>
    <w:rsid w:val="00F2212E"/>
    <w:rsid w:val="00F22C88"/>
    <w:rsid w:val="00F2330E"/>
    <w:rsid w:val="00F243E3"/>
    <w:rsid w:val="00F24D11"/>
    <w:rsid w:val="00F25D57"/>
    <w:rsid w:val="00F26150"/>
    <w:rsid w:val="00F262B7"/>
    <w:rsid w:val="00F269E5"/>
    <w:rsid w:val="00F2764D"/>
    <w:rsid w:val="00F27E24"/>
    <w:rsid w:val="00F27EA9"/>
    <w:rsid w:val="00F27F49"/>
    <w:rsid w:val="00F30100"/>
    <w:rsid w:val="00F3133C"/>
    <w:rsid w:val="00F31416"/>
    <w:rsid w:val="00F31E7C"/>
    <w:rsid w:val="00F31F43"/>
    <w:rsid w:val="00F32211"/>
    <w:rsid w:val="00F3234A"/>
    <w:rsid w:val="00F32A9D"/>
    <w:rsid w:val="00F32F9D"/>
    <w:rsid w:val="00F335E7"/>
    <w:rsid w:val="00F33D7B"/>
    <w:rsid w:val="00F33FC2"/>
    <w:rsid w:val="00F34630"/>
    <w:rsid w:val="00F346BD"/>
    <w:rsid w:val="00F35525"/>
    <w:rsid w:val="00F3570F"/>
    <w:rsid w:val="00F35866"/>
    <w:rsid w:val="00F35C38"/>
    <w:rsid w:val="00F35D8F"/>
    <w:rsid w:val="00F35DF2"/>
    <w:rsid w:val="00F36CD7"/>
    <w:rsid w:val="00F36D4B"/>
    <w:rsid w:val="00F37519"/>
    <w:rsid w:val="00F37924"/>
    <w:rsid w:val="00F37971"/>
    <w:rsid w:val="00F37E05"/>
    <w:rsid w:val="00F403ED"/>
    <w:rsid w:val="00F40511"/>
    <w:rsid w:val="00F406C5"/>
    <w:rsid w:val="00F40AEB"/>
    <w:rsid w:val="00F40B92"/>
    <w:rsid w:val="00F40DD9"/>
    <w:rsid w:val="00F40DEC"/>
    <w:rsid w:val="00F4106F"/>
    <w:rsid w:val="00F41103"/>
    <w:rsid w:val="00F41414"/>
    <w:rsid w:val="00F415D6"/>
    <w:rsid w:val="00F42525"/>
    <w:rsid w:val="00F434F4"/>
    <w:rsid w:val="00F43B90"/>
    <w:rsid w:val="00F43EFD"/>
    <w:rsid w:val="00F44047"/>
    <w:rsid w:val="00F440A7"/>
    <w:rsid w:val="00F44392"/>
    <w:rsid w:val="00F44BD3"/>
    <w:rsid w:val="00F44D75"/>
    <w:rsid w:val="00F44F12"/>
    <w:rsid w:val="00F4542A"/>
    <w:rsid w:val="00F454CB"/>
    <w:rsid w:val="00F45FD8"/>
    <w:rsid w:val="00F46039"/>
    <w:rsid w:val="00F47577"/>
    <w:rsid w:val="00F479F6"/>
    <w:rsid w:val="00F509F0"/>
    <w:rsid w:val="00F50AE6"/>
    <w:rsid w:val="00F50AFF"/>
    <w:rsid w:val="00F50F1E"/>
    <w:rsid w:val="00F511CC"/>
    <w:rsid w:val="00F512EE"/>
    <w:rsid w:val="00F51993"/>
    <w:rsid w:val="00F52268"/>
    <w:rsid w:val="00F52A65"/>
    <w:rsid w:val="00F52BC6"/>
    <w:rsid w:val="00F52E43"/>
    <w:rsid w:val="00F53297"/>
    <w:rsid w:val="00F5351B"/>
    <w:rsid w:val="00F53C73"/>
    <w:rsid w:val="00F53F45"/>
    <w:rsid w:val="00F54053"/>
    <w:rsid w:val="00F54E11"/>
    <w:rsid w:val="00F558DF"/>
    <w:rsid w:val="00F56174"/>
    <w:rsid w:val="00F56611"/>
    <w:rsid w:val="00F56AD0"/>
    <w:rsid w:val="00F56AD3"/>
    <w:rsid w:val="00F56AF9"/>
    <w:rsid w:val="00F56EA4"/>
    <w:rsid w:val="00F570DC"/>
    <w:rsid w:val="00F571F9"/>
    <w:rsid w:val="00F57A59"/>
    <w:rsid w:val="00F60AE8"/>
    <w:rsid w:val="00F60DA1"/>
    <w:rsid w:val="00F60FF1"/>
    <w:rsid w:val="00F617A7"/>
    <w:rsid w:val="00F61B89"/>
    <w:rsid w:val="00F61F8F"/>
    <w:rsid w:val="00F625E3"/>
    <w:rsid w:val="00F62BBA"/>
    <w:rsid w:val="00F62DB5"/>
    <w:rsid w:val="00F635CF"/>
    <w:rsid w:val="00F6392C"/>
    <w:rsid w:val="00F63FD7"/>
    <w:rsid w:val="00F643AC"/>
    <w:rsid w:val="00F6443A"/>
    <w:rsid w:val="00F646CD"/>
    <w:rsid w:val="00F64A9F"/>
    <w:rsid w:val="00F65773"/>
    <w:rsid w:val="00F658EA"/>
    <w:rsid w:val="00F65A65"/>
    <w:rsid w:val="00F65EC8"/>
    <w:rsid w:val="00F66195"/>
    <w:rsid w:val="00F6651A"/>
    <w:rsid w:val="00F6672F"/>
    <w:rsid w:val="00F668EB"/>
    <w:rsid w:val="00F66D9B"/>
    <w:rsid w:val="00F67464"/>
    <w:rsid w:val="00F67C6C"/>
    <w:rsid w:val="00F7038B"/>
    <w:rsid w:val="00F708B6"/>
    <w:rsid w:val="00F70A1C"/>
    <w:rsid w:val="00F71137"/>
    <w:rsid w:val="00F71CC7"/>
    <w:rsid w:val="00F72173"/>
    <w:rsid w:val="00F72E40"/>
    <w:rsid w:val="00F7328C"/>
    <w:rsid w:val="00F7356D"/>
    <w:rsid w:val="00F73B2E"/>
    <w:rsid w:val="00F745E6"/>
    <w:rsid w:val="00F74662"/>
    <w:rsid w:val="00F74A2C"/>
    <w:rsid w:val="00F74CFE"/>
    <w:rsid w:val="00F74FE6"/>
    <w:rsid w:val="00F751C4"/>
    <w:rsid w:val="00F76246"/>
    <w:rsid w:val="00F766CA"/>
    <w:rsid w:val="00F77010"/>
    <w:rsid w:val="00F771A5"/>
    <w:rsid w:val="00F777F2"/>
    <w:rsid w:val="00F7798E"/>
    <w:rsid w:val="00F77CF8"/>
    <w:rsid w:val="00F80081"/>
    <w:rsid w:val="00F80373"/>
    <w:rsid w:val="00F80387"/>
    <w:rsid w:val="00F80E18"/>
    <w:rsid w:val="00F81153"/>
    <w:rsid w:val="00F81A09"/>
    <w:rsid w:val="00F82186"/>
    <w:rsid w:val="00F83807"/>
    <w:rsid w:val="00F83BCD"/>
    <w:rsid w:val="00F84928"/>
    <w:rsid w:val="00F853CC"/>
    <w:rsid w:val="00F85B6B"/>
    <w:rsid w:val="00F86149"/>
    <w:rsid w:val="00F86980"/>
    <w:rsid w:val="00F870C7"/>
    <w:rsid w:val="00F8738E"/>
    <w:rsid w:val="00F87D53"/>
    <w:rsid w:val="00F9037E"/>
    <w:rsid w:val="00F90769"/>
    <w:rsid w:val="00F9141C"/>
    <w:rsid w:val="00F92296"/>
    <w:rsid w:val="00F922E6"/>
    <w:rsid w:val="00F928E5"/>
    <w:rsid w:val="00F92A02"/>
    <w:rsid w:val="00F92A72"/>
    <w:rsid w:val="00F92AD1"/>
    <w:rsid w:val="00F92F22"/>
    <w:rsid w:val="00F9307D"/>
    <w:rsid w:val="00F93951"/>
    <w:rsid w:val="00F93DC0"/>
    <w:rsid w:val="00F94387"/>
    <w:rsid w:val="00F94C40"/>
    <w:rsid w:val="00F95718"/>
    <w:rsid w:val="00F95747"/>
    <w:rsid w:val="00F9648F"/>
    <w:rsid w:val="00F96976"/>
    <w:rsid w:val="00F969A2"/>
    <w:rsid w:val="00F96FC3"/>
    <w:rsid w:val="00F97CF9"/>
    <w:rsid w:val="00FA0491"/>
    <w:rsid w:val="00FA0A86"/>
    <w:rsid w:val="00FA0C54"/>
    <w:rsid w:val="00FA0E80"/>
    <w:rsid w:val="00FA0EEA"/>
    <w:rsid w:val="00FA1DE2"/>
    <w:rsid w:val="00FA1DF7"/>
    <w:rsid w:val="00FA231B"/>
    <w:rsid w:val="00FA2975"/>
    <w:rsid w:val="00FA2B5B"/>
    <w:rsid w:val="00FA30C7"/>
    <w:rsid w:val="00FA369F"/>
    <w:rsid w:val="00FA416C"/>
    <w:rsid w:val="00FA4908"/>
    <w:rsid w:val="00FA4AE3"/>
    <w:rsid w:val="00FA530A"/>
    <w:rsid w:val="00FA5CE0"/>
    <w:rsid w:val="00FA69A0"/>
    <w:rsid w:val="00FA6A5B"/>
    <w:rsid w:val="00FA6E91"/>
    <w:rsid w:val="00FA7088"/>
    <w:rsid w:val="00FA71E8"/>
    <w:rsid w:val="00FA72F6"/>
    <w:rsid w:val="00FA73B7"/>
    <w:rsid w:val="00FA7957"/>
    <w:rsid w:val="00FB05A9"/>
    <w:rsid w:val="00FB0F05"/>
    <w:rsid w:val="00FB1093"/>
    <w:rsid w:val="00FB1691"/>
    <w:rsid w:val="00FB211C"/>
    <w:rsid w:val="00FB2365"/>
    <w:rsid w:val="00FB2630"/>
    <w:rsid w:val="00FB3859"/>
    <w:rsid w:val="00FB3989"/>
    <w:rsid w:val="00FB3EE0"/>
    <w:rsid w:val="00FB4128"/>
    <w:rsid w:val="00FB41C2"/>
    <w:rsid w:val="00FB4B1E"/>
    <w:rsid w:val="00FB50EB"/>
    <w:rsid w:val="00FB5B15"/>
    <w:rsid w:val="00FB6137"/>
    <w:rsid w:val="00FB6197"/>
    <w:rsid w:val="00FB69C6"/>
    <w:rsid w:val="00FB6A96"/>
    <w:rsid w:val="00FB6C71"/>
    <w:rsid w:val="00FB6E32"/>
    <w:rsid w:val="00FB75B6"/>
    <w:rsid w:val="00FC003F"/>
    <w:rsid w:val="00FC05E9"/>
    <w:rsid w:val="00FC0E2D"/>
    <w:rsid w:val="00FC1150"/>
    <w:rsid w:val="00FC187A"/>
    <w:rsid w:val="00FC2249"/>
    <w:rsid w:val="00FC2F08"/>
    <w:rsid w:val="00FC31FB"/>
    <w:rsid w:val="00FC39E1"/>
    <w:rsid w:val="00FC3B7E"/>
    <w:rsid w:val="00FC3E20"/>
    <w:rsid w:val="00FC4658"/>
    <w:rsid w:val="00FC4AFB"/>
    <w:rsid w:val="00FC52DE"/>
    <w:rsid w:val="00FC5500"/>
    <w:rsid w:val="00FC5C04"/>
    <w:rsid w:val="00FC5D57"/>
    <w:rsid w:val="00FC5FAF"/>
    <w:rsid w:val="00FC6AAB"/>
    <w:rsid w:val="00FC7143"/>
    <w:rsid w:val="00FC7188"/>
    <w:rsid w:val="00FC73BD"/>
    <w:rsid w:val="00FC79FF"/>
    <w:rsid w:val="00FD0341"/>
    <w:rsid w:val="00FD0DBD"/>
    <w:rsid w:val="00FD0F27"/>
    <w:rsid w:val="00FD1376"/>
    <w:rsid w:val="00FD15DB"/>
    <w:rsid w:val="00FD1B8F"/>
    <w:rsid w:val="00FD1C8B"/>
    <w:rsid w:val="00FD2AD3"/>
    <w:rsid w:val="00FD3C99"/>
    <w:rsid w:val="00FD4DB1"/>
    <w:rsid w:val="00FD5113"/>
    <w:rsid w:val="00FD5381"/>
    <w:rsid w:val="00FD5527"/>
    <w:rsid w:val="00FD57BD"/>
    <w:rsid w:val="00FD591E"/>
    <w:rsid w:val="00FD5B11"/>
    <w:rsid w:val="00FD5F23"/>
    <w:rsid w:val="00FD6108"/>
    <w:rsid w:val="00FD62C6"/>
    <w:rsid w:val="00FD664D"/>
    <w:rsid w:val="00FD6CC4"/>
    <w:rsid w:val="00FD7150"/>
    <w:rsid w:val="00FD720C"/>
    <w:rsid w:val="00FD7371"/>
    <w:rsid w:val="00FE000B"/>
    <w:rsid w:val="00FE04B4"/>
    <w:rsid w:val="00FE0B36"/>
    <w:rsid w:val="00FE0CBF"/>
    <w:rsid w:val="00FE124C"/>
    <w:rsid w:val="00FE1A48"/>
    <w:rsid w:val="00FE2013"/>
    <w:rsid w:val="00FE2457"/>
    <w:rsid w:val="00FE2F7F"/>
    <w:rsid w:val="00FE30FD"/>
    <w:rsid w:val="00FE32CE"/>
    <w:rsid w:val="00FE4A3F"/>
    <w:rsid w:val="00FE62E5"/>
    <w:rsid w:val="00FE63D2"/>
    <w:rsid w:val="00FF00AD"/>
    <w:rsid w:val="00FF0238"/>
    <w:rsid w:val="00FF0407"/>
    <w:rsid w:val="00FF11A9"/>
    <w:rsid w:val="00FF1413"/>
    <w:rsid w:val="00FF2219"/>
    <w:rsid w:val="00FF23E4"/>
    <w:rsid w:val="00FF2E93"/>
    <w:rsid w:val="00FF3870"/>
    <w:rsid w:val="00FF42BE"/>
    <w:rsid w:val="00FF44D0"/>
    <w:rsid w:val="00FF4815"/>
    <w:rsid w:val="00FF56ED"/>
    <w:rsid w:val="00FF5F5A"/>
    <w:rsid w:val="00FF639E"/>
    <w:rsid w:val="00FF6B50"/>
    <w:rsid w:val="00FF6CA6"/>
    <w:rsid w:val="00FF703E"/>
    <w:rsid w:val="00FF7072"/>
    <w:rsid w:val="00FF7389"/>
    <w:rsid w:val="00FF73F7"/>
    <w:rsid w:val="010C3DC8"/>
    <w:rsid w:val="012104EA"/>
    <w:rsid w:val="015C73B3"/>
    <w:rsid w:val="01780EF9"/>
    <w:rsid w:val="01D07FD6"/>
    <w:rsid w:val="01FB5C4F"/>
    <w:rsid w:val="02262316"/>
    <w:rsid w:val="024702CC"/>
    <w:rsid w:val="029E0CDB"/>
    <w:rsid w:val="02A9706C"/>
    <w:rsid w:val="02BF340E"/>
    <w:rsid w:val="02DF1744"/>
    <w:rsid w:val="02F516EA"/>
    <w:rsid w:val="02FF41F8"/>
    <w:rsid w:val="037F791B"/>
    <w:rsid w:val="03AD5615"/>
    <w:rsid w:val="03B77229"/>
    <w:rsid w:val="03E038DB"/>
    <w:rsid w:val="041A5C49"/>
    <w:rsid w:val="043A3F7F"/>
    <w:rsid w:val="04664A43"/>
    <w:rsid w:val="04C837E3"/>
    <w:rsid w:val="05145E61"/>
    <w:rsid w:val="053412CC"/>
    <w:rsid w:val="05750484"/>
    <w:rsid w:val="05754C01"/>
    <w:rsid w:val="05B5126E"/>
    <w:rsid w:val="05ED35C6"/>
    <w:rsid w:val="06187C8D"/>
    <w:rsid w:val="062D43AF"/>
    <w:rsid w:val="06385FC4"/>
    <w:rsid w:val="065906F6"/>
    <w:rsid w:val="06796A2D"/>
    <w:rsid w:val="068F69D2"/>
    <w:rsid w:val="06C510AB"/>
    <w:rsid w:val="07485E01"/>
    <w:rsid w:val="078D1C71"/>
    <w:rsid w:val="07944BFB"/>
    <w:rsid w:val="07C67F02"/>
    <w:rsid w:val="083C3EF0"/>
    <w:rsid w:val="0857273B"/>
    <w:rsid w:val="08FA104A"/>
    <w:rsid w:val="093B1AB4"/>
    <w:rsid w:val="0966617B"/>
    <w:rsid w:val="098708AE"/>
    <w:rsid w:val="09926C3F"/>
    <w:rsid w:val="09E92ED1"/>
    <w:rsid w:val="0A0267CE"/>
    <w:rsid w:val="0AED147A"/>
    <w:rsid w:val="0B0D77B0"/>
    <w:rsid w:val="0BC76BDF"/>
    <w:rsid w:val="0C13125D"/>
    <w:rsid w:val="0C5F0057"/>
    <w:rsid w:val="0C747FFC"/>
    <w:rsid w:val="0CAB26D5"/>
    <w:rsid w:val="0CCB0A0B"/>
    <w:rsid w:val="0D4C5AE1"/>
    <w:rsid w:val="0D4E5761"/>
    <w:rsid w:val="0D583AF2"/>
    <w:rsid w:val="0DAF4501"/>
    <w:rsid w:val="0DBA2892"/>
    <w:rsid w:val="0E064F10"/>
    <w:rsid w:val="0E52758D"/>
    <w:rsid w:val="0EA30592"/>
    <w:rsid w:val="0F1F345E"/>
    <w:rsid w:val="0F2130DE"/>
    <w:rsid w:val="0F3A2F22"/>
    <w:rsid w:val="0F763E6D"/>
    <w:rsid w:val="0FB70159"/>
    <w:rsid w:val="0FCD487B"/>
    <w:rsid w:val="0FE62BCF"/>
    <w:rsid w:val="0FF90BC3"/>
    <w:rsid w:val="100E52E5"/>
    <w:rsid w:val="10254F0A"/>
    <w:rsid w:val="10347BED"/>
    <w:rsid w:val="10453240"/>
    <w:rsid w:val="105015D1"/>
    <w:rsid w:val="10655CF3"/>
    <w:rsid w:val="113E3458"/>
    <w:rsid w:val="11807745"/>
    <w:rsid w:val="11C101AE"/>
    <w:rsid w:val="11D70154"/>
    <w:rsid w:val="12491BA5"/>
    <w:rsid w:val="12A63CA4"/>
    <w:rsid w:val="131C29E9"/>
    <w:rsid w:val="133C549C"/>
    <w:rsid w:val="135C6685"/>
    <w:rsid w:val="140164DF"/>
    <w:rsid w:val="140B4870"/>
    <w:rsid w:val="1457366A"/>
    <w:rsid w:val="146C3610"/>
    <w:rsid w:val="14775224"/>
    <w:rsid w:val="14785667"/>
    <w:rsid w:val="14D05CA0"/>
    <w:rsid w:val="14EE06E6"/>
    <w:rsid w:val="1505030B"/>
    <w:rsid w:val="15D241DC"/>
    <w:rsid w:val="15F23BDD"/>
    <w:rsid w:val="16134C45"/>
    <w:rsid w:val="161404C8"/>
    <w:rsid w:val="161651B5"/>
    <w:rsid w:val="16352BFB"/>
    <w:rsid w:val="166A5654"/>
    <w:rsid w:val="167F55F9"/>
    <w:rsid w:val="16815279"/>
    <w:rsid w:val="16AC1941"/>
    <w:rsid w:val="16D85C88"/>
    <w:rsid w:val="170D06E0"/>
    <w:rsid w:val="171403EA"/>
    <w:rsid w:val="17394A28"/>
    <w:rsid w:val="174F49CD"/>
    <w:rsid w:val="176410EF"/>
    <w:rsid w:val="178570A5"/>
    <w:rsid w:val="179A37C7"/>
    <w:rsid w:val="17A51B58"/>
    <w:rsid w:val="17B0376D"/>
    <w:rsid w:val="17B943BD"/>
    <w:rsid w:val="18A93985"/>
    <w:rsid w:val="18CB193B"/>
    <w:rsid w:val="18EB7C71"/>
    <w:rsid w:val="18EE6871"/>
    <w:rsid w:val="191255DC"/>
    <w:rsid w:val="19376A6C"/>
    <w:rsid w:val="195E736E"/>
    <w:rsid w:val="198310E9"/>
    <w:rsid w:val="19A10856"/>
    <w:rsid w:val="19BA37C2"/>
    <w:rsid w:val="19DA1AF8"/>
    <w:rsid w:val="1A065E3F"/>
    <w:rsid w:val="1A302507"/>
    <w:rsid w:val="1A4768A9"/>
    <w:rsid w:val="1AB339DA"/>
    <w:rsid w:val="1AE81CB5"/>
    <w:rsid w:val="1B0A43E8"/>
    <w:rsid w:val="1B6B3188"/>
    <w:rsid w:val="1B6B6A0B"/>
    <w:rsid w:val="1BA210E4"/>
    <w:rsid w:val="1C6F4FB4"/>
    <w:rsid w:val="1D131396"/>
    <w:rsid w:val="1D690A4F"/>
    <w:rsid w:val="1D6D550B"/>
    <w:rsid w:val="1D954D97"/>
    <w:rsid w:val="1DAA14B9"/>
    <w:rsid w:val="1E4D4545"/>
    <w:rsid w:val="1E733A3A"/>
    <w:rsid w:val="1E79088D"/>
    <w:rsid w:val="1E8F4FAF"/>
    <w:rsid w:val="1ED70828"/>
    <w:rsid w:val="1EDB762C"/>
    <w:rsid w:val="1EF03D4E"/>
    <w:rsid w:val="1F271CAA"/>
    <w:rsid w:val="1FD47844"/>
    <w:rsid w:val="1FDF1459"/>
    <w:rsid w:val="1FF45B7B"/>
    <w:rsid w:val="200B57A0"/>
    <w:rsid w:val="207F54DC"/>
    <w:rsid w:val="20AE4FA9"/>
    <w:rsid w:val="20B96BBD"/>
    <w:rsid w:val="20C34F4E"/>
    <w:rsid w:val="20CE32DF"/>
    <w:rsid w:val="20FA7627"/>
    <w:rsid w:val="212504BC"/>
    <w:rsid w:val="21414DE3"/>
    <w:rsid w:val="215D170A"/>
    <w:rsid w:val="21667FDB"/>
    <w:rsid w:val="21702AE9"/>
    <w:rsid w:val="21AE532C"/>
    <w:rsid w:val="21DE311D"/>
    <w:rsid w:val="21E6657A"/>
    <w:rsid w:val="21FE1453"/>
    <w:rsid w:val="221413F8"/>
    <w:rsid w:val="223F1EBC"/>
    <w:rsid w:val="22551E62"/>
    <w:rsid w:val="226A6584"/>
    <w:rsid w:val="22754915"/>
    <w:rsid w:val="22AB6FED"/>
    <w:rsid w:val="22D66F38"/>
    <w:rsid w:val="23395957"/>
    <w:rsid w:val="23443CE8"/>
    <w:rsid w:val="236E03B0"/>
    <w:rsid w:val="245D2237"/>
    <w:rsid w:val="2489657E"/>
    <w:rsid w:val="24D50BFC"/>
    <w:rsid w:val="250C32D4"/>
    <w:rsid w:val="250D2AE9"/>
    <w:rsid w:val="2537799C"/>
    <w:rsid w:val="25A30350"/>
    <w:rsid w:val="25A34ACC"/>
    <w:rsid w:val="26665E8F"/>
    <w:rsid w:val="26D32C40"/>
    <w:rsid w:val="26FE7307"/>
    <w:rsid w:val="276B793B"/>
    <w:rsid w:val="27762449"/>
    <w:rsid w:val="278B23EE"/>
    <w:rsid w:val="27AD03A5"/>
    <w:rsid w:val="27E22DFD"/>
    <w:rsid w:val="27E32A7D"/>
    <w:rsid w:val="28030DB3"/>
    <w:rsid w:val="2830793F"/>
    <w:rsid w:val="28662892"/>
    <w:rsid w:val="28701767"/>
    <w:rsid w:val="287A4275"/>
    <w:rsid w:val="28855E8A"/>
    <w:rsid w:val="289C222B"/>
    <w:rsid w:val="289D7645"/>
    <w:rsid w:val="28B121D1"/>
    <w:rsid w:val="28D14C84"/>
    <w:rsid w:val="28DC6898"/>
    <w:rsid w:val="2907735C"/>
    <w:rsid w:val="29591B52"/>
    <w:rsid w:val="2969197F"/>
    <w:rsid w:val="29A04058"/>
    <w:rsid w:val="29AA23E9"/>
    <w:rsid w:val="29B5077A"/>
    <w:rsid w:val="2A3854D0"/>
    <w:rsid w:val="2A6D37AC"/>
    <w:rsid w:val="2A8F5EDF"/>
    <w:rsid w:val="2AD908DC"/>
    <w:rsid w:val="2B163BB5"/>
    <w:rsid w:val="2B470F10"/>
    <w:rsid w:val="2B5B47F7"/>
    <w:rsid w:val="2B6739C3"/>
    <w:rsid w:val="2BEB6B74"/>
    <w:rsid w:val="2C357514"/>
    <w:rsid w:val="2C362D97"/>
    <w:rsid w:val="2C401128"/>
    <w:rsid w:val="2C604777"/>
    <w:rsid w:val="2C8C7F23"/>
    <w:rsid w:val="2CAC6259"/>
    <w:rsid w:val="2CC35E7E"/>
    <w:rsid w:val="2CE915E7"/>
    <w:rsid w:val="2D7B562D"/>
    <w:rsid w:val="2D9B3963"/>
    <w:rsid w:val="2DA61CF4"/>
    <w:rsid w:val="2DC74427"/>
    <w:rsid w:val="2DD227B8"/>
    <w:rsid w:val="2DD2603B"/>
    <w:rsid w:val="2DD34C40"/>
    <w:rsid w:val="2ECB6253"/>
    <w:rsid w:val="2F2D0876"/>
    <w:rsid w:val="2F2D4FF3"/>
    <w:rsid w:val="2F835A02"/>
    <w:rsid w:val="2FBA00DA"/>
    <w:rsid w:val="301C26FD"/>
    <w:rsid w:val="30316E1F"/>
    <w:rsid w:val="30650FD5"/>
    <w:rsid w:val="3088782E"/>
    <w:rsid w:val="30D342E9"/>
    <w:rsid w:val="30F67E62"/>
    <w:rsid w:val="31350C4C"/>
    <w:rsid w:val="31576C02"/>
    <w:rsid w:val="318E12DA"/>
    <w:rsid w:val="31D900D5"/>
    <w:rsid w:val="31E41CE9"/>
    <w:rsid w:val="3204001F"/>
    <w:rsid w:val="32194741"/>
    <w:rsid w:val="32724DD0"/>
    <w:rsid w:val="328714F2"/>
    <w:rsid w:val="32E93B15"/>
    <w:rsid w:val="330865C8"/>
    <w:rsid w:val="331E0306"/>
    <w:rsid w:val="333F0CA1"/>
    <w:rsid w:val="335022E1"/>
    <w:rsid w:val="33927666"/>
    <w:rsid w:val="339616AF"/>
    <w:rsid w:val="33C259F7"/>
    <w:rsid w:val="33E23D2D"/>
    <w:rsid w:val="34432ACD"/>
    <w:rsid w:val="34BC1492"/>
    <w:rsid w:val="34CA5108"/>
    <w:rsid w:val="35281E46"/>
    <w:rsid w:val="35AA3319"/>
    <w:rsid w:val="362C03EF"/>
    <w:rsid w:val="36386400"/>
    <w:rsid w:val="368D718F"/>
    <w:rsid w:val="36B934D6"/>
    <w:rsid w:val="36CF347B"/>
    <w:rsid w:val="37103EE5"/>
    <w:rsid w:val="3730221B"/>
    <w:rsid w:val="37910FBB"/>
    <w:rsid w:val="379D6FCC"/>
    <w:rsid w:val="37B36F71"/>
    <w:rsid w:val="37BE182B"/>
    <w:rsid w:val="37EA1649"/>
    <w:rsid w:val="3856677A"/>
    <w:rsid w:val="388C0E52"/>
    <w:rsid w:val="389771E3"/>
    <w:rsid w:val="396665B7"/>
    <w:rsid w:val="398648EE"/>
    <w:rsid w:val="39934616"/>
    <w:rsid w:val="39D236E8"/>
    <w:rsid w:val="39DD52FC"/>
    <w:rsid w:val="3A1379D5"/>
    <w:rsid w:val="3A1E5D66"/>
    <w:rsid w:val="3A7F4B06"/>
    <w:rsid w:val="3AAA57E0"/>
    <w:rsid w:val="3B181801"/>
    <w:rsid w:val="3BB02C79"/>
    <w:rsid w:val="3BC5739B"/>
    <w:rsid w:val="3BD117F8"/>
    <w:rsid w:val="3BFA5677"/>
    <w:rsid w:val="3C1B67F8"/>
    <w:rsid w:val="3C2619BE"/>
    <w:rsid w:val="3C4C4D97"/>
    <w:rsid w:val="3C94676F"/>
    <w:rsid w:val="3CB44AA5"/>
    <w:rsid w:val="3CBF2E36"/>
    <w:rsid w:val="3CE21E78"/>
    <w:rsid w:val="3CEB717E"/>
    <w:rsid w:val="3D201BD6"/>
    <w:rsid w:val="3D577B32"/>
    <w:rsid w:val="3D97091B"/>
    <w:rsid w:val="3DAD4CBD"/>
    <w:rsid w:val="3DB8304E"/>
    <w:rsid w:val="3E243A02"/>
    <w:rsid w:val="3E4619B8"/>
    <w:rsid w:val="3E7B4411"/>
    <w:rsid w:val="3EBC06FE"/>
    <w:rsid w:val="3EFC5A2A"/>
    <w:rsid w:val="3F34383F"/>
    <w:rsid w:val="3F815EBD"/>
    <w:rsid w:val="3F9625DF"/>
    <w:rsid w:val="3FAC5DB7"/>
    <w:rsid w:val="3FB60916"/>
    <w:rsid w:val="3FCD4CB7"/>
    <w:rsid w:val="400D1324"/>
    <w:rsid w:val="40A16606"/>
    <w:rsid w:val="40FD2E2B"/>
    <w:rsid w:val="41831B26"/>
    <w:rsid w:val="41BB1F13"/>
    <w:rsid w:val="41C0096A"/>
    <w:rsid w:val="41CA6CFC"/>
    <w:rsid w:val="42F06ADE"/>
    <w:rsid w:val="43056A83"/>
    <w:rsid w:val="43911EEB"/>
    <w:rsid w:val="43B3461E"/>
    <w:rsid w:val="43B92000"/>
    <w:rsid w:val="44155EBB"/>
    <w:rsid w:val="447659E0"/>
    <w:rsid w:val="44B71CCD"/>
    <w:rsid w:val="44C147DB"/>
    <w:rsid w:val="44C83545"/>
    <w:rsid w:val="452F4E0F"/>
    <w:rsid w:val="453A31A0"/>
    <w:rsid w:val="454F3145"/>
    <w:rsid w:val="45C76287"/>
    <w:rsid w:val="45DD622C"/>
    <w:rsid w:val="4601059C"/>
    <w:rsid w:val="46295027"/>
    <w:rsid w:val="463E4FCC"/>
    <w:rsid w:val="46777349"/>
    <w:rsid w:val="468A3DC6"/>
    <w:rsid w:val="46904F45"/>
    <w:rsid w:val="4741374E"/>
    <w:rsid w:val="4759319A"/>
    <w:rsid w:val="47A45B98"/>
    <w:rsid w:val="47BA1F3A"/>
    <w:rsid w:val="47DA0270"/>
    <w:rsid w:val="47F00216"/>
    <w:rsid w:val="485D4FC6"/>
    <w:rsid w:val="48F5643E"/>
    <w:rsid w:val="49154775"/>
    <w:rsid w:val="494A71CD"/>
    <w:rsid w:val="49825129"/>
    <w:rsid w:val="49A17BDC"/>
    <w:rsid w:val="49B44060"/>
    <w:rsid w:val="49C35B92"/>
    <w:rsid w:val="4A0465FC"/>
    <w:rsid w:val="4A0E616D"/>
    <w:rsid w:val="4A5B700A"/>
    <w:rsid w:val="4A873352"/>
    <w:rsid w:val="4AB27A19"/>
    <w:rsid w:val="4B080428"/>
    <w:rsid w:val="4B1E4B4A"/>
    <w:rsid w:val="4B28675E"/>
    <w:rsid w:val="4B35476F"/>
    <w:rsid w:val="4B7F716D"/>
    <w:rsid w:val="4B995B21"/>
    <w:rsid w:val="4BAB34B4"/>
    <w:rsid w:val="4BC07BD6"/>
    <w:rsid w:val="4C020640"/>
    <w:rsid w:val="4C515898"/>
    <w:rsid w:val="4C7A7005"/>
    <w:rsid w:val="4CF124C7"/>
    <w:rsid w:val="4D06246C"/>
    <w:rsid w:val="4D322BAA"/>
    <w:rsid w:val="4D5D2E7B"/>
    <w:rsid w:val="4DE07BD1"/>
    <w:rsid w:val="4E2C224E"/>
    <w:rsid w:val="4E4C0585"/>
    <w:rsid w:val="4E4C4D02"/>
    <w:rsid w:val="4F105D44"/>
    <w:rsid w:val="4F2C7509"/>
    <w:rsid w:val="4F30407B"/>
    <w:rsid w:val="4F45079D"/>
    <w:rsid w:val="4F5D2ACF"/>
    <w:rsid w:val="4FF44F00"/>
    <w:rsid w:val="50147B70"/>
    <w:rsid w:val="50322ED7"/>
    <w:rsid w:val="50854FFE"/>
    <w:rsid w:val="508C2CB2"/>
    <w:rsid w:val="50C2570B"/>
    <w:rsid w:val="50D756B0"/>
    <w:rsid w:val="50DF6F66"/>
    <w:rsid w:val="510E7D88"/>
    <w:rsid w:val="511300BE"/>
    <w:rsid w:val="51237D2E"/>
    <w:rsid w:val="512E60BF"/>
    <w:rsid w:val="51846ACD"/>
    <w:rsid w:val="51914ADE"/>
    <w:rsid w:val="51B12E15"/>
    <w:rsid w:val="51BF4278"/>
    <w:rsid w:val="51D058C8"/>
    <w:rsid w:val="51F2387E"/>
    <w:rsid w:val="52121BB5"/>
    <w:rsid w:val="5249428D"/>
    <w:rsid w:val="530B1DCC"/>
    <w:rsid w:val="53376114"/>
    <w:rsid w:val="534D60B9"/>
    <w:rsid w:val="535156C7"/>
    <w:rsid w:val="53772781"/>
    <w:rsid w:val="53840791"/>
    <w:rsid w:val="53936BC5"/>
    <w:rsid w:val="53DA11A0"/>
    <w:rsid w:val="53E74AC2"/>
    <w:rsid w:val="53FA3C53"/>
    <w:rsid w:val="54055868"/>
    <w:rsid w:val="547D09A9"/>
    <w:rsid w:val="54B26C85"/>
    <w:rsid w:val="54FE5A7F"/>
    <w:rsid w:val="55203A36"/>
    <w:rsid w:val="554219EC"/>
    <w:rsid w:val="55774444"/>
    <w:rsid w:val="558127D5"/>
    <w:rsid w:val="558C0B67"/>
    <w:rsid w:val="55B84EAE"/>
    <w:rsid w:val="55D831E4"/>
    <w:rsid w:val="560378AC"/>
    <w:rsid w:val="56193C4E"/>
    <w:rsid w:val="562F3BF3"/>
    <w:rsid w:val="56AE23DD"/>
    <w:rsid w:val="57081358"/>
    <w:rsid w:val="574E4DF8"/>
    <w:rsid w:val="57540152"/>
    <w:rsid w:val="576A00F7"/>
    <w:rsid w:val="576B76DA"/>
    <w:rsid w:val="577F009D"/>
    <w:rsid w:val="577F481A"/>
    <w:rsid w:val="57B66EF2"/>
    <w:rsid w:val="57BD4912"/>
    <w:rsid w:val="57E16E3D"/>
    <w:rsid w:val="582278A6"/>
    <w:rsid w:val="5843585C"/>
    <w:rsid w:val="58E02A3F"/>
    <w:rsid w:val="5906339C"/>
    <w:rsid w:val="590B22B6"/>
    <w:rsid w:val="596B0C38"/>
    <w:rsid w:val="59A96428"/>
    <w:rsid w:val="59EA6E92"/>
    <w:rsid w:val="5A36150F"/>
    <w:rsid w:val="5A8D1F1E"/>
    <w:rsid w:val="5AC24977"/>
    <w:rsid w:val="5B3B333C"/>
    <w:rsid w:val="5B715A14"/>
    <w:rsid w:val="5BB3647D"/>
    <w:rsid w:val="5BD347B4"/>
    <w:rsid w:val="5BDD2B45"/>
    <w:rsid w:val="5C14521D"/>
    <w:rsid w:val="5C1D0043"/>
    <w:rsid w:val="5C52446F"/>
    <w:rsid w:val="5C5F7C1B"/>
    <w:rsid w:val="5CAB2299"/>
    <w:rsid w:val="5CAD1E64"/>
    <w:rsid w:val="5D0C1038"/>
    <w:rsid w:val="5DD067F8"/>
    <w:rsid w:val="5F01496B"/>
    <w:rsid w:val="5F8D7DD2"/>
    <w:rsid w:val="5FAE2505"/>
    <w:rsid w:val="5FB9411A"/>
    <w:rsid w:val="5FFA0406"/>
    <w:rsid w:val="603A11F0"/>
    <w:rsid w:val="60665537"/>
    <w:rsid w:val="607D18D9"/>
    <w:rsid w:val="6093187E"/>
    <w:rsid w:val="60B24332"/>
    <w:rsid w:val="61813705"/>
    <w:rsid w:val="620D6B6D"/>
    <w:rsid w:val="62194B7D"/>
    <w:rsid w:val="62246792"/>
    <w:rsid w:val="622F4B23"/>
    <w:rsid w:val="62DC26BD"/>
    <w:rsid w:val="637F5749"/>
    <w:rsid w:val="639456EF"/>
    <w:rsid w:val="639C03E7"/>
    <w:rsid w:val="639F3A80"/>
    <w:rsid w:val="63EB60FE"/>
    <w:rsid w:val="63EF13DA"/>
    <w:rsid w:val="640C0830"/>
    <w:rsid w:val="644D669C"/>
    <w:rsid w:val="647911E5"/>
    <w:rsid w:val="64C47FDF"/>
    <w:rsid w:val="650642CC"/>
    <w:rsid w:val="65310993"/>
    <w:rsid w:val="65B31E66"/>
    <w:rsid w:val="65B456E9"/>
    <w:rsid w:val="661F281A"/>
    <w:rsid w:val="66236B9E"/>
    <w:rsid w:val="666C4E98"/>
    <w:rsid w:val="66AD1184"/>
    <w:rsid w:val="66AD6467"/>
    <w:rsid w:val="66E47FD9"/>
    <w:rsid w:val="66EF1BEE"/>
    <w:rsid w:val="67046310"/>
    <w:rsid w:val="6749577D"/>
    <w:rsid w:val="675A6D1E"/>
    <w:rsid w:val="67650933"/>
    <w:rsid w:val="68131B81"/>
    <w:rsid w:val="681364CD"/>
    <w:rsid w:val="688B4E92"/>
    <w:rsid w:val="68A76C8B"/>
    <w:rsid w:val="68B62874"/>
    <w:rsid w:val="68C078EA"/>
    <w:rsid w:val="690C1F68"/>
    <w:rsid w:val="694E29D2"/>
    <w:rsid w:val="69A433E0"/>
    <w:rsid w:val="69E676CD"/>
    <w:rsid w:val="69F05A5E"/>
    <w:rsid w:val="6A5E280F"/>
    <w:rsid w:val="6BA350A4"/>
    <w:rsid w:val="6BCE176C"/>
    <w:rsid w:val="6C2A49C0"/>
    <w:rsid w:val="6CBD35F3"/>
    <w:rsid w:val="6CD65FAE"/>
    <w:rsid w:val="6CDE15A9"/>
    <w:rsid w:val="6D144001"/>
    <w:rsid w:val="6D351FB7"/>
    <w:rsid w:val="6D601F02"/>
    <w:rsid w:val="6D6B0293"/>
    <w:rsid w:val="6DA13A83"/>
    <w:rsid w:val="6DC1541F"/>
    <w:rsid w:val="6E393DE4"/>
    <w:rsid w:val="6E59211A"/>
    <w:rsid w:val="6E6404AB"/>
    <w:rsid w:val="6E7064BC"/>
    <w:rsid w:val="6F285C6B"/>
    <w:rsid w:val="6F730668"/>
    <w:rsid w:val="6F942D9B"/>
    <w:rsid w:val="6F94661F"/>
    <w:rsid w:val="700233CF"/>
    <w:rsid w:val="702C7A97"/>
    <w:rsid w:val="7063216F"/>
    <w:rsid w:val="70AF47ED"/>
    <w:rsid w:val="71267CAF"/>
    <w:rsid w:val="71783771"/>
    <w:rsid w:val="71B46619"/>
    <w:rsid w:val="72005413"/>
    <w:rsid w:val="720A7028"/>
    <w:rsid w:val="722A1ADB"/>
    <w:rsid w:val="72401A80"/>
    <w:rsid w:val="72764159"/>
    <w:rsid w:val="728F4A3F"/>
    <w:rsid w:val="72B80445"/>
    <w:rsid w:val="73707BF4"/>
    <w:rsid w:val="73C64D7F"/>
    <w:rsid w:val="741D578E"/>
    <w:rsid w:val="74491AD5"/>
    <w:rsid w:val="745F6056"/>
    <w:rsid w:val="748B5DC2"/>
    <w:rsid w:val="74E267D1"/>
    <w:rsid w:val="75011284"/>
    <w:rsid w:val="750C2E98"/>
    <w:rsid w:val="754E280E"/>
    <w:rsid w:val="754E3901"/>
    <w:rsid w:val="75787FC9"/>
    <w:rsid w:val="759926FC"/>
    <w:rsid w:val="75AF26A1"/>
    <w:rsid w:val="75DB69E8"/>
    <w:rsid w:val="75F1698E"/>
    <w:rsid w:val="7647739D"/>
    <w:rsid w:val="76D46C00"/>
    <w:rsid w:val="774B5945"/>
    <w:rsid w:val="77B204A9"/>
    <w:rsid w:val="77CE269B"/>
    <w:rsid w:val="782530AA"/>
    <w:rsid w:val="784F7772"/>
    <w:rsid w:val="785173F2"/>
    <w:rsid w:val="785C244C"/>
    <w:rsid w:val="787C3AB9"/>
    <w:rsid w:val="78F227FE"/>
    <w:rsid w:val="78FF080F"/>
    <w:rsid w:val="79415644"/>
    <w:rsid w:val="798A3C76"/>
    <w:rsid w:val="79C11BD2"/>
    <w:rsid w:val="7A2D6D03"/>
    <w:rsid w:val="7A795AFD"/>
    <w:rsid w:val="7A9B3AB3"/>
    <w:rsid w:val="7AC5017B"/>
    <w:rsid w:val="7AC67961"/>
    <w:rsid w:val="7AF244C2"/>
    <w:rsid w:val="7AFA2663"/>
    <w:rsid w:val="7B7D7F7C"/>
    <w:rsid w:val="7BAF6ECE"/>
    <w:rsid w:val="7BCA1FA7"/>
    <w:rsid w:val="7C4250E9"/>
    <w:rsid w:val="7C6E1430"/>
    <w:rsid w:val="7C8313D5"/>
    <w:rsid w:val="7C8C3D6F"/>
    <w:rsid w:val="7C985AF7"/>
    <w:rsid w:val="7CB74D32"/>
    <w:rsid w:val="7CCF01D0"/>
    <w:rsid w:val="7CEF6506"/>
    <w:rsid w:val="7CFA011A"/>
    <w:rsid w:val="7D306F70"/>
    <w:rsid w:val="7D684ECB"/>
    <w:rsid w:val="7DBE58DA"/>
    <w:rsid w:val="7E4C42E5"/>
    <w:rsid w:val="7E6C6CF7"/>
    <w:rsid w:val="7E765088"/>
    <w:rsid w:val="7E813419"/>
    <w:rsid w:val="7E8C502E"/>
    <w:rsid w:val="7EED3DCE"/>
    <w:rsid w:val="7F656F0F"/>
    <w:rsid w:val="7F7A3631"/>
    <w:rsid w:val="7F9C15E8"/>
    <w:rsid w:val="7FC65CAF"/>
    <w:rsid w:val="7FD1404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4E25B6"/>
  <w15:docId w15:val="{82573225-6E0D-4C6E-944D-C60BD3C77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qFormat="1"/>
    <w:lsdException w:name="Body Text Indent 3" w:qFormat="1"/>
    <w:lsdException w:name="Block Text" w:semiHidden="1" w:unhideWhenUsed="1"/>
    <w:lsdException w:name="Hyperlink" w:uiPriority="99" w:qFormat="1"/>
    <w:lsdException w:name="FollowedHyperlink" w:qFormat="1"/>
    <w:lsdException w:name="Strong" w:uiPriority="22" w:qFormat="1"/>
    <w:lsdException w:name="Emphasis"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0">
    <w:name w:val="heading 2"/>
    <w:basedOn w:val="a"/>
    <w:next w:val="a"/>
    <w:qFormat/>
    <w:pPr>
      <w:autoSpaceDE w:val="0"/>
      <w:autoSpaceDN w:val="0"/>
      <w:adjustRightInd w:val="0"/>
      <w:jc w:val="left"/>
      <w:outlineLvl w:val="1"/>
    </w:pPr>
    <w:rPr>
      <w:rFonts w:ascii="宋体"/>
      <w:kern w:val="0"/>
      <w:sz w:val="20"/>
    </w:rPr>
  </w:style>
  <w:style w:type="paragraph" w:styleId="3">
    <w:name w:val="heading 3"/>
    <w:basedOn w:val="a"/>
    <w:next w:val="a"/>
    <w:qFormat/>
    <w:pPr>
      <w:spacing w:before="120" w:after="120" w:line="360" w:lineRule="auto"/>
      <w:outlineLvl w:val="2"/>
    </w:pPr>
    <w:rPr>
      <w:rFonts w:ascii="宋体"/>
      <w:b/>
      <w:szCs w:val="20"/>
    </w:rPr>
  </w:style>
  <w:style w:type="paragraph" w:styleId="4">
    <w:name w:val="heading 4"/>
    <w:basedOn w:val="a"/>
    <w:next w:val="a"/>
    <w:qFormat/>
    <w:pPr>
      <w:keepNext/>
      <w:keepLines/>
      <w:spacing w:line="360" w:lineRule="auto"/>
      <w:outlineLvl w:val="3"/>
    </w:pPr>
    <w:rPr>
      <w:rFonts w:ascii="Arial" w:hAnsi="Arial"/>
      <w:szCs w:val="20"/>
    </w:rPr>
  </w:style>
  <w:style w:type="paragraph" w:styleId="5">
    <w:name w:val="heading 5"/>
    <w:basedOn w:val="a"/>
    <w:next w:val="a"/>
    <w:qFormat/>
    <w:pPr>
      <w:keepNext/>
      <w:keepLines/>
      <w:adjustRightInd w:val="0"/>
      <w:snapToGrid w:val="0"/>
      <w:spacing w:line="360" w:lineRule="auto"/>
      <w:outlineLvl w:val="4"/>
    </w:pPr>
    <w:rPr>
      <w:szCs w:val="20"/>
    </w:rPr>
  </w:style>
  <w:style w:type="paragraph" w:styleId="6">
    <w:name w:val="heading 6"/>
    <w:basedOn w:val="a"/>
    <w:next w:val="a"/>
    <w:qFormat/>
    <w:pPr>
      <w:keepNext/>
      <w:keepLines/>
      <w:spacing w:before="240" w:after="64" w:line="320" w:lineRule="auto"/>
      <w:outlineLvl w:val="5"/>
    </w:pPr>
    <w:rPr>
      <w:rFonts w:ascii="Arial" w:eastAsia="黑体" w:hAnsi="Arial"/>
      <w:b/>
      <w:sz w:val="24"/>
      <w:szCs w:val="20"/>
    </w:rPr>
  </w:style>
  <w:style w:type="paragraph" w:styleId="7">
    <w:name w:val="heading 7"/>
    <w:basedOn w:val="a"/>
    <w:next w:val="a"/>
    <w:qFormat/>
    <w:pPr>
      <w:keepNext/>
      <w:keepLines/>
      <w:spacing w:before="240" w:after="64" w:line="320" w:lineRule="auto"/>
      <w:outlineLvl w:val="6"/>
    </w:pPr>
    <w:rPr>
      <w:b/>
      <w:sz w:val="24"/>
      <w:szCs w:val="20"/>
    </w:rPr>
  </w:style>
  <w:style w:type="paragraph" w:styleId="8">
    <w:name w:val="heading 8"/>
    <w:basedOn w:val="a"/>
    <w:next w:val="a"/>
    <w:qFormat/>
    <w:pPr>
      <w:keepNext/>
      <w:keepLines/>
      <w:spacing w:before="240" w:after="64" w:line="320" w:lineRule="auto"/>
      <w:outlineLvl w:val="7"/>
    </w:pPr>
    <w:rPr>
      <w:rFonts w:ascii="Arial" w:eastAsia="黑体" w:hAnsi="Arial"/>
      <w:sz w:val="24"/>
      <w:szCs w:val="20"/>
    </w:rPr>
  </w:style>
  <w:style w:type="paragraph" w:styleId="9">
    <w:name w:val="heading 9"/>
    <w:basedOn w:val="a"/>
    <w:next w:val="a"/>
    <w:qFormat/>
    <w:pPr>
      <w:keepNext/>
      <w:keepLines/>
      <w:spacing w:before="240" w:after="64" w:line="320" w:lineRule="auto"/>
      <w:outlineLvl w:val="8"/>
    </w:pPr>
    <w:rPr>
      <w:rFonts w:ascii="Arial" w:eastAsia="黑体" w:hAnsi="Arial"/>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szCs w:val="20"/>
    </w:rPr>
  </w:style>
  <w:style w:type="paragraph" w:styleId="a4">
    <w:name w:val="Document Map"/>
    <w:basedOn w:val="a"/>
    <w:semiHidden/>
    <w:qFormat/>
    <w:pPr>
      <w:shd w:val="clear" w:color="auto" w:fill="000080"/>
    </w:pPr>
  </w:style>
  <w:style w:type="paragraph" w:styleId="a5">
    <w:name w:val="annotation text"/>
    <w:basedOn w:val="a"/>
    <w:link w:val="a6"/>
    <w:qFormat/>
    <w:pPr>
      <w:jc w:val="left"/>
    </w:pPr>
  </w:style>
  <w:style w:type="paragraph" w:styleId="a7">
    <w:name w:val="Body Text"/>
    <w:basedOn w:val="a"/>
    <w:qFormat/>
    <w:pPr>
      <w:spacing w:after="120"/>
    </w:pPr>
  </w:style>
  <w:style w:type="paragraph" w:styleId="a8">
    <w:name w:val="Body Text Indent"/>
    <w:basedOn w:val="a"/>
    <w:link w:val="a9"/>
    <w:qFormat/>
    <w:pPr>
      <w:spacing w:after="120"/>
      <w:ind w:leftChars="200" w:left="420"/>
    </w:pPr>
  </w:style>
  <w:style w:type="paragraph" w:styleId="aa">
    <w:name w:val="Plain Text"/>
    <w:basedOn w:val="a"/>
    <w:link w:val="ab"/>
    <w:qFormat/>
    <w:rPr>
      <w:rFonts w:ascii="宋体" w:hAnsi="Courier New"/>
      <w:szCs w:val="21"/>
    </w:rPr>
  </w:style>
  <w:style w:type="paragraph" w:styleId="21">
    <w:name w:val="Body Text Indent 2"/>
    <w:basedOn w:val="a"/>
    <w:qFormat/>
    <w:pPr>
      <w:autoSpaceDE w:val="0"/>
      <w:autoSpaceDN w:val="0"/>
      <w:adjustRightInd w:val="0"/>
      <w:spacing w:line="360" w:lineRule="auto"/>
      <w:ind w:firstLineChars="200" w:firstLine="420"/>
    </w:pPr>
    <w:rPr>
      <w:rFonts w:ascii="宋体" w:hAnsi="宋体"/>
      <w:color w:val="0000FF"/>
    </w:rPr>
  </w:style>
  <w:style w:type="paragraph" w:styleId="ac">
    <w:name w:val="Balloon Text"/>
    <w:basedOn w:val="a"/>
    <w:semiHidden/>
    <w:qFormat/>
    <w:rPr>
      <w:sz w:val="18"/>
      <w:szCs w:val="18"/>
    </w:rPr>
  </w:style>
  <w:style w:type="paragraph" w:styleId="ad">
    <w:name w:val="footer"/>
    <w:basedOn w:val="a"/>
    <w:link w:val="ae"/>
    <w:uiPriority w:val="99"/>
    <w:qFormat/>
    <w:pPr>
      <w:tabs>
        <w:tab w:val="center" w:pos="4153"/>
        <w:tab w:val="right" w:pos="8306"/>
      </w:tabs>
      <w:snapToGrid w:val="0"/>
      <w:jc w:val="left"/>
    </w:pPr>
    <w:rPr>
      <w:sz w:val="18"/>
      <w:szCs w:val="18"/>
    </w:rPr>
  </w:style>
  <w:style w:type="paragraph" w:styleId="af">
    <w:name w:val="header"/>
    <w:basedOn w:val="a"/>
    <w:link w:val="af0"/>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dot" w:pos="8630"/>
      </w:tabs>
      <w:spacing w:before="120" w:after="120" w:line="360" w:lineRule="auto"/>
      <w:jc w:val="left"/>
    </w:pPr>
    <w:rPr>
      <w:b/>
      <w:bCs/>
      <w:caps/>
      <w:sz w:val="20"/>
      <w:szCs w:val="20"/>
    </w:rPr>
  </w:style>
  <w:style w:type="paragraph" w:styleId="30">
    <w:name w:val="Body Text Indent 3"/>
    <w:basedOn w:val="a"/>
    <w:qFormat/>
    <w:pPr>
      <w:spacing w:after="120"/>
      <w:ind w:leftChars="200" w:left="420"/>
    </w:pPr>
    <w:rPr>
      <w:sz w:val="16"/>
      <w:szCs w:val="16"/>
    </w:rPr>
  </w:style>
  <w:style w:type="paragraph" w:styleId="22">
    <w:name w:val="Body Text 2"/>
    <w:basedOn w:val="a"/>
    <w:qFormat/>
    <w:pPr>
      <w:spacing w:after="120" w:line="480" w:lineRule="auto"/>
    </w:pPr>
  </w:style>
  <w:style w:type="paragraph" w:styleId="af1">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f2">
    <w:name w:val="Title"/>
    <w:basedOn w:val="a"/>
    <w:qFormat/>
    <w:pPr>
      <w:spacing w:before="240" w:after="60"/>
      <w:jc w:val="center"/>
      <w:outlineLvl w:val="0"/>
    </w:pPr>
    <w:rPr>
      <w:rFonts w:ascii="Arial" w:hAnsi="Arial" w:cs="Arial"/>
      <w:b/>
      <w:bCs/>
      <w:sz w:val="32"/>
      <w:szCs w:val="32"/>
    </w:rPr>
  </w:style>
  <w:style w:type="paragraph" w:styleId="af3">
    <w:name w:val="annotation subject"/>
    <w:basedOn w:val="a5"/>
    <w:next w:val="a5"/>
    <w:semiHidden/>
    <w:qFormat/>
    <w:rPr>
      <w:b/>
      <w:bCs/>
    </w:rPr>
  </w:style>
  <w:style w:type="table" w:styleId="af4">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Pr>
      <w:b/>
      <w:bCs/>
    </w:rPr>
  </w:style>
  <w:style w:type="character" w:styleId="af6">
    <w:name w:val="page number"/>
    <w:basedOn w:val="a0"/>
    <w:qFormat/>
  </w:style>
  <w:style w:type="character" w:styleId="af7">
    <w:name w:val="FollowedHyperlink"/>
    <w:qFormat/>
    <w:rPr>
      <w:color w:val="800080"/>
      <w:u w:val="single"/>
    </w:rPr>
  </w:style>
  <w:style w:type="character" w:styleId="af8">
    <w:name w:val="Hyperlink"/>
    <w:uiPriority w:val="99"/>
    <w:qFormat/>
    <w:rPr>
      <w:color w:val="0000FF"/>
      <w:u w:val="single"/>
    </w:rPr>
  </w:style>
  <w:style w:type="character" w:styleId="af9">
    <w:name w:val="annotation reference"/>
    <w:qFormat/>
    <w:rPr>
      <w:sz w:val="21"/>
      <w:szCs w:val="21"/>
    </w:rPr>
  </w:style>
  <w:style w:type="character" w:customStyle="1" w:styleId="read">
    <w:name w:val="read"/>
    <w:basedOn w:val="a0"/>
    <w:qFormat/>
  </w:style>
  <w:style w:type="character" w:customStyle="1" w:styleId="10">
    <w:name w:val="标题 1 字符"/>
    <w:link w:val="1"/>
    <w:uiPriority w:val="9"/>
    <w:qFormat/>
    <w:rPr>
      <w:rFonts w:eastAsia="宋体"/>
      <w:b/>
      <w:bCs/>
      <w:kern w:val="44"/>
      <w:sz w:val="44"/>
      <w:szCs w:val="44"/>
      <w:lang w:val="en-US" w:eastAsia="zh-CN" w:bidi="ar-SA"/>
    </w:rPr>
  </w:style>
  <w:style w:type="character" w:customStyle="1" w:styleId="tt11">
    <w:name w:val="tt11"/>
    <w:qFormat/>
    <w:rPr>
      <w:sz w:val="22"/>
      <w:szCs w:val="22"/>
    </w:rPr>
  </w:style>
  <w:style w:type="character" w:customStyle="1" w:styleId="a6">
    <w:name w:val="批注文字 字符"/>
    <w:link w:val="a5"/>
    <w:qFormat/>
    <w:rPr>
      <w:kern w:val="2"/>
      <w:sz w:val="21"/>
      <w:szCs w:val="24"/>
    </w:rPr>
  </w:style>
  <w:style w:type="character" w:customStyle="1" w:styleId="big1">
    <w:name w:val="big1"/>
    <w:qFormat/>
    <w:rPr>
      <w:sz w:val="22"/>
      <w:szCs w:val="22"/>
    </w:rPr>
  </w:style>
  <w:style w:type="character" w:customStyle="1" w:styleId="unnamed11">
    <w:name w:val="unnamed11"/>
    <w:qFormat/>
    <w:rPr>
      <w:rFonts w:ascii="宋体" w:eastAsia="宋体" w:hAnsi="宋体" w:hint="eastAsia"/>
      <w:sz w:val="18"/>
      <w:szCs w:val="18"/>
    </w:rPr>
  </w:style>
  <w:style w:type="character" w:customStyle="1" w:styleId="a9">
    <w:name w:val="正文文本缩进 字符"/>
    <w:link w:val="a8"/>
    <w:qFormat/>
    <w:rPr>
      <w:kern w:val="2"/>
      <w:sz w:val="21"/>
      <w:szCs w:val="24"/>
    </w:rPr>
  </w:style>
  <w:style w:type="character" w:customStyle="1" w:styleId="ae">
    <w:name w:val="页脚 字符"/>
    <w:link w:val="ad"/>
    <w:uiPriority w:val="99"/>
    <w:qFormat/>
    <w:rPr>
      <w:kern w:val="2"/>
      <w:sz w:val="18"/>
      <w:szCs w:val="18"/>
    </w:rPr>
  </w:style>
  <w:style w:type="paragraph" w:customStyle="1" w:styleId="Level3">
    <w:name w:val="Level 3"/>
    <w:basedOn w:val="a"/>
    <w:qFormat/>
    <w:pPr>
      <w:widowControl/>
      <w:numPr>
        <w:ilvl w:val="2"/>
        <w:numId w:val="1"/>
      </w:numPr>
      <w:spacing w:after="140" w:line="290" w:lineRule="auto"/>
      <w:outlineLvl w:val="2"/>
    </w:pPr>
    <w:rPr>
      <w:rFonts w:ascii="Arial" w:hAnsi="Arial"/>
      <w:kern w:val="20"/>
      <w:sz w:val="20"/>
      <w:lang w:val="en-GB" w:eastAsia="en-US"/>
    </w:rPr>
  </w:style>
  <w:style w:type="paragraph" w:customStyle="1" w:styleId="ParaCharCharCharCharCharCharChar">
    <w:name w:val="默认段落字体 Para Char Char Char Char Char Char Char"/>
    <w:basedOn w:val="a"/>
    <w:qFormat/>
    <w:pPr>
      <w:widowControl/>
      <w:jc w:val="left"/>
    </w:pPr>
    <w:rPr>
      <w:rFonts w:ascii="Tahoma" w:hAnsi="Tahoma"/>
      <w:color w:val="000000"/>
      <w:kern w:val="0"/>
      <w:sz w:val="24"/>
      <w:szCs w:val="20"/>
    </w:rPr>
  </w:style>
  <w:style w:type="paragraph" w:customStyle="1" w:styleId="Char2">
    <w:name w:val="Char2"/>
    <w:basedOn w:val="a"/>
    <w:qFormat/>
  </w:style>
  <w:style w:type="paragraph" w:customStyle="1" w:styleId="Level5">
    <w:name w:val="Level 5"/>
    <w:basedOn w:val="a"/>
    <w:qFormat/>
    <w:pPr>
      <w:widowControl/>
      <w:numPr>
        <w:ilvl w:val="4"/>
        <w:numId w:val="1"/>
      </w:numPr>
      <w:spacing w:after="140" w:line="290" w:lineRule="auto"/>
      <w:outlineLvl w:val="4"/>
    </w:pPr>
    <w:rPr>
      <w:rFonts w:ascii="Arial" w:hAnsi="Arial"/>
      <w:kern w:val="20"/>
      <w:sz w:val="20"/>
      <w:lang w:val="en-GB" w:eastAsia="en-US"/>
    </w:rPr>
  </w:style>
  <w:style w:type="paragraph" w:customStyle="1" w:styleId="Level1">
    <w:name w:val="Level 1"/>
    <w:basedOn w:val="a"/>
    <w:qFormat/>
    <w:pPr>
      <w:widowControl/>
      <w:numPr>
        <w:numId w:val="1"/>
      </w:numPr>
      <w:spacing w:after="140" w:line="290" w:lineRule="auto"/>
      <w:outlineLvl w:val="0"/>
    </w:pPr>
    <w:rPr>
      <w:rFonts w:ascii="Arial" w:hAnsi="Arial"/>
      <w:kern w:val="20"/>
      <w:sz w:val="20"/>
      <w:lang w:val="en-GB" w:eastAsia="en-US"/>
    </w:rPr>
  </w:style>
  <w:style w:type="paragraph" w:customStyle="1" w:styleId="CharCharCharChar">
    <w:name w:val="Char Char Char Char"/>
    <w:basedOn w:val="a"/>
    <w:qFormat/>
    <w:pPr>
      <w:tabs>
        <w:tab w:val="left" w:pos="360"/>
      </w:tabs>
    </w:pPr>
    <w:rPr>
      <w:sz w:val="24"/>
    </w:rPr>
  </w:style>
  <w:style w:type="paragraph" w:customStyle="1" w:styleId="11">
    <w:name w:val="修订1"/>
    <w:uiPriority w:val="99"/>
    <w:semiHidden/>
    <w:qFormat/>
    <w:rPr>
      <w:kern w:val="2"/>
      <w:sz w:val="21"/>
      <w:szCs w:val="24"/>
    </w:rPr>
  </w:style>
  <w:style w:type="paragraph" w:customStyle="1" w:styleId="afa">
    <w:name w:val="正文所"/>
    <w:basedOn w:val="a"/>
    <w:qFormat/>
    <w:pPr>
      <w:spacing w:line="360" w:lineRule="auto"/>
      <w:ind w:firstLineChars="200" w:firstLine="420"/>
    </w:pPr>
    <w:rPr>
      <w:rFonts w:ascii="宋体"/>
      <w:szCs w:val="20"/>
    </w:rPr>
  </w:style>
  <w:style w:type="paragraph" w:customStyle="1" w:styleId="Level9">
    <w:name w:val="Level 9"/>
    <w:basedOn w:val="a"/>
    <w:qFormat/>
    <w:pPr>
      <w:widowControl/>
      <w:numPr>
        <w:ilvl w:val="8"/>
        <w:numId w:val="1"/>
      </w:numPr>
      <w:spacing w:after="140" w:line="290" w:lineRule="auto"/>
      <w:outlineLvl w:val="8"/>
    </w:pPr>
    <w:rPr>
      <w:rFonts w:ascii="Arial" w:hAnsi="Arial"/>
      <w:kern w:val="20"/>
      <w:sz w:val="20"/>
      <w:lang w:val="en-GB" w:eastAsia="en-US"/>
    </w:rPr>
  </w:style>
  <w:style w:type="paragraph" w:customStyle="1" w:styleId="15">
    <w:name w:val="样式 宋体 四号 行距: 1.5 倍行距"/>
    <w:basedOn w:val="a"/>
    <w:qFormat/>
    <w:pPr>
      <w:spacing w:line="360" w:lineRule="auto"/>
    </w:pPr>
    <w:rPr>
      <w:rFonts w:ascii="宋体" w:hAnsi="宋体"/>
      <w:sz w:val="24"/>
      <w:szCs w:val="20"/>
    </w:rPr>
  </w:style>
  <w:style w:type="paragraph" w:customStyle="1" w:styleId="ParaChar">
    <w:name w:val="默认段落字体 Para Char"/>
    <w:basedOn w:val="a"/>
    <w:qFormat/>
    <w:pPr>
      <w:tabs>
        <w:tab w:val="left" w:pos="840"/>
      </w:tabs>
      <w:ind w:left="840" w:hanging="420"/>
    </w:pPr>
    <w:rPr>
      <w:sz w:val="24"/>
    </w:rPr>
  </w:style>
  <w:style w:type="paragraph" w:customStyle="1" w:styleId="Level7">
    <w:name w:val="Level 7"/>
    <w:basedOn w:val="a"/>
    <w:qFormat/>
    <w:pPr>
      <w:widowControl/>
      <w:numPr>
        <w:ilvl w:val="6"/>
        <w:numId w:val="1"/>
      </w:numPr>
      <w:spacing w:after="140" w:line="290" w:lineRule="auto"/>
      <w:outlineLvl w:val="6"/>
    </w:pPr>
    <w:rPr>
      <w:rFonts w:ascii="Arial" w:hAnsi="Arial"/>
      <w:kern w:val="20"/>
      <w:sz w:val="20"/>
      <w:lang w:val="en-GB" w:eastAsia="en-US"/>
    </w:rPr>
  </w:style>
  <w:style w:type="paragraph" w:customStyle="1" w:styleId="Level6">
    <w:name w:val="Level 6"/>
    <w:basedOn w:val="a"/>
    <w:qFormat/>
    <w:pPr>
      <w:widowControl/>
      <w:numPr>
        <w:ilvl w:val="5"/>
        <w:numId w:val="1"/>
      </w:numPr>
      <w:spacing w:after="140" w:line="290" w:lineRule="auto"/>
      <w:outlineLvl w:val="5"/>
    </w:pPr>
    <w:rPr>
      <w:rFonts w:ascii="Arial" w:hAnsi="Arial"/>
      <w:kern w:val="20"/>
      <w:sz w:val="20"/>
      <w:lang w:val="en-GB" w:eastAsia="en-US"/>
    </w:rPr>
  </w:style>
  <w:style w:type="paragraph" w:customStyle="1" w:styleId="2">
    <w:name w:val="列表2"/>
    <w:basedOn w:val="a"/>
    <w:next w:val="af2"/>
    <w:qFormat/>
    <w:pPr>
      <w:numPr>
        <w:numId w:val="2"/>
      </w:numPr>
      <w:spacing w:line="360" w:lineRule="auto"/>
    </w:pPr>
    <w:rPr>
      <w:rFonts w:ascii="宋体"/>
      <w:szCs w:val="20"/>
    </w:rPr>
  </w:style>
  <w:style w:type="paragraph" w:customStyle="1" w:styleId="Level2">
    <w:name w:val="Level 2"/>
    <w:basedOn w:val="a"/>
    <w:qFormat/>
    <w:pPr>
      <w:widowControl/>
      <w:numPr>
        <w:ilvl w:val="1"/>
        <w:numId w:val="1"/>
      </w:numPr>
      <w:spacing w:after="140" w:line="290" w:lineRule="auto"/>
      <w:outlineLvl w:val="1"/>
    </w:pPr>
    <w:rPr>
      <w:rFonts w:ascii="Arial" w:hAnsi="Arial"/>
      <w:kern w:val="20"/>
      <w:sz w:val="20"/>
      <w:lang w:val="en-GB" w:eastAsia="en-US"/>
    </w:rPr>
  </w:style>
  <w:style w:type="paragraph" w:customStyle="1" w:styleId="CharCharCharChar1">
    <w:name w:val="Char Char Char Char1"/>
    <w:basedOn w:val="a"/>
    <w:qFormat/>
    <w:pPr>
      <w:tabs>
        <w:tab w:val="left" w:pos="360"/>
      </w:tabs>
    </w:pPr>
    <w:rPr>
      <w:sz w:val="24"/>
    </w:rPr>
  </w:style>
  <w:style w:type="paragraph" w:customStyle="1" w:styleId="CharChar">
    <w:name w:val="Char Char"/>
    <w:basedOn w:val="a"/>
    <w:qFormat/>
    <w:rPr>
      <w:szCs w:val="20"/>
    </w:rPr>
  </w:style>
  <w:style w:type="paragraph" w:customStyle="1" w:styleId="12">
    <w:name w:val="正文1"/>
    <w:basedOn w:val="a"/>
    <w:qFormat/>
    <w:pPr>
      <w:spacing w:line="360" w:lineRule="auto"/>
      <w:ind w:firstLineChars="200" w:firstLine="200"/>
    </w:pPr>
    <w:rPr>
      <w:rFonts w:cs="宋体"/>
      <w:szCs w:val="20"/>
    </w:rPr>
  </w:style>
  <w:style w:type="paragraph" w:customStyle="1" w:styleId="ParaCharCharCharCharCharCharCharCharCharCharCharChar">
    <w:name w:val="默认段落字体 Para Char Char Char Char Char Char Char Char Char Char Char Char"/>
    <w:basedOn w:val="a"/>
    <w:qFormat/>
    <w:pPr>
      <w:tabs>
        <w:tab w:val="left" w:pos="840"/>
      </w:tabs>
      <w:ind w:left="840" w:hanging="360"/>
    </w:pPr>
    <w:rPr>
      <w:sz w:val="24"/>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Level8">
    <w:name w:val="Level 8"/>
    <w:basedOn w:val="a"/>
    <w:qFormat/>
    <w:pPr>
      <w:widowControl/>
      <w:numPr>
        <w:ilvl w:val="7"/>
        <w:numId w:val="1"/>
      </w:numPr>
      <w:spacing w:after="140" w:line="290" w:lineRule="auto"/>
      <w:outlineLvl w:val="7"/>
    </w:pPr>
    <w:rPr>
      <w:rFonts w:ascii="Arial" w:hAnsi="Arial"/>
      <w:kern w:val="20"/>
      <w:sz w:val="20"/>
      <w:lang w:val="en-GB" w:eastAsia="en-US"/>
    </w:rPr>
  </w:style>
  <w:style w:type="paragraph" w:customStyle="1" w:styleId="Char">
    <w:name w:val="Char"/>
    <w:basedOn w:val="a"/>
    <w:qFormat/>
  </w:style>
  <w:style w:type="paragraph" w:customStyle="1" w:styleId="afb">
    <w:name w:val="正文正文"/>
    <w:basedOn w:val="a"/>
    <w:qFormat/>
    <w:pPr>
      <w:spacing w:afterLines="25" w:line="360" w:lineRule="auto"/>
      <w:ind w:firstLineChars="200" w:firstLine="200"/>
    </w:pPr>
    <w:rPr>
      <w:sz w:val="24"/>
    </w:rPr>
  </w:style>
  <w:style w:type="paragraph" w:customStyle="1" w:styleId="xl25">
    <w:name w:val="xl25"/>
    <w:basedOn w:val="a"/>
    <w:qFormat/>
    <w:pPr>
      <w:widowControl/>
      <w:pBdr>
        <w:bottom w:val="single" w:sz="4" w:space="0" w:color="auto"/>
        <w:right w:val="single" w:sz="4" w:space="0" w:color="auto"/>
      </w:pBdr>
      <w:spacing w:before="100" w:beforeAutospacing="1" w:after="100" w:afterAutospacing="1"/>
      <w:jc w:val="center"/>
    </w:pPr>
    <w:rPr>
      <w:rFonts w:eastAsia="Arial Unicode MS"/>
      <w:kern w:val="0"/>
      <w:szCs w:val="21"/>
    </w:rPr>
  </w:style>
  <w:style w:type="paragraph" w:customStyle="1" w:styleId="080318">
    <w:name w:val="产品方案正文080318"/>
    <w:basedOn w:val="a"/>
    <w:next w:val="a"/>
    <w:qFormat/>
    <w:pPr>
      <w:autoSpaceDE w:val="0"/>
      <w:autoSpaceDN w:val="0"/>
      <w:adjustRightInd w:val="0"/>
      <w:jc w:val="left"/>
    </w:pPr>
    <w:rPr>
      <w:rFonts w:ascii="宋体"/>
      <w:kern w:val="0"/>
      <w:sz w:val="24"/>
    </w:rPr>
  </w:style>
  <w:style w:type="paragraph" w:customStyle="1" w:styleId="afc">
    <w:name w:val="第三级标题"/>
    <w:basedOn w:val="afb"/>
    <w:next w:val="afb"/>
    <w:qFormat/>
    <w:pPr>
      <w:keepNext/>
      <w:outlineLvl w:val="2"/>
    </w:pPr>
    <w:rPr>
      <w:b/>
    </w:rPr>
  </w:style>
  <w:style w:type="paragraph" w:customStyle="1" w:styleId="13">
    <w:name w:val="无间隔1"/>
    <w:uiPriority w:val="1"/>
    <w:qFormat/>
    <w:pPr>
      <w:widowControl w:val="0"/>
      <w:jc w:val="both"/>
    </w:pPr>
    <w:rPr>
      <w:kern w:val="2"/>
      <w:sz w:val="21"/>
      <w:szCs w:val="24"/>
    </w:rPr>
  </w:style>
  <w:style w:type="character" w:customStyle="1" w:styleId="ab">
    <w:name w:val="纯文本 字符"/>
    <w:link w:val="aa"/>
    <w:qFormat/>
    <w:rPr>
      <w:rFonts w:ascii="宋体" w:hAnsi="Courier New"/>
      <w:kern w:val="2"/>
      <w:sz w:val="21"/>
      <w:szCs w:val="21"/>
    </w:rPr>
  </w:style>
  <w:style w:type="paragraph" w:customStyle="1" w:styleId="14">
    <w:name w:val="列出段落1"/>
    <w:basedOn w:val="a"/>
    <w:uiPriority w:val="99"/>
    <w:qFormat/>
    <w:pPr>
      <w:ind w:firstLineChars="200" w:firstLine="420"/>
    </w:pPr>
  </w:style>
  <w:style w:type="character" w:customStyle="1" w:styleId="apple-converted-space">
    <w:name w:val="apple-converted-space"/>
    <w:basedOn w:val="a0"/>
    <w:qFormat/>
  </w:style>
  <w:style w:type="paragraph" w:customStyle="1" w:styleId="biaogeleft">
    <w:name w:val="biaoge_left"/>
    <w:basedOn w:val="a"/>
    <w:qFormat/>
    <w:pPr>
      <w:widowControl/>
      <w:autoSpaceDE w:val="0"/>
      <w:autoSpaceDN w:val="0"/>
      <w:adjustRightInd w:val="0"/>
      <w:spacing w:before="29" w:line="288" w:lineRule="auto"/>
      <w:ind w:left="15"/>
      <w:jc w:val="left"/>
    </w:pPr>
    <w:rPr>
      <w:rFonts w:ascii="宋体" w:hAnsi="宋体" w:cs="宋体"/>
      <w:kern w:val="0"/>
      <w:sz w:val="24"/>
    </w:rPr>
  </w:style>
  <w:style w:type="paragraph" w:customStyle="1" w:styleId="biaogecenter">
    <w:name w:val="biaoge_center"/>
    <w:basedOn w:val="a"/>
    <w:qFormat/>
    <w:pPr>
      <w:widowControl/>
      <w:autoSpaceDE w:val="0"/>
      <w:autoSpaceDN w:val="0"/>
      <w:adjustRightInd w:val="0"/>
      <w:spacing w:before="29" w:line="288" w:lineRule="auto"/>
      <w:ind w:left="15"/>
      <w:jc w:val="center"/>
    </w:pPr>
    <w:rPr>
      <w:rFonts w:ascii="宋体" w:hAnsi="宋体" w:cs="宋体"/>
      <w:kern w:val="0"/>
      <w:sz w:val="24"/>
    </w:rPr>
  </w:style>
  <w:style w:type="paragraph" w:customStyle="1" w:styleId="biaogeright">
    <w:name w:val="biaoge_right"/>
    <w:basedOn w:val="a"/>
    <w:qFormat/>
    <w:pPr>
      <w:widowControl/>
      <w:autoSpaceDE w:val="0"/>
      <w:autoSpaceDN w:val="0"/>
      <w:adjustRightInd w:val="0"/>
      <w:spacing w:before="29" w:line="288" w:lineRule="auto"/>
      <w:ind w:left="15"/>
      <w:jc w:val="right"/>
    </w:pPr>
    <w:rPr>
      <w:rFonts w:ascii="宋体" w:hAnsi="宋体" w:cs="宋体"/>
      <w:kern w:val="0"/>
      <w:sz w:val="24"/>
    </w:rPr>
  </w:style>
  <w:style w:type="paragraph" w:customStyle="1" w:styleId="23">
    <w:name w:val="修订2"/>
    <w:hidden/>
    <w:uiPriority w:val="99"/>
    <w:unhideWhenUsed/>
    <w:qFormat/>
    <w:rPr>
      <w:kern w:val="2"/>
      <w:sz w:val="21"/>
      <w:szCs w:val="24"/>
    </w:rPr>
  </w:style>
  <w:style w:type="paragraph" w:styleId="afd">
    <w:name w:val="List Paragraph"/>
    <w:basedOn w:val="a"/>
    <w:uiPriority w:val="34"/>
    <w:unhideWhenUsed/>
    <w:qFormat/>
    <w:pPr>
      <w:ind w:firstLineChars="200" w:firstLine="420"/>
    </w:pPr>
  </w:style>
  <w:style w:type="paragraph" w:customStyle="1" w:styleId="neirong">
    <w:name w:val="neirong"/>
    <w:basedOn w:val="a"/>
    <w:qFormat/>
    <w:pPr>
      <w:widowControl/>
      <w:autoSpaceDE w:val="0"/>
      <w:autoSpaceDN w:val="0"/>
      <w:adjustRightInd w:val="0"/>
      <w:spacing w:before="29" w:line="288" w:lineRule="auto"/>
      <w:ind w:left="15"/>
      <w:jc w:val="left"/>
    </w:pPr>
    <w:rPr>
      <w:rFonts w:ascii="宋体" w:hAnsi="宋体" w:cs="宋体"/>
      <w:kern w:val="0"/>
      <w:sz w:val="24"/>
    </w:rPr>
  </w:style>
  <w:style w:type="paragraph" w:customStyle="1" w:styleId="210">
    <w:name w:val="修订21"/>
    <w:hidden/>
    <w:uiPriority w:val="99"/>
    <w:unhideWhenUsed/>
    <w:qFormat/>
    <w:rPr>
      <w:kern w:val="2"/>
      <w:sz w:val="21"/>
      <w:szCs w:val="24"/>
    </w:rPr>
  </w:style>
  <w:style w:type="character" w:customStyle="1" w:styleId="Char0">
    <w:name w:val="批注文字 Char"/>
    <w:qFormat/>
    <w:rPr>
      <w:rFonts w:ascii="Times New Roman" w:hAnsi="Times New Roman"/>
      <w:szCs w:val="24"/>
    </w:rPr>
  </w:style>
  <w:style w:type="character" w:customStyle="1" w:styleId="af0">
    <w:name w:val="页眉 字符"/>
    <w:basedOn w:val="a0"/>
    <w:link w:val="af"/>
    <w:qFormat/>
    <w:rPr>
      <w:kern w:val="2"/>
      <w:sz w:val="18"/>
      <w:szCs w:val="18"/>
    </w:rPr>
  </w:style>
  <w:style w:type="paragraph" w:customStyle="1" w:styleId="zhangjiep2">
    <w:name w:val="zhangjie_p2"/>
    <w:basedOn w:val="a"/>
    <w:qFormat/>
    <w:pPr>
      <w:widowControl/>
      <w:autoSpaceDE w:val="0"/>
      <w:autoSpaceDN w:val="0"/>
      <w:adjustRightInd w:val="0"/>
      <w:spacing w:before="24" w:line="288" w:lineRule="auto"/>
      <w:ind w:left="15"/>
      <w:jc w:val="left"/>
    </w:pPr>
    <w:rPr>
      <w:kern w:val="0"/>
      <w:sz w:val="24"/>
    </w:rPr>
  </w:style>
  <w:style w:type="paragraph" w:customStyle="1" w:styleId="31">
    <w:name w:val="修订3"/>
    <w:hidden/>
    <w:uiPriority w:val="99"/>
    <w:unhideWhenUsed/>
    <w:qFormat/>
    <w:rPr>
      <w:kern w:val="2"/>
      <w:sz w:val="21"/>
      <w:szCs w:val="24"/>
    </w:rPr>
  </w:style>
  <w:style w:type="paragraph" w:styleId="afe">
    <w:name w:val="Revision"/>
    <w:hidden/>
    <w:uiPriority w:val="99"/>
    <w:unhideWhenUsed/>
    <w:rsid w:val="00736DD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1.jpe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ebbank.com/site/tzzgx/gszl/dsh/303269582/index.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C3C6F0-C915-4904-A971-8879D9DA4B44}">
  <ds:schemaRefs>
    <ds:schemaRef ds:uri="http://schemas.openxmlformats.org/officeDocument/2006/bibliography"/>
  </ds:schemaRefs>
</ds:datastoreItem>
</file>

<file path=customXml/itemProps2.xml><?xml version="1.0" encoding="utf-8"?>
<ds:datastoreItem xmlns:ds="http://schemas.openxmlformats.org/officeDocument/2006/customXml" ds:itemID="{66FEB072-AEF4-47F9-B1D3-AC29ECE0CBA4}">
  <ds:schemaRefs>
    <ds:schemaRef ds:uri="http://schemas.openxmlformats.org/officeDocument/2006/bibliography"/>
  </ds:schemaRefs>
</ds:datastoreItem>
</file>

<file path=customXml/itemProps3.xml><?xml version="1.0" encoding="utf-8"?>
<ds:datastoreItem xmlns:ds="http://schemas.openxmlformats.org/officeDocument/2006/customXml" ds:itemID="{4BDE3096-C0D0-41BB-B63B-4F257CC56D97}">
  <ds:schemaRefs>
    <ds:schemaRef ds:uri="http://schemas.openxmlformats.org/officeDocument/2006/bibliography"/>
  </ds:schemaRefs>
</ds:datastoreItem>
</file>

<file path=customXml/itemProps4.xml><?xml version="1.0" encoding="utf-8"?>
<ds:datastoreItem xmlns:ds="http://schemas.openxmlformats.org/officeDocument/2006/customXml" ds:itemID="{2440DC0C-6653-4A0F-8626-EBE8D8884D0D}">
  <ds:schemaRefs>
    <ds:schemaRef ds:uri="http://schemas.openxmlformats.org/officeDocument/2006/bibliography"/>
  </ds:schemaRefs>
</ds:datastoreItem>
</file>

<file path=customXml/itemProps5.xml><?xml version="1.0" encoding="utf-8"?>
<ds:datastoreItem xmlns:ds="http://schemas.openxmlformats.org/officeDocument/2006/customXml" ds:itemID="{4653A4CF-1C63-45B5-9921-33A4DBD02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119</Pages>
  <Words>40978</Words>
  <Characters>42618</Characters>
  <Application>Microsoft Office Word</Application>
  <DocSecurity>0</DocSecurity>
  <Lines>1937</Lines>
  <Paragraphs>2038</Paragraphs>
  <ScaleCrop>false</ScaleCrop>
  <Company/>
  <LinksUpToDate>false</LinksUpToDate>
  <CharactersWithSpaces>81558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富荣货币市场基金</dc:title>
  <dc:creator>fancc</dc:creator>
  <cp:lastModifiedBy>徐铮</cp:lastModifiedBy>
  <cp:revision>186</cp:revision>
  <cp:lastPrinted>2023-01-20T01:22:00Z</cp:lastPrinted>
  <dcterms:created xsi:type="dcterms:W3CDTF">2024-05-31T01:54:00Z</dcterms:created>
  <dcterms:modified xsi:type="dcterms:W3CDTF">2026-07-29T00:45:00Z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eyJoZGlkIjoiOTA5OTY2MTc3YTE3OWU0YjU0NzRlMjlkZDVhNDc4ZDciLCJ1c2VySWQiOiIzMTA5NjQ2NDkifQ==</vt:lpwstr>
  </property>
  <property fmtid="{D5CDD505-2E9C-101B-9397-08002B2CF9AE}" pid="4" name="ICV">
    <vt:lpwstr>33BDFEB0B65F40D497F1496B9387AAC8_12</vt:lpwstr>
  </property>
</Properties>
</file>