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9EF93" w14:textId="00F07AD2" w:rsidR="006933FF" w:rsidRPr="00E3062C" w:rsidRDefault="00E93C6C">
      <w:pPr>
        <w:ind w:rightChars="40" w:right="84"/>
        <w:jc w:val="center"/>
        <w:rPr>
          <w:b/>
          <w:szCs w:val="21"/>
        </w:rPr>
      </w:pPr>
      <w:bookmarkStart w:id="0" w:name="OLE_LINK4"/>
      <w:bookmarkStart w:id="1" w:name="OLE_LINK7"/>
      <w:bookmarkStart w:id="2" w:name="OLE_LINK6"/>
      <w:bookmarkStart w:id="3" w:name="OLE_LINK5"/>
      <w:r w:rsidRPr="00E3062C">
        <w:rPr>
          <w:b/>
          <w:sz w:val="28"/>
          <w:szCs w:val="28"/>
        </w:rPr>
        <w:t>富荣基金管理有限公司关于旗下部分基金调整业绩比较基准</w:t>
      </w:r>
      <w:r w:rsidRPr="00E3062C">
        <w:rPr>
          <w:b/>
          <w:kern w:val="0"/>
          <w:sz w:val="28"/>
          <w:szCs w:val="28"/>
        </w:rPr>
        <w:t>并</w:t>
      </w:r>
      <w:r w:rsidRPr="00E3062C">
        <w:rPr>
          <w:b/>
          <w:sz w:val="28"/>
          <w:szCs w:val="28"/>
        </w:rPr>
        <w:t>修订基金合同</w:t>
      </w:r>
      <w:r w:rsidRPr="00E3062C">
        <w:rPr>
          <w:rFonts w:hint="eastAsia"/>
          <w:b/>
          <w:sz w:val="28"/>
          <w:szCs w:val="28"/>
        </w:rPr>
        <w:t>等法律文件</w:t>
      </w:r>
      <w:r w:rsidRPr="00E3062C">
        <w:rPr>
          <w:b/>
          <w:sz w:val="28"/>
          <w:szCs w:val="28"/>
        </w:rPr>
        <w:t>的公告</w:t>
      </w:r>
    </w:p>
    <w:p w14:paraId="2DF89F30" w14:textId="77777777" w:rsidR="006933FF" w:rsidRPr="00E3062C" w:rsidRDefault="006933FF">
      <w:pPr>
        <w:pStyle w:val="af7"/>
        <w:spacing w:line="360" w:lineRule="auto"/>
        <w:ind w:firstLine="480"/>
        <w:rPr>
          <w:sz w:val="24"/>
        </w:rPr>
      </w:pPr>
    </w:p>
    <w:p w14:paraId="35FFC489" w14:textId="2E16D9B2" w:rsidR="006933FF" w:rsidRPr="00E3062C" w:rsidRDefault="00E93C6C">
      <w:pPr>
        <w:spacing w:line="360" w:lineRule="auto"/>
        <w:ind w:firstLineChars="200" w:firstLine="480"/>
        <w:rPr>
          <w:sz w:val="24"/>
        </w:rPr>
      </w:pPr>
      <w:r w:rsidRPr="00E3062C">
        <w:rPr>
          <w:rFonts w:hint="eastAsia"/>
          <w:bCs/>
          <w:sz w:val="24"/>
        </w:rPr>
        <w:t>根据</w:t>
      </w:r>
      <w:r w:rsidRPr="00E3062C">
        <w:rPr>
          <w:bCs/>
          <w:sz w:val="24"/>
        </w:rPr>
        <w:t>《公开募集证券投资基金业绩比较基准指引》</w:t>
      </w:r>
      <w:r w:rsidRPr="00E3062C">
        <w:rPr>
          <w:rFonts w:hint="eastAsia"/>
          <w:bCs/>
          <w:sz w:val="24"/>
        </w:rPr>
        <w:t>的相关规定</w:t>
      </w:r>
      <w:r w:rsidRPr="00E3062C">
        <w:rPr>
          <w:bCs/>
          <w:sz w:val="24"/>
        </w:rPr>
        <w:t>，</w:t>
      </w:r>
      <w:r w:rsidRPr="00E3062C">
        <w:rPr>
          <w:rFonts w:hint="eastAsia"/>
          <w:bCs/>
          <w:sz w:val="24"/>
        </w:rPr>
        <w:t>为</w:t>
      </w:r>
      <w:r w:rsidRPr="00E3062C">
        <w:rPr>
          <w:bCs/>
          <w:sz w:val="24"/>
        </w:rPr>
        <w:t>更好地反映基金</w:t>
      </w:r>
      <w:r w:rsidRPr="00E3062C">
        <w:rPr>
          <w:rFonts w:hint="eastAsia"/>
          <w:bCs/>
          <w:sz w:val="24"/>
        </w:rPr>
        <w:t>投资风格</w:t>
      </w:r>
      <w:r w:rsidRPr="00E3062C">
        <w:rPr>
          <w:bCs/>
          <w:sz w:val="24"/>
        </w:rPr>
        <w:t>，提高基金业绩表现与业绩比较基准的可比性，</w:t>
      </w:r>
      <w:r w:rsidRPr="00E3062C">
        <w:rPr>
          <w:sz w:val="24"/>
        </w:rPr>
        <w:t>经与各基金托管人协商一致，富荣基金管理有限公司（以下简称</w:t>
      </w:r>
      <w:r w:rsidRPr="00E3062C">
        <w:rPr>
          <w:rFonts w:hint="eastAsia"/>
          <w:sz w:val="24"/>
        </w:rPr>
        <w:t>“</w:t>
      </w:r>
      <w:r w:rsidRPr="00E3062C">
        <w:rPr>
          <w:sz w:val="24"/>
        </w:rPr>
        <w:t>基金管理人</w:t>
      </w:r>
      <w:r w:rsidRPr="00E3062C">
        <w:rPr>
          <w:rFonts w:hint="eastAsia"/>
          <w:sz w:val="24"/>
        </w:rPr>
        <w:t>”</w:t>
      </w:r>
      <w:r w:rsidRPr="00E3062C">
        <w:rPr>
          <w:sz w:val="24"/>
        </w:rPr>
        <w:t>）决定自</w:t>
      </w:r>
      <w:r w:rsidRPr="00E3062C">
        <w:rPr>
          <w:rFonts w:hint="eastAsia"/>
          <w:sz w:val="24"/>
        </w:rPr>
        <w:t>2</w:t>
      </w:r>
      <w:r w:rsidRPr="00E3062C">
        <w:rPr>
          <w:sz w:val="24"/>
        </w:rPr>
        <w:t>026</w:t>
      </w:r>
      <w:r w:rsidRPr="00E3062C">
        <w:rPr>
          <w:sz w:val="24"/>
        </w:rPr>
        <w:t>年</w:t>
      </w:r>
      <w:r w:rsidR="006F5898">
        <w:rPr>
          <w:rFonts w:hint="eastAsia"/>
          <w:sz w:val="24"/>
        </w:rPr>
        <w:t>9</w:t>
      </w:r>
      <w:r w:rsidRPr="00E3062C">
        <w:rPr>
          <w:rFonts w:hint="eastAsia"/>
          <w:sz w:val="24"/>
        </w:rPr>
        <w:t>月</w:t>
      </w:r>
      <w:r w:rsidRPr="00E3062C">
        <w:rPr>
          <w:rFonts w:hint="eastAsia"/>
          <w:sz w:val="24"/>
        </w:rPr>
        <w:t>2</w:t>
      </w:r>
      <w:r w:rsidR="006F5898">
        <w:rPr>
          <w:rFonts w:hint="eastAsia"/>
          <w:sz w:val="24"/>
        </w:rPr>
        <w:t>1</w:t>
      </w:r>
      <w:r w:rsidRPr="00E3062C">
        <w:rPr>
          <w:rFonts w:hint="eastAsia"/>
          <w:sz w:val="24"/>
        </w:rPr>
        <w:t>日起</w:t>
      </w:r>
      <w:r w:rsidRPr="00E3062C">
        <w:rPr>
          <w:sz w:val="24"/>
        </w:rPr>
        <w:t>调整旗下部分基金的</w:t>
      </w:r>
      <w:r w:rsidRPr="00E3062C">
        <w:rPr>
          <w:bCs/>
          <w:sz w:val="24"/>
        </w:rPr>
        <w:t>业绩比较基准并对基金合同</w:t>
      </w:r>
      <w:r w:rsidRPr="00E3062C">
        <w:rPr>
          <w:rFonts w:hint="eastAsia"/>
          <w:bCs/>
          <w:sz w:val="24"/>
        </w:rPr>
        <w:t>等法律文件</w:t>
      </w:r>
      <w:r w:rsidRPr="00E3062C">
        <w:rPr>
          <w:bCs/>
          <w:sz w:val="24"/>
        </w:rPr>
        <w:t>有关条款进行修订。</w:t>
      </w:r>
      <w:r w:rsidRPr="00E3062C">
        <w:rPr>
          <w:sz w:val="24"/>
        </w:rPr>
        <w:t>现将相关事宜公告如下：</w:t>
      </w:r>
    </w:p>
    <w:p w14:paraId="30239C47" w14:textId="77777777" w:rsidR="006933FF" w:rsidRPr="00E3062C" w:rsidRDefault="00E93C6C">
      <w:pPr>
        <w:pStyle w:val="a8"/>
        <w:spacing w:line="360" w:lineRule="auto"/>
        <w:ind w:firstLineChars="200" w:firstLine="482"/>
        <w:rPr>
          <w:rFonts w:ascii="Times New Roman" w:hAnsi="Times New Roman" w:cs="Times New Roman"/>
          <w:b/>
          <w:bCs/>
          <w:sz w:val="24"/>
          <w:szCs w:val="24"/>
        </w:rPr>
      </w:pPr>
      <w:r w:rsidRPr="00E3062C">
        <w:rPr>
          <w:rFonts w:ascii="Times New Roman" w:hAnsi="Times New Roman" w:cs="Times New Roman"/>
          <w:b/>
          <w:bCs/>
          <w:sz w:val="24"/>
          <w:szCs w:val="24"/>
        </w:rPr>
        <w:t>一、</w:t>
      </w:r>
      <w:r w:rsidRPr="00E3062C">
        <w:rPr>
          <w:rFonts w:ascii="Times New Roman" w:hAnsi="Times New Roman" w:cs="Times New Roman" w:hint="eastAsia"/>
          <w:b/>
          <w:bCs/>
          <w:sz w:val="24"/>
          <w:szCs w:val="24"/>
        </w:rPr>
        <w:t>业绩比较基准调整情况</w:t>
      </w:r>
    </w:p>
    <w:p w14:paraId="612F27D5" w14:textId="77777777" w:rsidR="006933FF" w:rsidRPr="00E3062C" w:rsidRDefault="00E93C6C">
      <w:pPr>
        <w:pStyle w:val="a8"/>
        <w:spacing w:line="360" w:lineRule="auto"/>
        <w:ind w:firstLineChars="200" w:firstLine="480"/>
        <w:rPr>
          <w:rFonts w:ascii="Times New Roman" w:hAnsi="Times New Roman" w:cs="Times New Roman"/>
          <w:bCs/>
          <w:sz w:val="24"/>
          <w:szCs w:val="24"/>
        </w:rPr>
      </w:pPr>
      <w:r w:rsidRPr="00E3062C">
        <w:rPr>
          <w:rFonts w:ascii="Times New Roman" w:hAnsi="Times New Roman" w:cs="Times New Roman"/>
          <w:bCs/>
          <w:sz w:val="24"/>
          <w:szCs w:val="24"/>
        </w:rPr>
        <w:t>本次调整业绩比较基准的基金及调整前后的业绩比较基准情况如下：</w:t>
      </w:r>
    </w:p>
    <w:tbl>
      <w:tblPr>
        <w:tblStyle w:val="af4"/>
        <w:tblW w:w="8834" w:type="dxa"/>
        <w:jc w:val="center"/>
        <w:tblLook w:val="04A0" w:firstRow="1" w:lastRow="0" w:firstColumn="1" w:lastColumn="0" w:noHBand="0" w:noVBand="1"/>
      </w:tblPr>
      <w:tblGrid>
        <w:gridCol w:w="704"/>
        <w:gridCol w:w="2070"/>
        <w:gridCol w:w="3028"/>
        <w:gridCol w:w="3032"/>
      </w:tblGrid>
      <w:tr w:rsidR="006933FF" w:rsidRPr="00E3062C" w14:paraId="1D1E323B" w14:textId="77777777" w:rsidTr="00E3062C">
        <w:trPr>
          <w:trHeight w:val="376"/>
          <w:jc w:val="center"/>
        </w:trPr>
        <w:tc>
          <w:tcPr>
            <w:tcW w:w="704" w:type="dxa"/>
          </w:tcPr>
          <w:p w14:paraId="691800A0" w14:textId="77777777" w:rsidR="006933FF" w:rsidRPr="00E3062C" w:rsidRDefault="00E93C6C">
            <w:pPr>
              <w:pStyle w:val="af7"/>
              <w:spacing w:line="360" w:lineRule="auto"/>
              <w:ind w:firstLineChars="0" w:firstLine="0"/>
              <w:jc w:val="center"/>
              <w:rPr>
                <w:b/>
                <w:bCs/>
                <w:sz w:val="24"/>
              </w:rPr>
            </w:pPr>
            <w:r w:rsidRPr="00E3062C">
              <w:rPr>
                <w:rFonts w:hint="eastAsia"/>
                <w:b/>
                <w:bCs/>
                <w:sz w:val="24"/>
              </w:rPr>
              <w:t>序号</w:t>
            </w:r>
          </w:p>
        </w:tc>
        <w:tc>
          <w:tcPr>
            <w:tcW w:w="2070" w:type="dxa"/>
          </w:tcPr>
          <w:p w14:paraId="58DCE9B1" w14:textId="77777777" w:rsidR="006933FF" w:rsidRPr="00E3062C" w:rsidRDefault="00E93C6C">
            <w:pPr>
              <w:pStyle w:val="af7"/>
              <w:spacing w:line="360" w:lineRule="auto"/>
              <w:ind w:firstLineChars="0" w:firstLine="0"/>
              <w:jc w:val="center"/>
              <w:rPr>
                <w:b/>
                <w:bCs/>
                <w:sz w:val="24"/>
              </w:rPr>
            </w:pPr>
            <w:r w:rsidRPr="00E3062C">
              <w:rPr>
                <w:rFonts w:hint="eastAsia"/>
                <w:b/>
                <w:bCs/>
                <w:sz w:val="24"/>
              </w:rPr>
              <w:t>基金全称</w:t>
            </w:r>
          </w:p>
        </w:tc>
        <w:tc>
          <w:tcPr>
            <w:tcW w:w="3028" w:type="dxa"/>
          </w:tcPr>
          <w:p w14:paraId="2DFE16E6" w14:textId="77777777" w:rsidR="006933FF" w:rsidRPr="00E3062C" w:rsidRDefault="00E93C6C">
            <w:pPr>
              <w:pStyle w:val="af7"/>
              <w:spacing w:line="360" w:lineRule="auto"/>
              <w:ind w:firstLineChars="0" w:firstLine="0"/>
              <w:jc w:val="center"/>
              <w:rPr>
                <w:b/>
                <w:bCs/>
                <w:sz w:val="24"/>
              </w:rPr>
            </w:pPr>
            <w:r w:rsidRPr="00E3062C">
              <w:rPr>
                <w:rFonts w:hint="eastAsia"/>
                <w:b/>
                <w:bCs/>
                <w:sz w:val="24"/>
              </w:rPr>
              <w:t>原基金合同业绩比较基准</w:t>
            </w:r>
          </w:p>
        </w:tc>
        <w:tc>
          <w:tcPr>
            <w:tcW w:w="3032" w:type="dxa"/>
          </w:tcPr>
          <w:p w14:paraId="07C1491A" w14:textId="77777777" w:rsidR="006933FF" w:rsidRPr="00E3062C" w:rsidRDefault="00E93C6C">
            <w:pPr>
              <w:pStyle w:val="af7"/>
              <w:spacing w:line="360" w:lineRule="auto"/>
              <w:ind w:firstLineChars="0" w:firstLine="0"/>
              <w:jc w:val="center"/>
              <w:rPr>
                <w:b/>
                <w:bCs/>
                <w:sz w:val="24"/>
              </w:rPr>
            </w:pPr>
            <w:r w:rsidRPr="00E3062C">
              <w:rPr>
                <w:rFonts w:hint="eastAsia"/>
                <w:b/>
                <w:bCs/>
                <w:sz w:val="24"/>
              </w:rPr>
              <w:t>调整后的新业绩比较基准</w:t>
            </w:r>
          </w:p>
        </w:tc>
      </w:tr>
      <w:tr w:rsidR="006933FF" w:rsidRPr="00E3062C" w14:paraId="56DFCC22" w14:textId="77777777" w:rsidTr="00E3062C">
        <w:trPr>
          <w:trHeight w:val="370"/>
          <w:jc w:val="center"/>
        </w:trPr>
        <w:tc>
          <w:tcPr>
            <w:tcW w:w="704" w:type="dxa"/>
          </w:tcPr>
          <w:p w14:paraId="2A79B55C" w14:textId="77777777" w:rsidR="006933FF" w:rsidRPr="00E3062C" w:rsidRDefault="00E93C6C">
            <w:pPr>
              <w:pStyle w:val="af7"/>
              <w:spacing w:line="360" w:lineRule="auto"/>
              <w:ind w:firstLineChars="0" w:firstLine="0"/>
              <w:jc w:val="center"/>
              <w:rPr>
                <w:sz w:val="24"/>
              </w:rPr>
            </w:pPr>
            <w:r w:rsidRPr="00E3062C">
              <w:rPr>
                <w:sz w:val="24"/>
              </w:rPr>
              <w:t>1</w:t>
            </w:r>
          </w:p>
        </w:tc>
        <w:tc>
          <w:tcPr>
            <w:tcW w:w="2070" w:type="dxa"/>
          </w:tcPr>
          <w:p w14:paraId="1A2F5F8B" w14:textId="77777777" w:rsidR="006933FF" w:rsidRPr="00E3062C" w:rsidRDefault="00E93C6C" w:rsidP="00E3062C">
            <w:pPr>
              <w:pStyle w:val="af7"/>
              <w:spacing w:line="360" w:lineRule="auto"/>
              <w:ind w:firstLineChars="0" w:firstLine="0"/>
              <w:jc w:val="left"/>
              <w:rPr>
                <w:sz w:val="24"/>
              </w:rPr>
            </w:pPr>
            <w:r w:rsidRPr="00E3062C">
              <w:rPr>
                <w:rFonts w:hint="eastAsia"/>
                <w:sz w:val="24"/>
              </w:rPr>
              <w:t>富荣研究优选混合型证券投资基金</w:t>
            </w:r>
          </w:p>
        </w:tc>
        <w:tc>
          <w:tcPr>
            <w:tcW w:w="3028" w:type="dxa"/>
          </w:tcPr>
          <w:p w14:paraId="26711829" w14:textId="77777777" w:rsidR="006933FF" w:rsidRPr="00E3062C" w:rsidRDefault="00E93C6C" w:rsidP="00E3062C">
            <w:pPr>
              <w:pStyle w:val="af7"/>
              <w:spacing w:line="360" w:lineRule="auto"/>
              <w:ind w:firstLineChars="0" w:firstLine="0"/>
              <w:jc w:val="left"/>
              <w:rPr>
                <w:sz w:val="24"/>
              </w:rPr>
            </w:pPr>
            <w:r w:rsidRPr="00E3062C">
              <w:rPr>
                <w:rFonts w:hint="eastAsia"/>
                <w:sz w:val="24"/>
              </w:rPr>
              <w:t>中证</w:t>
            </w:r>
            <w:r w:rsidRPr="00E3062C">
              <w:rPr>
                <w:rFonts w:hint="eastAsia"/>
                <w:sz w:val="24"/>
              </w:rPr>
              <w:t>2000</w:t>
            </w:r>
            <w:r w:rsidRPr="00E3062C">
              <w:rPr>
                <w:rFonts w:hint="eastAsia"/>
                <w:sz w:val="24"/>
              </w:rPr>
              <w:t>指数收益率</w:t>
            </w:r>
            <w:r w:rsidRPr="00E3062C">
              <w:rPr>
                <w:rFonts w:hint="eastAsia"/>
                <w:sz w:val="24"/>
              </w:rPr>
              <w:t>*85%+</w:t>
            </w:r>
            <w:r w:rsidRPr="00E3062C">
              <w:rPr>
                <w:rFonts w:hint="eastAsia"/>
                <w:sz w:val="24"/>
              </w:rPr>
              <w:t>银行活期存款利率</w:t>
            </w:r>
            <w:r w:rsidRPr="00E3062C">
              <w:rPr>
                <w:rFonts w:hint="eastAsia"/>
                <w:sz w:val="24"/>
              </w:rPr>
              <w:t>(</w:t>
            </w:r>
            <w:r w:rsidRPr="00E3062C">
              <w:rPr>
                <w:rFonts w:hint="eastAsia"/>
                <w:sz w:val="24"/>
              </w:rPr>
              <w:t>税后</w:t>
            </w:r>
            <w:r w:rsidRPr="00E3062C">
              <w:rPr>
                <w:rFonts w:hint="eastAsia"/>
                <w:sz w:val="24"/>
              </w:rPr>
              <w:t>)*15%</w:t>
            </w:r>
          </w:p>
        </w:tc>
        <w:tc>
          <w:tcPr>
            <w:tcW w:w="3032" w:type="dxa"/>
          </w:tcPr>
          <w:p w14:paraId="5BB8AD5E" w14:textId="77777777" w:rsidR="006933FF" w:rsidRPr="00E3062C" w:rsidRDefault="00E93C6C" w:rsidP="00E3062C">
            <w:pPr>
              <w:pStyle w:val="af7"/>
              <w:spacing w:line="360" w:lineRule="auto"/>
              <w:ind w:firstLineChars="0" w:firstLine="0"/>
              <w:jc w:val="left"/>
              <w:rPr>
                <w:sz w:val="24"/>
              </w:rPr>
            </w:pPr>
            <w:r w:rsidRPr="00E3062C">
              <w:rPr>
                <w:rFonts w:hint="eastAsia"/>
                <w:sz w:val="24"/>
              </w:rPr>
              <w:t>国证</w:t>
            </w:r>
            <w:r w:rsidRPr="00E3062C">
              <w:rPr>
                <w:rFonts w:hint="eastAsia"/>
                <w:sz w:val="24"/>
              </w:rPr>
              <w:t>1000</w:t>
            </w:r>
            <w:r w:rsidRPr="00E3062C">
              <w:rPr>
                <w:rFonts w:hint="eastAsia"/>
                <w:sz w:val="24"/>
              </w:rPr>
              <w:t>指数收益率</w:t>
            </w:r>
            <w:r w:rsidRPr="00E3062C">
              <w:rPr>
                <w:rFonts w:hint="eastAsia"/>
                <w:sz w:val="24"/>
              </w:rPr>
              <w:t>*85%+</w:t>
            </w:r>
            <w:r w:rsidRPr="00E3062C">
              <w:rPr>
                <w:rFonts w:hint="eastAsia"/>
                <w:sz w:val="24"/>
              </w:rPr>
              <w:t>中债</w:t>
            </w:r>
            <w:r w:rsidRPr="00E3062C">
              <w:rPr>
                <w:rFonts w:hint="eastAsia"/>
                <w:sz w:val="24"/>
              </w:rPr>
              <w:t>-</w:t>
            </w:r>
            <w:r w:rsidRPr="00E3062C">
              <w:rPr>
                <w:rFonts w:hint="eastAsia"/>
                <w:sz w:val="24"/>
              </w:rPr>
              <w:t>综合全价</w:t>
            </w:r>
            <w:r w:rsidRPr="00E3062C">
              <w:rPr>
                <w:rFonts w:hint="eastAsia"/>
                <w:sz w:val="24"/>
              </w:rPr>
              <w:t>(1-3</w:t>
            </w:r>
            <w:r w:rsidRPr="00E3062C">
              <w:rPr>
                <w:rFonts w:hint="eastAsia"/>
                <w:sz w:val="24"/>
              </w:rPr>
              <w:t>年</w:t>
            </w:r>
            <w:r w:rsidRPr="00E3062C">
              <w:rPr>
                <w:rFonts w:hint="eastAsia"/>
                <w:sz w:val="24"/>
              </w:rPr>
              <w:t>)</w:t>
            </w:r>
            <w:r w:rsidRPr="00E3062C">
              <w:rPr>
                <w:rFonts w:hint="eastAsia"/>
                <w:sz w:val="24"/>
              </w:rPr>
              <w:t>指数收益率</w:t>
            </w:r>
            <w:r w:rsidRPr="00E3062C">
              <w:rPr>
                <w:rFonts w:hint="eastAsia"/>
                <w:sz w:val="24"/>
              </w:rPr>
              <w:t>*15%</w:t>
            </w:r>
          </w:p>
        </w:tc>
      </w:tr>
      <w:tr w:rsidR="006933FF" w:rsidRPr="00E3062C" w14:paraId="5BDFCD5F" w14:textId="77777777" w:rsidTr="00E3062C">
        <w:trPr>
          <w:trHeight w:val="376"/>
          <w:jc w:val="center"/>
        </w:trPr>
        <w:tc>
          <w:tcPr>
            <w:tcW w:w="704" w:type="dxa"/>
          </w:tcPr>
          <w:p w14:paraId="62A71E26" w14:textId="77777777" w:rsidR="006933FF" w:rsidRPr="00E3062C" w:rsidRDefault="00E93C6C">
            <w:pPr>
              <w:pStyle w:val="af7"/>
              <w:spacing w:line="360" w:lineRule="auto"/>
              <w:ind w:firstLineChars="0" w:firstLine="0"/>
              <w:jc w:val="center"/>
              <w:rPr>
                <w:sz w:val="24"/>
              </w:rPr>
            </w:pPr>
            <w:r w:rsidRPr="00E3062C">
              <w:rPr>
                <w:sz w:val="24"/>
              </w:rPr>
              <w:t>2</w:t>
            </w:r>
          </w:p>
        </w:tc>
        <w:tc>
          <w:tcPr>
            <w:tcW w:w="2070" w:type="dxa"/>
          </w:tcPr>
          <w:p w14:paraId="403C83ED" w14:textId="77777777" w:rsidR="006933FF" w:rsidRPr="00E3062C" w:rsidRDefault="00E93C6C" w:rsidP="00E3062C">
            <w:pPr>
              <w:pStyle w:val="af7"/>
              <w:spacing w:line="360" w:lineRule="auto"/>
              <w:ind w:firstLineChars="0" w:firstLine="0"/>
              <w:jc w:val="left"/>
              <w:rPr>
                <w:sz w:val="24"/>
              </w:rPr>
            </w:pPr>
            <w:r w:rsidRPr="00E3062C">
              <w:rPr>
                <w:rFonts w:hint="eastAsia"/>
                <w:sz w:val="24"/>
              </w:rPr>
              <w:t>富荣信息技术混合型证券投资基金</w:t>
            </w:r>
          </w:p>
        </w:tc>
        <w:tc>
          <w:tcPr>
            <w:tcW w:w="3028" w:type="dxa"/>
          </w:tcPr>
          <w:p w14:paraId="6C9DF90E" w14:textId="77777777" w:rsidR="006933FF" w:rsidRPr="00E3062C" w:rsidRDefault="00E93C6C" w:rsidP="00E3062C">
            <w:pPr>
              <w:pStyle w:val="af7"/>
              <w:spacing w:line="360" w:lineRule="auto"/>
              <w:ind w:firstLineChars="0" w:firstLine="0"/>
              <w:jc w:val="left"/>
              <w:rPr>
                <w:sz w:val="24"/>
              </w:rPr>
            </w:pPr>
            <w:r w:rsidRPr="00E3062C">
              <w:rPr>
                <w:rFonts w:hint="eastAsia"/>
                <w:sz w:val="24"/>
              </w:rPr>
              <w:t>中证全指信息技术指数收益率</w:t>
            </w:r>
            <w:r w:rsidRPr="00E3062C">
              <w:rPr>
                <w:sz w:val="24"/>
              </w:rPr>
              <w:t>*70%+</w:t>
            </w:r>
            <w:r w:rsidRPr="00E3062C">
              <w:rPr>
                <w:rFonts w:hint="eastAsia"/>
                <w:sz w:val="24"/>
              </w:rPr>
              <w:t>中债综合指数收益率</w:t>
            </w:r>
            <w:r w:rsidRPr="00E3062C">
              <w:rPr>
                <w:sz w:val="24"/>
              </w:rPr>
              <w:t>*30%</w:t>
            </w:r>
          </w:p>
        </w:tc>
        <w:tc>
          <w:tcPr>
            <w:tcW w:w="3032" w:type="dxa"/>
          </w:tcPr>
          <w:p w14:paraId="036885C0" w14:textId="4A3A6F94" w:rsidR="006933FF" w:rsidRPr="00E3062C" w:rsidRDefault="00E93C6C" w:rsidP="00E3062C">
            <w:pPr>
              <w:pStyle w:val="af7"/>
              <w:spacing w:line="360" w:lineRule="auto"/>
              <w:ind w:firstLineChars="0" w:firstLine="0"/>
              <w:jc w:val="left"/>
              <w:rPr>
                <w:sz w:val="24"/>
              </w:rPr>
            </w:pPr>
            <w:r w:rsidRPr="00E3062C">
              <w:rPr>
                <w:rFonts w:hint="eastAsia"/>
                <w:sz w:val="24"/>
              </w:rPr>
              <w:t>中证全指信息技术指数收益率</w:t>
            </w:r>
            <w:r w:rsidRPr="00E3062C">
              <w:rPr>
                <w:sz w:val="24"/>
              </w:rPr>
              <w:t>*8</w:t>
            </w:r>
            <w:r w:rsidR="00BB7814" w:rsidRPr="00E3062C">
              <w:rPr>
                <w:sz w:val="24"/>
              </w:rPr>
              <w:t>8</w:t>
            </w:r>
            <w:r w:rsidRPr="00E3062C">
              <w:rPr>
                <w:sz w:val="24"/>
              </w:rPr>
              <w:t>%+</w:t>
            </w:r>
            <w:r w:rsidRPr="00E3062C">
              <w:rPr>
                <w:rFonts w:hint="eastAsia"/>
                <w:sz w:val="24"/>
              </w:rPr>
              <w:t>中债</w:t>
            </w:r>
            <w:r w:rsidRPr="00E3062C">
              <w:rPr>
                <w:sz w:val="24"/>
              </w:rPr>
              <w:t>-</w:t>
            </w:r>
            <w:r w:rsidRPr="00E3062C">
              <w:rPr>
                <w:rFonts w:hint="eastAsia"/>
                <w:sz w:val="24"/>
              </w:rPr>
              <w:t>综合全价</w:t>
            </w:r>
            <w:r w:rsidRPr="00E3062C">
              <w:rPr>
                <w:sz w:val="24"/>
              </w:rPr>
              <w:t>(1-3</w:t>
            </w:r>
            <w:r w:rsidRPr="00E3062C">
              <w:rPr>
                <w:rFonts w:hint="eastAsia"/>
                <w:sz w:val="24"/>
              </w:rPr>
              <w:t>年</w:t>
            </w:r>
            <w:r w:rsidRPr="00E3062C">
              <w:rPr>
                <w:sz w:val="24"/>
              </w:rPr>
              <w:t>)</w:t>
            </w:r>
            <w:r w:rsidRPr="00E3062C">
              <w:rPr>
                <w:rFonts w:hint="eastAsia"/>
                <w:sz w:val="24"/>
              </w:rPr>
              <w:t>指数收益率</w:t>
            </w:r>
            <w:r w:rsidRPr="00E3062C">
              <w:rPr>
                <w:sz w:val="24"/>
              </w:rPr>
              <w:t>*1</w:t>
            </w:r>
            <w:r w:rsidR="00BB7814" w:rsidRPr="00E3062C">
              <w:rPr>
                <w:sz w:val="24"/>
              </w:rPr>
              <w:t>2</w:t>
            </w:r>
            <w:r w:rsidRPr="00E3062C">
              <w:rPr>
                <w:sz w:val="24"/>
              </w:rPr>
              <w:t>%</w:t>
            </w:r>
          </w:p>
        </w:tc>
      </w:tr>
      <w:tr w:rsidR="006933FF" w:rsidRPr="00E3062C" w14:paraId="4BCBB8AA" w14:textId="77777777" w:rsidTr="00E3062C">
        <w:trPr>
          <w:trHeight w:val="370"/>
          <w:jc w:val="center"/>
        </w:trPr>
        <w:tc>
          <w:tcPr>
            <w:tcW w:w="704" w:type="dxa"/>
          </w:tcPr>
          <w:p w14:paraId="72866E65" w14:textId="7DA68CFF" w:rsidR="006933FF" w:rsidRPr="00E3062C" w:rsidRDefault="003B04A1">
            <w:pPr>
              <w:pStyle w:val="af7"/>
              <w:spacing w:line="360" w:lineRule="auto"/>
              <w:ind w:firstLineChars="0" w:firstLine="0"/>
              <w:jc w:val="center"/>
              <w:rPr>
                <w:sz w:val="24"/>
              </w:rPr>
            </w:pPr>
            <w:r w:rsidRPr="00E3062C">
              <w:rPr>
                <w:rFonts w:hint="eastAsia"/>
                <w:sz w:val="24"/>
              </w:rPr>
              <w:t>3</w:t>
            </w:r>
          </w:p>
        </w:tc>
        <w:tc>
          <w:tcPr>
            <w:tcW w:w="2070" w:type="dxa"/>
          </w:tcPr>
          <w:p w14:paraId="2A4608F0" w14:textId="77777777" w:rsidR="006933FF" w:rsidRPr="00E3062C" w:rsidRDefault="00E93C6C" w:rsidP="00E3062C">
            <w:pPr>
              <w:pStyle w:val="af7"/>
              <w:spacing w:line="360" w:lineRule="auto"/>
              <w:ind w:firstLineChars="0" w:firstLine="0"/>
              <w:jc w:val="left"/>
              <w:rPr>
                <w:sz w:val="24"/>
              </w:rPr>
            </w:pPr>
            <w:r w:rsidRPr="00E3062C">
              <w:rPr>
                <w:rFonts w:hint="eastAsia"/>
                <w:sz w:val="24"/>
              </w:rPr>
              <w:t>富荣福银混合型证券投资基金</w:t>
            </w:r>
          </w:p>
        </w:tc>
        <w:tc>
          <w:tcPr>
            <w:tcW w:w="3028" w:type="dxa"/>
          </w:tcPr>
          <w:p w14:paraId="5BD1968F" w14:textId="77777777" w:rsidR="006933FF" w:rsidRPr="00E3062C" w:rsidRDefault="00E93C6C" w:rsidP="00E3062C">
            <w:pPr>
              <w:pStyle w:val="af7"/>
              <w:spacing w:line="360" w:lineRule="auto"/>
              <w:ind w:firstLineChars="0" w:firstLine="0"/>
              <w:jc w:val="left"/>
              <w:rPr>
                <w:sz w:val="24"/>
              </w:rPr>
            </w:pPr>
            <w:r w:rsidRPr="00E3062C">
              <w:rPr>
                <w:rFonts w:hint="eastAsia"/>
                <w:sz w:val="24"/>
              </w:rPr>
              <w:t>沪深</w:t>
            </w:r>
            <w:r w:rsidRPr="00E3062C">
              <w:rPr>
                <w:sz w:val="24"/>
              </w:rPr>
              <w:t>300</w:t>
            </w:r>
            <w:r w:rsidRPr="00E3062C">
              <w:rPr>
                <w:rFonts w:hint="eastAsia"/>
                <w:sz w:val="24"/>
              </w:rPr>
              <w:t>指数收益率</w:t>
            </w:r>
            <w:r w:rsidRPr="00E3062C">
              <w:rPr>
                <w:sz w:val="24"/>
              </w:rPr>
              <w:t>*70%+</w:t>
            </w:r>
            <w:r w:rsidRPr="00E3062C">
              <w:rPr>
                <w:rFonts w:hint="eastAsia"/>
                <w:sz w:val="24"/>
              </w:rPr>
              <w:t>中债综合指数收益率</w:t>
            </w:r>
            <w:r w:rsidRPr="00E3062C">
              <w:rPr>
                <w:sz w:val="24"/>
              </w:rPr>
              <w:t>*30%</w:t>
            </w:r>
          </w:p>
        </w:tc>
        <w:tc>
          <w:tcPr>
            <w:tcW w:w="3032" w:type="dxa"/>
          </w:tcPr>
          <w:p w14:paraId="1289CEB5" w14:textId="77777777" w:rsidR="006933FF" w:rsidRPr="00E3062C" w:rsidRDefault="00E93C6C" w:rsidP="00E3062C">
            <w:pPr>
              <w:pStyle w:val="af7"/>
              <w:spacing w:line="360" w:lineRule="auto"/>
              <w:ind w:firstLineChars="0" w:firstLine="0"/>
              <w:jc w:val="left"/>
              <w:rPr>
                <w:sz w:val="24"/>
              </w:rPr>
            </w:pPr>
            <w:r w:rsidRPr="00E3062C">
              <w:rPr>
                <w:rFonts w:hint="eastAsia"/>
                <w:sz w:val="24"/>
              </w:rPr>
              <w:t>中证</w:t>
            </w:r>
            <w:r w:rsidRPr="00E3062C">
              <w:rPr>
                <w:sz w:val="24"/>
              </w:rPr>
              <w:t>800</w:t>
            </w:r>
            <w:r w:rsidRPr="00E3062C">
              <w:rPr>
                <w:rFonts w:hint="eastAsia"/>
                <w:sz w:val="24"/>
              </w:rPr>
              <w:t>指数收益率</w:t>
            </w:r>
            <w:r w:rsidRPr="00E3062C">
              <w:rPr>
                <w:sz w:val="24"/>
              </w:rPr>
              <w:t>*85%+</w:t>
            </w:r>
            <w:r w:rsidRPr="00E3062C">
              <w:rPr>
                <w:rFonts w:hint="eastAsia"/>
                <w:sz w:val="24"/>
              </w:rPr>
              <w:t>中债</w:t>
            </w:r>
            <w:r w:rsidRPr="00E3062C">
              <w:rPr>
                <w:sz w:val="24"/>
              </w:rPr>
              <w:t>-</w:t>
            </w:r>
            <w:r w:rsidRPr="00E3062C">
              <w:rPr>
                <w:rFonts w:hint="eastAsia"/>
                <w:sz w:val="24"/>
              </w:rPr>
              <w:t>综合全价</w:t>
            </w:r>
            <w:r w:rsidRPr="00E3062C">
              <w:rPr>
                <w:sz w:val="24"/>
              </w:rPr>
              <w:t>(1-3</w:t>
            </w:r>
            <w:r w:rsidRPr="00E3062C">
              <w:rPr>
                <w:rFonts w:hint="eastAsia"/>
                <w:sz w:val="24"/>
              </w:rPr>
              <w:t>年</w:t>
            </w:r>
            <w:r w:rsidRPr="00E3062C">
              <w:rPr>
                <w:sz w:val="24"/>
              </w:rPr>
              <w:t>)</w:t>
            </w:r>
            <w:r w:rsidRPr="00E3062C">
              <w:rPr>
                <w:rFonts w:hint="eastAsia"/>
                <w:sz w:val="24"/>
              </w:rPr>
              <w:t>指数收益率</w:t>
            </w:r>
            <w:r w:rsidRPr="00E3062C">
              <w:rPr>
                <w:sz w:val="24"/>
              </w:rPr>
              <w:t>*15%</w:t>
            </w:r>
          </w:p>
        </w:tc>
      </w:tr>
      <w:tr w:rsidR="006933FF" w:rsidRPr="00E3062C" w14:paraId="5C92CB5A" w14:textId="77777777" w:rsidTr="00E3062C">
        <w:trPr>
          <w:trHeight w:val="376"/>
          <w:jc w:val="center"/>
        </w:trPr>
        <w:tc>
          <w:tcPr>
            <w:tcW w:w="704" w:type="dxa"/>
          </w:tcPr>
          <w:p w14:paraId="61783376" w14:textId="797C20FF" w:rsidR="006933FF" w:rsidRPr="00E3062C" w:rsidRDefault="003B04A1">
            <w:pPr>
              <w:pStyle w:val="af7"/>
              <w:spacing w:line="360" w:lineRule="auto"/>
              <w:ind w:firstLineChars="0" w:firstLine="0"/>
              <w:jc w:val="center"/>
              <w:rPr>
                <w:sz w:val="24"/>
              </w:rPr>
            </w:pPr>
            <w:r w:rsidRPr="00E3062C">
              <w:rPr>
                <w:rFonts w:hint="eastAsia"/>
                <w:sz w:val="24"/>
              </w:rPr>
              <w:t>4</w:t>
            </w:r>
          </w:p>
        </w:tc>
        <w:tc>
          <w:tcPr>
            <w:tcW w:w="2070" w:type="dxa"/>
          </w:tcPr>
          <w:p w14:paraId="5B5B30AC" w14:textId="77777777" w:rsidR="006933FF" w:rsidRPr="00E3062C" w:rsidRDefault="00E93C6C" w:rsidP="00E3062C">
            <w:pPr>
              <w:pStyle w:val="af7"/>
              <w:spacing w:line="360" w:lineRule="auto"/>
              <w:ind w:firstLineChars="0" w:firstLine="0"/>
              <w:jc w:val="left"/>
              <w:rPr>
                <w:sz w:val="24"/>
              </w:rPr>
            </w:pPr>
            <w:r w:rsidRPr="00E3062C">
              <w:rPr>
                <w:rFonts w:hint="eastAsia"/>
                <w:sz w:val="24"/>
              </w:rPr>
              <w:t>富荣福锦混合型证券投资基金</w:t>
            </w:r>
          </w:p>
        </w:tc>
        <w:tc>
          <w:tcPr>
            <w:tcW w:w="3028" w:type="dxa"/>
          </w:tcPr>
          <w:p w14:paraId="54672B85" w14:textId="77777777" w:rsidR="006933FF" w:rsidRPr="00E3062C" w:rsidRDefault="00E93C6C" w:rsidP="00E3062C">
            <w:pPr>
              <w:pStyle w:val="af7"/>
              <w:spacing w:line="360" w:lineRule="auto"/>
              <w:ind w:firstLineChars="0" w:firstLine="0"/>
              <w:jc w:val="left"/>
              <w:rPr>
                <w:sz w:val="24"/>
              </w:rPr>
            </w:pPr>
            <w:r w:rsidRPr="00E3062C">
              <w:rPr>
                <w:rFonts w:hint="eastAsia"/>
                <w:sz w:val="24"/>
              </w:rPr>
              <w:t>沪深</w:t>
            </w:r>
            <w:r w:rsidRPr="00E3062C">
              <w:rPr>
                <w:sz w:val="24"/>
              </w:rPr>
              <w:t>300</w:t>
            </w:r>
            <w:r w:rsidRPr="00E3062C">
              <w:rPr>
                <w:rFonts w:hint="eastAsia"/>
                <w:sz w:val="24"/>
              </w:rPr>
              <w:t>指数收益率</w:t>
            </w:r>
            <w:r w:rsidRPr="00E3062C">
              <w:rPr>
                <w:sz w:val="24"/>
              </w:rPr>
              <w:t>*70%+</w:t>
            </w:r>
            <w:r w:rsidRPr="00E3062C">
              <w:rPr>
                <w:rFonts w:hint="eastAsia"/>
                <w:sz w:val="24"/>
              </w:rPr>
              <w:t>中证全债指数收益率</w:t>
            </w:r>
            <w:r w:rsidRPr="00E3062C">
              <w:rPr>
                <w:sz w:val="24"/>
              </w:rPr>
              <w:t>*30%</w:t>
            </w:r>
          </w:p>
        </w:tc>
        <w:tc>
          <w:tcPr>
            <w:tcW w:w="3032" w:type="dxa"/>
          </w:tcPr>
          <w:p w14:paraId="14FD82E2" w14:textId="77777777" w:rsidR="006933FF" w:rsidRPr="00E3062C" w:rsidRDefault="00E93C6C" w:rsidP="00E3062C">
            <w:pPr>
              <w:pStyle w:val="af7"/>
              <w:spacing w:line="360" w:lineRule="auto"/>
              <w:ind w:firstLineChars="0" w:firstLine="0"/>
              <w:jc w:val="left"/>
              <w:rPr>
                <w:sz w:val="24"/>
              </w:rPr>
            </w:pPr>
            <w:r w:rsidRPr="00E3062C">
              <w:rPr>
                <w:rFonts w:hint="eastAsia"/>
                <w:sz w:val="24"/>
              </w:rPr>
              <w:t>国证</w:t>
            </w:r>
            <w:r w:rsidRPr="00E3062C">
              <w:rPr>
                <w:sz w:val="24"/>
              </w:rPr>
              <w:t>1000</w:t>
            </w:r>
            <w:r w:rsidRPr="00E3062C">
              <w:rPr>
                <w:rFonts w:hint="eastAsia"/>
                <w:sz w:val="24"/>
              </w:rPr>
              <w:t>成长指数收益率</w:t>
            </w:r>
            <w:r w:rsidRPr="00E3062C">
              <w:rPr>
                <w:sz w:val="24"/>
              </w:rPr>
              <w:t>*85%+</w:t>
            </w:r>
            <w:r w:rsidRPr="00E3062C">
              <w:rPr>
                <w:rFonts w:hint="eastAsia"/>
                <w:sz w:val="24"/>
              </w:rPr>
              <w:t>中证全债指数收益率</w:t>
            </w:r>
            <w:r w:rsidRPr="00E3062C">
              <w:rPr>
                <w:sz w:val="24"/>
              </w:rPr>
              <w:t>*15%</w:t>
            </w:r>
          </w:p>
        </w:tc>
      </w:tr>
      <w:tr w:rsidR="006933FF" w:rsidRPr="00E3062C" w14:paraId="33DD4EE5" w14:textId="77777777" w:rsidTr="00E3062C">
        <w:trPr>
          <w:trHeight w:val="376"/>
          <w:jc w:val="center"/>
        </w:trPr>
        <w:tc>
          <w:tcPr>
            <w:tcW w:w="704" w:type="dxa"/>
          </w:tcPr>
          <w:p w14:paraId="65F7078F" w14:textId="3EE25AFA" w:rsidR="006933FF" w:rsidRPr="00E3062C" w:rsidRDefault="003B04A1">
            <w:pPr>
              <w:pStyle w:val="af7"/>
              <w:spacing w:line="360" w:lineRule="auto"/>
              <w:ind w:firstLineChars="0" w:firstLine="0"/>
              <w:jc w:val="center"/>
              <w:rPr>
                <w:sz w:val="24"/>
              </w:rPr>
            </w:pPr>
            <w:r w:rsidRPr="00E3062C">
              <w:rPr>
                <w:rFonts w:hint="eastAsia"/>
                <w:sz w:val="24"/>
              </w:rPr>
              <w:t>5</w:t>
            </w:r>
          </w:p>
        </w:tc>
        <w:tc>
          <w:tcPr>
            <w:tcW w:w="2070" w:type="dxa"/>
          </w:tcPr>
          <w:p w14:paraId="50E9EC6A" w14:textId="77777777" w:rsidR="006933FF" w:rsidRPr="00E3062C" w:rsidRDefault="00E93C6C">
            <w:pPr>
              <w:pStyle w:val="af7"/>
              <w:spacing w:line="360" w:lineRule="auto"/>
              <w:ind w:firstLineChars="0" w:firstLine="0"/>
              <w:jc w:val="left"/>
              <w:rPr>
                <w:sz w:val="24"/>
              </w:rPr>
            </w:pPr>
            <w:r w:rsidRPr="00E3062C">
              <w:rPr>
                <w:rFonts w:hint="eastAsia"/>
                <w:sz w:val="24"/>
              </w:rPr>
              <w:t>富荣福鑫灵活配置混合型证券投资基金</w:t>
            </w:r>
          </w:p>
        </w:tc>
        <w:tc>
          <w:tcPr>
            <w:tcW w:w="3028" w:type="dxa"/>
          </w:tcPr>
          <w:p w14:paraId="391F74D3" w14:textId="77777777" w:rsidR="006933FF" w:rsidRPr="00E3062C" w:rsidRDefault="00E93C6C">
            <w:pPr>
              <w:pStyle w:val="af7"/>
              <w:spacing w:line="360" w:lineRule="auto"/>
              <w:ind w:firstLineChars="0" w:firstLine="0"/>
              <w:jc w:val="left"/>
              <w:rPr>
                <w:sz w:val="24"/>
              </w:rPr>
            </w:pPr>
            <w:r w:rsidRPr="00E3062C">
              <w:rPr>
                <w:rFonts w:hint="eastAsia"/>
                <w:sz w:val="24"/>
              </w:rPr>
              <w:t>中证全债指数收益率</w:t>
            </w:r>
            <w:r w:rsidRPr="00E3062C">
              <w:rPr>
                <w:sz w:val="24"/>
              </w:rPr>
              <w:t>*70%+</w:t>
            </w:r>
            <w:r w:rsidRPr="00E3062C">
              <w:rPr>
                <w:rFonts w:hint="eastAsia"/>
                <w:sz w:val="24"/>
              </w:rPr>
              <w:t>沪深</w:t>
            </w:r>
            <w:r w:rsidRPr="00E3062C">
              <w:rPr>
                <w:sz w:val="24"/>
              </w:rPr>
              <w:t>300</w:t>
            </w:r>
            <w:r w:rsidRPr="00E3062C">
              <w:rPr>
                <w:rFonts w:hint="eastAsia"/>
                <w:sz w:val="24"/>
              </w:rPr>
              <w:t>指数收益率</w:t>
            </w:r>
            <w:r w:rsidRPr="00E3062C">
              <w:rPr>
                <w:sz w:val="24"/>
              </w:rPr>
              <w:t>*30%</w:t>
            </w:r>
          </w:p>
        </w:tc>
        <w:tc>
          <w:tcPr>
            <w:tcW w:w="3032" w:type="dxa"/>
          </w:tcPr>
          <w:p w14:paraId="06D1A616" w14:textId="22FF7094" w:rsidR="006933FF" w:rsidRPr="00E3062C" w:rsidRDefault="00E93C6C">
            <w:pPr>
              <w:pStyle w:val="af7"/>
              <w:spacing w:line="360" w:lineRule="auto"/>
              <w:ind w:firstLineChars="0" w:firstLine="0"/>
              <w:jc w:val="left"/>
              <w:rPr>
                <w:sz w:val="24"/>
              </w:rPr>
            </w:pPr>
            <w:r w:rsidRPr="00E3062C">
              <w:rPr>
                <w:rFonts w:hint="eastAsia"/>
                <w:sz w:val="24"/>
              </w:rPr>
              <w:t>中证</w:t>
            </w:r>
            <w:r w:rsidR="00BB7814" w:rsidRPr="00E3062C">
              <w:rPr>
                <w:sz w:val="24"/>
              </w:rPr>
              <w:t>800</w:t>
            </w:r>
            <w:r w:rsidRPr="00E3062C">
              <w:rPr>
                <w:rFonts w:hint="eastAsia"/>
                <w:sz w:val="24"/>
              </w:rPr>
              <w:t>指数收益率</w:t>
            </w:r>
            <w:r w:rsidRPr="00E3062C">
              <w:rPr>
                <w:sz w:val="24"/>
              </w:rPr>
              <w:t>*80%+</w:t>
            </w:r>
            <w:r w:rsidRPr="00E3062C">
              <w:rPr>
                <w:rFonts w:hint="eastAsia"/>
                <w:sz w:val="24"/>
              </w:rPr>
              <w:t>中证全债指数收益率</w:t>
            </w:r>
            <w:r w:rsidRPr="00E3062C">
              <w:rPr>
                <w:sz w:val="24"/>
              </w:rPr>
              <w:t>*20%</w:t>
            </w:r>
          </w:p>
        </w:tc>
      </w:tr>
      <w:tr w:rsidR="006933FF" w:rsidRPr="00E3062C" w14:paraId="0961319A" w14:textId="77777777" w:rsidTr="00E3062C">
        <w:trPr>
          <w:trHeight w:val="376"/>
          <w:jc w:val="center"/>
        </w:trPr>
        <w:tc>
          <w:tcPr>
            <w:tcW w:w="704" w:type="dxa"/>
          </w:tcPr>
          <w:p w14:paraId="32F12A13" w14:textId="37B013A1" w:rsidR="006933FF" w:rsidRPr="00E3062C" w:rsidRDefault="003B04A1">
            <w:pPr>
              <w:pStyle w:val="af7"/>
              <w:spacing w:line="360" w:lineRule="auto"/>
              <w:ind w:firstLineChars="0" w:firstLine="0"/>
              <w:jc w:val="center"/>
              <w:rPr>
                <w:sz w:val="24"/>
              </w:rPr>
            </w:pPr>
            <w:r w:rsidRPr="00E3062C">
              <w:rPr>
                <w:rFonts w:hint="eastAsia"/>
                <w:sz w:val="24"/>
              </w:rPr>
              <w:t>6</w:t>
            </w:r>
          </w:p>
        </w:tc>
        <w:tc>
          <w:tcPr>
            <w:tcW w:w="2070" w:type="dxa"/>
          </w:tcPr>
          <w:p w14:paraId="68E7D68B" w14:textId="77777777" w:rsidR="006933FF" w:rsidRPr="00E3062C" w:rsidRDefault="00E93C6C">
            <w:pPr>
              <w:pStyle w:val="af7"/>
              <w:spacing w:line="360" w:lineRule="auto"/>
              <w:ind w:firstLineChars="0" w:firstLine="0"/>
              <w:jc w:val="left"/>
              <w:rPr>
                <w:sz w:val="24"/>
              </w:rPr>
            </w:pPr>
            <w:r w:rsidRPr="00E3062C">
              <w:rPr>
                <w:rFonts w:hint="eastAsia"/>
                <w:sz w:val="24"/>
              </w:rPr>
              <w:t>富荣福康混合型证券投资基金</w:t>
            </w:r>
          </w:p>
        </w:tc>
        <w:tc>
          <w:tcPr>
            <w:tcW w:w="3028" w:type="dxa"/>
          </w:tcPr>
          <w:p w14:paraId="211E82D1" w14:textId="77777777" w:rsidR="006933FF" w:rsidRPr="00E3062C" w:rsidRDefault="00E93C6C">
            <w:pPr>
              <w:pStyle w:val="af7"/>
              <w:spacing w:line="360" w:lineRule="auto"/>
              <w:ind w:firstLineChars="0" w:firstLine="0"/>
              <w:jc w:val="left"/>
              <w:rPr>
                <w:sz w:val="24"/>
              </w:rPr>
            </w:pPr>
            <w:r w:rsidRPr="00E3062C">
              <w:rPr>
                <w:rFonts w:hint="eastAsia"/>
                <w:sz w:val="24"/>
              </w:rPr>
              <w:t>沪深</w:t>
            </w:r>
            <w:r w:rsidRPr="00E3062C">
              <w:rPr>
                <w:sz w:val="24"/>
              </w:rPr>
              <w:t>300</w:t>
            </w:r>
            <w:r w:rsidRPr="00E3062C">
              <w:rPr>
                <w:rFonts w:hint="eastAsia"/>
                <w:sz w:val="24"/>
              </w:rPr>
              <w:t>指数收益率</w:t>
            </w:r>
            <w:r w:rsidRPr="00E3062C">
              <w:rPr>
                <w:sz w:val="24"/>
              </w:rPr>
              <w:t>*70%+</w:t>
            </w:r>
            <w:r w:rsidRPr="00E3062C">
              <w:rPr>
                <w:rFonts w:hint="eastAsia"/>
                <w:sz w:val="24"/>
              </w:rPr>
              <w:t>中证全债指数收益</w:t>
            </w:r>
            <w:r w:rsidRPr="00E3062C">
              <w:rPr>
                <w:rFonts w:hint="eastAsia"/>
                <w:sz w:val="24"/>
              </w:rPr>
              <w:lastRenderedPageBreak/>
              <w:t>率</w:t>
            </w:r>
            <w:r w:rsidRPr="00E3062C">
              <w:rPr>
                <w:sz w:val="24"/>
              </w:rPr>
              <w:t>*30%</w:t>
            </w:r>
          </w:p>
        </w:tc>
        <w:tc>
          <w:tcPr>
            <w:tcW w:w="3032" w:type="dxa"/>
          </w:tcPr>
          <w:p w14:paraId="2A8D4A1E" w14:textId="77777777" w:rsidR="006933FF" w:rsidRPr="00E3062C" w:rsidRDefault="00E93C6C">
            <w:pPr>
              <w:pStyle w:val="af7"/>
              <w:spacing w:line="360" w:lineRule="auto"/>
              <w:ind w:firstLineChars="0" w:firstLine="0"/>
              <w:jc w:val="left"/>
              <w:rPr>
                <w:sz w:val="24"/>
              </w:rPr>
            </w:pPr>
            <w:r w:rsidRPr="00E3062C">
              <w:rPr>
                <w:rFonts w:hint="eastAsia"/>
                <w:sz w:val="24"/>
              </w:rPr>
              <w:lastRenderedPageBreak/>
              <w:t>中证</w:t>
            </w:r>
            <w:r w:rsidRPr="00E3062C">
              <w:rPr>
                <w:sz w:val="24"/>
              </w:rPr>
              <w:t>800</w:t>
            </w:r>
            <w:r w:rsidRPr="00E3062C">
              <w:rPr>
                <w:rFonts w:hint="eastAsia"/>
                <w:sz w:val="24"/>
              </w:rPr>
              <w:t>指数收益率</w:t>
            </w:r>
            <w:r w:rsidRPr="00E3062C">
              <w:rPr>
                <w:sz w:val="24"/>
              </w:rPr>
              <w:t>*85%+</w:t>
            </w:r>
            <w:r w:rsidRPr="00E3062C">
              <w:rPr>
                <w:rFonts w:hint="eastAsia"/>
                <w:sz w:val="24"/>
              </w:rPr>
              <w:t>中债</w:t>
            </w:r>
            <w:r w:rsidRPr="00E3062C">
              <w:rPr>
                <w:sz w:val="24"/>
              </w:rPr>
              <w:t>-</w:t>
            </w:r>
            <w:r w:rsidRPr="00E3062C">
              <w:rPr>
                <w:rFonts w:hint="eastAsia"/>
                <w:sz w:val="24"/>
              </w:rPr>
              <w:t>综合全价</w:t>
            </w:r>
            <w:r w:rsidRPr="00E3062C">
              <w:rPr>
                <w:sz w:val="24"/>
              </w:rPr>
              <w:t>(1-3</w:t>
            </w:r>
            <w:r w:rsidRPr="00E3062C">
              <w:rPr>
                <w:rFonts w:hint="eastAsia"/>
                <w:sz w:val="24"/>
              </w:rPr>
              <w:lastRenderedPageBreak/>
              <w:t>年</w:t>
            </w:r>
            <w:r w:rsidRPr="00E3062C">
              <w:rPr>
                <w:sz w:val="24"/>
              </w:rPr>
              <w:t>)</w:t>
            </w:r>
            <w:r w:rsidRPr="00E3062C">
              <w:rPr>
                <w:rFonts w:hint="eastAsia"/>
                <w:sz w:val="24"/>
              </w:rPr>
              <w:t>指数收益率</w:t>
            </w:r>
            <w:r w:rsidRPr="00E3062C">
              <w:rPr>
                <w:sz w:val="24"/>
              </w:rPr>
              <w:t>*10%+</w:t>
            </w:r>
            <w:r w:rsidRPr="00E3062C">
              <w:rPr>
                <w:rFonts w:hint="eastAsia"/>
                <w:sz w:val="24"/>
              </w:rPr>
              <w:t>活期存款基准利率</w:t>
            </w:r>
            <w:r w:rsidRPr="00E3062C">
              <w:rPr>
                <w:sz w:val="24"/>
              </w:rPr>
              <w:t>*5%</w:t>
            </w:r>
          </w:p>
        </w:tc>
      </w:tr>
      <w:tr w:rsidR="006933FF" w:rsidRPr="00E3062C" w14:paraId="3D07135A" w14:textId="77777777" w:rsidTr="00E3062C">
        <w:trPr>
          <w:trHeight w:val="376"/>
          <w:jc w:val="center"/>
        </w:trPr>
        <w:tc>
          <w:tcPr>
            <w:tcW w:w="704" w:type="dxa"/>
          </w:tcPr>
          <w:p w14:paraId="36124633" w14:textId="0B24A77B" w:rsidR="006933FF" w:rsidRPr="00E3062C" w:rsidRDefault="003B04A1">
            <w:pPr>
              <w:pStyle w:val="af7"/>
              <w:spacing w:line="360" w:lineRule="auto"/>
              <w:ind w:firstLineChars="0" w:firstLine="0"/>
              <w:jc w:val="center"/>
              <w:rPr>
                <w:sz w:val="24"/>
              </w:rPr>
            </w:pPr>
            <w:r w:rsidRPr="00E3062C">
              <w:rPr>
                <w:rFonts w:hint="eastAsia"/>
                <w:sz w:val="24"/>
              </w:rPr>
              <w:lastRenderedPageBreak/>
              <w:t>7</w:t>
            </w:r>
          </w:p>
        </w:tc>
        <w:tc>
          <w:tcPr>
            <w:tcW w:w="2070" w:type="dxa"/>
          </w:tcPr>
          <w:p w14:paraId="761BD283" w14:textId="77777777" w:rsidR="006933FF" w:rsidRPr="00E3062C" w:rsidRDefault="00E93C6C">
            <w:pPr>
              <w:pStyle w:val="af7"/>
              <w:spacing w:line="360" w:lineRule="auto"/>
              <w:ind w:firstLineChars="0" w:firstLine="0"/>
              <w:jc w:val="left"/>
              <w:rPr>
                <w:sz w:val="24"/>
              </w:rPr>
            </w:pPr>
            <w:r w:rsidRPr="00E3062C">
              <w:rPr>
                <w:rFonts w:hint="eastAsia"/>
                <w:sz w:val="24"/>
              </w:rPr>
              <w:t>富荣价值精选灵活配置混合型发起式证券投资基金</w:t>
            </w:r>
          </w:p>
        </w:tc>
        <w:tc>
          <w:tcPr>
            <w:tcW w:w="3028" w:type="dxa"/>
          </w:tcPr>
          <w:p w14:paraId="2467F071" w14:textId="77777777" w:rsidR="006933FF" w:rsidRPr="00E3062C" w:rsidRDefault="00E93C6C">
            <w:pPr>
              <w:pStyle w:val="af7"/>
              <w:spacing w:line="360" w:lineRule="auto"/>
              <w:ind w:firstLineChars="0" w:firstLine="0"/>
              <w:jc w:val="left"/>
              <w:rPr>
                <w:sz w:val="24"/>
              </w:rPr>
            </w:pPr>
            <w:r w:rsidRPr="00E3062C">
              <w:rPr>
                <w:rFonts w:hint="eastAsia"/>
                <w:sz w:val="24"/>
              </w:rPr>
              <w:t>中债综合全价</w:t>
            </w:r>
            <w:r w:rsidRPr="00E3062C">
              <w:rPr>
                <w:sz w:val="24"/>
              </w:rPr>
              <w:t>(</w:t>
            </w:r>
            <w:r w:rsidRPr="00E3062C">
              <w:rPr>
                <w:rFonts w:hint="eastAsia"/>
                <w:sz w:val="24"/>
              </w:rPr>
              <w:t>总值</w:t>
            </w:r>
            <w:r w:rsidRPr="00E3062C">
              <w:rPr>
                <w:sz w:val="24"/>
              </w:rPr>
              <w:t>)</w:t>
            </w:r>
            <w:r w:rsidRPr="00E3062C">
              <w:rPr>
                <w:rFonts w:hint="eastAsia"/>
                <w:sz w:val="24"/>
              </w:rPr>
              <w:t>指数收益率</w:t>
            </w:r>
            <w:r w:rsidRPr="00E3062C">
              <w:rPr>
                <w:sz w:val="24"/>
              </w:rPr>
              <w:t>*80%+</w:t>
            </w:r>
            <w:r w:rsidRPr="00E3062C">
              <w:rPr>
                <w:rFonts w:hint="eastAsia"/>
                <w:sz w:val="24"/>
              </w:rPr>
              <w:t>中证可转换债券指数收益率</w:t>
            </w:r>
            <w:r w:rsidRPr="00E3062C">
              <w:rPr>
                <w:sz w:val="24"/>
              </w:rPr>
              <w:t>*20%</w:t>
            </w:r>
          </w:p>
        </w:tc>
        <w:tc>
          <w:tcPr>
            <w:tcW w:w="3032" w:type="dxa"/>
          </w:tcPr>
          <w:p w14:paraId="427FD47A" w14:textId="7C2FF019" w:rsidR="006933FF" w:rsidRPr="00E3062C" w:rsidRDefault="00E93C6C">
            <w:pPr>
              <w:pStyle w:val="af7"/>
              <w:spacing w:line="360" w:lineRule="auto"/>
              <w:ind w:firstLineChars="0" w:firstLine="0"/>
              <w:jc w:val="left"/>
              <w:rPr>
                <w:sz w:val="24"/>
              </w:rPr>
            </w:pPr>
            <w:r w:rsidRPr="00E3062C">
              <w:rPr>
                <w:rFonts w:hint="eastAsia"/>
                <w:sz w:val="24"/>
              </w:rPr>
              <w:t>中证可转换债券指数收益率</w:t>
            </w:r>
            <w:r w:rsidRPr="00E3062C">
              <w:rPr>
                <w:sz w:val="24"/>
              </w:rPr>
              <w:t>*</w:t>
            </w:r>
            <w:r w:rsidR="004B3815" w:rsidRPr="00E3062C">
              <w:rPr>
                <w:sz w:val="24"/>
              </w:rPr>
              <w:t>65</w:t>
            </w:r>
            <w:r w:rsidRPr="00E3062C">
              <w:rPr>
                <w:sz w:val="24"/>
              </w:rPr>
              <w:t>%+</w:t>
            </w:r>
            <w:r w:rsidRPr="00E3062C">
              <w:rPr>
                <w:rFonts w:hint="eastAsia"/>
                <w:sz w:val="24"/>
              </w:rPr>
              <w:t>中证</w:t>
            </w:r>
            <w:r w:rsidRPr="00E3062C">
              <w:rPr>
                <w:sz w:val="24"/>
              </w:rPr>
              <w:t>800</w:t>
            </w:r>
            <w:r w:rsidRPr="00E3062C">
              <w:rPr>
                <w:rFonts w:hint="eastAsia"/>
                <w:sz w:val="24"/>
              </w:rPr>
              <w:t>指数收益率</w:t>
            </w:r>
            <w:r w:rsidRPr="00E3062C">
              <w:rPr>
                <w:sz w:val="24"/>
              </w:rPr>
              <w:t>*</w:t>
            </w:r>
            <w:r w:rsidR="004B3815" w:rsidRPr="00E3062C">
              <w:rPr>
                <w:sz w:val="24"/>
              </w:rPr>
              <w:t>30</w:t>
            </w:r>
            <w:r w:rsidRPr="00E3062C">
              <w:rPr>
                <w:sz w:val="24"/>
              </w:rPr>
              <w:t>%+</w:t>
            </w:r>
            <w:r w:rsidRPr="00E3062C">
              <w:rPr>
                <w:rFonts w:hint="eastAsia"/>
                <w:sz w:val="24"/>
              </w:rPr>
              <w:t>活期存款基准利率</w:t>
            </w:r>
            <w:r w:rsidRPr="00E3062C">
              <w:rPr>
                <w:sz w:val="24"/>
              </w:rPr>
              <w:t>*5%</w:t>
            </w:r>
          </w:p>
        </w:tc>
      </w:tr>
      <w:tr w:rsidR="006933FF" w:rsidRPr="00E3062C" w14:paraId="08EDB572" w14:textId="77777777" w:rsidTr="00E3062C">
        <w:trPr>
          <w:trHeight w:val="376"/>
          <w:jc w:val="center"/>
        </w:trPr>
        <w:tc>
          <w:tcPr>
            <w:tcW w:w="704" w:type="dxa"/>
          </w:tcPr>
          <w:p w14:paraId="05F26DF0" w14:textId="1FC59190" w:rsidR="006933FF" w:rsidRPr="00E3062C" w:rsidRDefault="003B04A1">
            <w:pPr>
              <w:pStyle w:val="af7"/>
              <w:spacing w:line="360" w:lineRule="auto"/>
              <w:ind w:firstLineChars="0" w:firstLine="0"/>
              <w:jc w:val="center"/>
              <w:rPr>
                <w:sz w:val="24"/>
              </w:rPr>
            </w:pPr>
            <w:r w:rsidRPr="00E3062C">
              <w:rPr>
                <w:rFonts w:hint="eastAsia"/>
                <w:sz w:val="24"/>
              </w:rPr>
              <w:t>8</w:t>
            </w:r>
          </w:p>
        </w:tc>
        <w:tc>
          <w:tcPr>
            <w:tcW w:w="2070" w:type="dxa"/>
          </w:tcPr>
          <w:p w14:paraId="40704C5B" w14:textId="77777777" w:rsidR="006933FF" w:rsidRPr="00E3062C" w:rsidRDefault="00E93C6C">
            <w:pPr>
              <w:pStyle w:val="af7"/>
              <w:spacing w:line="360" w:lineRule="auto"/>
              <w:ind w:firstLineChars="0" w:firstLine="0"/>
              <w:jc w:val="left"/>
              <w:rPr>
                <w:sz w:val="24"/>
              </w:rPr>
            </w:pPr>
            <w:r w:rsidRPr="00E3062C">
              <w:rPr>
                <w:rFonts w:hint="eastAsia"/>
                <w:sz w:val="24"/>
              </w:rPr>
              <w:t>富荣富乾债券型证券投资基金</w:t>
            </w:r>
          </w:p>
        </w:tc>
        <w:tc>
          <w:tcPr>
            <w:tcW w:w="3028" w:type="dxa"/>
          </w:tcPr>
          <w:p w14:paraId="2F2E136E" w14:textId="77777777" w:rsidR="006933FF" w:rsidRPr="00E3062C" w:rsidRDefault="00E93C6C">
            <w:pPr>
              <w:pStyle w:val="af7"/>
              <w:spacing w:line="360" w:lineRule="auto"/>
              <w:ind w:firstLineChars="0" w:firstLine="0"/>
              <w:jc w:val="left"/>
              <w:rPr>
                <w:sz w:val="24"/>
              </w:rPr>
            </w:pPr>
            <w:r w:rsidRPr="00E3062C">
              <w:rPr>
                <w:rFonts w:hint="eastAsia"/>
                <w:sz w:val="24"/>
              </w:rPr>
              <w:t>中债综合指数</w:t>
            </w:r>
            <w:r w:rsidRPr="00E3062C">
              <w:rPr>
                <w:sz w:val="24"/>
              </w:rPr>
              <w:t>(</w:t>
            </w:r>
            <w:r w:rsidRPr="00E3062C">
              <w:rPr>
                <w:rFonts w:hint="eastAsia"/>
                <w:sz w:val="24"/>
              </w:rPr>
              <w:t>总财富</w:t>
            </w:r>
            <w:r w:rsidRPr="00E3062C">
              <w:rPr>
                <w:sz w:val="24"/>
              </w:rPr>
              <w:t>)</w:t>
            </w:r>
            <w:r w:rsidRPr="00E3062C">
              <w:rPr>
                <w:rFonts w:hint="eastAsia"/>
                <w:sz w:val="24"/>
              </w:rPr>
              <w:t>收益率</w:t>
            </w:r>
            <w:r w:rsidRPr="00E3062C">
              <w:rPr>
                <w:sz w:val="24"/>
              </w:rPr>
              <w:t>*90%+1</w:t>
            </w:r>
            <w:r w:rsidRPr="00E3062C">
              <w:rPr>
                <w:rFonts w:hint="eastAsia"/>
                <w:sz w:val="24"/>
              </w:rPr>
              <w:t>年期定期存款利率</w:t>
            </w:r>
            <w:r w:rsidRPr="00E3062C">
              <w:rPr>
                <w:sz w:val="24"/>
              </w:rPr>
              <w:t>(</w:t>
            </w:r>
            <w:r w:rsidRPr="00E3062C">
              <w:rPr>
                <w:rFonts w:hint="eastAsia"/>
                <w:sz w:val="24"/>
              </w:rPr>
              <w:t>税后</w:t>
            </w:r>
            <w:r w:rsidRPr="00E3062C">
              <w:rPr>
                <w:sz w:val="24"/>
              </w:rPr>
              <w:t>)*10%</w:t>
            </w:r>
          </w:p>
        </w:tc>
        <w:tc>
          <w:tcPr>
            <w:tcW w:w="3032" w:type="dxa"/>
          </w:tcPr>
          <w:p w14:paraId="15AC2AAC" w14:textId="77777777" w:rsidR="006933FF" w:rsidRPr="00E3062C" w:rsidRDefault="00E93C6C">
            <w:pPr>
              <w:pStyle w:val="af7"/>
              <w:spacing w:line="360" w:lineRule="auto"/>
              <w:ind w:firstLineChars="0" w:firstLine="0"/>
              <w:jc w:val="left"/>
              <w:rPr>
                <w:sz w:val="24"/>
              </w:rPr>
            </w:pPr>
            <w:r w:rsidRPr="00E3062C">
              <w:rPr>
                <w:rFonts w:hint="eastAsia"/>
                <w:sz w:val="24"/>
              </w:rPr>
              <w:t>中债</w:t>
            </w:r>
            <w:r w:rsidRPr="00E3062C">
              <w:rPr>
                <w:sz w:val="24"/>
              </w:rPr>
              <w:t>-</w:t>
            </w:r>
            <w:r w:rsidRPr="00E3062C">
              <w:rPr>
                <w:rFonts w:hint="eastAsia"/>
                <w:sz w:val="24"/>
              </w:rPr>
              <w:t>综合财富</w:t>
            </w:r>
            <w:r w:rsidRPr="00E3062C">
              <w:rPr>
                <w:sz w:val="24"/>
              </w:rPr>
              <w:t>(</w:t>
            </w:r>
            <w:r w:rsidRPr="00E3062C">
              <w:rPr>
                <w:rFonts w:hint="eastAsia"/>
                <w:sz w:val="24"/>
              </w:rPr>
              <w:t>总值</w:t>
            </w:r>
            <w:r w:rsidRPr="00E3062C">
              <w:rPr>
                <w:sz w:val="24"/>
              </w:rPr>
              <w:t>)</w:t>
            </w:r>
            <w:r w:rsidRPr="00E3062C">
              <w:rPr>
                <w:rFonts w:hint="eastAsia"/>
                <w:sz w:val="24"/>
              </w:rPr>
              <w:t>指数收益率</w:t>
            </w:r>
            <w:r w:rsidRPr="00E3062C">
              <w:rPr>
                <w:sz w:val="24"/>
              </w:rPr>
              <w:t>*80%+</w:t>
            </w:r>
            <w:r w:rsidRPr="00E3062C">
              <w:rPr>
                <w:rFonts w:hint="eastAsia"/>
                <w:sz w:val="24"/>
              </w:rPr>
              <w:t>中证</w:t>
            </w:r>
            <w:r w:rsidRPr="00E3062C">
              <w:rPr>
                <w:sz w:val="24"/>
              </w:rPr>
              <w:t>800</w:t>
            </w:r>
            <w:r w:rsidRPr="00E3062C">
              <w:rPr>
                <w:rFonts w:hint="eastAsia"/>
                <w:sz w:val="24"/>
              </w:rPr>
              <w:t>指数收益率</w:t>
            </w:r>
            <w:r w:rsidRPr="00E3062C">
              <w:rPr>
                <w:sz w:val="24"/>
              </w:rPr>
              <w:t>*15%+</w:t>
            </w:r>
            <w:r w:rsidRPr="00E3062C">
              <w:rPr>
                <w:rFonts w:hint="eastAsia"/>
                <w:sz w:val="24"/>
              </w:rPr>
              <w:t>活期存款基准利率</w:t>
            </w:r>
            <w:r w:rsidRPr="00E3062C">
              <w:rPr>
                <w:sz w:val="24"/>
              </w:rPr>
              <w:t>*5%</w:t>
            </w:r>
          </w:p>
        </w:tc>
      </w:tr>
    </w:tbl>
    <w:p w14:paraId="06901ED4" w14:textId="561AF8A6" w:rsidR="006933FF" w:rsidRPr="00E3062C" w:rsidRDefault="00E93C6C">
      <w:pPr>
        <w:spacing w:line="360" w:lineRule="auto"/>
        <w:ind w:firstLineChars="175" w:firstLine="420"/>
        <w:rPr>
          <w:b/>
          <w:bCs/>
          <w:sz w:val="24"/>
        </w:rPr>
      </w:pPr>
      <w:r w:rsidRPr="00E3062C">
        <w:rPr>
          <w:bCs/>
          <w:sz w:val="24"/>
        </w:rPr>
        <w:t>上述基金调整业绩比较基准</w:t>
      </w:r>
      <w:r w:rsidRPr="00E3062C">
        <w:rPr>
          <w:rFonts w:hint="eastAsia"/>
          <w:bCs/>
          <w:sz w:val="24"/>
        </w:rPr>
        <w:t>要素</w:t>
      </w:r>
      <w:r w:rsidRPr="00E3062C">
        <w:rPr>
          <w:bCs/>
          <w:sz w:val="24"/>
        </w:rPr>
        <w:t>的原因</w:t>
      </w:r>
      <w:r w:rsidRPr="00E3062C">
        <w:rPr>
          <w:rFonts w:hint="eastAsia"/>
          <w:bCs/>
          <w:sz w:val="24"/>
        </w:rPr>
        <w:t>、差异</w:t>
      </w:r>
      <w:r w:rsidRPr="00E3062C">
        <w:rPr>
          <w:bCs/>
          <w:sz w:val="24"/>
        </w:rPr>
        <w:t>及</w:t>
      </w:r>
      <w:r w:rsidRPr="00E3062C">
        <w:rPr>
          <w:rFonts w:hint="eastAsia"/>
          <w:bCs/>
          <w:sz w:val="24"/>
        </w:rPr>
        <w:t>影响</w:t>
      </w:r>
      <w:r w:rsidRPr="00E3062C">
        <w:rPr>
          <w:bCs/>
          <w:sz w:val="24"/>
        </w:rPr>
        <w:t>详见附件《</w:t>
      </w:r>
      <w:r w:rsidRPr="00E3062C">
        <w:rPr>
          <w:sz w:val="24"/>
        </w:rPr>
        <w:t>业绩比较基准调整原因及合理性说明》。</w:t>
      </w:r>
    </w:p>
    <w:p w14:paraId="61FB6A67" w14:textId="77777777" w:rsidR="006933FF" w:rsidRPr="00E3062C" w:rsidRDefault="006933FF">
      <w:pPr>
        <w:pStyle w:val="af7"/>
        <w:spacing w:line="360" w:lineRule="auto"/>
        <w:ind w:rightChars="40" w:right="84" w:firstLine="480"/>
        <w:rPr>
          <w:kern w:val="0"/>
          <w:sz w:val="24"/>
        </w:rPr>
      </w:pPr>
    </w:p>
    <w:p w14:paraId="052DE4E3" w14:textId="77777777" w:rsidR="006933FF" w:rsidRPr="00E3062C" w:rsidRDefault="00E93C6C">
      <w:pPr>
        <w:pStyle w:val="af7"/>
        <w:spacing w:line="360" w:lineRule="auto"/>
        <w:ind w:firstLine="482"/>
        <w:rPr>
          <w:b/>
          <w:sz w:val="24"/>
        </w:rPr>
      </w:pPr>
      <w:r w:rsidRPr="00E3062C">
        <w:rPr>
          <w:b/>
          <w:kern w:val="0"/>
          <w:sz w:val="24"/>
        </w:rPr>
        <w:t>二、基金合同</w:t>
      </w:r>
      <w:r w:rsidRPr="00E3062C">
        <w:rPr>
          <w:rFonts w:hint="eastAsia"/>
          <w:b/>
          <w:kern w:val="0"/>
          <w:sz w:val="24"/>
        </w:rPr>
        <w:t>等法律文件</w:t>
      </w:r>
      <w:r w:rsidRPr="00E3062C">
        <w:rPr>
          <w:b/>
          <w:sz w:val="24"/>
        </w:rPr>
        <w:t>修订内容</w:t>
      </w:r>
    </w:p>
    <w:p w14:paraId="4CB2886B" w14:textId="77777777" w:rsidR="006933FF" w:rsidRPr="00E3062C" w:rsidRDefault="00E93C6C">
      <w:pPr>
        <w:spacing w:line="360" w:lineRule="auto"/>
        <w:ind w:firstLineChars="200" w:firstLine="480"/>
        <w:rPr>
          <w:rFonts w:eastAsiaTheme="minorEastAsia"/>
          <w:sz w:val="24"/>
        </w:rPr>
      </w:pPr>
      <w:r w:rsidRPr="00E3062C">
        <w:rPr>
          <w:sz w:val="24"/>
        </w:rPr>
        <w:t>（一）基金合同具体修订内容包括：在</w:t>
      </w:r>
      <w:r w:rsidRPr="00E3062C">
        <w:rPr>
          <w:rFonts w:hint="eastAsia"/>
          <w:sz w:val="24"/>
        </w:rPr>
        <w:t>“</w:t>
      </w:r>
      <w:r w:rsidRPr="00E3062C">
        <w:rPr>
          <w:sz w:val="24"/>
        </w:rPr>
        <w:t>基金的投资</w:t>
      </w:r>
      <w:r w:rsidRPr="00E3062C">
        <w:rPr>
          <w:rFonts w:hint="eastAsia"/>
          <w:sz w:val="24"/>
        </w:rPr>
        <w:t>”</w:t>
      </w:r>
      <w:r w:rsidRPr="00E3062C">
        <w:rPr>
          <w:sz w:val="24"/>
        </w:rPr>
        <w:t>章节中的</w:t>
      </w:r>
      <w:r w:rsidRPr="00E3062C">
        <w:rPr>
          <w:rFonts w:hint="eastAsia"/>
          <w:sz w:val="24"/>
        </w:rPr>
        <w:t>“</w:t>
      </w:r>
      <w:r w:rsidRPr="00E3062C">
        <w:rPr>
          <w:sz w:val="24"/>
        </w:rPr>
        <w:t>业绩比较基准</w:t>
      </w:r>
      <w:r w:rsidRPr="00E3062C">
        <w:rPr>
          <w:rFonts w:hint="eastAsia"/>
          <w:sz w:val="24"/>
        </w:rPr>
        <w:t>”</w:t>
      </w:r>
      <w:r w:rsidRPr="00E3062C">
        <w:rPr>
          <w:sz w:val="24"/>
        </w:rPr>
        <w:t>部分列明基金调整后的业绩比较基准</w:t>
      </w:r>
      <w:r w:rsidRPr="00E3062C">
        <w:rPr>
          <w:rFonts w:hint="eastAsia"/>
          <w:sz w:val="24"/>
        </w:rPr>
        <w:t>、设定</w:t>
      </w:r>
      <w:r w:rsidRPr="00E3062C">
        <w:rPr>
          <w:sz w:val="24"/>
        </w:rPr>
        <w:t>原因</w:t>
      </w:r>
      <w:r w:rsidRPr="00E3062C">
        <w:rPr>
          <w:rFonts w:hint="eastAsia"/>
          <w:sz w:val="24"/>
        </w:rPr>
        <w:t>（</w:t>
      </w:r>
      <w:r w:rsidRPr="00E3062C">
        <w:rPr>
          <w:sz w:val="24"/>
        </w:rPr>
        <w:t>包括与基金产品投资目标、投资范围、投资策略、投资比例限制的匹配情况</w:t>
      </w:r>
      <w:r w:rsidRPr="00E3062C">
        <w:rPr>
          <w:rFonts w:hint="eastAsia"/>
          <w:sz w:val="24"/>
        </w:rPr>
        <w:t>）、</w:t>
      </w:r>
      <w:r w:rsidRPr="00E3062C">
        <w:rPr>
          <w:sz w:val="24"/>
        </w:rPr>
        <w:t>基准要素</w:t>
      </w:r>
      <w:r w:rsidRPr="00E3062C">
        <w:rPr>
          <w:rFonts w:hint="eastAsia"/>
          <w:sz w:val="24"/>
        </w:rPr>
        <w:t>相关信息（包括</w:t>
      </w:r>
      <w:r w:rsidRPr="00E3062C">
        <w:rPr>
          <w:sz w:val="24"/>
        </w:rPr>
        <w:t>发布机构、代码、查询途径等</w:t>
      </w:r>
      <w:r w:rsidRPr="00E3062C">
        <w:rPr>
          <w:rFonts w:hint="eastAsia"/>
          <w:sz w:val="24"/>
        </w:rPr>
        <w:t>）、</w:t>
      </w:r>
      <w:r w:rsidRPr="00E3062C">
        <w:rPr>
          <w:sz w:val="24"/>
        </w:rPr>
        <w:t>业绩比较基准的计算方法</w:t>
      </w:r>
      <w:r w:rsidRPr="00E3062C">
        <w:rPr>
          <w:rFonts w:hint="eastAsia"/>
          <w:sz w:val="24"/>
        </w:rPr>
        <w:t>、</w:t>
      </w:r>
      <w:r w:rsidRPr="00E3062C">
        <w:rPr>
          <w:sz w:val="24"/>
        </w:rPr>
        <w:t>管理投资偏离业绩比较基准的定性或定量方法</w:t>
      </w:r>
      <w:r w:rsidRPr="00E3062C">
        <w:rPr>
          <w:rFonts w:hint="eastAsia"/>
          <w:sz w:val="24"/>
        </w:rPr>
        <w:t>，以及</w:t>
      </w:r>
      <w:r w:rsidRPr="00E3062C">
        <w:rPr>
          <w:sz w:val="24"/>
        </w:rPr>
        <w:t>未来可能变更业绩比较基准的情形和程序</w:t>
      </w:r>
      <w:r w:rsidRPr="00E3062C">
        <w:rPr>
          <w:rFonts w:hint="eastAsia"/>
          <w:sz w:val="24"/>
        </w:rPr>
        <w:t>。</w:t>
      </w:r>
      <w:r w:rsidRPr="00E3062C">
        <w:rPr>
          <w:rFonts w:eastAsiaTheme="minorEastAsia"/>
          <w:sz w:val="24"/>
        </w:rPr>
        <w:t>基金管理人将</w:t>
      </w:r>
      <w:r w:rsidRPr="00E3062C">
        <w:rPr>
          <w:rFonts w:eastAsiaTheme="minorEastAsia" w:hint="eastAsia"/>
          <w:sz w:val="24"/>
        </w:rPr>
        <w:t>一并修订托管协议（如有），并</w:t>
      </w:r>
      <w:r w:rsidRPr="00E3062C">
        <w:rPr>
          <w:rFonts w:eastAsiaTheme="minorEastAsia"/>
          <w:sz w:val="24"/>
        </w:rPr>
        <w:t>更新招募说明书</w:t>
      </w:r>
      <w:r w:rsidRPr="00E3062C">
        <w:rPr>
          <w:rFonts w:eastAsiaTheme="minorEastAsia" w:hint="eastAsia"/>
          <w:sz w:val="24"/>
        </w:rPr>
        <w:t>、基金产品资料概要</w:t>
      </w:r>
      <w:r w:rsidRPr="00E3062C">
        <w:rPr>
          <w:rFonts w:eastAsiaTheme="minorEastAsia"/>
          <w:sz w:val="24"/>
        </w:rPr>
        <w:t>相关内容。</w:t>
      </w:r>
    </w:p>
    <w:p w14:paraId="7828544C" w14:textId="63C1E506" w:rsidR="006933FF" w:rsidRPr="00E3062C" w:rsidRDefault="00E93C6C">
      <w:pPr>
        <w:spacing w:line="360" w:lineRule="auto"/>
        <w:ind w:firstLineChars="200" w:firstLine="480"/>
        <w:rPr>
          <w:sz w:val="24"/>
        </w:rPr>
      </w:pPr>
      <w:r w:rsidRPr="00E3062C">
        <w:rPr>
          <w:sz w:val="24"/>
        </w:rPr>
        <w:t>（二）</w:t>
      </w:r>
      <w:r w:rsidRPr="00E3062C">
        <w:rPr>
          <w:rFonts w:hint="eastAsia"/>
          <w:kern w:val="0"/>
          <w:sz w:val="24"/>
        </w:rPr>
        <w:t>本次修订</w:t>
      </w:r>
      <w:r w:rsidRPr="00E3062C">
        <w:rPr>
          <w:kern w:val="0"/>
          <w:sz w:val="24"/>
        </w:rPr>
        <w:t>对基金份额持有人利益无实质性不利影响</w:t>
      </w:r>
      <w:r w:rsidRPr="00E3062C">
        <w:rPr>
          <w:rFonts w:hint="eastAsia"/>
          <w:kern w:val="0"/>
          <w:sz w:val="24"/>
        </w:rPr>
        <w:t>，基金管理人已履行规定的程序，</w:t>
      </w:r>
      <w:r w:rsidRPr="00E3062C">
        <w:rPr>
          <w:kern w:val="0"/>
          <w:sz w:val="24"/>
        </w:rPr>
        <w:t>符合相关法律法规规定和基金合同约定</w:t>
      </w:r>
      <w:r w:rsidRPr="00E3062C">
        <w:rPr>
          <w:rFonts w:hint="eastAsia"/>
          <w:kern w:val="0"/>
          <w:sz w:val="24"/>
        </w:rPr>
        <w:t>，</w:t>
      </w:r>
      <w:r w:rsidRPr="00E3062C">
        <w:rPr>
          <w:sz w:val="24"/>
        </w:rPr>
        <w:t>修订后的基金合同、</w:t>
      </w:r>
      <w:r w:rsidRPr="00E3062C">
        <w:rPr>
          <w:rFonts w:eastAsiaTheme="minorEastAsia" w:hint="eastAsia"/>
          <w:sz w:val="24"/>
        </w:rPr>
        <w:t>托管协议（如有）、</w:t>
      </w:r>
      <w:r w:rsidRPr="00E3062C">
        <w:rPr>
          <w:sz w:val="24"/>
        </w:rPr>
        <w:t>招募说明书（更新）和基金产品资料概要（更新）将在</w:t>
      </w:r>
      <w:r w:rsidRPr="00E3062C">
        <w:rPr>
          <w:rFonts w:hint="eastAsia"/>
          <w:sz w:val="24"/>
        </w:rPr>
        <w:t>基金管理人</w:t>
      </w:r>
      <w:r w:rsidRPr="00E3062C">
        <w:rPr>
          <w:sz w:val="24"/>
        </w:rPr>
        <w:t>网站（</w:t>
      </w:r>
      <w:r w:rsidRPr="00E3062C">
        <w:rPr>
          <w:sz w:val="24"/>
        </w:rPr>
        <w:t>www.furamc.com.cn</w:t>
      </w:r>
      <w:r w:rsidRPr="00E3062C">
        <w:rPr>
          <w:sz w:val="24"/>
        </w:rPr>
        <w:t>）和中国证监会基金电子披露网站（</w:t>
      </w:r>
      <w:r w:rsidRPr="00E3062C">
        <w:rPr>
          <w:sz w:val="24"/>
        </w:rPr>
        <w:t>http://eid.csrc.gov.cn/fund</w:t>
      </w:r>
      <w:r w:rsidRPr="00E3062C">
        <w:rPr>
          <w:sz w:val="24"/>
        </w:rPr>
        <w:t>）发布。投资者办理基金交易等相关业务前，应仔细阅读各基金的基金合同、招募说明书、基金产品资料概要、风险提示及相关业务规则和操作指南等文件。</w:t>
      </w:r>
    </w:p>
    <w:p w14:paraId="3E36E93C" w14:textId="77777777" w:rsidR="006933FF" w:rsidRPr="00E3062C" w:rsidRDefault="006933FF">
      <w:pPr>
        <w:pStyle w:val="af7"/>
        <w:spacing w:line="360" w:lineRule="auto"/>
        <w:ind w:firstLine="480"/>
        <w:rPr>
          <w:sz w:val="24"/>
        </w:rPr>
      </w:pPr>
    </w:p>
    <w:p w14:paraId="5B9E85ED" w14:textId="6291C2E4" w:rsidR="006933FF" w:rsidRPr="00E3062C" w:rsidRDefault="00E93C6C">
      <w:pPr>
        <w:autoSpaceDE w:val="0"/>
        <w:autoSpaceDN w:val="0"/>
        <w:adjustRightInd w:val="0"/>
        <w:spacing w:line="360" w:lineRule="auto"/>
        <w:ind w:firstLineChars="200" w:firstLine="482"/>
        <w:rPr>
          <w:b/>
          <w:sz w:val="24"/>
        </w:rPr>
      </w:pPr>
      <w:r w:rsidRPr="00E3062C">
        <w:rPr>
          <w:b/>
          <w:sz w:val="24"/>
        </w:rPr>
        <w:lastRenderedPageBreak/>
        <w:t>三、上述基金修订后的基金合同</w:t>
      </w:r>
      <w:r w:rsidRPr="00E3062C">
        <w:rPr>
          <w:rFonts w:hint="eastAsia"/>
          <w:b/>
          <w:sz w:val="24"/>
        </w:rPr>
        <w:t>、托管协议（如有）</w:t>
      </w:r>
      <w:r w:rsidRPr="00E3062C">
        <w:rPr>
          <w:b/>
          <w:sz w:val="24"/>
        </w:rPr>
        <w:t>自</w:t>
      </w:r>
      <w:r w:rsidRPr="00E3062C">
        <w:rPr>
          <w:b/>
          <w:sz w:val="24"/>
        </w:rPr>
        <w:t>202</w:t>
      </w:r>
      <w:r w:rsidRPr="00E3062C">
        <w:rPr>
          <w:rFonts w:hint="eastAsia"/>
          <w:b/>
          <w:sz w:val="24"/>
        </w:rPr>
        <w:t>6</w:t>
      </w:r>
      <w:r w:rsidRPr="00E3062C">
        <w:rPr>
          <w:b/>
          <w:sz w:val="24"/>
        </w:rPr>
        <w:t>年</w:t>
      </w:r>
      <w:r w:rsidRPr="00E3062C">
        <w:rPr>
          <w:rFonts w:hint="eastAsia"/>
          <w:b/>
          <w:sz w:val="24"/>
        </w:rPr>
        <w:t>9</w:t>
      </w:r>
      <w:r w:rsidRPr="00E3062C">
        <w:rPr>
          <w:b/>
          <w:sz w:val="24"/>
        </w:rPr>
        <w:t>月</w:t>
      </w:r>
      <w:r w:rsidRPr="00E3062C">
        <w:rPr>
          <w:rFonts w:hint="eastAsia"/>
          <w:b/>
          <w:sz w:val="24"/>
        </w:rPr>
        <w:t>2</w:t>
      </w:r>
      <w:r w:rsidR="00D35932" w:rsidRPr="00E3062C">
        <w:rPr>
          <w:rFonts w:hint="eastAsia"/>
          <w:b/>
          <w:sz w:val="24"/>
        </w:rPr>
        <w:t>1</w:t>
      </w:r>
      <w:r w:rsidRPr="00E3062C">
        <w:rPr>
          <w:b/>
          <w:sz w:val="24"/>
        </w:rPr>
        <w:t>日起生效。</w:t>
      </w:r>
    </w:p>
    <w:p w14:paraId="6B84BAD9" w14:textId="77777777" w:rsidR="006933FF" w:rsidRPr="00E3062C" w:rsidRDefault="006933FF">
      <w:pPr>
        <w:autoSpaceDE w:val="0"/>
        <w:autoSpaceDN w:val="0"/>
        <w:adjustRightInd w:val="0"/>
        <w:spacing w:line="360" w:lineRule="auto"/>
        <w:ind w:firstLineChars="200" w:firstLine="482"/>
        <w:rPr>
          <w:b/>
          <w:sz w:val="24"/>
        </w:rPr>
      </w:pPr>
    </w:p>
    <w:p w14:paraId="5E010A4C" w14:textId="77777777" w:rsidR="006933FF" w:rsidRPr="00E3062C" w:rsidRDefault="00E93C6C">
      <w:pPr>
        <w:pStyle w:val="af7"/>
        <w:spacing w:line="360" w:lineRule="auto"/>
        <w:ind w:firstLine="482"/>
        <w:rPr>
          <w:b/>
          <w:sz w:val="24"/>
        </w:rPr>
      </w:pPr>
      <w:r w:rsidRPr="00E3062C">
        <w:rPr>
          <w:b/>
          <w:sz w:val="24"/>
        </w:rPr>
        <w:t>四、其他事项</w:t>
      </w:r>
    </w:p>
    <w:p w14:paraId="68F4DC00" w14:textId="77777777" w:rsidR="006933FF" w:rsidRPr="00E3062C" w:rsidRDefault="00E93C6C">
      <w:pPr>
        <w:pStyle w:val="af7"/>
        <w:spacing w:line="360" w:lineRule="auto"/>
        <w:ind w:rightChars="40" w:right="84" w:firstLine="480"/>
        <w:rPr>
          <w:sz w:val="24"/>
        </w:rPr>
      </w:pPr>
      <w:r w:rsidRPr="00E3062C">
        <w:rPr>
          <w:rFonts w:hint="eastAsia"/>
          <w:sz w:val="24"/>
        </w:rPr>
        <w:t>（一）</w:t>
      </w:r>
      <w:r w:rsidRPr="00E3062C">
        <w:rPr>
          <w:sz w:val="24"/>
        </w:rPr>
        <w:t>投资者可通过以下途径咨询有关详情</w:t>
      </w:r>
    </w:p>
    <w:p w14:paraId="14A8D667" w14:textId="0CEE89AF" w:rsidR="006933FF" w:rsidRPr="00E3062C" w:rsidRDefault="00E93C6C">
      <w:pPr>
        <w:pStyle w:val="af7"/>
        <w:spacing w:line="360" w:lineRule="auto"/>
        <w:ind w:rightChars="40" w:right="84" w:firstLine="480"/>
        <w:rPr>
          <w:sz w:val="24"/>
        </w:rPr>
      </w:pPr>
      <w:r w:rsidRPr="00E3062C">
        <w:rPr>
          <w:sz w:val="24"/>
        </w:rPr>
        <w:t>客户服务电话：</w:t>
      </w:r>
      <w:r w:rsidRPr="00E3062C">
        <w:rPr>
          <w:sz w:val="24"/>
        </w:rPr>
        <w:t>4006855600</w:t>
      </w:r>
    </w:p>
    <w:p w14:paraId="2C35DE33" w14:textId="3624C4C8" w:rsidR="006933FF" w:rsidRPr="00E3062C" w:rsidRDefault="00E93C6C">
      <w:pPr>
        <w:pStyle w:val="af7"/>
        <w:spacing w:line="360" w:lineRule="auto"/>
        <w:ind w:rightChars="40" w:right="84" w:firstLine="480"/>
        <w:rPr>
          <w:sz w:val="24"/>
        </w:rPr>
      </w:pPr>
      <w:r w:rsidRPr="00E3062C">
        <w:rPr>
          <w:sz w:val="24"/>
        </w:rPr>
        <w:t>网址：</w:t>
      </w:r>
      <w:r w:rsidRPr="00E3062C">
        <w:rPr>
          <w:sz w:val="24"/>
        </w:rPr>
        <w:t xml:space="preserve">www.furamc.com.cn </w:t>
      </w:r>
    </w:p>
    <w:p w14:paraId="299A0785" w14:textId="77777777" w:rsidR="006933FF" w:rsidRPr="00E3062C" w:rsidRDefault="00E93C6C">
      <w:pPr>
        <w:pStyle w:val="af7"/>
        <w:spacing w:line="360" w:lineRule="auto"/>
        <w:ind w:rightChars="40" w:right="84" w:firstLine="480"/>
        <w:rPr>
          <w:sz w:val="24"/>
        </w:rPr>
      </w:pPr>
      <w:r w:rsidRPr="00E3062C">
        <w:rPr>
          <w:rFonts w:hint="eastAsia"/>
          <w:sz w:val="24"/>
        </w:rPr>
        <w:t>（二）</w:t>
      </w:r>
      <w:r w:rsidRPr="00E3062C">
        <w:rPr>
          <w:sz w:val="24"/>
        </w:rPr>
        <w:t>基金管理人承诺以诚实信用、勤勉尽责的原则管理和运用基金资产，但不保证基金一定盈利，也不保证最低收益。销售机构根据法规要求对投资者类别、风险承受能力和基金的风险等级进行划分，并提出适当性匹配意见。投资者在投资基金前应认真阅读基金合同、招募说明书（更新）和基金产品资料概要（更新）等基金法律文件，全面认识基金产品的风险收益特征，在了解产品情况及销售机构适当性意见的基础上，根据自身的风险承受能力、投资期限和投资目标，对基金投资作出独立决策，选择合适的基金产品。基金管理人提醒投资者基金投资的</w:t>
      </w:r>
      <w:r w:rsidRPr="00E3062C">
        <w:rPr>
          <w:sz w:val="24"/>
        </w:rPr>
        <w:t>“</w:t>
      </w:r>
      <w:r w:rsidRPr="00E3062C">
        <w:rPr>
          <w:sz w:val="24"/>
        </w:rPr>
        <w:t>买者自负</w:t>
      </w:r>
      <w:r w:rsidRPr="00E3062C">
        <w:rPr>
          <w:sz w:val="24"/>
        </w:rPr>
        <w:t>”</w:t>
      </w:r>
      <w:r w:rsidRPr="00E3062C">
        <w:rPr>
          <w:sz w:val="24"/>
        </w:rPr>
        <w:t>原则，在投资者作出投资决策后，基金运营状况与基金净值变化引致的投资风险，由投资者自行负责。</w:t>
      </w:r>
    </w:p>
    <w:p w14:paraId="151F4D9D" w14:textId="77777777" w:rsidR="006933FF" w:rsidRPr="00E3062C" w:rsidRDefault="006933FF">
      <w:pPr>
        <w:pStyle w:val="af7"/>
        <w:spacing w:line="360" w:lineRule="auto"/>
        <w:ind w:rightChars="40" w:right="84"/>
      </w:pPr>
    </w:p>
    <w:p w14:paraId="6CF140C5" w14:textId="77777777" w:rsidR="006933FF" w:rsidRPr="00E3062C" w:rsidRDefault="00E93C6C">
      <w:pPr>
        <w:spacing w:line="360" w:lineRule="auto"/>
        <w:ind w:firstLineChars="175" w:firstLine="420"/>
        <w:rPr>
          <w:sz w:val="24"/>
        </w:rPr>
      </w:pPr>
      <w:r w:rsidRPr="00E3062C">
        <w:rPr>
          <w:sz w:val="24"/>
        </w:rPr>
        <w:t>特此公告。</w:t>
      </w:r>
    </w:p>
    <w:p w14:paraId="7E4EC35E" w14:textId="77777777" w:rsidR="006933FF" w:rsidRPr="00E3062C" w:rsidRDefault="006933FF">
      <w:pPr>
        <w:spacing w:line="360" w:lineRule="auto"/>
        <w:ind w:firstLineChars="175" w:firstLine="420"/>
        <w:rPr>
          <w:sz w:val="24"/>
        </w:rPr>
      </w:pPr>
    </w:p>
    <w:p w14:paraId="2EA9EC74" w14:textId="398E5ABF" w:rsidR="006933FF" w:rsidRPr="00E3062C" w:rsidRDefault="00E93C6C">
      <w:pPr>
        <w:spacing w:line="360" w:lineRule="auto"/>
        <w:ind w:firstLineChars="1450" w:firstLine="3480"/>
        <w:jc w:val="right"/>
        <w:rPr>
          <w:sz w:val="24"/>
        </w:rPr>
      </w:pPr>
      <w:r w:rsidRPr="00E3062C">
        <w:rPr>
          <w:sz w:val="24"/>
        </w:rPr>
        <w:t>富荣基金管理有限公司</w:t>
      </w:r>
    </w:p>
    <w:p w14:paraId="47E0E8FE" w14:textId="75C9ADA6" w:rsidR="006933FF" w:rsidRPr="00E3062C" w:rsidRDefault="00E93C6C">
      <w:pPr>
        <w:pStyle w:val="af7"/>
        <w:spacing w:line="360" w:lineRule="auto"/>
        <w:ind w:right="240" w:firstLineChars="1500" w:firstLine="3600"/>
        <w:jc w:val="right"/>
        <w:rPr>
          <w:sz w:val="24"/>
        </w:rPr>
      </w:pPr>
      <w:r w:rsidRPr="00E3062C">
        <w:rPr>
          <w:sz w:val="24"/>
        </w:rPr>
        <w:t>202</w:t>
      </w:r>
      <w:r w:rsidRPr="00E3062C">
        <w:rPr>
          <w:rFonts w:hint="eastAsia"/>
          <w:sz w:val="24"/>
        </w:rPr>
        <w:t>6</w:t>
      </w:r>
      <w:r w:rsidRPr="00E3062C">
        <w:rPr>
          <w:sz w:val="24"/>
        </w:rPr>
        <w:t>年</w:t>
      </w:r>
      <w:r w:rsidRPr="00E3062C">
        <w:rPr>
          <w:rFonts w:hint="eastAsia"/>
          <w:sz w:val="24"/>
        </w:rPr>
        <w:t>8</w:t>
      </w:r>
      <w:r w:rsidRPr="00E3062C">
        <w:rPr>
          <w:sz w:val="24"/>
        </w:rPr>
        <w:t>月</w:t>
      </w:r>
      <w:r w:rsidRPr="00E3062C">
        <w:rPr>
          <w:rFonts w:hint="eastAsia"/>
          <w:sz w:val="24"/>
        </w:rPr>
        <w:t>22</w:t>
      </w:r>
      <w:r w:rsidRPr="00E3062C">
        <w:rPr>
          <w:sz w:val="24"/>
        </w:rPr>
        <w:t>日</w:t>
      </w:r>
      <w:bookmarkEnd w:id="0"/>
      <w:bookmarkEnd w:id="1"/>
      <w:bookmarkEnd w:id="2"/>
      <w:bookmarkEnd w:id="3"/>
    </w:p>
    <w:p w14:paraId="4BF2DC5E" w14:textId="77777777" w:rsidR="006933FF" w:rsidRPr="00E3062C" w:rsidRDefault="00E93C6C">
      <w:pPr>
        <w:widowControl/>
        <w:jc w:val="left"/>
        <w:rPr>
          <w:sz w:val="24"/>
        </w:rPr>
      </w:pPr>
      <w:r w:rsidRPr="00E3062C">
        <w:rPr>
          <w:sz w:val="24"/>
        </w:rPr>
        <w:br w:type="page"/>
      </w:r>
    </w:p>
    <w:p w14:paraId="1A5743B9" w14:textId="3A1B835E" w:rsidR="006933FF" w:rsidRPr="00E3062C" w:rsidRDefault="00E93C6C">
      <w:pPr>
        <w:spacing w:line="360" w:lineRule="auto"/>
        <w:ind w:right="240" w:firstLine="480"/>
        <w:jc w:val="left"/>
        <w:rPr>
          <w:b/>
          <w:sz w:val="24"/>
        </w:rPr>
      </w:pPr>
      <w:r w:rsidRPr="00E3062C">
        <w:rPr>
          <w:b/>
          <w:sz w:val="24"/>
        </w:rPr>
        <w:lastRenderedPageBreak/>
        <w:t>附：业绩比较基准调整原因及合理性说明</w:t>
      </w:r>
    </w:p>
    <w:p w14:paraId="3522F19A" w14:textId="77777777" w:rsidR="006933FF" w:rsidRPr="00E3062C" w:rsidRDefault="00E93C6C" w:rsidP="00E3062C">
      <w:pPr>
        <w:pStyle w:val="af7"/>
        <w:numPr>
          <w:ilvl w:val="0"/>
          <w:numId w:val="1"/>
        </w:numPr>
        <w:spacing w:line="360" w:lineRule="auto"/>
        <w:ind w:left="839" w:right="238" w:firstLineChars="0" w:hanging="357"/>
        <w:jc w:val="left"/>
        <w:outlineLvl w:val="0"/>
        <w:rPr>
          <w:sz w:val="24"/>
        </w:rPr>
      </w:pPr>
      <w:r w:rsidRPr="00E3062C">
        <w:rPr>
          <w:rFonts w:hint="eastAsia"/>
          <w:sz w:val="24"/>
        </w:rPr>
        <w:t>富荣研究优选混合型证券投资基金</w:t>
      </w:r>
    </w:p>
    <w:p w14:paraId="32277986" w14:textId="77777777" w:rsidR="006933FF" w:rsidRPr="00E3062C" w:rsidRDefault="00E93C6C" w:rsidP="00E3062C">
      <w:pPr>
        <w:spacing w:line="360" w:lineRule="auto"/>
        <w:ind w:firstLineChars="200" w:firstLine="480"/>
        <w:rPr>
          <w:sz w:val="24"/>
        </w:rPr>
      </w:pPr>
      <w:r w:rsidRPr="00E3062C">
        <w:rPr>
          <w:rFonts w:hint="eastAsia"/>
          <w:sz w:val="24"/>
        </w:rPr>
        <w:t>（</w:t>
      </w:r>
      <w:r w:rsidRPr="00E3062C">
        <w:rPr>
          <w:rFonts w:hint="eastAsia"/>
          <w:sz w:val="24"/>
        </w:rPr>
        <w:t>1</w:t>
      </w:r>
      <w:r w:rsidRPr="00E3062C">
        <w:rPr>
          <w:rFonts w:hint="eastAsia"/>
          <w:sz w:val="24"/>
        </w:rPr>
        <w:t>）当前业绩比较基准：中证</w:t>
      </w:r>
      <w:r w:rsidRPr="00E3062C">
        <w:rPr>
          <w:sz w:val="24"/>
        </w:rPr>
        <w:t>2000</w:t>
      </w:r>
      <w:r w:rsidRPr="00E3062C">
        <w:rPr>
          <w:rFonts w:hint="eastAsia"/>
          <w:sz w:val="24"/>
        </w:rPr>
        <w:t>指数收益率</w:t>
      </w:r>
      <w:r w:rsidRPr="00E3062C">
        <w:rPr>
          <w:sz w:val="24"/>
        </w:rPr>
        <w:t>*85%+</w:t>
      </w:r>
      <w:r w:rsidRPr="00E3062C">
        <w:rPr>
          <w:rFonts w:hint="eastAsia"/>
          <w:sz w:val="24"/>
        </w:rPr>
        <w:t>银行活期存款利率</w:t>
      </w:r>
      <w:r w:rsidRPr="00E3062C">
        <w:rPr>
          <w:sz w:val="24"/>
        </w:rPr>
        <w:t>(</w:t>
      </w:r>
      <w:r w:rsidRPr="00E3062C">
        <w:rPr>
          <w:rFonts w:hint="eastAsia"/>
          <w:sz w:val="24"/>
        </w:rPr>
        <w:t>税后</w:t>
      </w:r>
      <w:r w:rsidRPr="00E3062C">
        <w:rPr>
          <w:sz w:val="24"/>
        </w:rPr>
        <w:t>)*15%</w:t>
      </w:r>
    </w:p>
    <w:p w14:paraId="2F6DCB05" w14:textId="77777777" w:rsidR="006933FF" w:rsidRPr="00E3062C" w:rsidRDefault="00E93C6C" w:rsidP="00E3062C">
      <w:pPr>
        <w:spacing w:line="360" w:lineRule="auto"/>
        <w:ind w:firstLineChars="200" w:firstLine="480"/>
        <w:jc w:val="left"/>
        <w:rPr>
          <w:rFonts w:ascii="宋体" w:hAnsi="宋体" w:cs="仿宋" w:hint="eastAsia"/>
          <w:sz w:val="24"/>
          <w:szCs w:val="22"/>
        </w:rPr>
      </w:pPr>
      <w:r w:rsidRPr="00E3062C">
        <w:rPr>
          <w:rFonts w:ascii="宋体" w:hAnsi="宋体" w:cs="仿宋" w:hint="eastAsia"/>
          <w:sz w:val="24"/>
          <w:szCs w:val="22"/>
        </w:rPr>
        <w:t>调整后的新业绩比较基准：国证1000指数收益率*85%+中债-综合全价(1-3年)指数收益率*15%</w:t>
      </w:r>
    </w:p>
    <w:p w14:paraId="22124148" w14:textId="77777777" w:rsidR="006933FF" w:rsidRPr="00E3062C" w:rsidRDefault="00E93C6C" w:rsidP="00E3062C">
      <w:pPr>
        <w:spacing w:line="360" w:lineRule="auto"/>
        <w:ind w:firstLineChars="200" w:firstLine="480"/>
        <w:rPr>
          <w:sz w:val="24"/>
        </w:rPr>
      </w:pPr>
      <w:r w:rsidRPr="00E3062C">
        <w:rPr>
          <w:rFonts w:hint="eastAsia"/>
          <w:sz w:val="24"/>
        </w:rPr>
        <w:t>（</w:t>
      </w:r>
      <w:r w:rsidRPr="00E3062C">
        <w:rPr>
          <w:rFonts w:hint="eastAsia"/>
          <w:sz w:val="24"/>
        </w:rPr>
        <w:t>2</w:t>
      </w:r>
      <w:r w:rsidRPr="00E3062C">
        <w:rPr>
          <w:rFonts w:hint="eastAsia"/>
          <w:sz w:val="24"/>
        </w:rPr>
        <w:t>）新的业绩比较基准选择原因及合理性：</w:t>
      </w:r>
    </w:p>
    <w:p w14:paraId="315F1F0E" w14:textId="77777777" w:rsidR="006933FF" w:rsidRPr="00E3062C" w:rsidRDefault="00E93C6C" w:rsidP="00E3062C">
      <w:pPr>
        <w:spacing w:line="360" w:lineRule="auto"/>
        <w:ind w:firstLineChars="200" w:firstLine="480"/>
        <w:jc w:val="left"/>
        <w:rPr>
          <w:rFonts w:ascii="宋体" w:hAnsi="宋体" w:cs="仿宋" w:hint="eastAsia"/>
          <w:sz w:val="24"/>
        </w:rPr>
      </w:pPr>
      <w:r w:rsidRPr="00E3062C">
        <w:rPr>
          <w:rFonts w:ascii="宋体" w:hAnsi="宋体" w:cs="仿宋" w:hint="eastAsia"/>
          <w:sz w:val="24"/>
          <w:szCs w:val="22"/>
        </w:rPr>
        <w:t>原业绩比较基准中的股票指数为</w:t>
      </w:r>
      <w:r w:rsidRPr="00E3062C">
        <w:rPr>
          <w:rFonts w:ascii="宋体" w:hAnsi="宋体" w:cs="仿宋" w:hint="eastAsia"/>
          <w:sz w:val="24"/>
        </w:rPr>
        <w:t>中证2000指数（指数代码932000），选取市值规模较小且流动性较好的 2000 只证券作为指数样本。调整后的新业绩比较基准中，国证1000指数（指数代码399311），由沪深北交易所中市值大、流动性好的1000只证券构成，反映市场大中盘证券的价格变动趋势。调整后的国证1000 指数与基金实际持股风格更为匹配，从而能够更好反映本基金的产品定位和投资风格，更适合作为本基金股票部分的业绩比较基准要素。</w:t>
      </w:r>
    </w:p>
    <w:p w14:paraId="293722E5" w14:textId="77777777" w:rsidR="006933FF" w:rsidRPr="00E3062C" w:rsidRDefault="00E93C6C" w:rsidP="00E3062C">
      <w:pPr>
        <w:spacing w:line="360" w:lineRule="auto"/>
        <w:ind w:firstLineChars="200" w:firstLine="480"/>
        <w:jc w:val="left"/>
        <w:rPr>
          <w:rFonts w:ascii="宋体" w:hAnsi="宋体" w:cs="仿宋" w:hint="eastAsia"/>
          <w:sz w:val="24"/>
          <w:szCs w:val="22"/>
        </w:rPr>
      </w:pPr>
      <w:r w:rsidRPr="00E3062C">
        <w:rPr>
          <w:rFonts w:ascii="宋体" w:hAnsi="宋体" w:cs="仿宋" w:hint="eastAsia"/>
          <w:sz w:val="24"/>
          <w:szCs w:val="22"/>
        </w:rPr>
        <w:t>本基金的债券资产采用全市场策略，主要通过类属配置与券种选择进行投资管理，过往组合久期整体偏向于中短久期。调整后的新业绩比较基准中，中债-综合全价（1-3 年）指数（指数代码 CBA00223）由在境内公开发行且上市流通的国债、政策性银行债券、商业银行债券、中期票据、短期融资券、企业债、公司债等成份券组成，成份券待偿期在 1-3 年（含 1 年），反映境内人民币中短久期债券市场整体表现，更适合作为本基金债券部分的业绩比较基准要素。</w:t>
      </w:r>
    </w:p>
    <w:p w14:paraId="4342779E" w14:textId="77777777" w:rsidR="006933FF" w:rsidRPr="00E3062C" w:rsidRDefault="00E93C6C" w:rsidP="00E3062C">
      <w:pPr>
        <w:spacing w:line="360" w:lineRule="auto"/>
        <w:ind w:firstLineChars="200" w:firstLine="480"/>
        <w:jc w:val="left"/>
        <w:rPr>
          <w:rFonts w:ascii="宋体" w:hAnsi="宋体" w:cs="仿宋" w:hint="eastAsia"/>
          <w:sz w:val="24"/>
          <w:szCs w:val="22"/>
        </w:rPr>
      </w:pPr>
      <w:r w:rsidRPr="00E3062C">
        <w:rPr>
          <w:rFonts w:ascii="宋体" w:hAnsi="宋体" w:cs="仿宋" w:hint="eastAsia"/>
          <w:sz w:val="24"/>
          <w:szCs w:val="22"/>
        </w:rPr>
        <w:t>因此调整后的业绩比较基准能够更好匹配本基金的产品定位和投资风格，提高基金业绩表现与业绩比较基准的可比性。</w:t>
      </w:r>
    </w:p>
    <w:p w14:paraId="60CC4E7A" w14:textId="77777777" w:rsidR="006933FF" w:rsidRPr="00E3062C" w:rsidRDefault="006933FF" w:rsidP="00E3062C">
      <w:pPr>
        <w:spacing w:line="360" w:lineRule="auto"/>
        <w:ind w:firstLineChars="200" w:firstLine="480"/>
        <w:rPr>
          <w:sz w:val="24"/>
        </w:rPr>
      </w:pPr>
    </w:p>
    <w:p w14:paraId="489CA78A" w14:textId="77777777" w:rsidR="006933FF" w:rsidRPr="00E3062C" w:rsidRDefault="00E93C6C" w:rsidP="00E3062C">
      <w:pPr>
        <w:pStyle w:val="af7"/>
        <w:numPr>
          <w:ilvl w:val="0"/>
          <w:numId w:val="1"/>
        </w:numPr>
        <w:spacing w:line="360" w:lineRule="auto"/>
        <w:ind w:left="839" w:right="238" w:firstLineChars="0" w:hanging="357"/>
        <w:jc w:val="left"/>
        <w:outlineLvl w:val="0"/>
        <w:rPr>
          <w:sz w:val="24"/>
          <w:szCs w:val="32"/>
        </w:rPr>
      </w:pPr>
      <w:r w:rsidRPr="00E3062C">
        <w:rPr>
          <w:rFonts w:hint="eastAsia"/>
          <w:sz w:val="24"/>
        </w:rPr>
        <w:t>富荣信息技术混合型证券投资基金</w:t>
      </w:r>
    </w:p>
    <w:p w14:paraId="0D23B125" w14:textId="77777777" w:rsidR="006933FF" w:rsidRPr="00E3062C" w:rsidRDefault="00E93C6C" w:rsidP="00E3062C">
      <w:pPr>
        <w:spacing w:line="360" w:lineRule="auto"/>
        <w:ind w:firstLineChars="200" w:firstLine="480"/>
        <w:rPr>
          <w:sz w:val="24"/>
        </w:rPr>
      </w:pPr>
      <w:r w:rsidRPr="00E3062C">
        <w:rPr>
          <w:rFonts w:hint="eastAsia"/>
          <w:sz w:val="24"/>
        </w:rPr>
        <w:t>（</w:t>
      </w:r>
      <w:r w:rsidRPr="00E3062C">
        <w:rPr>
          <w:rFonts w:hint="eastAsia"/>
          <w:sz w:val="24"/>
        </w:rPr>
        <w:t>1</w:t>
      </w:r>
      <w:r w:rsidRPr="00E3062C">
        <w:rPr>
          <w:rFonts w:hint="eastAsia"/>
          <w:sz w:val="24"/>
        </w:rPr>
        <w:t>）当前业绩比较基准：中证全指信息技术指数收益率</w:t>
      </w:r>
      <w:r w:rsidRPr="00E3062C">
        <w:rPr>
          <w:sz w:val="24"/>
        </w:rPr>
        <w:t>*70%+</w:t>
      </w:r>
      <w:r w:rsidRPr="00E3062C">
        <w:rPr>
          <w:rFonts w:hint="eastAsia"/>
          <w:sz w:val="24"/>
        </w:rPr>
        <w:t>中债综合指数收益率</w:t>
      </w:r>
      <w:r w:rsidRPr="00E3062C">
        <w:rPr>
          <w:sz w:val="24"/>
        </w:rPr>
        <w:t>*30%</w:t>
      </w:r>
    </w:p>
    <w:p w14:paraId="2D4F9908" w14:textId="764163B3" w:rsidR="006933FF" w:rsidRPr="00E3062C" w:rsidRDefault="00E93C6C" w:rsidP="00E3062C">
      <w:pPr>
        <w:spacing w:line="360" w:lineRule="auto"/>
        <w:ind w:firstLineChars="200" w:firstLine="480"/>
        <w:rPr>
          <w:sz w:val="24"/>
        </w:rPr>
      </w:pPr>
      <w:r w:rsidRPr="00E3062C">
        <w:rPr>
          <w:rFonts w:hint="eastAsia"/>
          <w:sz w:val="24"/>
        </w:rPr>
        <w:t>调整后的新业绩比较基准：中证全指信息技术指数收益率</w:t>
      </w:r>
      <w:r w:rsidRPr="00E3062C">
        <w:rPr>
          <w:rFonts w:hint="eastAsia"/>
          <w:sz w:val="24"/>
        </w:rPr>
        <w:t>*8</w:t>
      </w:r>
      <w:r w:rsidR="00D23C20" w:rsidRPr="00E3062C">
        <w:rPr>
          <w:rFonts w:hint="eastAsia"/>
          <w:sz w:val="24"/>
        </w:rPr>
        <w:t>8</w:t>
      </w:r>
      <w:r w:rsidRPr="00E3062C">
        <w:rPr>
          <w:rFonts w:hint="eastAsia"/>
          <w:sz w:val="24"/>
        </w:rPr>
        <w:t>%+</w:t>
      </w:r>
      <w:r w:rsidRPr="00E3062C">
        <w:rPr>
          <w:rFonts w:hint="eastAsia"/>
          <w:sz w:val="24"/>
        </w:rPr>
        <w:t>中债</w:t>
      </w:r>
      <w:r w:rsidRPr="00E3062C">
        <w:rPr>
          <w:rFonts w:hint="eastAsia"/>
          <w:sz w:val="24"/>
        </w:rPr>
        <w:t>-</w:t>
      </w:r>
      <w:r w:rsidRPr="00E3062C">
        <w:rPr>
          <w:rFonts w:hint="eastAsia"/>
          <w:sz w:val="24"/>
        </w:rPr>
        <w:t>综合全价</w:t>
      </w:r>
      <w:r w:rsidRPr="00E3062C">
        <w:rPr>
          <w:rFonts w:hint="eastAsia"/>
          <w:sz w:val="24"/>
        </w:rPr>
        <w:t>(1-3</w:t>
      </w:r>
      <w:r w:rsidRPr="00E3062C">
        <w:rPr>
          <w:rFonts w:hint="eastAsia"/>
          <w:sz w:val="24"/>
        </w:rPr>
        <w:t>年</w:t>
      </w:r>
      <w:r w:rsidRPr="00E3062C">
        <w:rPr>
          <w:rFonts w:hint="eastAsia"/>
          <w:sz w:val="24"/>
        </w:rPr>
        <w:t>)</w:t>
      </w:r>
      <w:r w:rsidRPr="00E3062C">
        <w:rPr>
          <w:rFonts w:hint="eastAsia"/>
          <w:sz w:val="24"/>
        </w:rPr>
        <w:t>指数收益率</w:t>
      </w:r>
      <w:r w:rsidRPr="00E3062C">
        <w:rPr>
          <w:rFonts w:hint="eastAsia"/>
          <w:sz w:val="24"/>
        </w:rPr>
        <w:t>*1</w:t>
      </w:r>
      <w:r w:rsidR="00D23C20" w:rsidRPr="00E3062C">
        <w:rPr>
          <w:rFonts w:hint="eastAsia"/>
          <w:sz w:val="24"/>
        </w:rPr>
        <w:t>2</w:t>
      </w:r>
      <w:r w:rsidRPr="00E3062C">
        <w:rPr>
          <w:rFonts w:hint="eastAsia"/>
          <w:sz w:val="24"/>
        </w:rPr>
        <w:t>%</w:t>
      </w:r>
    </w:p>
    <w:p w14:paraId="61AE9169" w14:textId="77777777" w:rsidR="006933FF" w:rsidRPr="00E3062C" w:rsidRDefault="00E93C6C" w:rsidP="00E3062C">
      <w:pPr>
        <w:spacing w:line="360" w:lineRule="auto"/>
        <w:ind w:firstLineChars="200" w:firstLine="480"/>
        <w:rPr>
          <w:sz w:val="24"/>
        </w:rPr>
      </w:pPr>
      <w:r w:rsidRPr="00E3062C">
        <w:rPr>
          <w:rFonts w:hint="eastAsia"/>
          <w:sz w:val="24"/>
        </w:rPr>
        <w:t>（</w:t>
      </w:r>
      <w:r w:rsidRPr="00E3062C">
        <w:rPr>
          <w:rFonts w:hint="eastAsia"/>
          <w:sz w:val="24"/>
        </w:rPr>
        <w:t>2</w:t>
      </w:r>
      <w:r w:rsidRPr="00E3062C">
        <w:rPr>
          <w:rFonts w:hint="eastAsia"/>
          <w:sz w:val="24"/>
        </w:rPr>
        <w:t>）新的业绩比较基准选择原因及合理性：</w:t>
      </w:r>
    </w:p>
    <w:p w14:paraId="010D4A41" w14:textId="77777777" w:rsidR="006933FF" w:rsidRPr="00E3062C" w:rsidRDefault="00E93C6C" w:rsidP="00E3062C">
      <w:pPr>
        <w:spacing w:line="360" w:lineRule="auto"/>
        <w:ind w:firstLineChars="200" w:firstLine="480"/>
        <w:rPr>
          <w:sz w:val="24"/>
        </w:rPr>
      </w:pPr>
      <w:r w:rsidRPr="00E3062C">
        <w:rPr>
          <w:rFonts w:hint="eastAsia"/>
          <w:sz w:val="24"/>
        </w:rPr>
        <w:lastRenderedPageBreak/>
        <w:t>本基金的债券资产采用全市场策略，主要通过类属配置与券种选择进行投资管理，过往组合久期整体偏向于中短久期。中债综合指数（指数代码</w:t>
      </w:r>
      <w:r w:rsidRPr="00E3062C">
        <w:rPr>
          <w:rFonts w:hint="eastAsia"/>
          <w:sz w:val="24"/>
        </w:rPr>
        <w:t xml:space="preserve"> CBA00203</w:t>
      </w:r>
      <w:r w:rsidRPr="00E3062C">
        <w:rPr>
          <w:rFonts w:hint="eastAsia"/>
          <w:sz w:val="24"/>
        </w:rPr>
        <w:t>）隶属于中债总指数族分类，该指数成份券包含除资产支持证券、美元债券、可转债以外剩余的所有公开发行的债券，是一个反映境内人民币债券市场价格走势情况的宽基指数。</w:t>
      </w:r>
      <w:bookmarkStart w:id="4" w:name="OLE_LINK3"/>
      <w:r w:rsidRPr="00E3062C">
        <w:rPr>
          <w:rFonts w:hint="eastAsia"/>
          <w:sz w:val="24"/>
        </w:rPr>
        <w:t>调整后的新业绩比较基准中，中债</w:t>
      </w:r>
      <w:r w:rsidRPr="00E3062C">
        <w:rPr>
          <w:rFonts w:hint="eastAsia"/>
          <w:sz w:val="24"/>
        </w:rPr>
        <w:t>-</w:t>
      </w:r>
      <w:r w:rsidRPr="00E3062C">
        <w:rPr>
          <w:rFonts w:hint="eastAsia"/>
          <w:sz w:val="24"/>
        </w:rPr>
        <w:t>综合全价（</w:t>
      </w:r>
      <w:r w:rsidRPr="00E3062C">
        <w:rPr>
          <w:rFonts w:hint="eastAsia"/>
          <w:sz w:val="24"/>
        </w:rPr>
        <w:t xml:space="preserve">1-3 </w:t>
      </w:r>
      <w:r w:rsidRPr="00E3062C">
        <w:rPr>
          <w:rFonts w:hint="eastAsia"/>
          <w:sz w:val="24"/>
        </w:rPr>
        <w:t>年）指数（指数代码</w:t>
      </w:r>
      <w:r w:rsidRPr="00E3062C">
        <w:rPr>
          <w:rFonts w:hint="eastAsia"/>
          <w:sz w:val="24"/>
        </w:rPr>
        <w:t xml:space="preserve"> CBA00223</w:t>
      </w:r>
      <w:r w:rsidRPr="00E3062C">
        <w:rPr>
          <w:rFonts w:hint="eastAsia"/>
          <w:sz w:val="24"/>
        </w:rPr>
        <w:t>）由在境内公开发行且上市流通的国债、政策性银行债券、商业银行债券、中期票据、短期融资券、企业债、公司债等成份券组成，成份券待偿期在</w:t>
      </w:r>
      <w:r w:rsidRPr="00E3062C">
        <w:rPr>
          <w:rFonts w:hint="eastAsia"/>
          <w:sz w:val="24"/>
        </w:rPr>
        <w:t xml:space="preserve"> 1-3 </w:t>
      </w:r>
      <w:r w:rsidRPr="00E3062C">
        <w:rPr>
          <w:rFonts w:hint="eastAsia"/>
          <w:sz w:val="24"/>
        </w:rPr>
        <w:t>年（含</w:t>
      </w:r>
      <w:r w:rsidRPr="00E3062C">
        <w:rPr>
          <w:rFonts w:hint="eastAsia"/>
          <w:sz w:val="24"/>
        </w:rPr>
        <w:t xml:space="preserve"> 1 </w:t>
      </w:r>
      <w:r w:rsidRPr="00E3062C">
        <w:rPr>
          <w:rFonts w:hint="eastAsia"/>
          <w:sz w:val="24"/>
        </w:rPr>
        <w:t>年），反映境内人民币中短久期债券市场整体表现，更适合作为本基金债券部分的业绩比较基准要素。</w:t>
      </w:r>
    </w:p>
    <w:bookmarkEnd w:id="4"/>
    <w:p w14:paraId="75E662AC" w14:textId="7F46B5C5" w:rsidR="006933FF" w:rsidRPr="00E3062C" w:rsidRDefault="00E93C6C" w:rsidP="00E3062C">
      <w:pPr>
        <w:spacing w:line="360" w:lineRule="auto"/>
        <w:ind w:firstLineChars="200" w:firstLine="480"/>
        <w:rPr>
          <w:sz w:val="24"/>
        </w:rPr>
      </w:pPr>
      <w:r w:rsidRPr="00E3062C">
        <w:rPr>
          <w:rFonts w:hint="eastAsia"/>
          <w:sz w:val="24"/>
        </w:rPr>
        <w:t>同时基于基金过往仓位情况、投资比例限制以及预期的资产配置比例中枢，调整业绩比较基准中股票部分权重至</w:t>
      </w:r>
      <w:r w:rsidRPr="00E3062C">
        <w:rPr>
          <w:rFonts w:hint="eastAsia"/>
          <w:sz w:val="24"/>
        </w:rPr>
        <w:t xml:space="preserve"> 8</w:t>
      </w:r>
      <w:r w:rsidR="00D23C20" w:rsidRPr="00E3062C">
        <w:rPr>
          <w:rFonts w:hint="eastAsia"/>
          <w:sz w:val="24"/>
        </w:rPr>
        <w:t>8</w:t>
      </w:r>
      <w:r w:rsidRPr="00E3062C">
        <w:rPr>
          <w:rFonts w:hint="eastAsia"/>
          <w:sz w:val="24"/>
        </w:rPr>
        <w:t>%</w:t>
      </w:r>
      <w:r w:rsidRPr="00E3062C">
        <w:rPr>
          <w:rFonts w:hint="eastAsia"/>
          <w:sz w:val="24"/>
        </w:rPr>
        <w:t>，降低债券部分要素权重至</w:t>
      </w:r>
      <w:r w:rsidRPr="00E3062C">
        <w:rPr>
          <w:rFonts w:hint="eastAsia"/>
          <w:sz w:val="24"/>
        </w:rPr>
        <w:t xml:space="preserve"> 1</w:t>
      </w:r>
      <w:r w:rsidR="00D23C20" w:rsidRPr="00E3062C">
        <w:rPr>
          <w:rFonts w:hint="eastAsia"/>
          <w:sz w:val="24"/>
        </w:rPr>
        <w:t>2</w:t>
      </w:r>
      <w:r w:rsidRPr="00E3062C">
        <w:rPr>
          <w:rFonts w:hint="eastAsia"/>
          <w:sz w:val="24"/>
        </w:rPr>
        <w:t>%</w:t>
      </w:r>
      <w:r w:rsidRPr="00E3062C">
        <w:rPr>
          <w:rFonts w:hint="eastAsia"/>
          <w:sz w:val="24"/>
        </w:rPr>
        <w:t>。</w:t>
      </w:r>
    </w:p>
    <w:p w14:paraId="22645021" w14:textId="77777777" w:rsidR="006933FF" w:rsidRPr="00E3062C" w:rsidRDefault="00E93C6C" w:rsidP="00E3062C">
      <w:pPr>
        <w:spacing w:line="360" w:lineRule="auto"/>
        <w:ind w:firstLineChars="200" w:firstLine="480"/>
        <w:rPr>
          <w:sz w:val="24"/>
        </w:rPr>
      </w:pPr>
      <w:r w:rsidRPr="00E3062C">
        <w:rPr>
          <w:rFonts w:hint="eastAsia"/>
          <w:sz w:val="24"/>
        </w:rPr>
        <w:t>因此调整后的业绩比较基准能够更好匹配本基金的产品定位和投资风格，提高基金业绩表现与业绩比较基准的可比性。</w:t>
      </w:r>
    </w:p>
    <w:p w14:paraId="37B4204B" w14:textId="73D9031F" w:rsidR="006933FF" w:rsidRPr="00E3062C" w:rsidRDefault="006933FF" w:rsidP="00E3062C">
      <w:pPr>
        <w:spacing w:line="360" w:lineRule="auto"/>
        <w:ind w:firstLineChars="200" w:firstLine="480"/>
        <w:rPr>
          <w:sz w:val="24"/>
        </w:rPr>
      </w:pPr>
    </w:p>
    <w:p w14:paraId="044FB810" w14:textId="77777777" w:rsidR="006933FF" w:rsidRPr="00E3062C" w:rsidRDefault="00E93C6C">
      <w:pPr>
        <w:pStyle w:val="af7"/>
        <w:numPr>
          <w:ilvl w:val="0"/>
          <w:numId w:val="1"/>
        </w:numPr>
        <w:spacing w:line="360" w:lineRule="auto"/>
        <w:ind w:right="238" w:firstLineChars="0"/>
        <w:jc w:val="left"/>
        <w:outlineLvl w:val="0"/>
        <w:rPr>
          <w:sz w:val="24"/>
        </w:rPr>
      </w:pPr>
      <w:r w:rsidRPr="00E3062C">
        <w:rPr>
          <w:rFonts w:hint="eastAsia"/>
          <w:sz w:val="24"/>
        </w:rPr>
        <w:t>富荣福银混合型证券投资基金</w:t>
      </w:r>
    </w:p>
    <w:p w14:paraId="411AA804" w14:textId="77777777" w:rsidR="006933FF" w:rsidRPr="00E3062C" w:rsidRDefault="00E93C6C">
      <w:pPr>
        <w:spacing w:line="360" w:lineRule="auto"/>
        <w:ind w:firstLineChars="200" w:firstLine="480"/>
        <w:rPr>
          <w:sz w:val="24"/>
        </w:rPr>
      </w:pPr>
      <w:r w:rsidRPr="00E3062C">
        <w:rPr>
          <w:rFonts w:hint="eastAsia"/>
          <w:sz w:val="24"/>
        </w:rPr>
        <w:t>（</w:t>
      </w:r>
      <w:r w:rsidRPr="00E3062C">
        <w:rPr>
          <w:rFonts w:hint="eastAsia"/>
          <w:sz w:val="24"/>
        </w:rPr>
        <w:t>1</w:t>
      </w:r>
      <w:r w:rsidRPr="00E3062C">
        <w:rPr>
          <w:rFonts w:hint="eastAsia"/>
          <w:sz w:val="24"/>
        </w:rPr>
        <w:t>）当前业绩比较基准：沪深</w:t>
      </w:r>
      <w:r w:rsidRPr="00E3062C">
        <w:rPr>
          <w:rFonts w:hint="eastAsia"/>
          <w:sz w:val="24"/>
        </w:rPr>
        <w:t>300</w:t>
      </w:r>
      <w:r w:rsidRPr="00E3062C">
        <w:rPr>
          <w:rFonts w:hint="eastAsia"/>
          <w:sz w:val="24"/>
        </w:rPr>
        <w:t>指数收益率</w:t>
      </w:r>
      <w:r w:rsidRPr="00E3062C">
        <w:rPr>
          <w:rFonts w:hint="eastAsia"/>
          <w:sz w:val="24"/>
        </w:rPr>
        <w:t>*70%+</w:t>
      </w:r>
      <w:r w:rsidRPr="00E3062C">
        <w:rPr>
          <w:rFonts w:hint="eastAsia"/>
          <w:sz w:val="24"/>
        </w:rPr>
        <w:t>中债综合指数收益率</w:t>
      </w:r>
      <w:r w:rsidRPr="00E3062C">
        <w:rPr>
          <w:rFonts w:hint="eastAsia"/>
          <w:sz w:val="24"/>
        </w:rPr>
        <w:t>*30%</w:t>
      </w:r>
    </w:p>
    <w:p w14:paraId="36AC87A8" w14:textId="77777777" w:rsidR="006933FF" w:rsidRPr="00E3062C" w:rsidRDefault="00E93C6C">
      <w:pPr>
        <w:spacing w:line="360" w:lineRule="auto"/>
        <w:ind w:firstLineChars="200" w:firstLine="480"/>
        <w:rPr>
          <w:sz w:val="24"/>
        </w:rPr>
      </w:pPr>
      <w:r w:rsidRPr="00E3062C">
        <w:rPr>
          <w:rFonts w:hint="eastAsia"/>
          <w:sz w:val="24"/>
        </w:rPr>
        <w:t>调整后的新业绩比较基准：中证</w:t>
      </w:r>
      <w:r w:rsidRPr="00E3062C">
        <w:rPr>
          <w:rFonts w:hint="eastAsia"/>
          <w:sz w:val="24"/>
        </w:rPr>
        <w:t>800</w:t>
      </w:r>
      <w:r w:rsidRPr="00E3062C">
        <w:rPr>
          <w:rFonts w:hint="eastAsia"/>
          <w:sz w:val="24"/>
        </w:rPr>
        <w:t>指数收益率</w:t>
      </w:r>
      <w:r w:rsidRPr="00E3062C">
        <w:rPr>
          <w:rFonts w:hint="eastAsia"/>
          <w:sz w:val="24"/>
        </w:rPr>
        <w:t>*85%+</w:t>
      </w:r>
      <w:r w:rsidRPr="00E3062C">
        <w:rPr>
          <w:rFonts w:hint="eastAsia"/>
          <w:sz w:val="24"/>
        </w:rPr>
        <w:t>中债</w:t>
      </w:r>
      <w:r w:rsidRPr="00E3062C">
        <w:rPr>
          <w:rFonts w:hint="eastAsia"/>
          <w:sz w:val="24"/>
        </w:rPr>
        <w:t>-</w:t>
      </w:r>
      <w:r w:rsidRPr="00E3062C">
        <w:rPr>
          <w:rFonts w:hint="eastAsia"/>
          <w:sz w:val="24"/>
        </w:rPr>
        <w:t>综合全价</w:t>
      </w:r>
      <w:r w:rsidRPr="00E3062C">
        <w:rPr>
          <w:rFonts w:hint="eastAsia"/>
          <w:sz w:val="24"/>
        </w:rPr>
        <w:t>(1-3</w:t>
      </w:r>
      <w:r w:rsidRPr="00E3062C">
        <w:rPr>
          <w:rFonts w:hint="eastAsia"/>
          <w:sz w:val="24"/>
        </w:rPr>
        <w:t>年</w:t>
      </w:r>
      <w:r w:rsidRPr="00E3062C">
        <w:rPr>
          <w:rFonts w:hint="eastAsia"/>
          <w:sz w:val="24"/>
        </w:rPr>
        <w:t>)</w:t>
      </w:r>
      <w:r w:rsidRPr="00E3062C">
        <w:rPr>
          <w:rFonts w:hint="eastAsia"/>
          <w:sz w:val="24"/>
        </w:rPr>
        <w:t>指数收益率</w:t>
      </w:r>
      <w:r w:rsidRPr="00E3062C">
        <w:rPr>
          <w:rFonts w:hint="eastAsia"/>
          <w:sz w:val="24"/>
        </w:rPr>
        <w:t>*15%</w:t>
      </w:r>
    </w:p>
    <w:p w14:paraId="13DD0895" w14:textId="77777777" w:rsidR="006933FF" w:rsidRPr="00E3062C" w:rsidRDefault="00E93C6C">
      <w:pPr>
        <w:spacing w:line="360" w:lineRule="auto"/>
        <w:ind w:firstLineChars="200" w:firstLine="480"/>
        <w:rPr>
          <w:sz w:val="24"/>
        </w:rPr>
      </w:pPr>
      <w:r w:rsidRPr="00E3062C">
        <w:rPr>
          <w:rFonts w:hint="eastAsia"/>
          <w:sz w:val="24"/>
        </w:rPr>
        <w:t>（</w:t>
      </w:r>
      <w:r w:rsidRPr="00E3062C">
        <w:rPr>
          <w:rFonts w:hint="eastAsia"/>
          <w:sz w:val="24"/>
        </w:rPr>
        <w:t>2</w:t>
      </w:r>
      <w:r w:rsidRPr="00E3062C">
        <w:rPr>
          <w:rFonts w:hint="eastAsia"/>
          <w:sz w:val="24"/>
        </w:rPr>
        <w:t>）新的业绩比较基准选择原因及合理性：</w:t>
      </w:r>
    </w:p>
    <w:p w14:paraId="219EF9B9" w14:textId="77777777" w:rsidR="006933FF" w:rsidRPr="00E3062C" w:rsidRDefault="00E93C6C">
      <w:pPr>
        <w:spacing w:line="360" w:lineRule="auto"/>
        <w:ind w:firstLineChars="200" w:firstLine="480"/>
        <w:rPr>
          <w:sz w:val="24"/>
        </w:rPr>
      </w:pPr>
      <w:r w:rsidRPr="00E3062C">
        <w:rPr>
          <w:rFonts w:hint="eastAsia"/>
          <w:sz w:val="24"/>
        </w:rPr>
        <w:t>原业绩比较基准中，沪深</w:t>
      </w:r>
      <w:r w:rsidRPr="00E3062C">
        <w:rPr>
          <w:rFonts w:hint="eastAsia"/>
          <w:sz w:val="24"/>
        </w:rPr>
        <w:t>300</w:t>
      </w:r>
      <w:r w:rsidRPr="00E3062C">
        <w:rPr>
          <w:rFonts w:hint="eastAsia"/>
          <w:sz w:val="24"/>
        </w:rPr>
        <w:t>指数（指数代码</w:t>
      </w:r>
      <w:r w:rsidRPr="00E3062C">
        <w:rPr>
          <w:rFonts w:hint="eastAsia"/>
          <w:sz w:val="24"/>
        </w:rPr>
        <w:t>000300</w:t>
      </w:r>
      <w:r w:rsidRPr="00E3062C">
        <w:rPr>
          <w:rFonts w:hint="eastAsia"/>
          <w:sz w:val="24"/>
        </w:rPr>
        <w:t>）由沪深市场中规模大、流动性好的最具代表性的</w:t>
      </w:r>
      <w:r w:rsidRPr="00E3062C">
        <w:rPr>
          <w:rFonts w:hint="eastAsia"/>
          <w:sz w:val="24"/>
        </w:rPr>
        <w:t>300</w:t>
      </w:r>
      <w:r w:rsidRPr="00E3062C">
        <w:rPr>
          <w:rFonts w:hint="eastAsia"/>
          <w:sz w:val="24"/>
        </w:rPr>
        <w:t>只证券组成，以反映沪深市场上市公司证券的整体表现；调整后的新业绩比较基准中，中证</w:t>
      </w:r>
      <w:r w:rsidRPr="00E3062C">
        <w:rPr>
          <w:rFonts w:hint="eastAsia"/>
          <w:sz w:val="24"/>
        </w:rPr>
        <w:t>800</w:t>
      </w:r>
      <w:r w:rsidRPr="00E3062C">
        <w:rPr>
          <w:rFonts w:hint="eastAsia"/>
          <w:sz w:val="24"/>
        </w:rPr>
        <w:t>指数（指数代码</w:t>
      </w:r>
      <w:r w:rsidRPr="00E3062C">
        <w:rPr>
          <w:rFonts w:hint="eastAsia"/>
          <w:sz w:val="24"/>
        </w:rPr>
        <w:t>000906</w:t>
      </w:r>
      <w:r w:rsidRPr="00E3062C">
        <w:rPr>
          <w:rFonts w:hint="eastAsia"/>
          <w:sz w:val="24"/>
        </w:rPr>
        <w:t>）由中证</w:t>
      </w:r>
      <w:r w:rsidRPr="00E3062C">
        <w:rPr>
          <w:rFonts w:hint="eastAsia"/>
          <w:sz w:val="24"/>
        </w:rPr>
        <w:t>500</w:t>
      </w:r>
      <w:r w:rsidRPr="00E3062C">
        <w:rPr>
          <w:rFonts w:hint="eastAsia"/>
          <w:sz w:val="24"/>
        </w:rPr>
        <w:t>和沪深</w:t>
      </w:r>
      <w:r w:rsidRPr="00E3062C">
        <w:rPr>
          <w:rFonts w:hint="eastAsia"/>
          <w:sz w:val="24"/>
        </w:rPr>
        <w:t>300</w:t>
      </w:r>
      <w:r w:rsidRPr="00E3062C">
        <w:rPr>
          <w:rFonts w:hint="eastAsia"/>
          <w:sz w:val="24"/>
        </w:rPr>
        <w:t>成份股一起构成，综合反映沪深证券市场内不同市值规模公司的整体状况。调整后的中证</w:t>
      </w:r>
      <w:r w:rsidRPr="00E3062C">
        <w:rPr>
          <w:rFonts w:hint="eastAsia"/>
          <w:sz w:val="24"/>
        </w:rPr>
        <w:t>800</w:t>
      </w:r>
      <w:r w:rsidRPr="00E3062C">
        <w:rPr>
          <w:rFonts w:hint="eastAsia"/>
          <w:sz w:val="24"/>
        </w:rPr>
        <w:t>指数与基金实际持股风格更为匹配，从而能够更好反映本基金的产品定位和投资风格。</w:t>
      </w:r>
    </w:p>
    <w:p w14:paraId="6ADEED85" w14:textId="77777777" w:rsidR="006933FF" w:rsidRPr="00E3062C" w:rsidRDefault="00E93C6C">
      <w:pPr>
        <w:spacing w:line="360" w:lineRule="auto"/>
        <w:ind w:firstLineChars="200" w:firstLine="480"/>
        <w:rPr>
          <w:sz w:val="24"/>
        </w:rPr>
      </w:pPr>
      <w:r w:rsidRPr="00E3062C">
        <w:rPr>
          <w:rFonts w:hint="eastAsia"/>
          <w:sz w:val="24"/>
        </w:rPr>
        <w:t>本基金的债券资产采用全市场策略，主要通过类属配置与券种选择进行投资管理，过往组合久期整体偏向于中短久期。中债综合指数（指数代码</w:t>
      </w:r>
      <w:r w:rsidRPr="00E3062C">
        <w:rPr>
          <w:rFonts w:hint="eastAsia"/>
          <w:sz w:val="24"/>
        </w:rPr>
        <w:t xml:space="preserve"> CBA00203</w:t>
      </w:r>
      <w:r w:rsidRPr="00E3062C">
        <w:rPr>
          <w:rFonts w:hint="eastAsia"/>
          <w:sz w:val="24"/>
        </w:rPr>
        <w:t>）隶属于中债总指数族分类，该指数成份券包含除资产支持证券、美元债券、可转</w:t>
      </w:r>
      <w:r w:rsidRPr="00E3062C">
        <w:rPr>
          <w:rFonts w:hint="eastAsia"/>
          <w:sz w:val="24"/>
        </w:rPr>
        <w:lastRenderedPageBreak/>
        <w:t>债以外剩余的所有公开发行的债券，是一个反映境内人民币债券市场价格走势情况的宽基指数。调整后的新业绩比较基准中，中债</w:t>
      </w:r>
      <w:r w:rsidRPr="00E3062C">
        <w:rPr>
          <w:rFonts w:hint="eastAsia"/>
          <w:sz w:val="24"/>
        </w:rPr>
        <w:t>-</w:t>
      </w:r>
      <w:r w:rsidRPr="00E3062C">
        <w:rPr>
          <w:rFonts w:hint="eastAsia"/>
          <w:sz w:val="24"/>
        </w:rPr>
        <w:t>综合全价（</w:t>
      </w:r>
      <w:r w:rsidRPr="00E3062C">
        <w:rPr>
          <w:rFonts w:hint="eastAsia"/>
          <w:sz w:val="24"/>
        </w:rPr>
        <w:t xml:space="preserve">1-3 </w:t>
      </w:r>
      <w:r w:rsidRPr="00E3062C">
        <w:rPr>
          <w:rFonts w:hint="eastAsia"/>
          <w:sz w:val="24"/>
        </w:rPr>
        <w:t>年）指数（指数代码</w:t>
      </w:r>
      <w:r w:rsidRPr="00E3062C">
        <w:rPr>
          <w:rFonts w:hint="eastAsia"/>
          <w:sz w:val="24"/>
        </w:rPr>
        <w:t xml:space="preserve"> CBA00223</w:t>
      </w:r>
      <w:r w:rsidRPr="00E3062C">
        <w:rPr>
          <w:rFonts w:hint="eastAsia"/>
          <w:sz w:val="24"/>
        </w:rPr>
        <w:t>）由在境内公开发行且上市流通的国债、政策性银行债券、商业银行债券、中期票据、短期融资券、企业债、公司债等成份券组成，成份券待偿期在</w:t>
      </w:r>
      <w:r w:rsidRPr="00E3062C">
        <w:rPr>
          <w:rFonts w:hint="eastAsia"/>
          <w:sz w:val="24"/>
        </w:rPr>
        <w:t xml:space="preserve"> 1-3 </w:t>
      </w:r>
      <w:r w:rsidRPr="00E3062C">
        <w:rPr>
          <w:rFonts w:hint="eastAsia"/>
          <w:sz w:val="24"/>
        </w:rPr>
        <w:t>年（含</w:t>
      </w:r>
      <w:r w:rsidRPr="00E3062C">
        <w:rPr>
          <w:rFonts w:hint="eastAsia"/>
          <w:sz w:val="24"/>
        </w:rPr>
        <w:t xml:space="preserve"> 1 </w:t>
      </w:r>
      <w:r w:rsidRPr="00E3062C">
        <w:rPr>
          <w:rFonts w:hint="eastAsia"/>
          <w:sz w:val="24"/>
        </w:rPr>
        <w:t>年），反映境内人民币中短久期债券市场整体表现，更适合作为本基金债券部分的业绩比较基准要素。</w:t>
      </w:r>
    </w:p>
    <w:p w14:paraId="054AF3D1" w14:textId="77777777" w:rsidR="006933FF" w:rsidRPr="00E3062C" w:rsidRDefault="00E93C6C">
      <w:pPr>
        <w:spacing w:line="360" w:lineRule="auto"/>
        <w:ind w:firstLineChars="200" w:firstLine="480"/>
        <w:rPr>
          <w:sz w:val="24"/>
        </w:rPr>
      </w:pPr>
      <w:r w:rsidRPr="00E3062C">
        <w:rPr>
          <w:rFonts w:hint="eastAsia"/>
          <w:sz w:val="24"/>
        </w:rPr>
        <w:t>同时基于基金过往仓位情况、投资比例限制以及预期的资产配置比例中枢，调整业绩比较基准中股票部分权重至</w:t>
      </w:r>
      <w:r w:rsidRPr="00E3062C">
        <w:rPr>
          <w:rFonts w:hint="eastAsia"/>
          <w:sz w:val="24"/>
        </w:rPr>
        <w:t>85%</w:t>
      </w:r>
      <w:r w:rsidRPr="00E3062C">
        <w:rPr>
          <w:rFonts w:hint="eastAsia"/>
          <w:sz w:val="24"/>
        </w:rPr>
        <w:t>，降低债券部分要素权重至</w:t>
      </w:r>
      <w:r w:rsidRPr="00E3062C">
        <w:rPr>
          <w:rFonts w:hint="eastAsia"/>
          <w:sz w:val="24"/>
        </w:rPr>
        <w:t>15%</w:t>
      </w:r>
      <w:r w:rsidRPr="00E3062C">
        <w:rPr>
          <w:rFonts w:hint="eastAsia"/>
          <w:sz w:val="24"/>
        </w:rPr>
        <w:t>。</w:t>
      </w:r>
    </w:p>
    <w:p w14:paraId="409B3507" w14:textId="77777777" w:rsidR="006933FF" w:rsidRPr="00E3062C" w:rsidRDefault="00E93C6C" w:rsidP="00E3062C">
      <w:pPr>
        <w:spacing w:line="360" w:lineRule="auto"/>
        <w:ind w:firstLineChars="200" w:firstLine="480"/>
        <w:rPr>
          <w:sz w:val="24"/>
        </w:rPr>
      </w:pPr>
      <w:r w:rsidRPr="00E3062C">
        <w:rPr>
          <w:rFonts w:hint="eastAsia"/>
          <w:sz w:val="24"/>
        </w:rPr>
        <w:t>因此调整后的业绩比较基准能够更好匹配本基金的产品定位和投资风格，提高基金业绩表现与业绩比较基准的可比性。</w:t>
      </w:r>
    </w:p>
    <w:p w14:paraId="046114A9" w14:textId="77777777" w:rsidR="006933FF" w:rsidRPr="00E3062C" w:rsidRDefault="006933FF" w:rsidP="00E3062C">
      <w:pPr>
        <w:spacing w:line="360" w:lineRule="auto"/>
        <w:ind w:firstLineChars="200" w:firstLine="480"/>
        <w:rPr>
          <w:sz w:val="24"/>
        </w:rPr>
      </w:pPr>
    </w:p>
    <w:p w14:paraId="67BC465E" w14:textId="77777777" w:rsidR="006933FF" w:rsidRPr="00E3062C" w:rsidRDefault="00E93C6C">
      <w:pPr>
        <w:pStyle w:val="af7"/>
        <w:numPr>
          <w:ilvl w:val="0"/>
          <w:numId w:val="1"/>
        </w:numPr>
        <w:spacing w:line="360" w:lineRule="auto"/>
        <w:ind w:right="238" w:firstLineChars="0"/>
        <w:jc w:val="left"/>
        <w:outlineLvl w:val="0"/>
        <w:rPr>
          <w:sz w:val="24"/>
        </w:rPr>
      </w:pPr>
      <w:r w:rsidRPr="00E3062C">
        <w:rPr>
          <w:rFonts w:hint="eastAsia"/>
          <w:sz w:val="24"/>
        </w:rPr>
        <w:t>富荣福锦混合型证券投资基金</w:t>
      </w:r>
    </w:p>
    <w:p w14:paraId="579B4059" w14:textId="77777777" w:rsidR="006933FF" w:rsidRPr="00E3062C" w:rsidRDefault="00E93C6C" w:rsidP="00E3062C">
      <w:pPr>
        <w:spacing w:line="360" w:lineRule="auto"/>
        <w:ind w:firstLineChars="200" w:firstLine="480"/>
        <w:rPr>
          <w:sz w:val="24"/>
        </w:rPr>
      </w:pPr>
      <w:r w:rsidRPr="00E3062C">
        <w:rPr>
          <w:rFonts w:hint="eastAsia"/>
          <w:sz w:val="24"/>
        </w:rPr>
        <w:t>（</w:t>
      </w:r>
      <w:r w:rsidRPr="00E3062C">
        <w:rPr>
          <w:rFonts w:hint="eastAsia"/>
          <w:sz w:val="24"/>
        </w:rPr>
        <w:t>1</w:t>
      </w:r>
      <w:r w:rsidRPr="00E3062C">
        <w:rPr>
          <w:rFonts w:hint="eastAsia"/>
          <w:sz w:val="24"/>
        </w:rPr>
        <w:t>）当前业绩比较基准：沪深</w:t>
      </w:r>
      <w:r w:rsidRPr="00E3062C">
        <w:rPr>
          <w:sz w:val="24"/>
        </w:rPr>
        <w:t>300</w:t>
      </w:r>
      <w:r w:rsidRPr="00E3062C">
        <w:rPr>
          <w:rFonts w:hint="eastAsia"/>
          <w:sz w:val="24"/>
        </w:rPr>
        <w:t>指数收益率</w:t>
      </w:r>
      <w:r w:rsidRPr="00E3062C">
        <w:rPr>
          <w:sz w:val="24"/>
        </w:rPr>
        <w:t>*70%+</w:t>
      </w:r>
      <w:r w:rsidRPr="00E3062C">
        <w:rPr>
          <w:rFonts w:hint="eastAsia"/>
          <w:sz w:val="24"/>
        </w:rPr>
        <w:t>中证全债指数收益率</w:t>
      </w:r>
      <w:r w:rsidRPr="00E3062C">
        <w:rPr>
          <w:sz w:val="24"/>
        </w:rPr>
        <w:t>*30%</w:t>
      </w:r>
    </w:p>
    <w:p w14:paraId="7A0078C9" w14:textId="77777777" w:rsidR="006933FF" w:rsidRPr="00E3062C" w:rsidRDefault="00E93C6C" w:rsidP="00E3062C">
      <w:pPr>
        <w:spacing w:line="360" w:lineRule="auto"/>
        <w:ind w:firstLineChars="200" w:firstLine="480"/>
        <w:rPr>
          <w:sz w:val="24"/>
        </w:rPr>
      </w:pPr>
      <w:r w:rsidRPr="00E3062C">
        <w:rPr>
          <w:rFonts w:hint="eastAsia"/>
          <w:sz w:val="24"/>
        </w:rPr>
        <w:t>调整后的新业绩比较基准：国证</w:t>
      </w:r>
      <w:r w:rsidRPr="00E3062C">
        <w:rPr>
          <w:rFonts w:hint="eastAsia"/>
          <w:sz w:val="24"/>
        </w:rPr>
        <w:t>1000</w:t>
      </w:r>
      <w:r w:rsidRPr="00E3062C">
        <w:rPr>
          <w:rFonts w:hint="eastAsia"/>
          <w:sz w:val="24"/>
        </w:rPr>
        <w:t>成长指数收益率</w:t>
      </w:r>
      <w:r w:rsidRPr="00E3062C">
        <w:rPr>
          <w:rFonts w:hint="eastAsia"/>
          <w:sz w:val="24"/>
        </w:rPr>
        <w:t>*85%+</w:t>
      </w:r>
      <w:r w:rsidRPr="00E3062C">
        <w:rPr>
          <w:rFonts w:hint="eastAsia"/>
          <w:sz w:val="24"/>
        </w:rPr>
        <w:t>中证全债指数收益率</w:t>
      </w:r>
      <w:r w:rsidRPr="00E3062C">
        <w:rPr>
          <w:rFonts w:hint="eastAsia"/>
          <w:sz w:val="24"/>
        </w:rPr>
        <w:t>*15%</w:t>
      </w:r>
    </w:p>
    <w:p w14:paraId="7F26AAC8" w14:textId="77777777" w:rsidR="006933FF" w:rsidRPr="00E3062C" w:rsidRDefault="00E93C6C" w:rsidP="00E3062C">
      <w:pPr>
        <w:spacing w:line="360" w:lineRule="auto"/>
        <w:ind w:firstLineChars="200" w:firstLine="480"/>
        <w:rPr>
          <w:sz w:val="24"/>
        </w:rPr>
      </w:pPr>
      <w:r w:rsidRPr="00E3062C">
        <w:rPr>
          <w:rFonts w:hint="eastAsia"/>
          <w:sz w:val="24"/>
        </w:rPr>
        <w:t>（</w:t>
      </w:r>
      <w:r w:rsidRPr="00E3062C">
        <w:rPr>
          <w:rFonts w:hint="eastAsia"/>
          <w:sz w:val="24"/>
        </w:rPr>
        <w:t>2</w:t>
      </w:r>
      <w:r w:rsidRPr="00E3062C">
        <w:rPr>
          <w:rFonts w:hint="eastAsia"/>
          <w:sz w:val="24"/>
        </w:rPr>
        <w:t>）新的业绩比较基准选择原因及合理性：</w:t>
      </w:r>
    </w:p>
    <w:p w14:paraId="0972ACED" w14:textId="77777777" w:rsidR="006933FF" w:rsidRPr="00E3062C" w:rsidRDefault="00E93C6C" w:rsidP="00E3062C">
      <w:pPr>
        <w:spacing w:line="360" w:lineRule="auto"/>
        <w:ind w:firstLineChars="200" w:firstLine="480"/>
        <w:jc w:val="left"/>
        <w:rPr>
          <w:rFonts w:ascii="宋体" w:hAnsi="宋体" w:cs="仿宋" w:hint="eastAsia"/>
          <w:sz w:val="24"/>
          <w:szCs w:val="22"/>
        </w:rPr>
      </w:pPr>
      <w:r w:rsidRPr="00E3062C">
        <w:rPr>
          <w:rFonts w:ascii="宋体" w:hAnsi="宋体" w:cs="仿宋" w:hint="eastAsia"/>
          <w:sz w:val="24"/>
          <w:szCs w:val="22"/>
        </w:rPr>
        <w:t>原业绩比较基准中，沪深300指数（指数代码000300）由沪深市场中规模大、流动性好的最具代表性的300只证券组成，以反映沪深市场上市公司证券的整体表现；调整后的新业绩比较基准中，国证1000成长指数（指数代码</w:t>
      </w:r>
      <w:bookmarkStart w:id="5" w:name="_Hlk235711234"/>
      <w:r w:rsidRPr="00E3062C">
        <w:rPr>
          <w:rFonts w:ascii="宋体" w:hAnsi="宋体" w:cs="仿宋" w:hint="eastAsia"/>
          <w:sz w:val="24"/>
          <w:szCs w:val="22"/>
        </w:rPr>
        <w:t>399370</w:t>
      </w:r>
      <w:bookmarkEnd w:id="5"/>
      <w:r w:rsidRPr="00E3062C">
        <w:rPr>
          <w:rFonts w:ascii="宋体" w:hAnsi="宋体" w:cs="仿宋" w:hint="eastAsia"/>
          <w:sz w:val="24"/>
          <w:szCs w:val="22"/>
        </w:rPr>
        <w:t>）</w:t>
      </w:r>
      <w:bookmarkStart w:id="6" w:name="OLE_LINK2"/>
      <w:r w:rsidRPr="00E3062C">
        <w:rPr>
          <w:rFonts w:ascii="宋体" w:hAnsi="宋体" w:cs="仿宋" w:hint="eastAsia"/>
          <w:sz w:val="24"/>
          <w:szCs w:val="22"/>
        </w:rPr>
        <w:t>由国证1000指数样本股中成长风格突出的证券组成，为投资者提供更丰富的指数化投资工具</w:t>
      </w:r>
      <w:bookmarkEnd w:id="6"/>
      <w:r w:rsidRPr="00E3062C">
        <w:rPr>
          <w:rFonts w:ascii="宋体" w:hAnsi="宋体" w:cs="仿宋" w:hint="eastAsia"/>
          <w:sz w:val="24"/>
          <w:szCs w:val="22"/>
        </w:rPr>
        <w:t>。调整后的国证1000 成长指数与基金实际持股风格更为匹配，从而</w:t>
      </w:r>
      <w:bookmarkStart w:id="7" w:name="_Hlk235711081"/>
      <w:r w:rsidRPr="00E3062C">
        <w:rPr>
          <w:rFonts w:ascii="宋体" w:hAnsi="宋体" w:cs="仿宋" w:hint="eastAsia"/>
          <w:sz w:val="24"/>
          <w:szCs w:val="22"/>
        </w:rPr>
        <w:t>能够更好反映本基金的产品定位和投资风格</w:t>
      </w:r>
      <w:bookmarkEnd w:id="7"/>
      <w:r w:rsidRPr="00E3062C">
        <w:rPr>
          <w:rFonts w:ascii="宋体" w:hAnsi="宋体" w:cs="仿宋" w:hint="eastAsia"/>
          <w:sz w:val="24"/>
          <w:szCs w:val="22"/>
        </w:rPr>
        <w:t>，更适合作为本基金股票部分的业绩比较基准要素。</w:t>
      </w:r>
    </w:p>
    <w:p w14:paraId="0F60B3BA" w14:textId="18467CBC" w:rsidR="006933FF" w:rsidRPr="00E3062C" w:rsidRDefault="00E93C6C" w:rsidP="00E3062C">
      <w:pPr>
        <w:spacing w:line="360" w:lineRule="auto"/>
        <w:ind w:firstLineChars="200" w:firstLine="480"/>
        <w:jc w:val="left"/>
        <w:rPr>
          <w:rFonts w:ascii="宋体" w:hAnsi="宋体" w:cs="仿宋" w:hint="eastAsia"/>
          <w:sz w:val="24"/>
          <w:szCs w:val="22"/>
        </w:rPr>
      </w:pPr>
      <w:r w:rsidRPr="00E3062C">
        <w:rPr>
          <w:rFonts w:ascii="宋体" w:hAnsi="宋体" w:cs="仿宋" w:hint="eastAsia"/>
          <w:sz w:val="24"/>
          <w:szCs w:val="22"/>
        </w:rPr>
        <w:t>同时基于基金过往仓位情况、投资比例限制以及预期的资产配置比例中枢，调整业绩比较基准中股票部分权重至85%，降低债券部分要素权重至15%。</w:t>
      </w:r>
    </w:p>
    <w:p w14:paraId="0BDB9FD2" w14:textId="77777777" w:rsidR="006933FF" w:rsidRPr="00E3062C" w:rsidRDefault="00E93C6C" w:rsidP="00E3062C">
      <w:pPr>
        <w:spacing w:line="360" w:lineRule="auto"/>
        <w:ind w:firstLineChars="200" w:firstLine="480"/>
        <w:jc w:val="left"/>
        <w:rPr>
          <w:rFonts w:ascii="宋体" w:hAnsi="宋体" w:cs="仿宋" w:hint="eastAsia"/>
          <w:sz w:val="24"/>
          <w:szCs w:val="22"/>
        </w:rPr>
      </w:pPr>
      <w:r w:rsidRPr="00E3062C">
        <w:rPr>
          <w:rFonts w:ascii="宋体" w:hAnsi="宋体" w:cs="仿宋" w:hint="eastAsia"/>
          <w:sz w:val="24"/>
          <w:szCs w:val="22"/>
        </w:rPr>
        <w:t>因此调整后的业绩比较基准能够更好匹配本基金的产品定位和投资风格，提高基金业绩表现与业绩比较基准的可比性。</w:t>
      </w:r>
    </w:p>
    <w:p w14:paraId="1E92A429" w14:textId="77777777" w:rsidR="006933FF" w:rsidRPr="00E3062C" w:rsidRDefault="006933FF" w:rsidP="00E3062C">
      <w:pPr>
        <w:spacing w:line="360" w:lineRule="auto"/>
        <w:ind w:firstLineChars="200" w:firstLine="480"/>
        <w:rPr>
          <w:sz w:val="24"/>
        </w:rPr>
      </w:pPr>
    </w:p>
    <w:p w14:paraId="66B683D9" w14:textId="77777777" w:rsidR="006933FF" w:rsidRPr="00E3062C" w:rsidRDefault="00E93C6C">
      <w:pPr>
        <w:pStyle w:val="af7"/>
        <w:numPr>
          <w:ilvl w:val="0"/>
          <w:numId w:val="1"/>
        </w:numPr>
        <w:spacing w:line="360" w:lineRule="auto"/>
        <w:ind w:right="238" w:firstLineChars="0"/>
        <w:jc w:val="left"/>
        <w:outlineLvl w:val="0"/>
        <w:rPr>
          <w:sz w:val="24"/>
        </w:rPr>
      </w:pPr>
      <w:r w:rsidRPr="00E3062C">
        <w:rPr>
          <w:rFonts w:hint="eastAsia"/>
          <w:sz w:val="24"/>
        </w:rPr>
        <w:lastRenderedPageBreak/>
        <w:t>富荣福鑫灵活配置混合型证券投资基金</w:t>
      </w:r>
    </w:p>
    <w:p w14:paraId="37C18E4A" w14:textId="77777777" w:rsidR="006933FF" w:rsidRPr="00E3062C" w:rsidRDefault="00E93C6C" w:rsidP="00E3062C">
      <w:pPr>
        <w:spacing w:line="360" w:lineRule="auto"/>
        <w:ind w:firstLineChars="200" w:firstLine="480"/>
        <w:rPr>
          <w:sz w:val="24"/>
        </w:rPr>
      </w:pPr>
      <w:r w:rsidRPr="00E3062C">
        <w:rPr>
          <w:rFonts w:hint="eastAsia"/>
          <w:sz w:val="24"/>
        </w:rPr>
        <w:t>（</w:t>
      </w:r>
      <w:r w:rsidRPr="00E3062C">
        <w:rPr>
          <w:rFonts w:hint="eastAsia"/>
          <w:sz w:val="24"/>
        </w:rPr>
        <w:t>1</w:t>
      </w:r>
      <w:r w:rsidRPr="00E3062C">
        <w:rPr>
          <w:rFonts w:hint="eastAsia"/>
          <w:sz w:val="24"/>
        </w:rPr>
        <w:t>）当前业绩比较基准：中证全债指数收益率</w:t>
      </w:r>
      <w:r w:rsidRPr="00E3062C">
        <w:rPr>
          <w:sz w:val="24"/>
        </w:rPr>
        <w:t>*70%+</w:t>
      </w:r>
      <w:r w:rsidRPr="00E3062C">
        <w:rPr>
          <w:rFonts w:hint="eastAsia"/>
          <w:sz w:val="24"/>
        </w:rPr>
        <w:t>沪深</w:t>
      </w:r>
      <w:r w:rsidRPr="00E3062C">
        <w:rPr>
          <w:sz w:val="24"/>
        </w:rPr>
        <w:t>300</w:t>
      </w:r>
      <w:r w:rsidRPr="00E3062C">
        <w:rPr>
          <w:rFonts w:hint="eastAsia"/>
          <w:sz w:val="24"/>
        </w:rPr>
        <w:t>指数收益率</w:t>
      </w:r>
      <w:r w:rsidRPr="00E3062C">
        <w:rPr>
          <w:sz w:val="24"/>
        </w:rPr>
        <w:t>*30%</w:t>
      </w:r>
    </w:p>
    <w:p w14:paraId="177C7604" w14:textId="18FC6974" w:rsidR="006933FF" w:rsidRPr="00E3062C" w:rsidRDefault="00E93C6C" w:rsidP="00E3062C">
      <w:pPr>
        <w:spacing w:line="360" w:lineRule="auto"/>
        <w:ind w:firstLineChars="200" w:firstLine="480"/>
        <w:jc w:val="left"/>
        <w:rPr>
          <w:rFonts w:ascii="宋体" w:hAnsi="宋体" w:cs="仿宋" w:hint="eastAsia"/>
          <w:sz w:val="24"/>
          <w:szCs w:val="22"/>
        </w:rPr>
      </w:pPr>
      <w:r w:rsidRPr="00E3062C">
        <w:rPr>
          <w:rFonts w:ascii="宋体" w:hAnsi="宋体" w:cs="仿宋" w:hint="eastAsia"/>
          <w:sz w:val="24"/>
          <w:szCs w:val="22"/>
        </w:rPr>
        <w:t>调整后的新业绩比较基准：中证</w:t>
      </w:r>
      <w:r w:rsidR="00D23C20" w:rsidRPr="00E3062C">
        <w:rPr>
          <w:rFonts w:ascii="宋体" w:hAnsi="宋体" w:cs="仿宋" w:hint="eastAsia"/>
          <w:sz w:val="24"/>
          <w:szCs w:val="22"/>
        </w:rPr>
        <w:t>800</w:t>
      </w:r>
      <w:r w:rsidRPr="00E3062C">
        <w:rPr>
          <w:rFonts w:ascii="宋体" w:hAnsi="宋体" w:cs="仿宋" w:hint="eastAsia"/>
          <w:sz w:val="24"/>
          <w:szCs w:val="22"/>
        </w:rPr>
        <w:t>指数收益率*80%+中证全债指数收益率*20%</w:t>
      </w:r>
    </w:p>
    <w:p w14:paraId="1CC835B9" w14:textId="77777777" w:rsidR="006933FF" w:rsidRPr="00E3062C" w:rsidRDefault="00E93C6C" w:rsidP="00E3062C">
      <w:pPr>
        <w:spacing w:line="360" w:lineRule="auto"/>
        <w:ind w:firstLineChars="200" w:firstLine="480"/>
        <w:rPr>
          <w:sz w:val="24"/>
        </w:rPr>
      </w:pPr>
      <w:r w:rsidRPr="00E3062C">
        <w:rPr>
          <w:rFonts w:hint="eastAsia"/>
          <w:sz w:val="24"/>
        </w:rPr>
        <w:t>（</w:t>
      </w:r>
      <w:r w:rsidRPr="00E3062C">
        <w:rPr>
          <w:rFonts w:hint="eastAsia"/>
          <w:sz w:val="24"/>
        </w:rPr>
        <w:t>2</w:t>
      </w:r>
      <w:r w:rsidRPr="00E3062C">
        <w:rPr>
          <w:rFonts w:hint="eastAsia"/>
          <w:sz w:val="24"/>
        </w:rPr>
        <w:t>）新的业绩比较基准选择原因及合理性：</w:t>
      </w:r>
    </w:p>
    <w:p w14:paraId="27897B91" w14:textId="77777777" w:rsidR="00A21B08" w:rsidRPr="00E3062C" w:rsidRDefault="00E93C6C" w:rsidP="00E3062C">
      <w:pPr>
        <w:spacing w:line="360" w:lineRule="auto"/>
        <w:ind w:firstLineChars="200" w:firstLine="480"/>
        <w:jc w:val="left"/>
        <w:rPr>
          <w:rFonts w:ascii="宋体" w:hAnsi="宋体" w:cs="仿宋" w:hint="eastAsia"/>
          <w:sz w:val="24"/>
          <w:szCs w:val="22"/>
        </w:rPr>
      </w:pPr>
      <w:r w:rsidRPr="00E3062C">
        <w:rPr>
          <w:rFonts w:ascii="宋体" w:hAnsi="宋体" w:cs="仿宋" w:hint="eastAsia"/>
          <w:sz w:val="24"/>
          <w:szCs w:val="22"/>
        </w:rPr>
        <w:t>原业绩比较基准中，沪深300指数（指数代码000300）由沪深市场中规模大、流动性好的最具代表性的300只证券组成，以反映沪深市场上市公司证券的整体表现；</w:t>
      </w:r>
      <w:bookmarkStart w:id="8" w:name="OLE_LINK8"/>
      <w:r w:rsidR="00A21B08" w:rsidRPr="00E3062C">
        <w:rPr>
          <w:rFonts w:ascii="宋体" w:hAnsi="宋体" w:cs="仿宋" w:hint="eastAsia"/>
          <w:sz w:val="24"/>
          <w:szCs w:val="22"/>
        </w:rPr>
        <w:t>调整后的新业绩比较基准中，中证800指数（指数代码000906）由中证500和沪深300成份股一起构成，综合反映沪深证券市场内不同市值规模公司的整体状况。调整后的中证800指数与基金实际持股风格更为匹配，从而能够更好反映本基金的产品定位和投资风格，更适合作为本基金股票部分的业绩比较基准要素。</w:t>
      </w:r>
    </w:p>
    <w:p w14:paraId="6BDD87FF" w14:textId="60563E6B" w:rsidR="006933FF" w:rsidRPr="00E3062C" w:rsidRDefault="00E93C6C" w:rsidP="00E3062C">
      <w:pPr>
        <w:spacing w:line="360" w:lineRule="auto"/>
        <w:ind w:firstLineChars="200" w:firstLine="480"/>
        <w:jc w:val="left"/>
        <w:rPr>
          <w:rFonts w:ascii="宋体" w:hAnsi="宋体" w:cs="仿宋" w:hint="eastAsia"/>
          <w:sz w:val="24"/>
          <w:szCs w:val="22"/>
        </w:rPr>
      </w:pPr>
      <w:r w:rsidRPr="00E3062C">
        <w:rPr>
          <w:rFonts w:ascii="宋体" w:hAnsi="宋体" w:cs="仿宋" w:hint="eastAsia"/>
          <w:sz w:val="24"/>
          <w:szCs w:val="22"/>
        </w:rPr>
        <w:t>同时基于基金过往仓位情况、投资比例限制以及预期的资产配置比例中枢，调整业绩比较基准中股票部分权重至 80%，降低债券部分要素权重至 20%。</w:t>
      </w:r>
    </w:p>
    <w:bookmarkEnd w:id="8"/>
    <w:p w14:paraId="2CB71F73" w14:textId="77777777" w:rsidR="006933FF" w:rsidRPr="00E3062C" w:rsidRDefault="00E93C6C" w:rsidP="00E3062C">
      <w:pPr>
        <w:spacing w:line="360" w:lineRule="auto"/>
        <w:ind w:firstLineChars="200" w:firstLine="480"/>
        <w:jc w:val="left"/>
        <w:rPr>
          <w:rFonts w:ascii="宋体" w:hAnsi="宋体" w:cs="仿宋" w:hint="eastAsia"/>
          <w:sz w:val="24"/>
          <w:szCs w:val="22"/>
        </w:rPr>
      </w:pPr>
      <w:r w:rsidRPr="00E3062C">
        <w:rPr>
          <w:rFonts w:ascii="宋体" w:hAnsi="宋体" w:cs="仿宋" w:hint="eastAsia"/>
          <w:sz w:val="24"/>
          <w:szCs w:val="22"/>
        </w:rPr>
        <w:t>因此调整后的业绩比较基准能够更好匹配本基金的产品定位和投资风格，提高基金业绩表现与业绩比较基准的可比性。</w:t>
      </w:r>
    </w:p>
    <w:p w14:paraId="67B25581" w14:textId="77777777" w:rsidR="006933FF" w:rsidRPr="00E3062C" w:rsidRDefault="006933FF" w:rsidP="00E3062C">
      <w:pPr>
        <w:spacing w:line="360" w:lineRule="auto"/>
        <w:ind w:firstLineChars="200" w:firstLine="480"/>
        <w:rPr>
          <w:sz w:val="24"/>
        </w:rPr>
      </w:pPr>
    </w:p>
    <w:p w14:paraId="0122F628" w14:textId="77777777" w:rsidR="006933FF" w:rsidRPr="00E3062C" w:rsidRDefault="00E93C6C">
      <w:pPr>
        <w:pStyle w:val="af7"/>
        <w:numPr>
          <w:ilvl w:val="0"/>
          <w:numId w:val="1"/>
        </w:numPr>
        <w:spacing w:line="360" w:lineRule="auto"/>
        <w:ind w:right="238" w:firstLineChars="0"/>
        <w:jc w:val="left"/>
        <w:outlineLvl w:val="0"/>
        <w:rPr>
          <w:sz w:val="24"/>
        </w:rPr>
      </w:pPr>
      <w:r w:rsidRPr="00E3062C">
        <w:rPr>
          <w:rFonts w:hint="eastAsia"/>
          <w:sz w:val="24"/>
        </w:rPr>
        <w:t>富荣福康混合型证券投资基金</w:t>
      </w:r>
    </w:p>
    <w:p w14:paraId="67335D92" w14:textId="77777777" w:rsidR="006933FF" w:rsidRPr="00E3062C" w:rsidRDefault="00E93C6C">
      <w:pPr>
        <w:spacing w:line="360" w:lineRule="auto"/>
        <w:ind w:firstLineChars="200" w:firstLine="480"/>
        <w:rPr>
          <w:sz w:val="24"/>
        </w:rPr>
      </w:pPr>
      <w:r w:rsidRPr="00E3062C">
        <w:rPr>
          <w:rFonts w:hint="eastAsia"/>
          <w:sz w:val="24"/>
        </w:rPr>
        <w:t>（</w:t>
      </w:r>
      <w:r w:rsidRPr="00E3062C">
        <w:rPr>
          <w:rFonts w:hint="eastAsia"/>
          <w:sz w:val="24"/>
        </w:rPr>
        <w:t>1</w:t>
      </w:r>
      <w:r w:rsidRPr="00E3062C">
        <w:rPr>
          <w:rFonts w:hint="eastAsia"/>
          <w:sz w:val="24"/>
        </w:rPr>
        <w:t>）当前业绩比较基准：沪深</w:t>
      </w:r>
      <w:r w:rsidRPr="00E3062C">
        <w:rPr>
          <w:rFonts w:hint="eastAsia"/>
          <w:sz w:val="24"/>
        </w:rPr>
        <w:t>300</w:t>
      </w:r>
      <w:r w:rsidRPr="00E3062C">
        <w:rPr>
          <w:rFonts w:hint="eastAsia"/>
          <w:sz w:val="24"/>
        </w:rPr>
        <w:t>指数收益率</w:t>
      </w:r>
      <w:r w:rsidRPr="00E3062C">
        <w:rPr>
          <w:rFonts w:hint="eastAsia"/>
          <w:sz w:val="24"/>
        </w:rPr>
        <w:t>*70%+</w:t>
      </w:r>
      <w:r w:rsidRPr="00E3062C">
        <w:rPr>
          <w:rFonts w:hint="eastAsia"/>
          <w:sz w:val="24"/>
        </w:rPr>
        <w:t>中证全债指数收益率</w:t>
      </w:r>
      <w:r w:rsidRPr="00E3062C">
        <w:rPr>
          <w:rFonts w:hint="eastAsia"/>
          <w:sz w:val="24"/>
        </w:rPr>
        <w:t>*30%</w:t>
      </w:r>
    </w:p>
    <w:p w14:paraId="38999557" w14:textId="77777777" w:rsidR="006933FF" w:rsidRPr="00E3062C" w:rsidRDefault="00E93C6C">
      <w:pPr>
        <w:spacing w:line="360" w:lineRule="auto"/>
        <w:ind w:firstLineChars="200" w:firstLine="480"/>
        <w:rPr>
          <w:sz w:val="24"/>
        </w:rPr>
      </w:pPr>
      <w:r w:rsidRPr="00E3062C">
        <w:rPr>
          <w:rFonts w:hint="eastAsia"/>
          <w:sz w:val="24"/>
        </w:rPr>
        <w:t>调整后的新业绩比较基准：中证</w:t>
      </w:r>
      <w:r w:rsidRPr="00E3062C">
        <w:rPr>
          <w:rFonts w:hint="eastAsia"/>
          <w:sz w:val="24"/>
        </w:rPr>
        <w:t>800</w:t>
      </w:r>
      <w:r w:rsidRPr="00E3062C">
        <w:rPr>
          <w:rFonts w:hint="eastAsia"/>
          <w:sz w:val="24"/>
        </w:rPr>
        <w:t>指数收益率</w:t>
      </w:r>
      <w:r w:rsidRPr="00E3062C">
        <w:rPr>
          <w:rFonts w:hint="eastAsia"/>
          <w:sz w:val="24"/>
        </w:rPr>
        <w:t>*85%+</w:t>
      </w:r>
      <w:r w:rsidRPr="00E3062C">
        <w:rPr>
          <w:rFonts w:hint="eastAsia"/>
          <w:sz w:val="24"/>
        </w:rPr>
        <w:t>中债</w:t>
      </w:r>
      <w:r w:rsidRPr="00E3062C">
        <w:rPr>
          <w:rFonts w:hint="eastAsia"/>
          <w:sz w:val="24"/>
        </w:rPr>
        <w:t>-</w:t>
      </w:r>
      <w:r w:rsidRPr="00E3062C">
        <w:rPr>
          <w:rFonts w:hint="eastAsia"/>
          <w:sz w:val="24"/>
        </w:rPr>
        <w:t>综合全价</w:t>
      </w:r>
      <w:r w:rsidRPr="00E3062C">
        <w:rPr>
          <w:rFonts w:hint="eastAsia"/>
          <w:sz w:val="24"/>
        </w:rPr>
        <w:t>(1-3</w:t>
      </w:r>
      <w:r w:rsidRPr="00E3062C">
        <w:rPr>
          <w:rFonts w:hint="eastAsia"/>
          <w:sz w:val="24"/>
        </w:rPr>
        <w:t>年</w:t>
      </w:r>
      <w:r w:rsidRPr="00E3062C">
        <w:rPr>
          <w:rFonts w:hint="eastAsia"/>
          <w:sz w:val="24"/>
        </w:rPr>
        <w:t>)</w:t>
      </w:r>
      <w:r w:rsidRPr="00E3062C">
        <w:rPr>
          <w:rFonts w:hint="eastAsia"/>
          <w:sz w:val="24"/>
        </w:rPr>
        <w:t>指数收益率</w:t>
      </w:r>
      <w:r w:rsidRPr="00E3062C">
        <w:rPr>
          <w:rFonts w:hint="eastAsia"/>
          <w:sz w:val="24"/>
        </w:rPr>
        <w:t>*10%+</w:t>
      </w:r>
      <w:r w:rsidRPr="00E3062C">
        <w:rPr>
          <w:rFonts w:hint="eastAsia"/>
          <w:sz w:val="24"/>
        </w:rPr>
        <w:t>活期存款基准利率</w:t>
      </w:r>
      <w:r w:rsidRPr="00E3062C">
        <w:rPr>
          <w:rFonts w:hint="eastAsia"/>
          <w:sz w:val="24"/>
        </w:rPr>
        <w:t>*5%</w:t>
      </w:r>
    </w:p>
    <w:p w14:paraId="3BD6C838" w14:textId="77777777" w:rsidR="006933FF" w:rsidRPr="00E3062C" w:rsidRDefault="00E93C6C">
      <w:pPr>
        <w:spacing w:line="360" w:lineRule="auto"/>
        <w:ind w:firstLineChars="200" w:firstLine="480"/>
        <w:rPr>
          <w:sz w:val="24"/>
        </w:rPr>
      </w:pPr>
      <w:r w:rsidRPr="00E3062C">
        <w:rPr>
          <w:rFonts w:hint="eastAsia"/>
          <w:sz w:val="24"/>
        </w:rPr>
        <w:t>（</w:t>
      </w:r>
      <w:r w:rsidRPr="00E3062C">
        <w:rPr>
          <w:rFonts w:hint="eastAsia"/>
          <w:sz w:val="24"/>
        </w:rPr>
        <w:t>2</w:t>
      </w:r>
      <w:r w:rsidRPr="00E3062C">
        <w:rPr>
          <w:rFonts w:hint="eastAsia"/>
          <w:sz w:val="24"/>
        </w:rPr>
        <w:t>）新的业绩比较基准选择原因及合理性：</w:t>
      </w:r>
    </w:p>
    <w:p w14:paraId="197D65D5" w14:textId="77777777" w:rsidR="006933FF" w:rsidRPr="00E3062C" w:rsidRDefault="00E93C6C">
      <w:pPr>
        <w:spacing w:line="360" w:lineRule="auto"/>
        <w:ind w:firstLineChars="200" w:firstLine="480"/>
        <w:rPr>
          <w:sz w:val="24"/>
        </w:rPr>
      </w:pPr>
      <w:r w:rsidRPr="00E3062C">
        <w:rPr>
          <w:rFonts w:hint="eastAsia"/>
          <w:sz w:val="24"/>
        </w:rPr>
        <w:t>原业绩比较基准中，沪深</w:t>
      </w:r>
      <w:r w:rsidRPr="00E3062C">
        <w:rPr>
          <w:rFonts w:hint="eastAsia"/>
          <w:sz w:val="24"/>
        </w:rPr>
        <w:t>300</w:t>
      </w:r>
      <w:r w:rsidRPr="00E3062C">
        <w:rPr>
          <w:rFonts w:hint="eastAsia"/>
          <w:sz w:val="24"/>
        </w:rPr>
        <w:t>指数（指数代码</w:t>
      </w:r>
      <w:r w:rsidRPr="00E3062C">
        <w:rPr>
          <w:rFonts w:hint="eastAsia"/>
          <w:sz w:val="24"/>
        </w:rPr>
        <w:t>000300</w:t>
      </w:r>
      <w:r w:rsidRPr="00E3062C">
        <w:rPr>
          <w:rFonts w:hint="eastAsia"/>
          <w:sz w:val="24"/>
        </w:rPr>
        <w:t>）由沪深市场中规模大、流动性好的最具代表性的</w:t>
      </w:r>
      <w:r w:rsidRPr="00E3062C">
        <w:rPr>
          <w:rFonts w:hint="eastAsia"/>
          <w:sz w:val="24"/>
        </w:rPr>
        <w:t>300</w:t>
      </w:r>
      <w:r w:rsidRPr="00E3062C">
        <w:rPr>
          <w:rFonts w:hint="eastAsia"/>
          <w:sz w:val="24"/>
        </w:rPr>
        <w:t>只证券组成，以反映沪深市场上市公司证券的整体表现；调整后的新业绩比较基准中，中证</w:t>
      </w:r>
      <w:r w:rsidRPr="00E3062C">
        <w:rPr>
          <w:rFonts w:hint="eastAsia"/>
          <w:sz w:val="24"/>
        </w:rPr>
        <w:t>800</w:t>
      </w:r>
      <w:r w:rsidRPr="00E3062C">
        <w:rPr>
          <w:rFonts w:hint="eastAsia"/>
          <w:sz w:val="24"/>
        </w:rPr>
        <w:t>指数（指数代码</w:t>
      </w:r>
      <w:r w:rsidRPr="00E3062C">
        <w:rPr>
          <w:rFonts w:hint="eastAsia"/>
          <w:sz w:val="24"/>
        </w:rPr>
        <w:t>000906</w:t>
      </w:r>
      <w:r w:rsidRPr="00E3062C">
        <w:rPr>
          <w:rFonts w:hint="eastAsia"/>
          <w:sz w:val="24"/>
        </w:rPr>
        <w:t>）由中证</w:t>
      </w:r>
      <w:r w:rsidRPr="00E3062C">
        <w:rPr>
          <w:rFonts w:hint="eastAsia"/>
          <w:sz w:val="24"/>
        </w:rPr>
        <w:t>500</w:t>
      </w:r>
      <w:r w:rsidRPr="00E3062C">
        <w:rPr>
          <w:rFonts w:hint="eastAsia"/>
          <w:sz w:val="24"/>
        </w:rPr>
        <w:t>和沪深</w:t>
      </w:r>
      <w:r w:rsidRPr="00E3062C">
        <w:rPr>
          <w:rFonts w:hint="eastAsia"/>
          <w:sz w:val="24"/>
        </w:rPr>
        <w:t>300</w:t>
      </w:r>
      <w:r w:rsidRPr="00E3062C">
        <w:rPr>
          <w:rFonts w:hint="eastAsia"/>
          <w:sz w:val="24"/>
        </w:rPr>
        <w:t>成份股一起构成，综合反映沪深证券市场内不同市值规模公司</w:t>
      </w:r>
      <w:r w:rsidRPr="00E3062C">
        <w:rPr>
          <w:rFonts w:hint="eastAsia"/>
          <w:sz w:val="24"/>
        </w:rPr>
        <w:lastRenderedPageBreak/>
        <w:t>的整体状况。调整后的中证</w:t>
      </w:r>
      <w:r w:rsidRPr="00E3062C">
        <w:rPr>
          <w:rFonts w:hint="eastAsia"/>
          <w:sz w:val="24"/>
        </w:rPr>
        <w:t>800</w:t>
      </w:r>
      <w:r w:rsidRPr="00E3062C">
        <w:rPr>
          <w:rFonts w:hint="eastAsia"/>
          <w:sz w:val="24"/>
        </w:rPr>
        <w:t>指数与基金实际持股风格更为匹配，从而能够更好反映本基金的产品定位和投资风格。</w:t>
      </w:r>
    </w:p>
    <w:p w14:paraId="5A4C8A03" w14:textId="77777777" w:rsidR="006933FF" w:rsidRPr="00E3062C" w:rsidRDefault="00E93C6C">
      <w:pPr>
        <w:spacing w:line="360" w:lineRule="auto"/>
        <w:ind w:firstLineChars="200" w:firstLine="480"/>
        <w:rPr>
          <w:sz w:val="24"/>
        </w:rPr>
      </w:pPr>
      <w:r w:rsidRPr="00E3062C">
        <w:rPr>
          <w:rFonts w:hint="eastAsia"/>
          <w:sz w:val="24"/>
        </w:rPr>
        <w:t>本基金的债券投资采取久期策略、收益率曲线策略等积极投资策略，灵活地调整组合的券种搭配，精选个券，力争实现投资组合的保值增值。中证全债指数选取在沪深交易所或银行间市场上市的</w:t>
      </w:r>
      <w:r w:rsidRPr="00E3062C">
        <w:rPr>
          <w:rFonts w:hint="eastAsia"/>
          <w:sz w:val="24"/>
        </w:rPr>
        <w:t>BBB</w:t>
      </w:r>
      <w:r w:rsidRPr="00E3062C">
        <w:rPr>
          <w:rFonts w:hint="eastAsia"/>
          <w:sz w:val="24"/>
        </w:rPr>
        <w:t>及以上、且剩余期限</w:t>
      </w:r>
      <w:r w:rsidRPr="00E3062C">
        <w:rPr>
          <w:rFonts w:hint="eastAsia"/>
          <w:sz w:val="24"/>
        </w:rPr>
        <w:t>1</w:t>
      </w:r>
      <w:r w:rsidRPr="00E3062C">
        <w:rPr>
          <w:rFonts w:hint="eastAsia"/>
          <w:sz w:val="24"/>
        </w:rPr>
        <w:t>年及以上的国债、金融债、企业债等债券作为成份券，反映全市场相应期限债券的整体表现。调整后的新业绩比较基准中，中债</w:t>
      </w:r>
      <w:r w:rsidRPr="00E3062C">
        <w:rPr>
          <w:rFonts w:hint="eastAsia"/>
          <w:sz w:val="24"/>
        </w:rPr>
        <w:t>-</w:t>
      </w:r>
      <w:r w:rsidRPr="00E3062C">
        <w:rPr>
          <w:rFonts w:hint="eastAsia"/>
          <w:sz w:val="24"/>
        </w:rPr>
        <w:t>综合全价（</w:t>
      </w:r>
      <w:r w:rsidRPr="00E3062C">
        <w:rPr>
          <w:rFonts w:hint="eastAsia"/>
          <w:sz w:val="24"/>
        </w:rPr>
        <w:t xml:space="preserve">1-3 </w:t>
      </w:r>
      <w:r w:rsidRPr="00E3062C">
        <w:rPr>
          <w:rFonts w:hint="eastAsia"/>
          <w:sz w:val="24"/>
        </w:rPr>
        <w:t>年）指数（指数代码</w:t>
      </w:r>
      <w:r w:rsidRPr="00E3062C">
        <w:rPr>
          <w:rFonts w:hint="eastAsia"/>
          <w:sz w:val="24"/>
        </w:rPr>
        <w:t xml:space="preserve"> CBA00223</w:t>
      </w:r>
      <w:r w:rsidRPr="00E3062C">
        <w:rPr>
          <w:rFonts w:hint="eastAsia"/>
          <w:sz w:val="24"/>
        </w:rPr>
        <w:t>）由在境内公开发行且上市流通的国债、政策性银行债券、商业银行债券、中期票据、短期融资券、企业债、公司债等成份券组成，成份券待偿期在</w:t>
      </w:r>
      <w:r w:rsidRPr="00E3062C">
        <w:rPr>
          <w:rFonts w:hint="eastAsia"/>
          <w:sz w:val="24"/>
        </w:rPr>
        <w:t xml:space="preserve"> 1-3 </w:t>
      </w:r>
      <w:r w:rsidRPr="00E3062C">
        <w:rPr>
          <w:rFonts w:hint="eastAsia"/>
          <w:sz w:val="24"/>
        </w:rPr>
        <w:t>年（含</w:t>
      </w:r>
      <w:r w:rsidRPr="00E3062C">
        <w:rPr>
          <w:rFonts w:hint="eastAsia"/>
          <w:sz w:val="24"/>
        </w:rPr>
        <w:t xml:space="preserve"> 1 </w:t>
      </w:r>
      <w:r w:rsidRPr="00E3062C">
        <w:rPr>
          <w:rFonts w:hint="eastAsia"/>
          <w:sz w:val="24"/>
        </w:rPr>
        <w:t>年），反映境内人民币中短久期债券市场整体表现，更适合作为本基金债券部分的业绩比较基准要素。</w:t>
      </w:r>
    </w:p>
    <w:p w14:paraId="7E38EEA1" w14:textId="77777777" w:rsidR="006933FF" w:rsidRPr="00E3062C" w:rsidRDefault="00E93C6C">
      <w:pPr>
        <w:spacing w:line="360" w:lineRule="auto"/>
        <w:ind w:firstLineChars="200" w:firstLine="480"/>
        <w:rPr>
          <w:sz w:val="24"/>
        </w:rPr>
      </w:pPr>
      <w:r w:rsidRPr="00E3062C">
        <w:rPr>
          <w:rFonts w:hint="eastAsia"/>
          <w:sz w:val="24"/>
        </w:rPr>
        <w:t>同时基于基金过往仓位情况、投资比例限制以及预期的资产配置比例中枢，调整业绩比较基准中股票部分权重至</w:t>
      </w:r>
      <w:r w:rsidRPr="00E3062C">
        <w:rPr>
          <w:rFonts w:hint="eastAsia"/>
          <w:sz w:val="24"/>
        </w:rPr>
        <w:t>85%</w:t>
      </w:r>
      <w:r w:rsidRPr="00E3062C">
        <w:rPr>
          <w:rFonts w:hint="eastAsia"/>
          <w:sz w:val="24"/>
        </w:rPr>
        <w:t>，降低债券部分要素权重至</w:t>
      </w:r>
      <w:r w:rsidRPr="00E3062C">
        <w:rPr>
          <w:rFonts w:hint="eastAsia"/>
          <w:sz w:val="24"/>
        </w:rPr>
        <w:t>10%</w:t>
      </w:r>
      <w:r w:rsidRPr="00E3062C">
        <w:rPr>
          <w:rFonts w:hint="eastAsia"/>
          <w:sz w:val="24"/>
        </w:rPr>
        <w:t>，并选取人民币活期存款基准利率作为现金资产部分的业绩比较基准要素并将权重设置为</w:t>
      </w:r>
      <w:r w:rsidRPr="00E3062C">
        <w:rPr>
          <w:rFonts w:hint="eastAsia"/>
          <w:sz w:val="24"/>
        </w:rPr>
        <w:t>5%</w:t>
      </w:r>
      <w:r w:rsidRPr="00E3062C">
        <w:rPr>
          <w:rFonts w:hint="eastAsia"/>
          <w:sz w:val="24"/>
        </w:rPr>
        <w:t>。</w:t>
      </w:r>
    </w:p>
    <w:p w14:paraId="5A1947F1" w14:textId="77777777" w:rsidR="006933FF" w:rsidRPr="00E3062C" w:rsidRDefault="00E93C6C">
      <w:pPr>
        <w:spacing w:line="360" w:lineRule="auto"/>
        <w:ind w:firstLineChars="200" w:firstLine="480"/>
        <w:rPr>
          <w:sz w:val="24"/>
        </w:rPr>
      </w:pPr>
      <w:r w:rsidRPr="00E3062C">
        <w:rPr>
          <w:rFonts w:hint="eastAsia"/>
          <w:sz w:val="24"/>
        </w:rPr>
        <w:t>因此调整后的业绩比较基准能够更好匹配本基金的产品定位和投资风格，提高基金业绩表现与业绩比较基准的可比性。</w:t>
      </w:r>
    </w:p>
    <w:p w14:paraId="767F8184" w14:textId="77777777" w:rsidR="006933FF" w:rsidRPr="00E3062C" w:rsidRDefault="006933FF" w:rsidP="00E3062C">
      <w:pPr>
        <w:spacing w:line="360" w:lineRule="auto"/>
        <w:ind w:firstLineChars="200" w:firstLine="480"/>
        <w:rPr>
          <w:sz w:val="24"/>
        </w:rPr>
      </w:pPr>
    </w:p>
    <w:p w14:paraId="18C3938A" w14:textId="77777777" w:rsidR="006933FF" w:rsidRPr="00E3062C" w:rsidRDefault="00E93C6C">
      <w:pPr>
        <w:pStyle w:val="af7"/>
        <w:numPr>
          <w:ilvl w:val="0"/>
          <w:numId w:val="1"/>
        </w:numPr>
        <w:spacing w:line="360" w:lineRule="auto"/>
        <w:ind w:right="238" w:firstLineChars="0"/>
        <w:jc w:val="left"/>
        <w:outlineLvl w:val="0"/>
        <w:rPr>
          <w:sz w:val="24"/>
        </w:rPr>
      </w:pPr>
      <w:r w:rsidRPr="00E3062C">
        <w:rPr>
          <w:rFonts w:hint="eastAsia"/>
          <w:sz w:val="24"/>
        </w:rPr>
        <w:t>富荣价值精选灵活配置混合型发起式证券投资基金</w:t>
      </w:r>
    </w:p>
    <w:p w14:paraId="4AF8D04D" w14:textId="77777777" w:rsidR="006933FF" w:rsidRPr="00E3062C" w:rsidRDefault="00E93C6C">
      <w:pPr>
        <w:spacing w:line="360" w:lineRule="auto"/>
        <w:ind w:firstLineChars="200" w:firstLine="480"/>
        <w:rPr>
          <w:sz w:val="24"/>
        </w:rPr>
      </w:pPr>
      <w:r w:rsidRPr="00E3062C">
        <w:rPr>
          <w:rFonts w:hint="eastAsia"/>
          <w:sz w:val="24"/>
        </w:rPr>
        <w:t>（</w:t>
      </w:r>
      <w:r w:rsidRPr="00E3062C">
        <w:rPr>
          <w:rFonts w:hint="eastAsia"/>
          <w:sz w:val="24"/>
        </w:rPr>
        <w:t>1</w:t>
      </w:r>
      <w:r w:rsidRPr="00E3062C">
        <w:rPr>
          <w:rFonts w:hint="eastAsia"/>
          <w:sz w:val="24"/>
        </w:rPr>
        <w:t>）当前业绩比较基准：中债综合全价</w:t>
      </w:r>
      <w:r w:rsidRPr="00E3062C">
        <w:rPr>
          <w:rFonts w:hint="eastAsia"/>
          <w:sz w:val="24"/>
        </w:rPr>
        <w:t>(</w:t>
      </w:r>
      <w:r w:rsidRPr="00E3062C">
        <w:rPr>
          <w:rFonts w:hint="eastAsia"/>
          <w:sz w:val="24"/>
        </w:rPr>
        <w:t>总值</w:t>
      </w:r>
      <w:r w:rsidRPr="00E3062C">
        <w:rPr>
          <w:rFonts w:hint="eastAsia"/>
          <w:sz w:val="24"/>
        </w:rPr>
        <w:t>)</w:t>
      </w:r>
      <w:r w:rsidRPr="00E3062C">
        <w:rPr>
          <w:rFonts w:hint="eastAsia"/>
          <w:sz w:val="24"/>
        </w:rPr>
        <w:t>指数收益率</w:t>
      </w:r>
      <w:r w:rsidRPr="00E3062C">
        <w:rPr>
          <w:rFonts w:hint="eastAsia"/>
          <w:sz w:val="24"/>
        </w:rPr>
        <w:t>*80%+</w:t>
      </w:r>
      <w:r w:rsidRPr="00E3062C">
        <w:rPr>
          <w:rFonts w:hint="eastAsia"/>
          <w:sz w:val="24"/>
        </w:rPr>
        <w:t>中证可转换债券指数收益率</w:t>
      </w:r>
      <w:r w:rsidRPr="00E3062C">
        <w:rPr>
          <w:rFonts w:hint="eastAsia"/>
          <w:sz w:val="24"/>
        </w:rPr>
        <w:t>*20%</w:t>
      </w:r>
    </w:p>
    <w:p w14:paraId="465BF05D" w14:textId="3D50CE13" w:rsidR="006933FF" w:rsidRPr="00E3062C" w:rsidRDefault="00E93C6C">
      <w:pPr>
        <w:spacing w:line="360" w:lineRule="auto"/>
        <w:ind w:firstLineChars="200" w:firstLine="480"/>
        <w:rPr>
          <w:sz w:val="24"/>
        </w:rPr>
      </w:pPr>
      <w:r w:rsidRPr="00E3062C">
        <w:rPr>
          <w:rFonts w:hint="eastAsia"/>
          <w:sz w:val="24"/>
        </w:rPr>
        <w:t>调整后的新业绩比较基准：中证可转换债券指数收益率</w:t>
      </w:r>
      <w:r w:rsidRPr="00E3062C">
        <w:rPr>
          <w:sz w:val="24"/>
        </w:rPr>
        <w:t>*</w:t>
      </w:r>
      <w:r w:rsidR="00BF4B64" w:rsidRPr="00E3062C">
        <w:rPr>
          <w:rFonts w:hint="eastAsia"/>
          <w:sz w:val="24"/>
        </w:rPr>
        <w:t>65</w:t>
      </w:r>
      <w:r w:rsidRPr="00E3062C">
        <w:rPr>
          <w:sz w:val="24"/>
        </w:rPr>
        <w:t>%+</w:t>
      </w:r>
      <w:r w:rsidRPr="00E3062C">
        <w:rPr>
          <w:rFonts w:hint="eastAsia"/>
          <w:sz w:val="24"/>
        </w:rPr>
        <w:t>中证</w:t>
      </w:r>
      <w:r w:rsidRPr="00E3062C">
        <w:rPr>
          <w:sz w:val="24"/>
        </w:rPr>
        <w:t>800</w:t>
      </w:r>
      <w:r w:rsidRPr="00E3062C">
        <w:rPr>
          <w:rFonts w:hint="eastAsia"/>
          <w:sz w:val="24"/>
        </w:rPr>
        <w:t>指数收益率</w:t>
      </w:r>
      <w:r w:rsidRPr="00E3062C">
        <w:rPr>
          <w:sz w:val="24"/>
        </w:rPr>
        <w:t>*</w:t>
      </w:r>
      <w:r w:rsidR="00BF4B64" w:rsidRPr="00E3062C">
        <w:rPr>
          <w:rFonts w:hint="eastAsia"/>
          <w:sz w:val="24"/>
        </w:rPr>
        <w:t>30</w:t>
      </w:r>
      <w:r w:rsidRPr="00E3062C">
        <w:rPr>
          <w:sz w:val="24"/>
        </w:rPr>
        <w:t>%+</w:t>
      </w:r>
      <w:r w:rsidRPr="00E3062C">
        <w:rPr>
          <w:rFonts w:hint="eastAsia"/>
          <w:sz w:val="24"/>
        </w:rPr>
        <w:t>活期存款基准利率</w:t>
      </w:r>
      <w:r w:rsidRPr="00E3062C">
        <w:rPr>
          <w:sz w:val="24"/>
        </w:rPr>
        <w:t>*5%</w:t>
      </w:r>
    </w:p>
    <w:p w14:paraId="0ED0798A" w14:textId="77777777" w:rsidR="006933FF" w:rsidRPr="00E3062C" w:rsidRDefault="00E93C6C" w:rsidP="00E3062C">
      <w:pPr>
        <w:spacing w:line="360" w:lineRule="auto"/>
        <w:ind w:firstLineChars="200" w:firstLine="480"/>
        <w:rPr>
          <w:sz w:val="24"/>
        </w:rPr>
      </w:pPr>
      <w:r w:rsidRPr="00E3062C">
        <w:rPr>
          <w:rFonts w:hint="eastAsia"/>
          <w:sz w:val="24"/>
        </w:rPr>
        <w:t>（</w:t>
      </w:r>
      <w:r w:rsidRPr="00E3062C">
        <w:rPr>
          <w:rFonts w:hint="eastAsia"/>
          <w:sz w:val="24"/>
        </w:rPr>
        <w:t>2</w:t>
      </w:r>
      <w:r w:rsidRPr="00E3062C">
        <w:rPr>
          <w:rFonts w:hint="eastAsia"/>
          <w:sz w:val="24"/>
        </w:rPr>
        <w:t>）新的业绩比较基准选择原因及合理性：</w:t>
      </w:r>
    </w:p>
    <w:p w14:paraId="7D4029D0" w14:textId="77777777" w:rsidR="006933FF" w:rsidRPr="00E3062C" w:rsidRDefault="00E93C6C">
      <w:pPr>
        <w:spacing w:line="360" w:lineRule="auto"/>
        <w:ind w:firstLineChars="200" w:firstLine="480"/>
        <w:rPr>
          <w:sz w:val="24"/>
        </w:rPr>
      </w:pPr>
      <w:r w:rsidRPr="00E3062C">
        <w:rPr>
          <w:rFonts w:hint="eastAsia"/>
          <w:sz w:val="24"/>
        </w:rPr>
        <w:t>基于投资范围、主要资产类别、历史投资比例及资产配置中枢，本基金增加</w:t>
      </w:r>
      <w:r w:rsidRPr="00E3062C">
        <w:rPr>
          <w:rFonts w:hint="eastAsia"/>
          <w:sz w:val="24"/>
        </w:rPr>
        <w:t>A</w:t>
      </w:r>
      <w:r w:rsidRPr="00E3062C">
        <w:rPr>
          <w:rFonts w:hint="eastAsia"/>
          <w:sz w:val="24"/>
        </w:rPr>
        <w:t>股股票资产作为业绩比较基准，新增</w:t>
      </w:r>
      <w:r w:rsidRPr="00E3062C">
        <w:rPr>
          <w:rFonts w:hint="eastAsia"/>
          <w:sz w:val="24"/>
        </w:rPr>
        <w:t>A</w:t>
      </w:r>
      <w:r w:rsidRPr="00E3062C">
        <w:rPr>
          <w:rFonts w:hint="eastAsia"/>
          <w:sz w:val="24"/>
        </w:rPr>
        <w:t>股股票资产基准要素为中证</w:t>
      </w:r>
      <w:r w:rsidRPr="00E3062C">
        <w:rPr>
          <w:rFonts w:hint="eastAsia"/>
          <w:sz w:val="24"/>
        </w:rPr>
        <w:t>800</w:t>
      </w:r>
      <w:r w:rsidRPr="00E3062C">
        <w:rPr>
          <w:rFonts w:hint="eastAsia"/>
          <w:sz w:val="24"/>
        </w:rPr>
        <w:t>指数。中证</w:t>
      </w:r>
      <w:r w:rsidRPr="00E3062C">
        <w:rPr>
          <w:rFonts w:hint="eastAsia"/>
          <w:sz w:val="24"/>
        </w:rPr>
        <w:t xml:space="preserve"> 800 </w:t>
      </w:r>
      <w:r w:rsidRPr="00E3062C">
        <w:rPr>
          <w:rFonts w:hint="eastAsia"/>
          <w:sz w:val="24"/>
        </w:rPr>
        <w:t>指数（指数代码</w:t>
      </w:r>
      <w:r w:rsidRPr="00E3062C">
        <w:rPr>
          <w:rFonts w:hint="eastAsia"/>
          <w:sz w:val="24"/>
        </w:rPr>
        <w:t xml:space="preserve"> 000906</w:t>
      </w:r>
      <w:r w:rsidRPr="00E3062C">
        <w:rPr>
          <w:rFonts w:hint="eastAsia"/>
          <w:sz w:val="24"/>
        </w:rPr>
        <w:t>）由沪深市场市值较大、流动性较好的</w:t>
      </w:r>
      <w:r w:rsidRPr="00E3062C">
        <w:rPr>
          <w:rFonts w:hint="eastAsia"/>
          <w:sz w:val="24"/>
        </w:rPr>
        <w:t xml:space="preserve"> 800 </w:t>
      </w:r>
      <w:r w:rsidRPr="00E3062C">
        <w:rPr>
          <w:rFonts w:hint="eastAsia"/>
          <w:sz w:val="24"/>
        </w:rPr>
        <w:t>只股票构成，反映沪深市场大中盘上市公司证券的整体表现，调整后的中证</w:t>
      </w:r>
      <w:r w:rsidRPr="00E3062C">
        <w:rPr>
          <w:rFonts w:hint="eastAsia"/>
          <w:sz w:val="24"/>
        </w:rPr>
        <w:t xml:space="preserve"> 800 </w:t>
      </w:r>
      <w:r w:rsidRPr="00E3062C">
        <w:rPr>
          <w:rFonts w:hint="eastAsia"/>
          <w:sz w:val="24"/>
        </w:rPr>
        <w:t>指数与基金实际持股风格更为匹配，从而能够更好反映本基金的产品定位和投资风</w:t>
      </w:r>
      <w:r w:rsidRPr="00E3062C">
        <w:rPr>
          <w:rFonts w:hint="eastAsia"/>
          <w:sz w:val="24"/>
        </w:rPr>
        <w:lastRenderedPageBreak/>
        <w:t>格，适合作为本基金股票部分的业绩比较基准要素。</w:t>
      </w:r>
    </w:p>
    <w:p w14:paraId="73A338F2" w14:textId="73F6BB43" w:rsidR="00523B6F" w:rsidRPr="00E3062C" w:rsidRDefault="00523B6F" w:rsidP="00523B6F">
      <w:pPr>
        <w:spacing w:line="360" w:lineRule="auto"/>
        <w:ind w:firstLineChars="200" w:firstLine="480"/>
        <w:rPr>
          <w:sz w:val="24"/>
        </w:rPr>
      </w:pPr>
      <w:r w:rsidRPr="00E3062C">
        <w:rPr>
          <w:rFonts w:hint="eastAsia"/>
          <w:sz w:val="24"/>
        </w:rPr>
        <w:t>同时基于基金过往仓位情况、投资比例限制以及预期的资产配置比例中枢，调整业绩比较基准中债券部分权重至</w:t>
      </w:r>
      <w:r w:rsidR="00BF4B64" w:rsidRPr="00E3062C">
        <w:rPr>
          <w:rFonts w:hint="eastAsia"/>
          <w:sz w:val="24"/>
        </w:rPr>
        <w:t>65</w:t>
      </w:r>
      <w:r w:rsidRPr="00E3062C">
        <w:rPr>
          <w:rFonts w:hint="eastAsia"/>
          <w:sz w:val="24"/>
        </w:rPr>
        <w:t>%</w:t>
      </w:r>
      <w:r w:rsidRPr="00E3062C">
        <w:rPr>
          <w:rFonts w:hint="eastAsia"/>
          <w:sz w:val="24"/>
        </w:rPr>
        <w:t>，增加股票部分要素权重至</w:t>
      </w:r>
      <w:r w:rsidR="00BF4B64" w:rsidRPr="00E3062C">
        <w:rPr>
          <w:rFonts w:hint="eastAsia"/>
          <w:sz w:val="24"/>
        </w:rPr>
        <w:t>30</w:t>
      </w:r>
      <w:r w:rsidRPr="00E3062C">
        <w:rPr>
          <w:rFonts w:hint="eastAsia"/>
          <w:sz w:val="24"/>
        </w:rPr>
        <w:t>%</w:t>
      </w:r>
      <w:r w:rsidRPr="00E3062C">
        <w:rPr>
          <w:rFonts w:hint="eastAsia"/>
          <w:sz w:val="24"/>
        </w:rPr>
        <w:t>，并选取人民币活期存款基准利率作为现金资产部分的业绩比较基准要素并将权重设置为</w:t>
      </w:r>
      <w:r w:rsidRPr="00E3062C">
        <w:rPr>
          <w:rFonts w:hint="eastAsia"/>
          <w:sz w:val="24"/>
        </w:rPr>
        <w:t>5%</w:t>
      </w:r>
      <w:r w:rsidRPr="00E3062C">
        <w:rPr>
          <w:rFonts w:hint="eastAsia"/>
          <w:sz w:val="24"/>
        </w:rPr>
        <w:t>。</w:t>
      </w:r>
    </w:p>
    <w:p w14:paraId="6C40D8F7" w14:textId="77777777" w:rsidR="006933FF" w:rsidRPr="00E3062C" w:rsidRDefault="00E93C6C">
      <w:pPr>
        <w:spacing w:line="360" w:lineRule="auto"/>
        <w:ind w:firstLineChars="200" w:firstLine="480"/>
        <w:rPr>
          <w:sz w:val="24"/>
        </w:rPr>
      </w:pPr>
      <w:r w:rsidRPr="00E3062C">
        <w:rPr>
          <w:rFonts w:hint="eastAsia"/>
          <w:sz w:val="24"/>
        </w:rPr>
        <w:t>因此调整后的业绩比较基准能够更好匹配本基金的产品定位和投资风格，提高基金业绩表现与业绩比较基准的可比性。</w:t>
      </w:r>
    </w:p>
    <w:p w14:paraId="15AA9F53" w14:textId="77777777" w:rsidR="006933FF" w:rsidRPr="00E3062C" w:rsidRDefault="006933FF" w:rsidP="00E3062C">
      <w:pPr>
        <w:spacing w:line="360" w:lineRule="auto"/>
        <w:ind w:firstLineChars="200" w:firstLine="480"/>
        <w:rPr>
          <w:sz w:val="24"/>
        </w:rPr>
      </w:pPr>
    </w:p>
    <w:p w14:paraId="100F0A48" w14:textId="77777777" w:rsidR="006933FF" w:rsidRPr="00E3062C" w:rsidRDefault="00E93C6C">
      <w:pPr>
        <w:pStyle w:val="af7"/>
        <w:numPr>
          <w:ilvl w:val="0"/>
          <w:numId w:val="1"/>
        </w:numPr>
        <w:spacing w:line="360" w:lineRule="auto"/>
        <w:ind w:right="238" w:firstLineChars="0"/>
        <w:jc w:val="left"/>
        <w:outlineLvl w:val="0"/>
        <w:rPr>
          <w:sz w:val="24"/>
        </w:rPr>
      </w:pPr>
      <w:r w:rsidRPr="00E3062C">
        <w:rPr>
          <w:rFonts w:hint="eastAsia"/>
          <w:sz w:val="24"/>
        </w:rPr>
        <w:t>富荣富乾债券型证券投资基金</w:t>
      </w:r>
    </w:p>
    <w:p w14:paraId="1E79D008" w14:textId="77777777" w:rsidR="006933FF" w:rsidRPr="00E3062C" w:rsidRDefault="00E93C6C">
      <w:pPr>
        <w:spacing w:line="360" w:lineRule="auto"/>
        <w:ind w:firstLineChars="200" w:firstLine="480"/>
        <w:rPr>
          <w:sz w:val="24"/>
        </w:rPr>
      </w:pPr>
      <w:r w:rsidRPr="00E3062C">
        <w:rPr>
          <w:rFonts w:hint="eastAsia"/>
          <w:sz w:val="24"/>
        </w:rPr>
        <w:t>（</w:t>
      </w:r>
      <w:r w:rsidRPr="00E3062C">
        <w:rPr>
          <w:rFonts w:hint="eastAsia"/>
          <w:sz w:val="24"/>
        </w:rPr>
        <w:t>1</w:t>
      </w:r>
      <w:r w:rsidRPr="00E3062C">
        <w:rPr>
          <w:rFonts w:hint="eastAsia"/>
          <w:sz w:val="24"/>
        </w:rPr>
        <w:t>）当前业绩比较基准：中债综合指数</w:t>
      </w:r>
      <w:r w:rsidRPr="00E3062C">
        <w:rPr>
          <w:rFonts w:hint="eastAsia"/>
          <w:sz w:val="24"/>
        </w:rPr>
        <w:t>(</w:t>
      </w:r>
      <w:r w:rsidRPr="00E3062C">
        <w:rPr>
          <w:rFonts w:hint="eastAsia"/>
          <w:sz w:val="24"/>
        </w:rPr>
        <w:t>总财富</w:t>
      </w:r>
      <w:r w:rsidRPr="00E3062C">
        <w:rPr>
          <w:rFonts w:hint="eastAsia"/>
          <w:sz w:val="24"/>
        </w:rPr>
        <w:t>)</w:t>
      </w:r>
      <w:r w:rsidRPr="00E3062C">
        <w:rPr>
          <w:rFonts w:hint="eastAsia"/>
          <w:sz w:val="24"/>
        </w:rPr>
        <w:t>收益率</w:t>
      </w:r>
      <w:r w:rsidRPr="00E3062C">
        <w:rPr>
          <w:rFonts w:hint="eastAsia"/>
          <w:sz w:val="24"/>
        </w:rPr>
        <w:t>*90%+1</w:t>
      </w:r>
      <w:r w:rsidRPr="00E3062C">
        <w:rPr>
          <w:rFonts w:hint="eastAsia"/>
          <w:sz w:val="24"/>
        </w:rPr>
        <w:t>年期定期存款利率</w:t>
      </w:r>
      <w:r w:rsidRPr="00E3062C">
        <w:rPr>
          <w:rFonts w:hint="eastAsia"/>
          <w:sz w:val="24"/>
        </w:rPr>
        <w:t>(</w:t>
      </w:r>
      <w:r w:rsidRPr="00E3062C">
        <w:rPr>
          <w:rFonts w:hint="eastAsia"/>
          <w:sz w:val="24"/>
        </w:rPr>
        <w:t>税后</w:t>
      </w:r>
      <w:r w:rsidRPr="00E3062C">
        <w:rPr>
          <w:rFonts w:hint="eastAsia"/>
          <w:sz w:val="24"/>
        </w:rPr>
        <w:t>)*10%</w:t>
      </w:r>
    </w:p>
    <w:p w14:paraId="422E94CE" w14:textId="77777777" w:rsidR="006933FF" w:rsidRPr="00E3062C" w:rsidRDefault="00E93C6C">
      <w:pPr>
        <w:spacing w:line="360" w:lineRule="auto"/>
        <w:ind w:firstLineChars="200" w:firstLine="480"/>
        <w:rPr>
          <w:sz w:val="24"/>
        </w:rPr>
      </w:pPr>
      <w:r w:rsidRPr="00E3062C">
        <w:rPr>
          <w:rFonts w:hint="eastAsia"/>
          <w:sz w:val="24"/>
        </w:rPr>
        <w:t>调整后的新业绩比较基准：中债</w:t>
      </w:r>
      <w:r w:rsidRPr="00E3062C">
        <w:rPr>
          <w:rFonts w:hint="eastAsia"/>
          <w:sz w:val="24"/>
        </w:rPr>
        <w:t>-</w:t>
      </w:r>
      <w:r w:rsidRPr="00E3062C">
        <w:rPr>
          <w:rFonts w:hint="eastAsia"/>
          <w:sz w:val="24"/>
        </w:rPr>
        <w:t>综合财富</w:t>
      </w:r>
      <w:r w:rsidRPr="00E3062C">
        <w:rPr>
          <w:rFonts w:hint="eastAsia"/>
          <w:sz w:val="24"/>
        </w:rPr>
        <w:t>(</w:t>
      </w:r>
      <w:r w:rsidRPr="00E3062C">
        <w:rPr>
          <w:rFonts w:hint="eastAsia"/>
          <w:sz w:val="24"/>
        </w:rPr>
        <w:t>总值</w:t>
      </w:r>
      <w:r w:rsidRPr="00E3062C">
        <w:rPr>
          <w:rFonts w:hint="eastAsia"/>
          <w:sz w:val="24"/>
        </w:rPr>
        <w:t>)</w:t>
      </w:r>
      <w:r w:rsidRPr="00E3062C">
        <w:rPr>
          <w:rFonts w:hint="eastAsia"/>
          <w:sz w:val="24"/>
        </w:rPr>
        <w:t>指数收益率</w:t>
      </w:r>
      <w:r w:rsidRPr="00E3062C">
        <w:rPr>
          <w:rFonts w:hint="eastAsia"/>
          <w:sz w:val="24"/>
        </w:rPr>
        <w:t>*80%+</w:t>
      </w:r>
      <w:r w:rsidRPr="00E3062C">
        <w:rPr>
          <w:rFonts w:hint="eastAsia"/>
          <w:sz w:val="24"/>
        </w:rPr>
        <w:t>中证</w:t>
      </w:r>
      <w:r w:rsidRPr="00E3062C">
        <w:rPr>
          <w:rFonts w:hint="eastAsia"/>
          <w:sz w:val="24"/>
        </w:rPr>
        <w:t>800</w:t>
      </w:r>
      <w:r w:rsidRPr="00E3062C">
        <w:rPr>
          <w:rFonts w:hint="eastAsia"/>
          <w:sz w:val="24"/>
        </w:rPr>
        <w:t>指数收益率</w:t>
      </w:r>
      <w:r w:rsidRPr="00E3062C">
        <w:rPr>
          <w:rFonts w:hint="eastAsia"/>
          <w:sz w:val="24"/>
        </w:rPr>
        <w:t>*15%+</w:t>
      </w:r>
      <w:r w:rsidRPr="00E3062C">
        <w:rPr>
          <w:rFonts w:hint="eastAsia"/>
          <w:sz w:val="24"/>
        </w:rPr>
        <w:t>活期存款基准利率</w:t>
      </w:r>
      <w:r w:rsidRPr="00E3062C">
        <w:rPr>
          <w:rFonts w:hint="eastAsia"/>
          <w:sz w:val="24"/>
        </w:rPr>
        <w:t>*5%</w:t>
      </w:r>
    </w:p>
    <w:p w14:paraId="100F6AC5" w14:textId="77777777" w:rsidR="006933FF" w:rsidRPr="00E3062C" w:rsidRDefault="00E93C6C">
      <w:pPr>
        <w:spacing w:line="360" w:lineRule="auto"/>
        <w:ind w:firstLineChars="200" w:firstLine="480"/>
        <w:rPr>
          <w:sz w:val="24"/>
        </w:rPr>
      </w:pPr>
      <w:r w:rsidRPr="00E3062C">
        <w:rPr>
          <w:rFonts w:hint="eastAsia"/>
          <w:sz w:val="24"/>
        </w:rPr>
        <w:t>（</w:t>
      </w:r>
      <w:r w:rsidRPr="00E3062C">
        <w:rPr>
          <w:rFonts w:hint="eastAsia"/>
          <w:sz w:val="24"/>
        </w:rPr>
        <w:t>2</w:t>
      </w:r>
      <w:r w:rsidRPr="00E3062C">
        <w:rPr>
          <w:rFonts w:hint="eastAsia"/>
          <w:sz w:val="24"/>
        </w:rPr>
        <w:t>）新的业绩比较基准选择原因及合理性：</w:t>
      </w:r>
    </w:p>
    <w:p w14:paraId="06AF14AC" w14:textId="77777777" w:rsidR="006933FF" w:rsidRPr="00E3062C" w:rsidRDefault="00E93C6C">
      <w:pPr>
        <w:spacing w:line="360" w:lineRule="auto"/>
        <w:ind w:firstLineChars="200" w:firstLine="480"/>
        <w:rPr>
          <w:sz w:val="24"/>
        </w:rPr>
      </w:pPr>
      <w:r w:rsidRPr="00E3062C">
        <w:rPr>
          <w:rFonts w:hint="eastAsia"/>
          <w:sz w:val="24"/>
        </w:rPr>
        <w:t>基于投资范围、主要资产类别、历史投资比例及资产配置中枢，本基金增加</w:t>
      </w:r>
      <w:r w:rsidRPr="00E3062C">
        <w:rPr>
          <w:rFonts w:hint="eastAsia"/>
          <w:sz w:val="24"/>
        </w:rPr>
        <w:t>A</w:t>
      </w:r>
      <w:r w:rsidRPr="00E3062C">
        <w:rPr>
          <w:rFonts w:hint="eastAsia"/>
          <w:sz w:val="24"/>
        </w:rPr>
        <w:t>股股票资产作为业绩比较基准，新增</w:t>
      </w:r>
      <w:r w:rsidRPr="00E3062C">
        <w:rPr>
          <w:rFonts w:hint="eastAsia"/>
          <w:sz w:val="24"/>
        </w:rPr>
        <w:t xml:space="preserve"> A </w:t>
      </w:r>
      <w:r w:rsidRPr="00E3062C">
        <w:rPr>
          <w:rFonts w:hint="eastAsia"/>
          <w:sz w:val="24"/>
        </w:rPr>
        <w:t>股股票资产基准要素为中证</w:t>
      </w:r>
      <w:r w:rsidRPr="00E3062C">
        <w:rPr>
          <w:rFonts w:hint="eastAsia"/>
          <w:sz w:val="24"/>
        </w:rPr>
        <w:t>800</w:t>
      </w:r>
      <w:r w:rsidRPr="00E3062C">
        <w:rPr>
          <w:rFonts w:hint="eastAsia"/>
          <w:sz w:val="24"/>
        </w:rPr>
        <w:t>指数。中证</w:t>
      </w:r>
      <w:r w:rsidRPr="00E3062C">
        <w:rPr>
          <w:rFonts w:hint="eastAsia"/>
          <w:sz w:val="24"/>
        </w:rPr>
        <w:t xml:space="preserve"> 800 </w:t>
      </w:r>
      <w:r w:rsidRPr="00E3062C">
        <w:rPr>
          <w:rFonts w:hint="eastAsia"/>
          <w:sz w:val="24"/>
        </w:rPr>
        <w:t>指数（指数代码</w:t>
      </w:r>
      <w:r w:rsidRPr="00E3062C">
        <w:rPr>
          <w:rFonts w:hint="eastAsia"/>
          <w:sz w:val="24"/>
        </w:rPr>
        <w:t xml:space="preserve"> 000906</w:t>
      </w:r>
      <w:r w:rsidRPr="00E3062C">
        <w:rPr>
          <w:rFonts w:hint="eastAsia"/>
          <w:sz w:val="24"/>
        </w:rPr>
        <w:t>）由沪深市场市值较大、流动性较好的</w:t>
      </w:r>
      <w:r w:rsidRPr="00E3062C">
        <w:rPr>
          <w:rFonts w:hint="eastAsia"/>
          <w:sz w:val="24"/>
        </w:rPr>
        <w:t xml:space="preserve"> 800 </w:t>
      </w:r>
      <w:r w:rsidRPr="00E3062C">
        <w:rPr>
          <w:rFonts w:hint="eastAsia"/>
          <w:sz w:val="24"/>
        </w:rPr>
        <w:t>只股票构成，反映沪深市场大中盘上市公司证券的整体表现，调整后的中证</w:t>
      </w:r>
      <w:r w:rsidRPr="00E3062C">
        <w:rPr>
          <w:rFonts w:hint="eastAsia"/>
          <w:sz w:val="24"/>
        </w:rPr>
        <w:t xml:space="preserve"> 800 </w:t>
      </w:r>
      <w:r w:rsidRPr="00E3062C">
        <w:rPr>
          <w:rFonts w:hint="eastAsia"/>
          <w:sz w:val="24"/>
        </w:rPr>
        <w:t>指数与基金实际持股风格更为匹配，从而能够更好反映本基金的产品定位和投资风格，适合作为本基金股票部分的业绩比较基准要素。</w:t>
      </w:r>
    </w:p>
    <w:p w14:paraId="28462881" w14:textId="77777777" w:rsidR="006933FF" w:rsidRPr="00E3062C" w:rsidRDefault="00E93C6C">
      <w:pPr>
        <w:spacing w:line="360" w:lineRule="auto"/>
        <w:ind w:firstLineChars="200" w:firstLine="480"/>
        <w:rPr>
          <w:sz w:val="24"/>
        </w:rPr>
      </w:pPr>
      <w:r w:rsidRPr="00E3062C">
        <w:rPr>
          <w:rFonts w:hint="eastAsia"/>
          <w:sz w:val="24"/>
        </w:rPr>
        <w:t>同时基于基金过往仓位情况、投资比例限制以及预期的资产配置比例中枢，降低业绩比较基准中债券部分要素权重至</w:t>
      </w:r>
      <w:r w:rsidRPr="00E3062C">
        <w:rPr>
          <w:rFonts w:hint="eastAsia"/>
          <w:sz w:val="24"/>
        </w:rPr>
        <w:t xml:space="preserve"> 80%</w:t>
      </w:r>
      <w:r w:rsidRPr="00E3062C">
        <w:rPr>
          <w:rFonts w:hint="eastAsia"/>
          <w:sz w:val="24"/>
        </w:rPr>
        <w:t>，新增股票部分权重至</w:t>
      </w:r>
      <w:r w:rsidRPr="00E3062C">
        <w:rPr>
          <w:rFonts w:hint="eastAsia"/>
          <w:sz w:val="24"/>
        </w:rPr>
        <w:t xml:space="preserve"> 15%</w:t>
      </w:r>
      <w:r w:rsidRPr="00E3062C">
        <w:rPr>
          <w:rFonts w:hint="eastAsia"/>
          <w:sz w:val="24"/>
        </w:rPr>
        <w:t>，并选取人民币活期存款基准利率作为现金资产部分的业绩比较基准要素并将权重设置为</w:t>
      </w:r>
      <w:r w:rsidRPr="00E3062C">
        <w:rPr>
          <w:rFonts w:hint="eastAsia"/>
          <w:sz w:val="24"/>
        </w:rPr>
        <w:t>5%</w:t>
      </w:r>
      <w:r w:rsidRPr="00E3062C">
        <w:rPr>
          <w:rFonts w:hint="eastAsia"/>
          <w:sz w:val="24"/>
        </w:rPr>
        <w:t>。</w:t>
      </w:r>
    </w:p>
    <w:p w14:paraId="535F4DD6" w14:textId="77777777" w:rsidR="006933FF" w:rsidRDefault="00E93C6C">
      <w:pPr>
        <w:spacing w:line="360" w:lineRule="auto"/>
        <w:ind w:firstLineChars="200" w:firstLine="480"/>
        <w:rPr>
          <w:sz w:val="24"/>
        </w:rPr>
      </w:pPr>
      <w:r w:rsidRPr="00E3062C">
        <w:rPr>
          <w:rFonts w:hint="eastAsia"/>
          <w:sz w:val="24"/>
        </w:rPr>
        <w:t>因此调整后的业绩比较基准能够更好匹配本基金的产品定位和投资风格，提高基金业绩表现与业绩比较基准的可比性。</w:t>
      </w:r>
    </w:p>
    <w:p w14:paraId="59998287" w14:textId="77777777" w:rsidR="006933FF" w:rsidRPr="00E3062C" w:rsidRDefault="006933FF" w:rsidP="00E3062C">
      <w:pPr>
        <w:spacing w:line="360" w:lineRule="auto"/>
        <w:ind w:firstLineChars="200" w:firstLine="480"/>
        <w:rPr>
          <w:sz w:val="24"/>
        </w:rPr>
      </w:pPr>
    </w:p>
    <w:sectPr w:rsidR="006933FF" w:rsidRPr="00E3062C">
      <w:footerReference w:type="default" r:id="rId7"/>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8F8BC" w14:textId="77777777" w:rsidR="00E93C6C" w:rsidRDefault="00E93C6C">
      <w:r>
        <w:separator/>
      </w:r>
    </w:p>
  </w:endnote>
  <w:endnote w:type="continuationSeparator" w:id="0">
    <w:p w14:paraId="4928594A" w14:textId="77777777" w:rsidR="00E93C6C" w:rsidRDefault="00E93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9CE19" w14:textId="77777777" w:rsidR="006933FF" w:rsidRDefault="00E93C6C">
    <w:pPr>
      <w:jc w:val="center"/>
    </w:pPr>
    <w:r>
      <w:fldChar w:fldCharType="begin"/>
    </w:r>
    <w:r>
      <w:instrText xml:space="preserve"> PAGE   \* MERGEFORMAT </w:instrText>
    </w:r>
    <w:r>
      <w:fldChar w:fldCharType="separate"/>
    </w:r>
    <w:r>
      <w:rPr>
        <w:lang w:val="zh-CN"/>
      </w:rPr>
      <w:t>8</w:t>
    </w:r>
    <w:r>
      <w:rPr>
        <w:lang w:val="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EA510" w14:textId="77777777" w:rsidR="00E93C6C" w:rsidRDefault="00E93C6C">
      <w:r>
        <w:separator/>
      </w:r>
    </w:p>
  </w:footnote>
  <w:footnote w:type="continuationSeparator" w:id="0">
    <w:p w14:paraId="345F10A3" w14:textId="77777777" w:rsidR="00E93C6C" w:rsidRDefault="00E93C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46C46"/>
    <w:multiLevelType w:val="multilevel"/>
    <w:tmpl w:val="5C946C46"/>
    <w:lvl w:ilvl="0">
      <w:start w:val="1"/>
      <w:numFmt w:val="decimal"/>
      <w:suff w:val="nothing"/>
      <w:lvlText w:val="%1、"/>
      <w:lvlJc w:val="left"/>
      <w:pPr>
        <w:ind w:left="840" w:hanging="360"/>
      </w:pPr>
      <w:rPr>
        <w:rFonts w:hint="default"/>
      </w:rPr>
    </w:lvl>
    <w:lvl w:ilvl="1">
      <w:start w:val="1"/>
      <w:numFmt w:val="decimal"/>
      <w:lvlText w:val="（%2）"/>
      <w:lvlJc w:val="left"/>
      <w:pPr>
        <w:ind w:left="1640" w:hanging="720"/>
      </w:pPr>
      <w:rPr>
        <w:rFonts w:hint="default"/>
      </w:r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 w15:restartNumberingAfterBreak="0">
    <w:nsid w:val="67AE4F84"/>
    <w:multiLevelType w:val="multilevel"/>
    <w:tmpl w:val="67AE4F84"/>
    <w:lvl w:ilvl="0">
      <w:start w:val="1"/>
      <w:numFmt w:val="decimal"/>
      <w:lvlText w:val="（%1）"/>
      <w:lvlJc w:val="left"/>
      <w:pPr>
        <w:ind w:left="1140" w:hanging="720"/>
      </w:pPr>
      <w:rPr>
        <w:rFont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num w:numId="1" w16cid:durableId="462504167">
    <w:abstractNumId w:val="0"/>
  </w:num>
  <w:num w:numId="2" w16cid:durableId="1325427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8BC"/>
    <w:rsid w:val="D1C56AA3"/>
    <w:rsid w:val="DE6A1415"/>
    <w:rsid w:val="E3EE09E8"/>
    <w:rsid w:val="F47EEBC3"/>
    <w:rsid w:val="FB6FC1AB"/>
    <w:rsid w:val="FE7E496E"/>
    <w:rsid w:val="00000065"/>
    <w:rsid w:val="00003C93"/>
    <w:rsid w:val="00005EBA"/>
    <w:rsid w:val="00013779"/>
    <w:rsid w:val="000173F2"/>
    <w:rsid w:val="00022A7C"/>
    <w:rsid w:val="00035613"/>
    <w:rsid w:val="00040DA8"/>
    <w:rsid w:val="00047A24"/>
    <w:rsid w:val="000526A9"/>
    <w:rsid w:val="000526CC"/>
    <w:rsid w:val="00074BC1"/>
    <w:rsid w:val="00077A43"/>
    <w:rsid w:val="0008647F"/>
    <w:rsid w:val="000874DA"/>
    <w:rsid w:val="00087ACA"/>
    <w:rsid w:val="00087FA5"/>
    <w:rsid w:val="000977E1"/>
    <w:rsid w:val="000B0E78"/>
    <w:rsid w:val="000D0CD0"/>
    <w:rsid w:val="000D1E80"/>
    <w:rsid w:val="000D5D62"/>
    <w:rsid w:val="000D72F4"/>
    <w:rsid w:val="000F6254"/>
    <w:rsid w:val="0010006D"/>
    <w:rsid w:val="00105192"/>
    <w:rsid w:val="00106AE1"/>
    <w:rsid w:val="00107C78"/>
    <w:rsid w:val="00112A1A"/>
    <w:rsid w:val="00112DE1"/>
    <w:rsid w:val="001145EC"/>
    <w:rsid w:val="0011579C"/>
    <w:rsid w:val="00116734"/>
    <w:rsid w:val="001233DA"/>
    <w:rsid w:val="00126592"/>
    <w:rsid w:val="00136A45"/>
    <w:rsid w:val="00137EE5"/>
    <w:rsid w:val="001412A7"/>
    <w:rsid w:val="00142835"/>
    <w:rsid w:val="00143314"/>
    <w:rsid w:val="0014725D"/>
    <w:rsid w:val="00147497"/>
    <w:rsid w:val="00160556"/>
    <w:rsid w:val="0016321B"/>
    <w:rsid w:val="00164BC0"/>
    <w:rsid w:val="00165E2E"/>
    <w:rsid w:val="001726FB"/>
    <w:rsid w:val="00177E74"/>
    <w:rsid w:val="00180381"/>
    <w:rsid w:val="00181FA8"/>
    <w:rsid w:val="00182296"/>
    <w:rsid w:val="00186F1C"/>
    <w:rsid w:val="001A3497"/>
    <w:rsid w:val="001A38BC"/>
    <w:rsid w:val="001A4A68"/>
    <w:rsid w:val="001B063A"/>
    <w:rsid w:val="001B3276"/>
    <w:rsid w:val="001B6821"/>
    <w:rsid w:val="001B7AA4"/>
    <w:rsid w:val="001C1B29"/>
    <w:rsid w:val="001C3BAE"/>
    <w:rsid w:val="001D22F3"/>
    <w:rsid w:val="001D4017"/>
    <w:rsid w:val="001D430D"/>
    <w:rsid w:val="001E62C3"/>
    <w:rsid w:val="001E6AA4"/>
    <w:rsid w:val="001F4DB1"/>
    <w:rsid w:val="001F6B75"/>
    <w:rsid w:val="00200221"/>
    <w:rsid w:val="002029BA"/>
    <w:rsid w:val="0021251F"/>
    <w:rsid w:val="002151DD"/>
    <w:rsid w:val="00221A80"/>
    <w:rsid w:val="00223F7F"/>
    <w:rsid w:val="00226BF3"/>
    <w:rsid w:val="00231437"/>
    <w:rsid w:val="00240DEF"/>
    <w:rsid w:val="002461C4"/>
    <w:rsid w:val="002630DD"/>
    <w:rsid w:val="00265C95"/>
    <w:rsid w:val="002760F2"/>
    <w:rsid w:val="00295525"/>
    <w:rsid w:val="002C0F74"/>
    <w:rsid w:val="002C274B"/>
    <w:rsid w:val="002C5DA6"/>
    <w:rsid w:val="002D1FCF"/>
    <w:rsid w:val="002D4E66"/>
    <w:rsid w:val="002D77DB"/>
    <w:rsid w:val="002E2CD8"/>
    <w:rsid w:val="002E351E"/>
    <w:rsid w:val="002E5AD9"/>
    <w:rsid w:val="002E63BF"/>
    <w:rsid w:val="002F1281"/>
    <w:rsid w:val="002F3650"/>
    <w:rsid w:val="003005D8"/>
    <w:rsid w:val="00301FBB"/>
    <w:rsid w:val="00303620"/>
    <w:rsid w:val="003054FB"/>
    <w:rsid w:val="00306FDD"/>
    <w:rsid w:val="003137EC"/>
    <w:rsid w:val="00314E69"/>
    <w:rsid w:val="0031786C"/>
    <w:rsid w:val="00320A20"/>
    <w:rsid w:val="003237EE"/>
    <w:rsid w:val="00327BA2"/>
    <w:rsid w:val="00333045"/>
    <w:rsid w:val="00344160"/>
    <w:rsid w:val="00344D40"/>
    <w:rsid w:val="003560CF"/>
    <w:rsid w:val="00366842"/>
    <w:rsid w:val="00366F83"/>
    <w:rsid w:val="003763E5"/>
    <w:rsid w:val="003839A1"/>
    <w:rsid w:val="0038716C"/>
    <w:rsid w:val="003923B0"/>
    <w:rsid w:val="00392D72"/>
    <w:rsid w:val="0039355A"/>
    <w:rsid w:val="00396394"/>
    <w:rsid w:val="003A4492"/>
    <w:rsid w:val="003B04A1"/>
    <w:rsid w:val="003B0D46"/>
    <w:rsid w:val="003B1934"/>
    <w:rsid w:val="003B2AA9"/>
    <w:rsid w:val="003B3FD0"/>
    <w:rsid w:val="003C4B75"/>
    <w:rsid w:val="003D2828"/>
    <w:rsid w:val="003D5676"/>
    <w:rsid w:val="003D70BD"/>
    <w:rsid w:val="003E0ACD"/>
    <w:rsid w:val="003E1945"/>
    <w:rsid w:val="003E377F"/>
    <w:rsid w:val="003E6CFE"/>
    <w:rsid w:val="003F2516"/>
    <w:rsid w:val="003F2D9D"/>
    <w:rsid w:val="003F33D5"/>
    <w:rsid w:val="003F6134"/>
    <w:rsid w:val="00401C46"/>
    <w:rsid w:val="00404BDF"/>
    <w:rsid w:val="00416947"/>
    <w:rsid w:val="004209D7"/>
    <w:rsid w:val="00424B48"/>
    <w:rsid w:val="00430206"/>
    <w:rsid w:val="004450B9"/>
    <w:rsid w:val="0044610C"/>
    <w:rsid w:val="004539F0"/>
    <w:rsid w:val="004541CE"/>
    <w:rsid w:val="00455EFC"/>
    <w:rsid w:val="00457D61"/>
    <w:rsid w:val="004611AF"/>
    <w:rsid w:val="00461980"/>
    <w:rsid w:val="0046258C"/>
    <w:rsid w:val="00463263"/>
    <w:rsid w:val="0046356D"/>
    <w:rsid w:val="00465747"/>
    <w:rsid w:val="00465FE0"/>
    <w:rsid w:val="004736FE"/>
    <w:rsid w:val="00475415"/>
    <w:rsid w:val="00476701"/>
    <w:rsid w:val="00484870"/>
    <w:rsid w:val="004A2494"/>
    <w:rsid w:val="004A2A90"/>
    <w:rsid w:val="004A3919"/>
    <w:rsid w:val="004A42AE"/>
    <w:rsid w:val="004B2A7C"/>
    <w:rsid w:val="004B3815"/>
    <w:rsid w:val="004D5C81"/>
    <w:rsid w:val="004E42C4"/>
    <w:rsid w:val="004E7AA1"/>
    <w:rsid w:val="005023B3"/>
    <w:rsid w:val="00503CDA"/>
    <w:rsid w:val="0050644F"/>
    <w:rsid w:val="00511CBE"/>
    <w:rsid w:val="00515D6B"/>
    <w:rsid w:val="00520E79"/>
    <w:rsid w:val="00523B6F"/>
    <w:rsid w:val="005271B2"/>
    <w:rsid w:val="0053161A"/>
    <w:rsid w:val="00536913"/>
    <w:rsid w:val="005414E3"/>
    <w:rsid w:val="00542D6F"/>
    <w:rsid w:val="00545B70"/>
    <w:rsid w:val="00546235"/>
    <w:rsid w:val="00564326"/>
    <w:rsid w:val="00564483"/>
    <w:rsid w:val="00571200"/>
    <w:rsid w:val="00585C51"/>
    <w:rsid w:val="00587DB6"/>
    <w:rsid w:val="00587FB9"/>
    <w:rsid w:val="00593D62"/>
    <w:rsid w:val="00593EA0"/>
    <w:rsid w:val="005A3A17"/>
    <w:rsid w:val="005A73C1"/>
    <w:rsid w:val="005A7FB6"/>
    <w:rsid w:val="005B5C82"/>
    <w:rsid w:val="005B6CD3"/>
    <w:rsid w:val="005C0CA5"/>
    <w:rsid w:val="005C1356"/>
    <w:rsid w:val="005C3FCB"/>
    <w:rsid w:val="005D1704"/>
    <w:rsid w:val="005D34D4"/>
    <w:rsid w:val="005D38C0"/>
    <w:rsid w:val="005D555D"/>
    <w:rsid w:val="005D7BA1"/>
    <w:rsid w:val="005D7D73"/>
    <w:rsid w:val="005E0D3D"/>
    <w:rsid w:val="005E2BB8"/>
    <w:rsid w:val="005E6E50"/>
    <w:rsid w:val="005F5C25"/>
    <w:rsid w:val="005F64F6"/>
    <w:rsid w:val="0060686C"/>
    <w:rsid w:val="006101CB"/>
    <w:rsid w:val="00611A11"/>
    <w:rsid w:val="0061234E"/>
    <w:rsid w:val="00614CBC"/>
    <w:rsid w:val="006213CC"/>
    <w:rsid w:val="006235DD"/>
    <w:rsid w:val="006237A4"/>
    <w:rsid w:val="006256BC"/>
    <w:rsid w:val="00631464"/>
    <w:rsid w:val="00647A51"/>
    <w:rsid w:val="00647D13"/>
    <w:rsid w:val="006601FB"/>
    <w:rsid w:val="00662B50"/>
    <w:rsid w:val="00670ADC"/>
    <w:rsid w:val="006756E7"/>
    <w:rsid w:val="00685003"/>
    <w:rsid w:val="00686846"/>
    <w:rsid w:val="00687901"/>
    <w:rsid w:val="00690696"/>
    <w:rsid w:val="006933FF"/>
    <w:rsid w:val="006A2F1F"/>
    <w:rsid w:val="006A48DC"/>
    <w:rsid w:val="006B08E5"/>
    <w:rsid w:val="006B3D19"/>
    <w:rsid w:val="006B5753"/>
    <w:rsid w:val="006B6308"/>
    <w:rsid w:val="006B7D26"/>
    <w:rsid w:val="006C5DA8"/>
    <w:rsid w:val="006C7F3C"/>
    <w:rsid w:val="006D18E7"/>
    <w:rsid w:val="006E0CBE"/>
    <w:rsid w:val="006E1721"/>
    <w:rsid w:val="006E1770"/>
    <w:rsid w:val="006E2C21"/>
    <w:rsid w:val="006E30D8"/>
    <w:rsid w:val="006F5898"/>
    <w:rsid w:val="00702E01"/>
    <w:rsid w:val="0070320C"/>
    <w:rsid w:val="007038EB"/>
    <w:rsid w:val="00710DFA"/>
    <w:rsid w:val="00711B56"/>
    <w:rsid w:val="0072255B"/>
    <w:rsid w:val="007252DA"/>
    <w:rsid w:val="0072556E"/>
    <w:rsid w:val="00733AE5"/>
    <w:rsid w:val="007371CD"/>
    <w:rsid w:val="00737EB2"/>
    <w:rsid w:val="00737FDD"/>
    <w:rsid w:val="007539E3"/>
    <w:rsid w:val="00754FDF"/>
    <w:rsid w:val="0076428A"/>
    <w:rsid w:val="007676FC"/>
    <w:rsid w:val="007706D7"/>
    <w:rsid w:val="00780E73"/>
    <w:rsid w:val="00783BBA"/>
    <w:rsid w:val="0079536D"/>
    <w:rsid w:val="0079764F"/>
    <w:rsid w:val="007A0F8B"/>
    <w:rsid w:val="007A3050"/>
    <w:rsid w:val="007B7D8D"/>
    <w:rsid w:val="007C2024"/>
    <w:rsid w:val="007C2162"/>
    <w:rsid w:val="007D586B"/>
    <w:rsid w:val="007E14EA"/>
    <w:rsid w:val="007F08F7"/>
    <w:rsid w:val="008019E5"/>
    <w:rsid w:val="00801DD7"/>
    <w:rsid w:val="00810AB1"/>
    <w:rsid w:val="00810D99"/>
    <w:rsid w:val="0081350F"/>
    <w:rsid w:val="00814E76"/>
    <w:rsid w:val="008229BE"/>
    <w:rsid w:val="0082398F"/>
    <w:rsid w:val="008251DD"/>
    <w:rsid w:val="00830064"/>
    <w:rsid w:val="00834F9E"/>
    <w:rsid w:val="0083516B"/>
    <w:rsid w:val="008366C4"/>
    <w:rsid w:val="00845E41"/>
    <w:rsid w:val="008604DF"/>
    <w:rsid w:val="00873A2B"/>
    <w:rsid w:val="00890B9D"/>
    <w:rsid w:val="00893F2E"/>
    <w:rsid w:val="008A2823"/>
    <w:rsid w:val="008A2D58"/>
    <w:rsid w:val="008A565F"/>
    <w:rsid w:val="008A56D3"/>
    <w:rsid w:val="008A609C"/>
    <w:rsid w:val="008A7E86"/>
    <w:rsid w:val="008B1C3D"/>
    <w:rsid w:val="008B1CCE"/>
    <w:rsid w:val="008B22E0"/>
    <w:rsid w:val="008B7088"/>
    <w:rsid w:val="008C6F92"/>
    <w:rsid w:val="008D5D56"/>
    <w:rsid w:val="008E2AEA"/>
    <w:rsid w:val="008E7CE2"/>
    <w:rsid w:val="008F3050"/>
    <w:rsid w:val="008F32BB"/>
    <w:rsid w:val="00904524"/>
    <w:rsid w:val="0091353F"/>
    <w:rsid w:val="00915C5D"/>
    <w:rsid w:val="00923390"/>
    <w:rsid w:val="0092413F"/>
    <w:rsid w:val="00925049"/>
    <w:rsid w:val="00931D3E"/>
    <w:rsid w:val="009360CF"/>
    <w:rsid w:val="00941882"/>
    <w:rsid w:val="00943F34"/>
    <w:rsid w:val="00947378"/>
    <w:rsid w:val="00961071"/>
    <w:rsid w:val="00962DA7"/>
    <w:rsid w:val="0097188C"/>
    <w:rsid w:val="009731EA"/>
    <w:rsid w:val="009734B8"/>
    <w:rsid w:val="00974F97"/>
    <w:rsid w:val="009759A1"/>
    <w:rsid w:val="009770E1"/>
    <w:rsid w:val="00984E2A"/>
    <w:rsid w:val="009877E1"/>
    <w:rsid w:val="0099072C"/>
    <w:rsid w:val="00995438"/>
    <w:rsid w:val="009A158B"/>
    <w:rsid w:val="009A5F0C"/>
    <w:rsid w:val="009B2987"/>
    <w:rsid w:val="009B3544"/>
    <w:rsid w:val="009B3F82"/>
    <w:rsid w:val="009B6E39"/>
    <w:rsid w:val="009B70F5"/>
    <w:rsid w:val="009B7283"/>
    <w:rsid w:val="009C2052"/>
    <w:rsid w:val="009C2B54"/>
    <w:rsid w:val="009C3676"/>
    <w:rsid w:val="009C4E26"/>
    <w:rsid w:val="009D59B0"/>
    <w:rsid w:val="009E27BE"/>
    <w:rsid w:val="009E5624"/>
    <w:rsid w:val="00A02732"/>
    <w:rsid w:val="00A0625E"/>
    <w:rsid w:val="00A130AD"/>
    <w:rsid w:val="00A148EA"/>
    <w:rsid w:val="00A20CE4"/>
    <w:rsid w:val="00A21B08"/>
    <w:rsid w:val="00A37D27"/>
    <w:rsid w:val="00A42004"/>
    <w:rsid w:val="00A45608"/>
    <w:rsid w:val="00A4569F"/>
    <w:rsid w:val="00A5398B"/>
    <w:rsid w:val="00A60823"/>
    <w:rsid w:val="00A64176"/>
    <w:rsid w:val="00A70E63"/>
    <w:rsid w:val="00A73DE0"/>
    <w:rsid w:val="00A74E97"/>
    <w:rsid w:val="00A813DB"/>
    <w:rsid w:val="00A95AEF"/>
    <w:rsid w:val="00AA4B11"/>
    <w:rsid w:val="00AB3225"/>
    <w:rsid w:val="00AC0638"/>
    <w:rsid w:val="00AC51F4"/>
    <w:rsid w:val="00AC7F59"/>
    <w:rsid w:val="00AD5461"/>
    <w:rsid w:val="00AE6D90"/>
    <w:rsid w:val="00AF0CBD"/>
    <w:rsid w:val="00AF391E"/>
    <w:rsid w:val="00AF3BDB"/>
    <w:rsid w:val="00B04C95"/>
    <w:rsid w:val="00B053BD"/>
    <w:rsid w:val="00B141B2"/>
    <w:rsid w:val="00B1700D"/>
    <w:rsid w:val="00B237AD"/>
    <w:rsid w:val="00B252F6"/>
    <w:rsid w:val="00B266F4"/>
    <w:rsid w:val="00B2732C"/>
    <w:rsid w:val="00B35B55"/>
    <w:rsid w:val="00B40CF9"/>
    <w:rsid w:val="00B43216"/>
    <w:rsid w:val="00B47BB2"/>
    <w:rsid w:val="00B47FA3"/>
    <w:rsid w:val="00B51E12"/>
    <w:rsid w:val="00B56B6A"/>
    <w:rsid w:val="00B6494A"/>
    <w:rsid w:val="00B654B0"/>
    <w:rsid w:val="00B75CA9"/>
    <w:rsid w:val="00B86079"/>
    <w:rsid w:val="00B90F5C"/>
    <w:rsid w:val="00B92669"/>
    <w:rsid w:val="00B93B7B"/>
    <w:rsid w:val="00B9409F"/>
    <w:rsid w:val="00B946BA"/>
    <w:rsid w:val="00BA41B1"/>
    <w:rsid w:val="00BA7C2A"/>
    <w:rsid w:val="00BB08FF"/>
    <w:rsid w:val="00BB15BC"/>
    <w:rsid w:val="00BB70DD"/>
    <w:rsid w:val="00BB7814"/>
    <w:rsid w:val="00BC10E2"/>
    <w:rsid w:val="00BC27A8"/>
    <w:rsid w:val="00BC3B77"/>
    <w:rsid w:val="00BE393A"/>
    <w:rsid w:val="00BF4B64"/>
    <w:rsid w:val="00BF6F3C"/>
    <w:rsid w:val="00BF7B0A"/>
    <w:rsid w:val="00BF7F13"/>
    <w:rsid w:val="00C012B4"/>
    <w:rsid w:val="00C203FE"/>
    <w:rsid w:val="00C22C6D"/>
    <w:rsid w:val="00C27DC8"/>
    <w:rsid w:val="00C306C1"/>
    <w:rsid w:val="00C3084B"/>
    <w:rsid w:val="00C33303"/>
    <w:rsid w:val="00C35F8E"/>
    <w:rsid w:val="00C37A2D"/>
    <w:rsid w:val="00C602CA"/>
    <w:rsid w:val="00C6045C"/>
    <w:rsid w:val="00C64767"/>
    <w:rsid w:val="00C706C0"/>
    <w:rsid w:val="00C70C17"/>
    <w:rsid w:val="00C74D45"/>
    <w:rsid w:val="00C81DDB"/>
    <w:rsid w:val="00C8355C"/>
    <w:rsid w:val="00C910A3"/>
    <w:rsid w:val="00C9561D"/>
    <w:rsid w:val="00C95F01"/>
    <w:rsid w:val="00CA4791"/>
    <w:rsid w:val="00CA7C1A"/>
    <w:rsid w:val="00CA7FD1"/>
    <w:rsid w:val="00CB0D25"/>
    <w:rsid w:val="00CB3CA5"/>
    <w:rsid w:val="00CC085C"/>
    <w:rsid w:val="00CC1BCC"/>
    <w:rsid w:val="00CC5144"/>
    <w:rsid w:val="00CE28F8"/>
    <w:rsid w:val="00CF29A7"/>
    <w:rsid w:val="00CF74F8"/>
    <w:rsid w:val="00CF788E"/>
    <w:rsid w:val="00D06907"/>
    <w:rsid w:val="00D139F2"/>
    <w:rsid w:val="00D14FCF"/>
    <w:rsid w:val="00D201C1"/>
    <w:rsid w:val="00D2297C"/>
    <w:rsid w:val="00D23C20"/>
    <w:rsid w:val="00D316C8"/>
    <w:rsid w:val="00D31F8D"/>
    <w:rsid w:val="00D35932"/>
    <w:rsid w:val="00D3648B"/>
    <w:rsid w:val="00D40716"/>
    <w:rsid w:val="00D40F0D"/>
    <w:rsid w:val="00D46095"/>
    <w:rsid w:val="00D46A49"/>
    <w:rsid w:val="00D47B18"/>
    <w:rsid w:val="00D606DB"/>
    <w:rsid w:val="00D626B5"/>
    <w:rsid w:val="00D6341F"/>
    <w:rsid w:val="00D641C4"/>
    <w:rsid w:val="00D678B7"/>
    <w:rsid w:val="00D74AE1"/>
    <w:rsid w:val="00D80B19"/>
    <w:rsid w:val="00D862DB"/>
    <w:rsid w:val="00D96FFF"/>
    <w:rsid w:val="00D97DFA"/>
    <w:rsid w:val="00DB0E19"/>
    <w:rsid w:val="00DB243B"/>
    <w:rsid w:val="00DB4F5A"/>
    <w:rsid w:val="00DC3E49"/>
    <w:rsid w:val="00DD40D8"/>
    <w:rsid w:val="00DD44D0"/>
    <w:rsid w:val="00DD580B"/>
    <w:rsid w:val="00DE16D0"/>
    <w:rsid w:val="00DE7208"/>
    <w:rsid w:val="00DF086D"/>
    <w:rsid w:val="00DF4510"/>
    <w:rsid w:val="00DF66C8"/>
    <w:rsid w:val="00DF6879"/>
    <w:rsid w:val="00DF77BE"/>
    <w:rsid w:val="00DF7DC4"/>
    <w:rsid w:val="00E15C08"/>
    <w:rsid w:val="00E165AB"/>
    <w:rsid w:val="00E20547"/>
    <w:rsid w:val="00E22A0D"/>
    <w:rsid w:val="00E2377E"/>
    <w:rsid w:val="00E3062C"/>
    <w:rsid w:val="00E310EC"/>
    <w:rsid w:val="00E40365"/>
    <w:rsid w:val="00E4489A"/>
    <w:rsid w:val="00E502CE"/>
    <w:rsid w:val="00E5109C"/>
    <w:rsid w:val="00E618D3"/>
    <w:rsid w:val="00E9242B"/>
    <w:rsid w:val="00E93C6C"/>
    <w:rsid w:val="00E97154"/>
    <w:rsid w:val="00E97A09"/>
    <w:rsid w:val="00EA499D"/>
    <w:rsid w:val="00EA4CA4"/>
    <w:rsid w:val="00EA52AA"/>
    <w:rsid w:val="00EB7571"/>
    <w:rsid w:val="00EC2760"/>
    <w:rsid w:val="00ED05DF"/>
    <w:rsid w:val="00ED7792"/>
    <w:rsid w:val="00EE0F98"/>
    <w:rsid w:val="00EE20AD"/>
    <w:rsid w:val="00EE56DC"/>
    <w:rsid w:val="00F01DE8"/>
    <w:rsid w:val="00F0396E"/>
    <w:rsid w:val="00F12AD8"/>
    <w:rsid w:val="00F14D53"/>
    <w:rsid w:val="00F17B22"/>
    <w:rsid w:val="00F20F66"/>
    <w:rsid w:val="00F25847"/>
    <w:rsid w:val="00F30753"/>
    <w:rsid w:val="00F42C33"/>
    <w:rsid w:val="00F443D0"/>
    <w:rsid w:val="00F46D85"/>
    <w:rsid w:val="00F5561F"/>
    <w:rsid w:val="00F55F8F"/>
    <w:rsid w:val="00F72763"/>
    <w:rsid w:val="00F80000"/>
    <w:rsid w:val="00F82A59"/>
    <w:rsid w:val="00F94A39"/>
    <w:rsid w:val="00FB5350"/>
    <w:rsid w:val="00FC78F3"/>
    <w:rsid w:val="00FD131E"/>
    <w:rsid w:val="00FE4932"/>
    <w:rsid w:val="00FF3E76"/>
    <w:rsid w:val="00FF46DA"/>
    <w:rsid w:val="00FF7774"/>
    <w:rsid w:val="1192733C"/>
    <w:rsid w:val="24A26B80"/>
    <w:rsid w:val="27757E2F"/>
    <w:rsid w:val="2B0A0D5F"/>
    <w:rsid w:val="34DD5737"/>
    <w:rsid w:val="3F0A5C7A"/>
    <w:rsid w:val="54C3493C"/>
    <w:rsid w:val="63AC7EFE"/>
    <w:rsid w:val="6D703F1F"/>
    <w:rsid w:val="6FE32EFA"/>
    <w:rsid w:val="6FFFDDB8"/>
    <w:rsid w:val="75EF2A88"/>
    <w:rsid w:val="7BFB5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9ED06B"/>
  <w15:docId w15:val="{D22CB942-0902-4A87-B86A-C577E0505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cs="Times New Roman"/>
      <w:kern w:val="2"/>
      <w:sz w:val="21"/>
      <w:szCs w:val="24"/>
    </w:rPr>
  </w:style>
  <w:style w:type="paragraph" w:styleId="1">
    <w:name w:val="heading 1"/>
    <w:basedOn w:val="a"/>
    <w:next w:val="a"/>
    <w:link w:val="10"/>
    <w:qFormat/>
    <w:pPr>
      <w:keepNext/>
      <w:keepLines/>
      <w:spacing w:before="120" w:after="120" w:line="360" w:lineRule="auto"/>
      <w:outlineLvl w:val="0"/>
    </w:pPr>
    <w:rPr>
      <w:rFonts w:ascii="宋体"/>
      <w:b/>
      <w:color w:val="000000"/>
      <w:kern w:val="0"/>
      <w:sz w:val="24"/>
      <w:szCs w:val="20"/>
    </w:rPr>
  </w:style>
  <w:style w:type="paragraph" w:styleId="2">
    <w:name w:val="heading 2"/>
    <w:basedOn w:val="a"/>
    <w:next w:val="a"/>
    <w:link w:val="20"/>
    <w:qFormat/>
    <w:pPr>
      <w:keepNext/>
      <w:keepLines/>
      <w:spacing w:before="260" w:after="260" w:line="416" w:lineRule="auto"/>
      <w:outlineLvl w:val="1"/>
    </w:pPr>
    <w:rPr>
      <w:rFonts w:ascii="Calibri Light" w:hAnsi="Calibri Light" w:cs="宋体"/>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pPr>
      <w:ind w:firstLineChars="200" w:firstLine="420"/>
    </w:pPr>
  </w:style>
  <w:style w:type="paragraph" w:styleId="a4">
    <w:name w:val="annotation text"/>
    <w:basedOn w:val="a"/>
    <w:link w:val="a5"/>
    <w:uiPriority w:val="99"/>
    <w:qFormat/>
    <w:pPr>
      <w:jc w:val="left"/>
    </w:pPr>
  </w:style>
  <w:style w:type="paragraph" w:styleId="a6">
    <w:name w:val="Body Text Indent"/>
    <w:basedOn w:val="a"/>
    <w:link w:val="a7"/>
    <w:qFormat/>
    <w:pPr>
      <w:spacing w:line="400" w:lineRule="exact"/>
      <w:ind w:firstLineChars="192" w:firstLine="538"/>
    </w:pPr>
    <w:rPr>
      <w:rFonts w:ascii="仿宋_GB2312" w:eastAsia="仿宋_GB2312" w:hAnsi="宋体"/>
      <w:color w:val="000000"/>
      <w:sz w:val="28"/>
    </w:rPr>
  </w:style>
  <w:style w:type="paragraph" w:styleId="a8">
    <w:name w:val="Plain Text"/>
    <w:basedOn w:val="a"/>
    <w:link w:val="a9"/>
    <w:qFormat/>
    <w:rPr>
      <w:rFonts w:ascii="宋体" w:hAnsi="Courier New" w:cs="Courier New"/>
      <w:szCs w:val="21"/>
    </w:rPr>
  </w:style>
  <w:style w:type="paragraph" w:styleId="aa">
    <w:name w:val="Balloon Text"/>
    <w:basedOn w:val="a"/>
    <w:link w:val="ab"/>
    <w:uiPriority w:val="99"/>
    <w:qFormat/>
    <w:rPr>
      <w:sz w:val="18"/>
      <w:szCs w:val="18"/>
    </w:rPr>
  </w:style>
  <w:style w:type="paragraph" w:styleId="ac">
    <w:name w:val="footer"/>
    <w:basedOn w:val="a"/>
    <w:link w:val="ad"/>
    <w:uiPriority w:val="99"/>
    <w:qFormat/>
    <w:pPr>
      <w:tabs>
        <w:tab w:val="center" w:pos="4153"/>
        <w:tab w:val="right" w:pos="8306"/>
      </w:tabs>
      <w:snapToGrid w:val="0"/>
      <w:jc w:val="left"/>
    </w:pPr>
    <w:rPr>
      <w:sz w:val="18"/>
      <w:szCs w:val="18"/>
    </w:rPr>
  </w:style>
  <w:style w:type="paragraph" w:styleId="ae">
    <w:name w:val="header"/>
    <w:basedOn w:val="a"/>
    <w:link w:val="af"/>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tabs>
        <w:tab w:val="right" w:leader="dot" w:pos="8296"/>
      </w:tabs>
      <w:spacing w:line="360" w:lineRule="auto"/>
    </w:pPr>
    <w:rPr>
      <w:szCs w:val="20"/>
    </w:rPr>
  </w:style>
  <w:style w:type="paragraph" w:styleId="af0">
    <w:name w:val="Subtitle"/>
    <w:basedOn w:val="a"/>
    <w:next w:val="a"/>
    <w:link w:val="af1"/>
    <w:qFormat/>
    <w:pPr>
      <w:spacing w:before="240" w:after="60" w:line="312" w:lineRule="auto"/>
      <w:jc w:val="center"/>
      <w:outlineLvl w:val="1"/>
    </w:pPr>
    <w:rPr>
      <w:rFonts w:ascii="Calibri Light" w:hAnsi="Calibri Light"/>
      <w:b/>
      <w:bCs/>
      <w:kern w:val="28"/>
      <w:sz w:val="32"/>
      <w:szCs w:val="32"/>
    </w:rPr>
  </w:style>
  <w:style w:type="paragraph" w:styleId="af2">
    <w:name w:val="annotation subject"/>
    <w:basedOn w:val="a4"/>
    <w:next w:val="a4"/>
    <w:link w:val="af3"/>
    <w:uiPriority w:val="99"/>
    <w:qFormat/>
    <w:rPr>
      <w:b/>
      <w:bCs/>
    </w:r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qFormat/>
    <w:rPr>
      <w:color w:val="0563C1"/>
      <w:u w:val="single"/>
    </w:rPr>
  </w:style>
  <w:style w:type="character" w:styleId="af6">
    <w:name w:val="annotation reference"/>
    <w:basedOn w:val="a0"/>
    <w:uiPriority w:val="99"/>
    <w:qFormat/>
    <w:rPr>
      <w:sz w:val="21"/>
      <w:szCs w:val="21"/>
    </w:rPr>
  </w:style>
  <w:style w:type="paragraph" w:styleId="af7">
    <w:name w:val="List Paragraph"/>
    <w:basedOn w:val="a"/>
    <w:uiPriority w:val="34"/>
    <w:qFormat/>
    <w:pPr>
      <w:ind w:firstLineChars="200" w:firstLine="420"/>
    </w:pPr>
  </w:style>
  <w:style w:type="character" w:customStyle="1" w:styleId="ab">
    <w:name w:val="批注框文本 字符"/>
    <w:basedOn w:val="a0"/>
    <w:link w:val="aa"/>
    <w:uiPriority w:val="99"/>
    <w:qFormat/>
    <w:rPr>
      <w:rFonts w:ascii="Times New Roman" w:eastAsia="宋体" w:hAnsi="Times New Roman" w:cs="Times New Roman"/>
      <w:sz w:val="18"/>
      <w:szCs w:val="18"/>
    </w:rPr>
  </w:style>
  <w:style w:type="character" w:customStyle="1" w:styleId="a5">
    <w:name w:val="批注文字 字符"/>
    <w:basedOn w:val="a0"/>
    <w:link w:val="a4"/>
    <w:uiPriority w:val="99"/>
    <w:qFormat/>
    <w:rPr>
      <w:rFonts w:ascii="Times New Roman" w:eastAsia="宋体" w:hAnsi="Times New Roman" w:cs="Times New Roman"/>
      <w:szCs w:val="24"/>
    </w:rPr>
  </w:style>
  <w:style w:type="character" w:customStyle="1" w:styleId="af3">
    <w:name w:val="批注主题 字符"/>
    <w:basedOn w:val="a5"/>
    <w:link w:val="af2"/>
    <w:uiPriority w:val="99"/>
    <w:qFormat/>
    <w:rPr>
      <w:rFonts w:ascii="Times New Roman" w:eastAsia="宋体" w:hAnsi="Times New Roman" w:cs="Times New Roman"/>
      <w:b/>
      <w:bCs/>
      <w:szCs w:val="24"/>
    </w:rPr>
  </w:style>
  <w:style w:type="character" w:customStyle="1" w:styleId="af">
    <w:name w:val="页眉 字符"/>
    <w:basedOn w:val="a0"/>
    <w:link w:val="ae"/>
    <w:uiPriority w:val="99"/>
    <w:qFormat/>
    <w:rPr>
      <w:rFonts w:ascii="Times New Roman" w:eastAsia="宋体" w:hAnsi="Times New Roman" w:cs="Times New Roman"/>
      <w:sz w:val="18"/>
      <w:szCs w:val="18"/>
    </w:rPr>
  </w:style>
  <w:style w:type="character" w:customStyle="1" w:styleId="ad">
    <w:name w:val="页脚 字符"/>
    <w:basedOn w:val="a0"/>
    <w:link w:val="ac"/>
    <w:uiPriority w:val="99"/>
    <w:qFormat/>
    <w:rPr>
      <w:rFonts w:ascii="Times New Roman" w:eastAsia="宋体" w:hAnsi="Times New Roman" w:cs="Times New Roman"/>
      <w:sz w:val="18"/>
      <w:szCs w:val="18"/>
    </w:rPr>
  </w:style>
  <w:style w:type="character" w:customStyle="1" w:styleId="af1">
    <w:name w:val="副标题 字符"/>
    <w:basedOn w:val="a0"/>
    <w:link w:val="af0"/>
    <w:qFormat/>
    <w:rPr>
      <w:rFonts w:ascii="Calibri Light" w:eastAsia="宋体" w:hAnsi="Calibri Light" w:cs="Times New Roman"/>
      <w:b/>
      <w:bCs/>
      <w:kern w:val="28"/>
      <w:sz w:val="32"/>
      <w:szCs w:val="32"/>
    </w:rPr>
  </w:style>
  <w:style w:type="character" w:customStyle="1" w:styleId="a9">
    <w:name w:val="纯文本 字符"/>
    <w:basedOn w:val="a0"/>
    <w:link w:val="a8"/>
    <w:qFormat/>
    <w:rPr>
      <w:rFonts w:ascii="宋体" w:eastAsia="宋体" w:hAnsi="Courier New" w:cs="Courier New"/>
      <w:szCs w:val="21"/>
    </w:rPr>
  </w:style>
  <w:style w:type="paragraph" w:customStyle="1" w:styleId="11">
    <w:name w:val="修订1"/>
    <w:uiPriority w:val="99"/>
    <w:qFormat/>
    <w:rPr>
      <w:rFonts w:ascii="Times New Roman" w:hAnsi="Times New Roman" w:cs="Times New Roman"/>
      <w:kern w:val="2"/>
      <w:sz w:val="21"/>
      <w:szCs w:val="24"/>
    </w:rPr>
  </w:style>
  <w:style w:type="character" w:customStyle="1" w:styleId="10">
    <w:name w:val="标题 1 字符"/>
    <w:basedOn w:val="a0"/>
    <w:link w:val="1"/>
    <w:qFormat/>
    <w:rPr>
      <w:rFonts w:ascii="宋体" w:eastAsia="宋体" w:hAnsi="Times New Roman" w:cs="Times New Roman"/>
      <w:b/>
      <w:color w:val="000000"/>
      <w:kern w:val="0"/>
      <w:sz w:val="24"/>
      <w:szCs w:val="20"/>
    </w:rPr>
  </w:style>
  <w:style w:type="character" w:customStyle="1" w:styleId="20">
    <w:name w:val="标题 2 字符"/>
    <w:basedOn w:val="a0"/>
    <w:link w:val="2"/>
    <w:qFormat/>
    <w:rPr>
      <w:rFonts w:ascii="Calibri Light" w:eastAsia="宋体" w:hAnsi="Calibri Light" w:cs="宋体"/>
      <w:b/>
      <w:bCs/>
      <w:sz w:val="32"/>
      <w:szCs w:val="32"/>
    </w:rPr>
  </w:style>
  <w:style w:type="character" w:customStyle="1" w:styleId="a7">
    <w:name w:val="正文文本缩进 字符"/>
    <w:basedOn w:val="a0"/>
    <w:link w:val="a6"/>
    <w:qFormat/>
    <w:rPr>
      <w:rFonts w:ascii="仿宋_GB2312" w:eastAsia="仿宋_GB2312" w:hAnsi="宋体" w:cs="Times New Roman"/>
      <w:color w:val="000000"/>
      <w:sz w:val="28"/>
      <w:szCs w:val="24"/>
    </w:rPr>
  </w:style>
  <w:style w:type="paragraph" w:customStyle="1" w:styleId="21">
    <w:name w:val="修订2"/>
    <w:hidden/>
    <w:uiPriority w:val="99"/>
    <w:unhideWhenUsed/>
    <w:qFormat/>
    <w:rPr>
      <w:rFonts w:ascii="Times New Roman" w:hAnsi="Times New Roman" w:cs="Times New Roman"/>
      <w:kern w:val="2"/>
      <w:sz w:val="21"/>
      <w:szCs w:val="24"/>
    </w:rPr>
  </w:style>
  <w:style w:type="paragraph" w:customStyle="1" w:styleId="3">
    <w:name w:val="修订3"/>
    <w:hidden/>
    <w:uiPriority w:val="99"/>
    <w:unhideWhenUsed/>
    <w:qFormat/>
    <w:rPr>
      <w:rFonts w:ascii="Times New Roman" w:hAnsi="Times New Roman" w:cs="Times New Roman"/>
      <w:kern w:val="2"/>
      <w:sz w:val="21"/>
      <w:szCs w:val="24"/>
    </w:rPr>
  </w:style>
  <w:style w:type="paragraph" w:styleId="af8">
    <w:name w:val="Revision"/>
    <w:hidden/>
    <w:uiPriority w:val="99"/>
    <w:unhideWhenUsed/>
    <w:rsid w:val="00F17B22"/>
    <w:rPr>
      <w:rFonts w:ascii="Times New Roman"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TotalTime>
  <Pages>9</Pages>
  <Words>5926</Words>
  <Characters>810</Characters>
  <Application>Microsoft Office Word</Application>
  <DocSecurity>0</DocSecurity>
  <Lines>6</Lines>
  <Paragraphs>13</Paragraphs>
  <ScaleCrop>false</ScaleCrop>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csrc</dc:creator>
  <cp:lastModifiedBy>刘祖帆</cp:lastModifiedBy>
  <cp:revision>509</cp:revision>
  <dcterms:created xsi:type="dcterms:W3CDTF">2026-01-23T03:31:00Z</dcterms:created>
  <dcterms:modified xsi:type="dcterms:W3CDTF">2026-08-21T05:42:00Z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24B04AACABF50A5DDDEDE96937A7BF74</vt:lpwstr>
  </property>
  <property fmtid="{D5CDD505-2E9C-101B-9397-08002B2CF9AE}" pid="4" name="KSOTemplateDocerSaveRecord">
    <vt:lpwstr>eyJoZGlkIjoiOTA5OTY2MTc3YTE3OWU0YjU0NzRlMjlkZDVhNDc4ZDciLCJ1c2VySWQiOiIzMTA5NjQ2NDkifQ==</vt:lpwstr>
  </property>
</Properties>
</file>