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1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1.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2.xml" ContentType="application/vnd.openxmlformats-officedocument.wordprocessingml.foot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F8D10" w14:textId="77777777" w:rsidR="00913A13" w:rsidRDefault="00913A13">
      <w:pPr>
        <w:tabs>
          <w:tab w:val="left" w:pos="6660"/>
        </w:tabs>
        <w:spacing w:line="360" w:lineRule="auto"/>
        <w:jc w:val="center"/>
        <w:rPr>
          <w:rFonts w:asciiTheme="minorEastAsia" w:hAnsiTheme="minorEastAsia" w:cs="Times New Roman" w:hint="eastAsia"/>
          <w:bCs/>
          <w:sz w:val="48"/>
          <w:szCs w:val="48"/>
        </w:rPr>
      </w:pPr>
    </w:p>
    <w:p w14:paraId="7BB394F9" w14:textId="77777777" w:rsidR="00913A13" w:rsidRDefault="00913A13">
      <w:pPr>
        <w:spacing w:line="360" w:lineRule="auto"/>
        <w:jc w:val="center"/>
        <w:rPr>
          <w:rFonts w:asciiTheme="minorEastAsia" w:hAnsiTheme="minorEastAsia" w:cs="Times New Roman" w:hint="eastAsia"/>
          <w:b/>
          <w:sz w:val="48"/>
          <w:szCs w:val="48"/>
        </w:rPr>
      </w:pPr>
    </w:p>
    <w:p w14:paraId="3366FF75" w14:textId="77777777" w:rsidR="00913A13" w:rsidRDefault="00913A13">
      <w:pPr>
        <w:adjustRightInd w:val="0"/>
        <w:snapToGrid w:val="0"/>
        <w:spacing w:line="360" w:lineRule="auto"/>
        <w:jc w:val="center"/>
        <w:rPr>
          <w:rFonts w:asciiTheme="minorEastAsia" w:hAnsiTheme="minorEastAsia" w:cs="Arial" w:hint="eastAsia"/>
          <w:sz w:val="48"/>
          <w:szCs w:val="48"/>
        </w:rPr>
      </w:pPr>
      <w:bookmarkStart w:id="0" w:name="_Toc123112227"/>
      <w:bookmarkStart w:id="1" w:name="_Toc123701386"/>
      <w:bookmarkStart w:id="2" w:name="_Toc139991729"/>
      <w:bookmarkStart w:id="3" w:name="_Toc123112266"/>
    </w:p>
    <w:p w14:paraId="1162EDAB" w14:textId="77777777" w:rsidR="00913A13" w:rsidRDefault="002F45B8">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富荣福银混合型证券投资基金</w:t>
      </w:r>
    </w:p>
    <w:p w14:paraId="1B447B83" w14:textId="77777777" w:rsidR="00913A13" w:rsidRDefault="002F45B8">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更新的招募说明书</w:t>
      </w:r>
    </w:p>
    <w:p w14:paraId="2D430185" w14:textId="3F05CD85" w:rsidR="00913A13" w:rsidRDefault="002F45B8">
      <w:pPr>
        <w:adjustRightInd w:val="0"/>
        <w:snapToGrid w:val="0"/>
        <w:spacing w:line="360" w:lineRule="auto"/>
        <w:jc w:val="center"/>
        <w:rPr>
          <w:rFonts w:ascii="Arial" w:eastAsia="宋体" w:hAnsi="宋体" w:cs="Arial" w:hint="eastAsia"/>
          <w:b/>
          <w:sz w:val="48"/>
          <w:szCs w:val="48"/>
        </w:rPr>
      </w:pPr>
      <w:r>
        <w:rPr>
          <w:rFonts w:ascii="Arial" w:eastAsia="宋体" w:hAnsi="宋体" w:cs="Arial" w:hint="eastAsia"/>
          <w:b/>
          <w:sz w:val="48"/>
          <w:szCs w:val="48"/>
        </w:rPr>
        <w:t>（</w:t>
      </w:r>
      <w:r w:rsidR="009761FA">
        <w:rPr>
          <w:rFonts w:ascii="Arial" w:eastAsia="宋体" w:hAnsi="宋体" w:cs="Arial" w:hint="eastAsia"/>
          <w:b/>
          <w:sz w:val="48"/>
          <w:szCs w:val="48"/>
        </w:rPr>
        <w:t>2026</w:t>
      </w:r>
      <w:r w:rsidR="009761FA">
        <w:rPr>
          <w:rFonts w:ascii="Arial" w:eastAsia="宋体" w:hAnsi="宋体" w:cs="Arial" w:hint="eastAsia"/>
          <w:b/>
          <w:sz w:val="48"/>
          <w:szCs w:val="48"/>
        </w:rPr>
        <w:t>年第</w:t>
      </w:r>
      <w:r w:rsidR="009761FA">
        <w:rPr>
          <w:rFonts w:ascii="Arial" w:eastAsia="宋体" w:hAnsi="宋体" w:cs="Arial" w:hint="eastAsia"/>
          <w:b/>
          <w:sz w:val="48"/>
          <w:szCs w:val="48"/>
        </w:rPr>
        <w:t>3</w:t>
      </w:r>
      <w:r w:rsidR="009761FA">
        <w:rPr>
          <w:rFonts w:ascii="Arial" w:eastAsia="宋体" w:hAnsi="宋体" w:cs="Arial" w:hint="eastAsia"/>
          <w:b/>
          <w:sz w:val="48"/>
          <w:szCs w:val="48"/>
        </w:rPr>
        <w:t>号</w:t>
      </w:r>
      <w:r>
        <w:rPr>
          <w:rFonts w:ascii="Arial" w:eastAsia="宋体" w:hAnsi="宋体" w:cs="Arial" w:hint="eastAsia"/>
          <w:b/>
          <w:sz w:val="48"/>
          <w:szCs w:val="48"/>
        </w:rPr>
        <w:t>）</w:t>
      </w:r>
    </w:p>
    <w:p w14:paraId="7E9E163E" w14:textId="77777777" w:rsidR="00913A13" w:rsidRDefault="00913A13">
      <w:pPr>
        <w:adjustRightInd w:val="0"/>
        <w:snapToGrid w:val="0"/>
        <w:spacing w:line="360" w:lineRule="auto"/>
        <w:jc w:val="center"/>
        <w:rPr>
          <w:rFonts w:asciiTheme="minorEastAsia" w:hAnsiTheme="minorEastAsia" w:cs="Times New Roman" w:hint="eastAsia"/>
          <w:b/>
          <w:sz w:val="36"/>
          <w:szCs w:val="36"/>
        </w:rPr>
      </w:pPr>
    </w:p>
    <w:p w14:paraId="11C83AF1" w14:textId="77777777" w:rsidR="00913A13" w:rsidRDefault="002F45B8">
      <w:pPr>
        <w:tabs>
          <w:tab w:val="left" w:pos="2565"/>
        </w:tabs>
        <w:adjustRightInd w:val="0"/>
        <w:snapToGrid w:val="0"/>
        <w:spacing w:line="360" w:lineRule="auto"/>
        <w:rPr>
          <w:rFonts w:asciiTheme="minorEastAsia" w:hAnsiTheme="minorEastAsia" w:cs="Arial" w:hint="eastAsia"/>
          <w:sz w:val="36"/>
          <w:szCs w:val="36"/>
        </w:rPr>
      </w:pPr>
      <w:r>
        <w:rPr>
          <w:rFonts w:asciiTheme="minorEastAsia" w:hAnsiTheme="minorEastAsia" w:cs="Arial" w:hint="eastAsia"/>
          <w:sz w:val="36"/>
          <w:szCs w:val="36"/>
        </w:rPr>
        <w:tab/>
      </w:r>
    </w:p>
    <w:p w14:paraId="4989F11D" w14:textId="77777777" w:rsidR="00913A13" w:rsidRDefault="00913A13">
      <w:pPr>
        <w:adjustRightInd w:val="0"/>
        <w:snapToGrid w:val="0"/>
        <w:spacing w:line="360" w:lineRule="auto"/>
        <w:jc w:val="center"/>
        <w:rPr>
          <w:rFonts w:asciiTheme="minorEastAsia" w:hAnsiTheme="minorEastAsia" w:cs="Arial" w:hint="eastAsia"/>
          <w:sz w:val="36"/>
          <w:szCs w:val="36"/>
        </w:rPr>
      </w:pPr>
    </w:p>
    <w:p w14:paraId="4BF3BCE7" w14:textId="77777777" w:rsidR="00913A13" w:rsidRDefault="00913A13">
      <w:pPr>
        <w:adjustRightInd w:val="0"/>
        <w:snapToGrid w:val="0"/>
        <w:spacing w:line="360" w:lineRule="auto"/>
        <w:jc w:val="center"/>
        <w:rPr>
          <w:rFonts w:asciiTheme="minorEastAsia" w:hAnsiTheme="minorEastAsia" w:cs="Arial" w:hint="eastAsia"/>
          <w:sz w:val="36"/>
          <w:szCs w:val="36"/>
        </w:rPr>
      </w:pPr>
    </w:p>
    <w:p w14:paraId="60A2BBD0" w14:textId="77777777" w:rsidR="00913A13" w:rsidRDefault="00913A13">
      <w:pPr>
        <w:adjustRightInd w:val="0"/>
        <w:snapToGrid w:val="0"/>
        <w:spacing w:line="360" w:lineRule="auto"/>
        <w:jc w:val="center"/>
        <w:rPr>
          <w:rFonts w:asciiTheme="minorEastAsia" w:hAnsiTheme="minorEastAsia" w:cs="Arial" w:hint="eastAsia"/>
          <w:sz w:val="36"/>
          <w:szCs w:val="36"/>
        </w:rPr>
      </w:pPr>
    </w:p>
    <w:p w14:paraId="5E0C08DB" w14:textId="77777777" w:rsidR="00913A13" w:rsidRDefault="00913A13">
      <w:pPr>
        <w:adjustRightInd w:val="0"/>
        <w:snapToGrid w:val="0"/>
        <w:spacing w:line="360" w:lineRule="auto"/>
        <w:jc w:val="center"/>
        <w:rPr>
          <w:rFonts w:asciiTheme="minorEastAsia" w:hAnsiTheme="minorEastAsia" w:cs="Arial" w:hint="eastAsia"/>
          <w:sz w:val="36"/>
          <w:szCs w:val="36"/>
        </w:rPr>
      </w:pPr>
    </w:p>
    <w:p w14:paraId="0EBCA1CA" w14:textId="77777777" w:rsidR="00913A13" w:rsidRDefault="00913A13">
      <w:pPr>
        <w:adjustRightInd w:val="0"/>
        <w:snapToGrid w:val="0"/>
        <w:spacing w:line="360" w:lineRule="auto"/>
        <w:jc w:val="center"/>
        <w:rPr>
          <w:rFonts w:asciiTheme="minorEastAsia" w:hAnsiTheme="minorEastAsia" w:cs="Arial" w:hint="eastAsia"/>
          <w:sz w:val="36"/>
          <w:szCs w:val="36"/>
        </w:rPr>
      </w:pPr>
    </w:p>
    <w:p w14:paraId="759768E5" w14:textId="77777777" w:rsidR="00913A13" w:rsidRDefault="002F45B8">
      <w:pPr>
        <w:snapToGrid w:val="0"/>
        <w:spacing w:line="360" w:lineRule="auto"/>
        <w:jc w:val="center"/>
        <w:rPr>
          <w:rFonts w:ascii="Arial" w:eastAsia="宋体" w:hAnsi="Arial" w:cs="Times New Roman"/>
          <w:b/>
          <w:sz w:val="36"/>
          <w:szCs w:val="36"/>
        </w:rPr>
      </w:pPr>
      <w:bookmarkStart w:id="4" w:name="_Toc123112263"/>
      <w:bookmarkStart w:id="5" w:name="_Toc139992301"/>
      <w:bookmarkStart w:id="6" w:name="_Toc123701383"/>
      <w:bookmarkStart w:id="7" w:name="_Toc139991726"/>
      <w:bookmarkStart w:id="8" w:name="_Toc123112224"/>
      <w:r>
        <w:rPr>
          <w:rFonts w:ascii="Arial" w:eastAsia="宋体" w:hAnsi="Arial" w:cs="Times New Roman" w:hint="eastAsia"/>
          <w:b/>
          <w:sz w:val="36"/>
          <w:szCs w:val="36"/>
        </w:rPr>
        <w:t>基金管理人：</w:t>
      </w:r>
      <w:bookmarkEnd w:id="4"/>
      <w:bookmarkEnd w:id="5"/>
      <w:bookmarkEnd w:id="6"/>
      <w:bookmarkEnd w:id="7"/>
      <w:bookmarkEnd w:id="8"/>
      <w:r>
        <w:rPr>
          <w:rFonts w:ascii="Arial" w:eastAsia="宋体" w:hAnsi="Arial" w:cs="Times New Roman" w:hint="eastAsia"/>
          <w:b/>
          <w:sz w:val="36"/>
          <w:szCs w:val="36"/>
        </w:rPr>
        <w:t>富荣基金管理有限公司</w:t>
      </w:r>
    </w:p>
    <w:p w14:paraId="4CA000F7" w14:textId="77777777" w:rsidR="00913A13" w:rsidRDefault="002F45B8">
      <w:pPr>
        <w:autoSpaceDE w:val="0"/>
        <w:autoSpaceDN w:val="0"/>
        <w:adjustRightInd w:val="0"/>
        <w:snapToGrid w:val="0"/>
        <w:spacing w:line="360" w:lineRule="auto"/>
        <w:jc w:val="center"/>
        <w:rPr>
          <w:rFonts w:ascii="Arial" w:eastAsia="宋体" w:hAnsi="Arial" w:cs="Arial"/>
          <w:b/>
          <w:bCs/>
          <w:sz w:val="36"/>
          <w:szCs w:val="36"/>
        </w:rPr>
      </w:pPr>
      <w:bookmarkStart w:id="9" w:name="_Toc123112225"/>
      <w:bookmarkStart w:id="10" w:name="_Toc139991727"/>
      <w:bookmarkStart w:id="11" w:name="_Toc123701384"/>
      <w:bookmarkStart w:id="12" w:name="_Toc123112264"/>
      <w:bookmarkStart w:id="13" w:name="_Toc139992302"/>
      <w:r>
        <w:rPr>
          <w:rFonts w:ascii="Arial" w:eastAsia="宋体" w:hAnsi="Arial" w:cs="Times New Roman" w:hint="eastAsia"/>
          <w:b/>
          <w:sz w:val="36"/>
          <w:szCs w:val="36"/>
        </w:rPr>
        <w:t>基金托管人：</w:t>
      </w:r>
      <w:bookmarkEnd w:id="9"/>
      <w:bookmarkEnd w:id="10"/>
      <w:bookmarkEnd w:id="11"/>
      <w:bookmarkEnd w:id="12"/>
      <w:bookmarkEnd w:id="13"/>
      <w:r>
        <w:rPr>
          <w:rFonts w:ascii="Arial" w:eastAsia="宋体" w:hAnsi="Arial" w:cs="Times New Roman" w:hint="eastAsia"/>
          <w:b/>
          <w:sz w:val="36"/>
          <w:szCs w:val="36"/>
        </w:rPr>
        <w:t>国泰海通证券股份有限公司</w:t>
      </w:r>
    </w:p>
    <w:p w14:paraId="3151F39A" w14:textId="77777777" w:rsidR="00913A13" w:rsidRDefault="00913A13">
      <w:pPr>
        <w:autoSpaceDE w:val="0"/>
        <w:autoSpaceDN w:val="0"/>
        <w:adjustRightInd w:val="0"/>
        <w:snapToGrid w:val="0"/>
        <w:spacing w:line="360" w:lineRule="auto"/>
        <w:jc w:val="center"/>
        <w:rPr>
          <w:rFonts w:asciiTheme="minorEastAsia" w:hAnsiTheme="minorEastAsia" w:cs="Arial" w:hint="eastAsia"/>
          <w:b/>
          <w:bCs/>
          <w:sz w:val="28"/>
          <w:szCs w:val="28"/>
        </w:rPr>
      </w:pPr>
    </w:p>
    <w:p w14:paraId="2FFB15B1" w14:textId="77777777" w:rsidR="00913A13" w:rsidRDefault="00913A13">
      <w:pPr>
        <w:autoSpaceDE w:val="0"/>
        <w:autoSpaceDN w:val="0"/>
        <w:adjustRightInd w:val="0"/>
        <w:snapToGrid w:val="0"/>
        <w:spacing w:line="360" w:lineRule="auto"/>
        <w:jc w:val="center"/>
        <w:rPr>
          <w:rFonts w:asciiTheme="minorEastAsia" w:hAnsiTheme="minorEastAsia" w:cs="Arial" w:hint="eastAsia"/>
          <w:b/>
          <w:bCs/>
          <w:sz w:val="28"/>
          <w:szCs w:val="28"/>
        </w:rPr>
      </w:pPr>
    </w:p>
    <w:p w14:paraId="4E7BEA5C" w14:textId="77777777" w:rsidR="00913A13" w:rsidRDefault="00913A13">
      <w:pPr>
        <w:widowControl/>
        <w:spacing w:line="360" w:lineRule="auto"/>
        <w:rPr>
          <w:rFonts w:ascii="Arial" w:eastAsia="宋体" w:hAnsi="Arial" w:cs="Arial"/>
          <w:b/>
          <w:bCs/>
          <w:kern w:val="0"/>
          <w:sz w:val="28"/>
          <w:szCs w:val="28"/>
        </w:rPr>
        <w:sectPr w:rsidR="00913A13">
          <w:headerReference w:type="even" r:id="rId9"/>
          <w:headerReference w:type="default" r:id="rId10"/>
          <w:footerReference w:type="default" r:id="rId11"/>
          <w:pgSz w:w="11906" w:h="16838"/>
          <w:pgMar w:top="1440" w:right="1800" w:bottom="1440" w:left="1800" w:header="851" w:footer="992" w:gutter="0"/>
          <w:pgNumType w:start="1"/>
          <w:cols w:space="720"/>
          <w:titlePg/>
          <w:docGrid w:type="lines" w:linePitch="312"/>
        </w:sectPr>
      </w:pPr>
    </w:p>
    <w:p w14:paraId="02DABB12" w14:textId="77777777" w:rsidR="00913A13" w:rsidRDefault="002F45B8">
      <w:pPr>
        <w:autoSpaceDE w:val="0"/>
        <w:autoSpaceDN w:val="0"/>
        <w:adjustRightInd w:val="0"/>
        <w:snapToGrid w:val="0"/>
        <w:spacing w:line="360" w:lineRule="auto"/>
        <w:jc w:val="center"/>
        <w:rPr>
          <w:rFonts w:ascii="Arial" w:eastAsia="宋体" w:hAnsi="Arial" w:cs="Arial"/>
          <w:b/>
          <w:bCs/>
          <w:sz w:val="30"/>
          <w:szCs w:val="30"/>
        </w:rPr>
      </w:pPr>
      <w:r>
        <w:rPr>
          <w:rFonts w:ascii="Arial" w:eastAsia="宋体" w:hAnsi="Arial" w:cs="Arial" w:hint="eastAsia"/>
          <w:b/>
          <w:bCs/>
          <w:sz w:val="30"/>
          <w:szCs w:val="30"/>
        </w:rPr>
        <w:lastRenderedPageBreak/>
        <w:t>【重要提示】</w:t>
      </w:r>
    </w:p>
    <w:p w14:paraId="1C474761" w14:textId="77777777" w:rsidR="00913A13" w:rsidRDefault="00913A13">
      <w:pPr>
        <w:autoSpaceDE w:val="0"/>
        <w:autoSpaceDN w:val="0"/>
        <w:adjustRightInd w:val="0"/>
        <w:snapToGrid w:val="0"/>
        <w:spacing w:line="360" w:lineRule="auto"/>
        <w:rPr>
          <w:rFonts w:ascii="Arial" w:eastAsia="宋体" w:hAnsi="Arial" w:cs="Arial"/>
          <w:b/>
          <w:bCs/>
          <w:szCs w:val="21"/>
        </w:rPr>
      </w:pPr>
    </w:p>
    <w:p w14:paraId="758A23A9"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kern w:val="0"/>
          <w:sz w:val="24"/>
          <w:szCs w:val="24"/>
        </w:rPr>
        <w:t>1、</w:t>
      </w:r>
      <w:r>
        <w:rPr>
          <w:rFonts w:asciiTheme="minorEastAsia" w:hAnsiTheme="minorEastAsia" w:cs="Arial" w:hint="eastAsia"/>
          <w:kern w:val="0"/>
          <w:sz w:val="24"/>
          <w:szCs w:val="24"/>
        </w:rPr>
        <w:t>本基金根据</w:t>
      </w:r>
      <w:r>
        <w:rPr>
          <w:rFonts w:asciiTheme="minorEastAsia" w:hAnsiTheme="minorEastAsia" w:cs="Arial"/>
          <w:bCs/>
          <w:color w:val="000000"/>
          <w:sz w:val="24"/>
          <w:szCs w:val="24"/>
        </w:rPr>
        <w:t>2021年5月20</w:t>
      </w:r>
      <w:r>
        <w:rPr>
          <w:rFonts w:asciiTheme="minorEastAsia" w:hAnsiTheme="minorEastAsia" w:cs="Arial" w:hint="eastAsia"/>
          <w:bCs/>
          <w:color w:val="000000"/>
          <w:sz w:val="24"/>
          <w:szCs w:val="24"/>
        </w:rPr>
        <w:t>日</w:t>
      </w:r>
      <w:r>
        <w:rPr>
          <w:rFonts w:asciiTheme="minorEastAsia" w:hAnsiTheme="minorEastAsia" w:cs="Arial" w:hint="eastAsia"/>
          <w:kern w:val="0"/>
          <w:sz w:val="24"/>
          <w:szCs w:val="24"/>
        </w:rPr>
        <w:t>中国证券监督管理委员会（以下简称“中国证监会”）《关于准予富荣福银混合型证券投资基金注册的批复》（</w:t>
      </w:r>
      <w:r>
        <w:rPr>
          <w:rFonts w:asciiTheme="minorEastAsia" w:hAnsiTheme="minorEastAsia" w:cs="Arial" w:hint="eastAsia"/>
          <w:bCs/>
          <w:color w:val="000000"/>
          <w:kern w:val="0"/>
          <w:sz w:val="24"/>
          <w:szCs w:val="24"/>
        </w:rPr>
        <w:t>证监许可</w:t>
      </w:r>
      <w:r>
        <w:rPr>
          <w:rFonts w:asciiTheme="minorEastAsia" w:hAnsiTheme="minorEastAsia" w:cs="Arial"/>
          <w:bCs/>
          <w:color w:val="000000"/>
          <w:sz w:val="24"/>
          <w:szCs w:val="24"/>
        </w:rPr>
        <w:t>[2021]1738</w:t>
      </w:r>
      <w:r>
        <w:rPr>
          <w:rFonts w:asciiTheme="minorEastAsia" w:hAnsiTheme="minorEastAsia" w:cs="Arial" w:hint="eastAsia"/>
          <w:bCs/>
          <w:color w:val="000000"/>
          <w:sz w:val="24"/>
          <w:szCs w:val="24"/>
        </w:rPr>
        <w:t>号</w:t>
      </w:r>
      <w:r>
        <w:rPr>
          <w:rFonts w:asciiTheme="minorEastAsia" w:hAnsiTheme="minorEastAsia" w:cs="Arial" w:hint="eastAsia"/>
          <w:bCs/>
          <w:color w:val="000000"/>
          <w:kern w:val="0"/>
          <w:sz w:val="24"/>
          <w:szCs w:val="24"/>
        </w:rPr>
        <w:t>）进行募集。本基金基金合同于2</w:t>
      </w:r>
      <w:r>
        <w:rPr>
          <w:rFonts w:asciiTheme="minorEastAsia" w:hAnsiTheme="minorEastAsia" w:cs="Arial"/>
          <w:bCs/>
          <w:color w:val="000000"/>
          <w:kern w:val="0"/>
          <w:sz w:val="24"/>
          <w:szCs w:val="24"/>
        </w:rPr>
        <w:t>021</w:t>
      </w:r>
      <w:r>
        <w:rPr>
          <w:rFonts w:asciiTheme="minorEastAsia" w:hAnsiTheme="minorEastAsia" w:cs="Arial" w:hint="eastAsia"/>
          <w:bCs/>
          <w:color w:val="000000"/>
          <w:kern w:val="0"/>
          <w:sz w:val="24"/>
          <w:szCs w:val="24"/>
        </w:rPr>
        <w:t>年6月1</w:t>
      </w:r>
      <w:r>
        <w:rPr>
          <w:rFonts w:asciiTheme="minorEastAsia" w:hAnsiTheme="minorEastAsia" w:cs="Arial"/>
          <w:bCs/>
          <w:color w:val="000000"/>
          <w:kern w:val="0"/>
          <w:sz w:val="24"/>
          <w:szCs w:val="24"/>
        </w:rPr>
        <w:t>8</w:t>
      </w:r>
      <w:r>
        <w:rPr>
          <w:rFonts w:asciiTheme="minorEastAsia" w:hAnsiTheme="minorEastAsia" w:cs="Arial" w:hint="eastAsia"/>
          <w:bCs/>
          <w:color w:val="000000"/>
          <w:kern w:val="0"/>
          <w:sz w:val="24"/>
          <w:szCs w:val="24"/>
        </w:rPr>
        <w:t>日正式生效。</w:t>
      </w:r>
    </w:p>
    <w:p w14:paraId="4F870FEB"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本基金管理人保证招募说明书的内容真实、准确、完整。本招募说明书经中国证监会注册，但中国证监会对本基金募集的注册，并不表明其对本基金的投资价值、市场前景和收益作出实质性判断或保证，也不表明投资于本基金没有风险。</w:t>
      </w:r>
    </w:p>
    <w:p w14:paraId="0B7A783A"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本基金投资于证券市场，基金净值会因为证券市场波动等因素产生波动，投资者根据所持有的基金份额享受基金收益，同时承担相应的投资风险。本基金投资中的风险包括：市场风险、管理风险、职业道德风险、流动性风险、合规性风险、本基金特定投资策略带来的风险及其他风险等。本基金属于混合型基金，其预期的风险和收益高于货币市场基金、债券基金，低于股票型基金。</w:t>
      </w:r>
    </w:p>
    <w:p w14:paraId="7462F1FA"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可投资资产支持证券，资产支持证券在国内市场尚处发展初期，具有低流动性、高收益的特征，并存在一定的投资风险。资产支持证券的投资与基金资产密切相关，因此会受到特定原始权益人破产风险及现金流预测风险等的影响；当本基金投资的资产支持证券信用评级发生变化时，本基金将需要面对临时调整持仓的风险；此外当资产支持证券相关的发行人、管理人、托管人等出现违规违约时，本基金将面临无法收取投资收益甚至损失本金的风险。</w:t>
      </w:r>
    </w:p>
    <w:p w14:paraId="12EA0AC5"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37ABE04A"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当本基金持有特定资产且存在或潜在大额赎回申请时，基金管理人履行相应程序后，可以启用侧袋机制，具体详见基金合同和本招募说明书“侧袋机制”等有关章节。侧袋机制实施期间，基金管理人将对基金简称进行特殊标识，并不办理侧袋账户的申购赎回。请基金份额持有人仔细阅读相关内容并关注本基金启用侧袋机制时的特定风险。</w:t>
      </w:r>
    </w:p>
    <w:p w14:paraId="57C83D9D"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本基金的投资范围包括股指期货、国债期货、股票期权，可能面临市场风险、流动性风险、基差风险、保证金风险、信用风险和操作风险等。</w:t>
      </w:r>
    </w:p>
    <w:p w14:paraId="37F09BDC"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、本基金以</w:t>
      </w:r>
      <w:r>
        <w:rPr>
          <w:rFonts w:asciiTheme="minorEastAsia" w:hAnsiTheme="minorEastAsia" w:cs="Arial"/>
          <w:sz w:val="24"/>
          <w:szCs w:val="24"/>
        </w:rPr>
        <w:t>1.00</w:t>
      </w:r>
      <w:r>
        <w:rPr>
          <w:rFonts w:asciiTheme="minorEastAsia" w:hAnsiTheme="minorEastAsia" w:cs="Arial" w:hint="eastAsia"/>
          <w:sz w:val="24"/>
          <w:szCs w:val="24"/>
        </w:rPr>
        <w:t>元发售面值募集基金份额，在市场波动等因素的影响下，</w:t>
      </w:r>
      <w:r>
        <w:rPr>
          <w:rFonts w:asciiTheme="minorEastAsia" w:hAnsiTheme="minorEastAsia" w:cs="Arial" w:hint="eastAsia"/>
          <w:sz w:val="24"/>
          <w:szCs w:val="24"/>
        </w:rPr>
        <w:lastRenderedPageBreak/>
        <w:t>基金投资有可能出现亏损或基金份额净值低于初始面值。</w:t>
      </w:r>
    </w:p>
    <w:p w14:paraId="24980903"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w:t>
      </w:r>
      <w:r>
        <w:rPr>
          <w:rFonts w:asciiTheme="minorEastAsia" w:hAnsiTheme="minorEastAsia" w:cs="Arial" w:hint="eastAsia"/>
          <w:sz w:val="24"/>
          <w:szCs w:val="24"/>
        </w:rPr>
        <w:t>、投资有风险，投资人认购（或申购）基金时应认真阅读基金合同、本招募说明书等信息披露文件，自主判断基金的投资价值，自主做出投资决策，自行承担投资风险。基金的过往业绩并不预示其未来表现。基金管理人管理的其他基金的业绩并不构成新基金业绩表现的保证。</w:t>
      </w:r>
    </w:p>
    <w:p w14:paraId="779E7381"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原则，在作出投资决策后，基金运营状况与基金净值变化引致的投资风险，由投资者自行承担。</w:t>
      </w:r>
    </w:p>
    <w:p w14:paraId="14C21DA4" w14:textId="34E3152D" w:rsidR="00913A13" w:rsidRDefault="009761FA">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9761FA">
        <w:rPr>
          <w:rFonts w:asciiTheme="minorEastAsia" w:hAnsiTheme="minorEastAsia" w:cs="Arial" w:hint="eastAsia"/>
          <w:sz w:val="24"/>
          <w:szCs w:val="24"/>
        </w:rPr>
        <w:t>本次更新的招募说明书主要对业绩比较基准及基金管理人</w:t>
      </w:r>
      <w:r>
        <w:rPr>
          <w:rFonts w:asciiTheme="minorEastAsia" w:hAnsiTheme="minorEastAsia" w:cs="Arial" w:hint="eastAsia"/>
          <w:sz w:val="24"/>
          <w:szCs w:val="24"/>
        </w:rPr>
        <w:t>等相关</w:t>
      </w:r>
      <w:r w:rsidRPr="009761FA">
        <w:rPr>
          <w:rFonts w:asciiTheme="minorEastAsia" w:hAnsiTheme="minorEastAsia" w:cs="Arial" w:hint="eastAsia"/>
          <w:sz w:val="24"/>
          <w:szCs w:val="24"/>
        </w:rPr>
        <w:t>信息进行修订，更新内容截止日为2026年9月21日。除前述事项外，</w:t>
      </w:r>
      <w:r w:rsidR="002F45B8">
        <w:rPr>
          <w:rFonts w:asciiTheme="minorEastAsia" w:hAnsiTheme="minorEastAsia" w:cs="Arial" w:hint="eastAsia"/>
          <w:sz w:val="24"/>
          <w:szCs w:val="24"/>
        </w:rPr>
        <w:t>本招募说明书所载内容截止日为202</w:t>
      </w:r>
      <w:r w:rsidR="00834D71">
        <w:rPr>
          <w:rFonts w:asciiTheme="minorEastAsia" w:hAnsiTheme="minorEastAsia" w:cs="Arial" w:hint="eastAsia"/>
          <w:sz w:val="24"/>
          <w:szCs w:val="24"/>
        </w:rPr>
        <w:t>6</w:t>
      </w:r>
      <w:r w:rsidR="002F45B8">
        <w:rPr>
          <w:rFonts w:asciiTheme="minorEastAsia" w:hAnsiTheme="minorEastAsia" w:cs="Arial" w:hint="eastAsia"/>
          <w:sz w:val="24"/>
          <w:szCs w:val="24"/>
        </w:rPr>
        <w:t>年4月</w:t>
      </w:r>
      <w:r w:rsidR="002F45B8">
        <w:rPr>
          <w:rFonts w:asciiTheme="minorEastAsia" w:hAnsiTheme="minorEastAsia" w:cs="Arial"/>
          <w:sz w:val="24"/>
          <w:szCs w:val="24"/>
        </w:rPr>
        <w:t>30</w:t>
      </w:r>
      <w:r w:rsidR="002F45B8">
        <w:rPr>
          <w:rFonts w:asciiTheme="minorEastAsia" w:hAnsiTheme="minorEastAsia" w:cs="Arial" w:hint="eastAsia"/>
          <w:sz w:val="24"/>
          <w:szCs w:val="24"/>
        </w:rPr>
        <w:t>日，有关财务数据截止日为</w:t>
      </w:r>
      <w:r w:rsidR="00834D71">
        <w:rPr>
          <w:rFonts w:asciiTheme="minorEastAsia" w:hAnsiTheme="minorEastAsia" w:cs="Arial" w:hint="eastAsia"/>
          <w:sz w:val="24"/>
          <w:szCs w:val="24"/>
        </w:rPr>
        <w:t>2026</w:t>
      </w:r>
      <w:r w:rsidR="002F45B8">
        <w:rPr>
          <w:rFonts w:asciiTheme="minorEastAsia" w:hAnsiTheme="minorEastAsia" w:cs="Arial" w:hint="eastAsia"/>
          <w:sz w:val="24"/>
          <w:szCs w:val="24"/>
        </w:rPr>
        <w:t>年3月31日，净值表现截止日为</w:t>
      </w:r>
      <w:r w:rsidR="00834D71">
        <w:rPr>
          <w:rFonts w:asciiTheme="minorEastAsia" w:hAnsiTheme="minorEastAsia" w:cs="Arial" w:hint="eastAsia"/>
          <w:sz w:val="24"/>
          <w:szCs w:val="24"/>
        </w:rPr>
        <w:t>2026</w:t>
      </w:r>
      <w:r w:rsidR="002F45B8">
        <w:rPr>
          <w:rFonts w:asciiTheme="minorEastAsia" w:hAnsiTheme="minorEastAsia" w:cs="Arial" w:hint="eastAsia"/>
          <w:sz w:val="24"/>
          <w:szCs w:val="24"/>
        </w:rPr>
        <w:t>年3月31日，本报告中所列财务数据未经审计。</w:t>
      </w:r>
    </w:p>
    <w:p w14:paraId="68E97C70" w14:textId="5CAA3C5C" w:rsidR="00834D71" w:rsidRDefault="00834D71">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75F7E721" w14:textId="77777777" w:rsidR="00913A13" w:rsidRDefault="00913A13">
      <w:pPr>
        <w:autoSpaceDE w:val="0"/>
        <w:autoSpaceDN w:val="0"/>
        <w:adjustRightInd w:val="0"/>
        <w:snapToGrid w:val="0"/>
        <w:spacing w:line="360" w:lineRule="auto"/>
        <w:jc w:val="center"/>
        <w:rPr>
          <w:rFonts w:ascii="Arial" w:eastAsia="宋体" w:hAnsi="Arial" w:cs="Arial"/>
          <w:b/>
          <w:bCs/>
          <w:sz w:val="28"/>
          <w:szCs w:val="28"/>
        </w:rPr>
      </w:pPr>
    </w:p>
    <w:p w14:paraId="426AD2ED" w14:textId="77777777" w:rsidR="00913A13" w:rsidRDefault="00913A13">
      <w:pPr>
        <w:widowControl/>
        <w:spacing w:line="360" w:lineRule="auto"/>
        <w:jc w:val="left"/>
        <w:rPr>
          <w:rFonts w:ascii="Arial" w:eastAsia="宋体" w:hAnsi="Arial" w:cs="Arial"/>
          <w:b/>
          <w:bCs/>
          <w:sz w:val="28"/>
          <w:szCs w:val="28"/>
        </w:rPr>
      </w:pPr>
      <w:bookmarkStart w:id="14" w:name="_Toc123112229"/>
      <w:bookmarkStart w:id="15" w:name="_Toc352229746"/>
      <w:bookmarkStart w:id="16" w:name="_Toc139991730"/>
      <w:bookmarkStart w:id="17" w:name="_Toc123112268"/>
      <w:bookmarkStart w:id="18" w:name="_Toc11660"/>
      <w:bookmarkStart w:id="19" w:name="_Toc29629"/>
      <w:bookmarkStart w:id="20" w:name="_Toc30935"/>
      <w:bookmarkStart w:id="21" w:name="_Toc23386"/>
      <w:bookmarkStart w:id="22" w:name="_Toc26897"/>
      <w:bookmarkStart w:id="23" w:name="_Toc123701389"/>
      <w:bookmarkStart w:id="24" w:name="_Toc4867"/>
      <w:bookmarkStart w:id="25" w:name="_Toc8727"/>
      <w:bookmarkStart w:id="26" w:name="_Toc15517"/>
      <w:bookmarkStart w:id="27" w:name="_Toc32639"/>
      <w:bookmarkStart w:id="28" w:name="_Toc6306"/>
      <w:bookmarkStart w:id="29" w:name="_Toc4966"/>
      <w:bookmarkStart w:id="30" w:name="_Toc141703880"/>
      <w:bookmarkStart w:id="31" w:name="_Toc233456271"/>
      <w:bookmarkEnd w:id="0"/>
      <w:bookmarkEnd w:id="1"/>
      <w:bookmarkEnd w:id="2"/>
      <w:bookmarkEnd w:id="3"/>
    </w:p>
    <w:p w14:paraId="172AA458" w14:textId="77777777" w:rsidR="00913A13" w:rsidRDefault="00913A13">
      <w:pPr>
        <w:rPr>
          <w:rFonts w:ascii="Times New Roman" w:eastAsia="宋体" w:hAnsi="Times New Roman" w:cs="Times New Roman"/>
          <w:sz w:val="30"/>
          <w:szCs w:val="30"/>
        </w:rPr>
      </w:pPr>
    </w:p>
    <w:p w14:paraId="59EF7A11" w14:textId="77777777" w:rsidR="00913A13" w:rsidRDefault="002F45B8">
      <w:pPr>
        <w:tabs>
          <w:tab w:val="left" w:pos="3555"/>
        </w:tabs>
        <w:rPr>
          <w:rFonts w:ascii="Times New Roman" w:eastAsia="宋体" w:hAnsi="Times New Roman" w:cs="Times New Roman"/>
          <w:sz w:val="30"/>
          <w:szCs w:val="30"/>
        </w:rPr>
      </w:pPr>
      <w:r>
        <w:rPr>
          <w:rFonts w:ascii="Times New Roman" w:eastAsia="宋体" w:hAnsi="Times New Roman" w:cs="Times New Roman"/>
          <w:sz w:val="30"/>
          <w:szCs w:val="30"/>
        </w:rPr>
        <w:tab/>
      </w:r>
    </w:p>
    <w:p w14:paraId="532ABD8F" w14:textId="77777777" w:rsidR="00913A13" w:rsidRDefault="00913A13">
      <w:pPr>
        <w:rPr>
          <w:rFonts w:ascii="Times New Roman" w:eastAsia="宋体" w:hAnsi="Times New Roman" w:cs="Times New Roman"/>
          <w:sz w:val="30"/>
          <w:szCs w:val="30"/>
        </w:rPr>
      </w:pPr>
    </w:p>
    <w:p w14:paraId="29B6F98E" w14:textId="77777777" w:rsidR="00913A13" w:rsidRDefault="00913A13">
      <w:pPr>
        <w:rPr>
          <w:rFonts w:ascii="Times New Roman" w:eastAsia="宋体" w:hAnsi="Times New Roman" w:cs="Times New Roman"/>
          <w:sz w:val="30"/>
          <w:szCs w:val="30"/>
        </w:rPr>
        <w:sectPr w:rsidR="00913A13">
          <w:headerReference w:type="even" r:id="rId12"/>
          <w:headerReference w:type="default" r:id="rId13"/>
          <w:headerReference w:type="first" r:id="rId14"/>
          <w:pgSz w:w="11906" w:h="16838"/>
          <w:pgMar w:top="1440" w:right="1800" w:bottom="1440" w:left="1800" w:header="851" w:footer="992" w:gutter="0"/>
          <w:pgNumType w:start="1"/>
          <w:cols w:space="720"/>
          <w:docGrid w:type="lines" w:linePitch="312"/>
        </w:sectPr>
      </w:pPr>
    </w:p>
    <w:p w14:paraId="6B9097EC" w14:textId="77777777" w:rsidR="00913A13" w:rsidRDefault="002F45B8">
      <w:pPr>
        <w:jc w:val="center"/>
        <w:rPr>
          <w:b/>
          <w:bCs/>
          <w:sz w:val="24"/>
        </w:rPr>
      </w:pPr>
      <w:r>
        <w:rPr>
          <w:b/>
          <w:bCs/>
          <w:sz w:val="24"/>
        </w:rPr>
        <w:lastRenderedPageBreak/>
        <w:t>目</w:t>
      </w:r>
      <w:r>
        <w:rPr>
          <w:b/>
          <w:bCs/>
          <w:sz w:val="24"/>
        </w:rPr>
        <w:t xml:space="preserve">    </w:t>
      </w:r>
      <w:r>
        <w:rPr>
          <w:rFonts w:hint="eastAsia"/>
          <w:b/>
          <w:bCs/>
          <w:sz w:val="24"/>
        </w:rPr>
        <w:t>录</w:t>
      </w:r>
    </w:p>
    <w:p w14:paraId="252122AF" w14:textId="262E3F50" w:rsidR="00913A13" w:rsidRDefault="002F45B8">
      <w:pPr>
        <w:pStyle w:val="TOC1"/>
        <w:rPr>
          <w:rFonts w:asciiTheme="minorHAnsi" w:eastAsiaTheme="minorEastAsia" w:hAnsiTheme="minorHAnsi" w:cstheme="minorBidi"/>
          <w:noProof/>
          <w:szCs w:val="22"/>
          <w14:ligatures w14:val="standardContextual"/>
        </w:rPr>
      </w:pPr>
      <w:r>
        <w:rPr>
          <w:bCs/>
        </w:rPr>
        <w:fldChar w:fldCharType="begin"/>
      </w:r>
      <w:r>
        <w:rPr>
          <w:bCs/>
        </w:rPr>
        <w:instrText xml:space="preserve"> TOC \o "1-1" \h \z \u </w:instrText>
      </w:r>
      <w:r>
        <w:rPr>
          <w:bCs/>
        </w:rPr>
        <w:fldChar w:fldCharType="separate"/>
      </w:r>
      <w:hyperlink w:anchor="_Toc136963801" w:history="1">
        <w:r w:rsidR="00913A13">
          <w:rPr>
            <w:rStyle w:val="afc"/>
            <w:noProof/>
          </w:rPr>
          <w:t>第一部分</w:t>
        </w:r>
        <w:r w:rsidR="00913A13">
          <w:rPr>
            <w:rStyle w:val="afc"/>
            <w:noProof/>
          </w:rPr>
          <w:t xml:space="preserve">  </w:t>
        </w:r>
        <w:r w:rsidR="00913A13">
          <w:rPr>
            <w:rStyle w:val="afc"/>
            <w:noProof/>
          </w:rPr>
          <w:t>绪言</w:t>
        </w:r>
        <w:r w:rsidR="00913A13">
          <w:rPr>
            <w:noProof/>
          </w:rPr>
          <w:tab/>
        </w:r>
        <w:r w:rsidR="00913A13">
          <w:rPr>
            <w:noProof/>
          </w:rPr>
          <w:fldChar w:fldCharType="begin"/>
        </w:r>
        <w:r w:rsidR="00913A13">
          <w:rPr>
            <w:noProof/>
          </w:rPr>
          <w:instrText xml:space="preserve"> PAGEREF _Toc136963801 \h </w:instrText>
        </w:r>
        <w:r w:rsidR="00913A13">
          <w:rPr>
            <w:noProof/>
          </w:rPr>
        </w:r>
        <w:r w:rsidR="00913A13">
          <w:rPr>
            <w:noProof/>
          </w:rPr>
          <w:fldChar w:fldCharType="separate"/>
        </w:r>
        <w:r w:rsidR="005960D4">
          <w:rPr>
            <w:noProof/>
          </w:rPr>
          <w:t>4</w:t>
        </w:r>
        <w:r w:rsidR="00913A13">
          <w:rPr>
            <w:noProof/>
          </w:rPr>
          <w:fldChar w:fldCharType="end"/>
        </w:r>
      </w:hyperlink>
    </w:p>
    <w:p w14:paraId="033C676C" w14:textId="4AEDCCED" w:rsidR="00913A13" w:rsidRDefault="00913A13">
      <w:pPr>
        <w:pStyle w:val="TOC1"/>
        <w:rPr>
          <w:rFonts w:asciiTheme="minorHAnsi" w:eastAsiaTheme="minorEastAsia" w:hAnsiTheme="minorHAnsi" w:cstheme="minorBidi"/>
          <w:noProof/>
          <w:szCs w:val="22"/>
          <w14:ligatures w14:val="standardContextual"/>
        </w:rPr>
      </w:pPr>
      <w:hyperlink w:anchor="_Toc136963802" w:history="1">
        <w:r>
          <w:rPr>
            <w:rStyle w:val="afc"/>
            <w:noProof/>
          </w:rPr>
          <w:t>第二部分</w:t>
        </w:r>
        <w:r>
          <w:rPr>
            <w:rStyle w:val="afc"/>
            <w:noProof/>
          </w:rPr>
          <w:t xml:space="preserve">  </w:t>
        </w:r>
        <w:r>
          <w:rPr>
            <w:rStyle w:val="afc"/>
            <w:noProof/>
          </w:rPr>
          <w:t>释义</w:t>
        </w:r>
        <w:r>
          <w:rPr>
            <w:noProof/>
          </w:rPr>
          <w:tab/>
        </w:r>
        <w:r>
          <w:rPr>
            <w:noProof/>
          </w:rPr>
          <w:fldChar w:fldCharType="begin"/>
        </w:r>
        <w:r>
          <w:rPr>
            <w:noProof/>
          </w:rPr>
          <w:instrText xml:space="preserve"> PAGEREF _Toc136963802 \h </w:instrText>
        </w:r>
        <w:r>
          <w:rPr>
            <w:noProof/>
          </w:rPr>
        </w:r>
        <w:r>
          <w:rPr>
            <w:noProof/>
          </w:rPr>
          <w:fldChar w:fldCharType="separate"/>
        </w:r>
        <w:r w:rsidR="005960D4">
          <w:rPr>
            <w:noProof/>
          </w:rPr>
          <w:t>5</w:t>
        </w:r>
        <w:r>
          <w:rPr>
            <w:noProof/>
          </w:rPr>
          <w:fldChar w:fldCharType="end"/>
        </w:r>
      </w:hyperlink>
    </w:p>
    <w:p w14:paraId="3F585787" w14:textId="3D3C3DBB" w:rsidR="00913A13" w:rsidRDefault="00913A13">
      <w:pPr>
        <w:pStyle w:val="TOC1"/>
        <w:rPr>
          <w:rFonts w:asciiTheme="minorHAnsi" w:eastAsiaTheme="minorEastAsia" w:hAnsiTheme="minorHAnsi" w:cstheme="minorBidi"/>
          <w:noProof/>
          <w:szCs w:val="22"/>
          <w14:ligatures w14:val="standardContextual"/>
        </w:rPr>
      </w:pPr>
      <w:hyperlink w:anchor="_Toc136963803" w:history="1">
        <w:r>
          <w:rPr>
            <w:rStyle w:val="afc"/>
            <w:noProof/>
          </w:rPr>
          <w:t>第三部分</w:t>
        </w:r>
        <w:r>
          <w:rPr>
            <w:rStyle w:val="afc"/>
            <w:noProof/>
          </w:rPr>
          <w:t xml:space="preserve">  </w:t>
        </w:r>
        <w:r>
          <w:rPr>
            <w:rStyle w:val="afc"/>
            <w:noProof/>
          </w:rPr>
          <w:t>基金管理人</w:t>
        </w:r>
        <w:r>
          <w:rPr>
            <w:noProof/>
          </w:rPr>
          <w:tab/>
        </w:r>
        <w:r>
          <w:rPr>
            <w:noProof/>
          </w:rPr>
          <w:fldChar w:fldCharType="begin"/>
        </w:r>
        <w:r>
          <w:rPr>
            <w:noProof/>
          </w:rPr>
          <w:instrText xml:space="preserve"> PAGEREF _Toc136963803 \h </w:instrText>
        </w:r>
        <w:r>
          <w:rPr>
            <w:noProof/>
          </w:rPr>
        </w:r>
        <w:r>
          <w:rPr>
            <w:noProof/>
          </w:rPr>
          <w:fldChar w:fldCharType="separate"/>
        </w:r>
        <w:r w:rsidR="005960D4">
          <w:rPr>
            <w:noProof/>
          </w:rPr>
          <w:t>10</w:t>
        </w:r>
        <w:r>
          <w:rPr>
            <w:noProof/>
          </w:rPr>
          <w:fldChar w:fldCharType="end"/>
        </w:r>
      </w:hyperlink>
    </w:p>
    <w:p w14:paraId="3B229FDA" w14:textId="035E51CB" w:rsidR="00913A13" w:rsidRDefault="00913A13">
      <w:pPr>
        <w:pStyle w:val="TOC1"/>
        <w:rPr>
          <w:rFonts w:asciiTheme="minorHAnsi" w:eastAsiaTheme="minorEastAsia" w:hAnsiTheme="minorHAnsi" w:cstheme="minorBidi"/>
          <w:noProof/>
          <w:szCs w:val="22"/>
          <w14:ligatures w14:val="standardContextual"/>
        </w:rPr>
      </w:pPr>
      <w:hyperlink w:anchor="_Toc136963804" w:history="1">
        <w:r>
          <w:rPr>
            <w:rStyle w:val="afc"/>
            <w:noProof/>
          </w:rPr>
          <w:t>第四部分</w:t>
        </w:r>
        <w:r>
          <w:rPr>
            <w:rStyle w:val="afc"/>
            <w:noProof/>
          </w:rPr>
          <w:t xml:space="preserve">  </w:t>
        </w:r>
        <w:r>
          <w:rPr>
            <w:rStyle w:val="afc"/>
            <w:noProof/>
          </w:rPr>
          <w:t>基金托管人</w:t>
        </w:r>
        <w:r>
          <w:rPr>
            <w:noProof/>
          </w:rPr>
          <w:tab/>
        </w:r>
        <w:r>
          <w:rPr>
            <w:noProof/>
          </w:rPr>
          <w:fldChar w:fldCharType="begin"/>
        </w:r>
        <w:r>
          <w:rPr>
            <w:noProof/>
          </w:rPr>
          <w:instrText xml:space="preserve"> PAGEREF _Toc136963804 \h </w:instrText>
        </w:r>
        <w:r>
          <w:rPr>
            <w:noProof/>
          </w:rPr>
        </w:r>
        <w:r>
          <w:rPr>
            <w:noProof/>
          </w:rPr>
          <w:fldChar w:fldCharType="separate"/>
        </w:r>
        <w:r w:rsidR="005960D4">
          <w:rPr>
            <w:noProof/>
          </w:rPr>
          <w:t>22</w:t>
        </w:r>
        <w:r>
          <w:rPr>
            <w:noProof/>
          </w:rPr>
          <w:fldChar w:fldCharType="end"/>
        </w:r>
      </w:hyperlink>
    </w:p>
    <w:p w14:paraId="3A5B3574" w14:textId="1FFC15CE" w:rsidR="00913A13" w:rsidRDefault="00913A13">
      <w:pPr>
        <w:pStyle w:val="TOC1"/>
        <w:rPr>
          <w:rFonts w:asciiTheme="minorHAnsi" w:eastAsiaTheme="minorEastAsia" w:hAnsiTheme="minorHAnsi" w:cstheme="minorBidi"/>
          <w:noProof/>
          <w:szCs w:val="22"/>
          <w14:ligatures w14:val="standardContextual"/>
        </w:rPr>
      </w:pPr>
      <w:hyperlink w:anchor="_Toc136963805" w:history="1">
        <w:r>
          <w:rPr>
            <w:rStyle w:val="afc"/>
            <w:noProof/>
          </w:rPr>
          <w:t>第五部分</w:t>
        </w:r>
        <w:r>
          <w:rPr>
            <w:rStyle w:val="afc"/>
            <w:noProof/>
          </w:rPr>
          <w:t xml:space="preserve">  </w:t>
        </w:r>
        <w:r>
          <w:rPr>
            <w:rStyle w:val="afc"/>
            <w:noProof/>
          </w:rPr>
          <w:t>相关服务机构</w:t>
        </w:r>
        <w:r>
          <w:rPr>
            <w:noProof/>
          </w:rPr>
          <w:tab/>
        </w:r>
        <w:r>
          <w:rPr>
            <w:noProof/>
          </w:rPr>
          <w:fldChar w:fldCharType="begin"/>
        </w:r>
        <w:r>
          <w:rPr>
            <w:noProof/>
          </w:rPr>
          <w:instrText xml:space="preserve"> PAGEREF _Toc136963805 \h </w:instrText>
        </w:r>
        <w:r>
          <w:rPr>
            <w:noProof/>
          </w:rPr>
        </w:r>
        <w:r>
          <w:rPr>
            <w:noProof/>
          </w:rPr>
          <w:fldChar w:fldCharType="separate"/>
        </w:r>
        <w:r w:rsidR="005960D4">
          <w:rPr>
            <w:noProof/>
          </w:rPr>
          <w:t>26</w:t>
        </w:r>
        <w:r>
          <w:rPr>
            <w:noProof/>
          </w:rPr>
          <w:fldChar w:fldCharType="end"/>
        </w:r>
      </w:hyperlink>
    </w:p>
    <w:p w14:paraId="581E7303" w14:textId="7AA38515" w:rsidR="00913A13" w:rsidRDefault="00913A13">
      <w:pPr>
        <w:pStyle w:val="TOC1"/>
        <w:rPr>
          <w:rFonts w:asciiTheme="minorHAnsi" w:eastAsiaTheme="minorEastAsia" w:hAnsiTheme="minorHAnsi" w:cstheme="minorBidi"/>
          <w:noProof/>
          <w:szCs w:val="22"/>
          <w14:ligatures w14:val="standardContextual"/>
        </w:rPr>
      </w:pPr>
      <w:hyperlink w:anchor="_Toc136963806" w:history="1">
        <w:r>
          <w:rPr>
            <w:rStyle w:val="afc"/>
            <w:noProof/>
          </w:rPr>
          <w:t>第六部分</w:t>
        </w:r>
        <w:r>
          <w:rPr>
            <w:rStyle w:val="afc"/>
            <w:noProof/>
          </w:rPr>
          <w:t xml:space="preserve">  </w:t>
        </w:r>
        <w:r>
          <w:rPr>
            <w:rStyle w:val="afc"/>
            <w:noProof/>
          </w:rPr>
          <w:t>基金的募集</w:t>
        </w:r>
        <w:r>
          <w:rPr>
            <w:noProof/>
          </w:rPr>
          <w:tab/>
        </w:r>
        <w:r>
          <w:rPr>
            <w:noProof/>
          </w:rPr>
          <w:fldChar w:fldCharType="begin"/>
        </w:r>
        <w:r>
          <w:rPr>
            <w:noProof/>
          </w:rPr>
          <w:instrText xml:space="preserve"> PAGEREF _Toc136963806 \h </w:instrText>
        </w:r>
        <w:r>
          <w:rPr>
            <w:noProof/>
          </w:rPr>
        </w:r>
        <w:r>
          <w:rPr>
            <w:noProof/>
          </w:rPr>
          <w:fldChar w:fldCharType="separate"/>
        </w:r>
        <w:r w:rsidR="005960D4">
          <w:rPr>
            <w:noProof/>
          </w:rPr>
          <w:t>28</w:t>
        </w:r>
        <w:r>
          <w:rPr>
            <w:noProof/>
          </w:rPr>
          <w:fldChar w:fldCharType="end"/>
        </w:r>
      </w:hyperlink>
    </w:p>
    <w:p w14:paraId="232F2C0F" w14:textId="6FE61558" w:rsidR="00913A13" w:rsidRDefault="00913A13">
      <w:pPr>
        <w:pStyle w:val="TOC1"/>
        <w:rPr>
          <w:rFonts w:asciiTheme="minorHAnsi" w:eastAsiaTheme="minorEastAsia" w:hAnsiTheme="minorHAnsi" w:cstheme="minorBidi"/>
          <w:noProof/>
          <w:szCs w:val="22"/>
          <w14:ligatures w14:val="standardContextual"/>
        </w:rPr>
      </w:pPr>
      <w:hyperlink w:anchor="_Toc136963807" w:history="1">
        <w:r>
          <w:rPr>
            <w:rStyle w:val="afc"/>
            <w:noProof/>
          </w:rPr>
          <w:t>第七部分</w:t>
        </w:r>
        <w:r>
          <w:rPr>
            <w:rStyle w:val="afc"/>
            <w:noProof/>
          </w:rPr>
          <w:t xml:space="preserve">  </w:t>
        </w:r>
        <w:r>
          <w:rPr>
            <w:rStyle w:val="afc"/>
            <w:noProof/>
          </w:rPr>
          <w:t>基金合同的生效</w:t>
        </w:r>
        <w:r>
          <w:rPr>
            <w:noProof/>
          </w:rPr>
          <w:tab/>
        </w:r>
        <w:r>
          <w:rPr>
            <w:noProof/>
          </w:rPr>
          <w:fldChar w:fldCharType="begin"/>
        </w:r>
        <w:r>
          <w:rPr>
            <w:noProof/>
          </w:rPr>
          <w:instrText xml:space="preserve"> PAGEREF _Toc136963807 \h </w:instrText>
        </w:r>
        <w:r>
          <w:rPr>
            <w:noProof/>
          </w:rPr>
        </w:r>
        <w:r>
          <w:rPr>
            <w:noProof/>
          </w:rPr>
          <w:fldChar w:fldCharType="separate"/>
        </w:r>
        <w:r w:rsidR="005960D4">
          <w:rPr>
            <w:noProof/>
          </w:rPr>
          <w:t>29</w:t>
        </w:r>
        <w:r>
          <w:rPr>
            <w:noProof/>
          </w:rPr>
          <w:fldChar w:fldCharType="end"/>
        </w:r>
      </w:hyperlink>
    </w:p>
    <w:p w14:paraId="63B9F97D" w14:textId="208394D4" w:rsidR="00913A13" w:rsidRDefault="00913A13">
      <w:pPr>
        <w:pStyle w:val="TOC1"/>
        <w:rPr>
          <w:rFonts w:asciiTheme="minorHAnsi" w:eastAsiaTheme="minorEastAsia" w:hAnsiTheme="minorHAnsi" w:cstheme="minorBidi"/>
          <w:noProof/>
          <w:szCs w:val="22"/>
          <w14:ligatures w14:val="standardContextual"/>
        </w:rPr>
      </w:pPr>
      <w:hyperlink w:anchor="_Toc136963808" w:history="1">
        <w:r>
          <w:rPr>
            <w:rStyle w:val="afc"/>
            <w:noProof/>
          </w:rPr>
          <w:t>第八部分</w:t>
        </w:r>
        <w:r>
          <w:rPr>
            <w:rStyle w:val="afc"/>
            <w:noProof/>
          </w:rPr>
          <w:t xml:space="preserve">  </w:t>
        </w:r>
        <w:r>
          <w:rPr>
            <w:rStyle w:val="afc"/>
            <w:noProof/>
          </w:rPr>
          <w:t>基金份额的申购与赎回</w:t>
        </w:r>
        <w:r>
          <w:rPr>
            <w:noProof/>
          </w:rPr>
          <w:tab/>
        </w:r>
        <w:r>
          <w:rPr>
            <w:noProof/>
          </w:rPr>
          <w:fldChar w:fldCharType="begin"/>
        </w:r>
        <w:r>
          <w:rPr>
            <w:noProof/>
          </w:rPr>
          <w:instrText xml:space="preserve"> PAGEREF _Toc136963808 \h </w:instrText>
        </w:r>
        <w:r>
          <w:rPr>
            <w:noProof/>
          </w:rPr>
        </w:r>
        <w:r>
          <w:rPr>
            <w:noProof/>
          </w:rPr>
          <w:fldChar w:fldCharType="separate"/>
        </w:r>
        <w:r w:rsidR="005960D4">
          <w:rPr>
            <w:noProof/>
          </w:rPr>
          <w:t>30</w:t>
        </w:r>
        <w:r>
          <w:rPr>
            <w:noProof/>
          </w:rPr>
          <w:fldChar w:fldCharType="end"/>
        </w:r>
      </w:hyperlink>
    </w:p>
    <w:p w14:paraId="70A51988" w14:textId="5DD432A6" w:rsidR="00913A13" w:rsidRDefault="00913A13">
      <w:pPr>
        <w:pStyle w:val="TOC1"/>
        <w:rPr>
          <w:rFonts w:asciiTheme="minorHAnsi" w:eastAsiaTheme="minorEastAsia" w:hAnsiTheme="minorHAnsi" w:cstheme="minorBidi"/>
          <w:noProof/>
          <w:szCs w:val="22"/>
          <w14:ligatures w14:val="standardContextual"/>
        </w:rPr>
      </w:pPr>
      <w:hyperlink w:anchor="_Toc136963809" w:history="1">
        <w:r>
          <w:rPr>
            <w:rStyle w:val="afc"/>
            <w:noProof/>
          </w:rPr>
          <w:t>第九部分</w:t>
        </w:r>
        <w:r>
          <w:rPr>
            <w:rStyle w:val="afc"/>
            <w:noProof/>
          </w:rPr>
          <w:t xml:space="preserve">  </w:t>
        </w:r>
        <w:r>
          <w:rPr>
            <w:rStyle w:val="afc"/>
            <w:noProof/>
          </w:rPr>
          <w:t>基金的投资</w:t>
        </w:r>
        <w:r>
          <w:rPr>
            <w:noProof/>
          </w:rPr>
          <w:tab/>
        </w:r>
        <w:r>
          <w:rPr>
            <w:noProof/>
          </w:rPr>
          <w:fldChar w:fldCharType="begin"/>
        </w:r>
        <w:r>
          <w:rPr>
            <w:noProof/>
          </w:rPr>
          <w:instrText xml:space="preserve"> PAGEREF _Toc136963809 \h </w:instrText>
        </w:r>
        <w:r>
          <w:rPr>
            <w:noProof/>
          </w:rPr>
        </w:r>
        <w:r>
          <w:rPr>
            <w:noProof/>
          </w:rPr>
          <w:fldChar w:fldCharType="separate"/>
        </w:r>
        <w:r w:rsidR="005960D4">
          <w:rPr>
            <w:noProof/>
          </w:rPr>
          <w:t>41</w:t>
        </w:r>
        <w:r>
          <w:rPr>
            <w:noProof/>
          </w:rPr>
          <w:fldChar w:fldCharType="end"/>
        </w:r>
      </w:hyperlink>
    </w:p>
    <w:p w14:paraId="08D1708B" w14:textId="0A6D5458" w:rsidR="00913A13" w:rsidRDefault="00913A13">
      <w:pPr>
        <w:pStyle w:val="TOC1"/>
        <w:rPr>
          <w:rFonts w:asciiTheme="minorHAnsi" w:eastAsiaTheme="minorEastAsia" w:hAnsiTheme="minorHAnsi" w:cstheme="minorBidi"/>
          <w:noProof/>
          <w:szCs w:val="22"/>
          <w14:ligatures w14:val="standardContextual"/>
        </w:rPr>
      </w:pPr>
      <w:hyperlink w:anchor="_Toc136963810" w:history="1">
        <w:r>
          <w:rPr>
            <w:rStyle w:val="afc"/>
            <w:noProof/>
          </w:rPr>
          <w:t>第十部分</w:t>
        </w:r>
        <w:r>
          <w:rPr>
            <w:rStyle w:val="afc"/>
            <w:noProof/>
          </w:rPr>
          <w:t xml:space="preserve">  </w:t>
        </w:r>
        <w:r>
          <w:rPr>
            <w:rStyle w:val="afc"/>
            <w:noProof/>
          </w:rPr>
          <w:t>基金的财产</w:t>
        </w:r>
        <w:r>
          <w:rPr>
            <w:noProof/>
          </w:rPr>
          <w:tab/>
        </w:r>
        <w:r>
          <w:rPr>
            <w:noProof/>
          </w:rPr>
          <w:fldChar w:fldCharType="begin"/>
        </w:r>
        <w:r>
          <w:rPr>
            <w:noProof/>
          </w:rPr>
          <w:instrText xml:space="preserve"> PAGEREF _Toc136963810 \h </w:instrText>
        </w:r>
        <w:r>
          <w:rPr>
            <w:noProof/>
          </w:rPr>
        </w:r>
        <w:r>
          <w:rPr>
            <w:noProof/>
          </w:rPr>
          <w:fldChar w:fldCharType="separate"/>
        </w:r>
        <w:r w:rsidR="005960D4">
          <w:rPr>
            <w:noProof/>
          </w:rPr>
          <w:t>59</w:t>
        </w:r>
        <w:r>
          <w:rPr>
            <w:noProof/>
          </w:rPr>
          <w:fldChar w:fldCharType="end"/>
        </w:r>
      </w:hyperlink>
    </w:p>
    <w:p w14:paraId="65D73AF8" w14:textId="70BD40AD" w:rsidR="00913A13" w:rsidRDefault="00913A13">
      <w:pPr>
        <w:pStyle w:val="TOC1"/>
        <w:rPr>
          <w:rFonts w:asciiTheme="minorHAnsi" w:eastAsiaTheme="minorEastAsia" w:hAnsiTheme="minorHAnsi" w:cstheme="minorBidi"/>
          <w:noProof/>
          <w:szCs w:val="22"/>
          <w14:ligatures w14:val="standardContextual"/>
        </w:rPr>
      </w:pPr>
      <w:hyperlink w:anchor="_Toc136963811" w:history="1">
        <w:r>
          <w:rPr>
            <w:rStyle w:val="afc"/>
            <w:noProof/>
          </w:rPr>
          <w:t>第十一部分</w:t>
        </w:r>
        <w:r>
          <w:rPr>
            <w:rStyle w:val="afc"/>
            <w:noProof/>
          </w:rPr>
          <w:t xml:space="preserve">  </w:t>
        </w:r>
        <w:r>
          <w:rPr>
            <w:rStyle w:val="afc"/>
            <w:noProof/>
          </w:rPr>
          <w:t>基金资产的估值</w:t>
        </w:r>
        <w:r>
          <w:rPr>
            <w:noProof/>
          </w:rPr>
          <w:tab/>
        </w:r>
        <w:r>
          <w:rPr>
            <w:noProof/>
          </w:rPr>
          <w:fldChar w:fldCharType="begin"/>
        </w:r>
        <w:r>
          <w:rPr>
            <w:noProof/>
          </w:rPr>
          <w:instrText xml:space="preserve"> PAGEREF _Toc136963811 \h </w:instrText>
        </w:r>
        <w:r>
          <w:rPr>
            <w:noProof/>
          </w:rPr>
        </w:r>
        <w:r>
          <w:rPr>
            <w:noProof/>
          </w:rPr>
          <w:fldChar w:fldCharType="separate"/>
        </w:r>
        <w:r w:rsidR="005960D4">
          <w:rPr>
            <w:noProof/>
          </w:rPr>
          <w:t>60</w:t>
        </w:r>
        <w:r>
          <w:rPr>
            <w:noProof/>
          </w:rPr>
          <w:fldChar w:fldCharType="end"/>
        </w:r>
      </w:hyperlink>
    </w:p>
    <w:p w14:paraId="0CFE17F6" w14:textId="2D9BAB80" w:rsidR="00913A13" w:rsidRDefault="00913A13">
      <w:pPr>
        <w:pStyle w:val="TOC1"/>
        <w:rPr>
          <w:rFonts w:asciiTheme="minorHAnsi" w:eastAsiaTheme="minorEastAsia" w:hAnsiTheme="minorHAnsi" w:cstheme="minorBidi"/>
          <w:noProof/>
          <w:szCs w:val="22"/>
          <w14:ligatures w14:val="standardContextual"/>
        </w:rPr>
      </w:pPr>
      <w:hyperlink w:anchor="_Toc136963812" w:history="1">
        <w:r>
          <w:rPr>
            <w:rStyle w:val="afc"/>
            <w:noProof/>
          </w:rPr>
          <w:t>第十二部分</w:t>
        </w:r>
        <w:r>
          <w:rPr>
            <w:rStyle w:val="afc"/>
            <w:noProof/>
          </w:rPr>
          <w:t xml:space="preserve">  </w:t>
        </w:r>
        <w:r>
          <w:rPr>
            <w:rStyle w:val="afc"/>
            <w:noProof/>
          </w:rPr>
          <w:t>基金的收益分配</w:t>
        </w:r>
        <w:r>
          <w:rPr>
            <w:noProof/>
          </w:rPr>
          <w:tab/>
        </w:r>
        <w:r>
          <w:rPr>
            <w:noProof/>
          </w:rPr>
          <w:fldChar w:fldCharType="begin"/>
        </w:r>
        <w:r>
          <w:rPr>
            <w:noProof/>
          </w:rPr>
          <w:instrText xml:space="preserve"> PAGEREF _Toc136963812 \h </w:instrText>
        </w:r>
        <w:r>
          <w:rPr>
            <w:noProof/>
          </w:rPr>
        </w:r>
        <w:r>
          <w:rPr>
            <w:noProof/>
          </w:rPr>
          <w:fldChar w:fldCharType="separate"/>
        </w:r>
        <w:r w:rsidR="005960D4">
          <w:rPr>
            <w:noProof/>
          </w:rPr>
          <w:t>66</w:t>
        </w:r>
        <w:r>
          <w:rPr>
            <w:noProof/>
          </w:rPr>
          <w:fldChar w:fldCharType="end"/>
        </w:r>
      </w:hyperlink>
    </w:p>
    <w:p w14:paraId="0AE9E002" w14:textId="5534240F" w:rsidR="00913A13" w:rsidRDefault="00913A13">
      <w:pPr>
        <w:pStyle w:val="TOC1"/>
        <w:rPr>
          <w:rFonts w:asciiTheme="minorHAnsi" w:eastAsiaTheme="minorEastAsia" w:hAnsiTheme="minorHAnsi" w:cstheme="minorBidi"/>
          <w:noProof/>
          <w:szCs w:val="22"/>
          <w14:ligatures w14:val="standardContextual"/>
        </w:rPr>
      </w:pPr>
      <w:hyperlink w:anchor="_Toc136963813" w:history="1">
        <w:r>
          <w:rPr>
            <w:rStyle w:val="afc"/>
            <w:noProof/>
          </w:rPr>
          <w:t>第十三部分</w:t>
        </w:r>
        <w:r>
          <w:rPr>
            <w:rStyle w:val="afc"/>
            <w:noProof/>
          </w:rPr>
          <w:t xml:space="preserve">  </w:t>
        </w:r>
        <w:r>
          <w:rPr>
            <w:rStyle w:val="afc"/>
            <w:noProof/>
          </w:rPr>
          <w:t>基金费用与税收</w:t>
        </w:r>
        <w:r>
          <w:rPr>
            <w:noProof/>
          </w:rPr>
          <w:tab/>
        </w:r>
        <w:r>
          <w:rPr>
            <w:noProof/>
          </w:rPr>
          <w:fldChar w:fldCharType="begin"/>
        </w:r>
        <w:r>
          <w:rPr>
            <w:noProof/>
          </w:rPr>
          <w:instrText xml:space="preserve"> PAGEREF _Toc136963813 \h </w:instrText>
        </w:r>
        <w:r>
          <w:rPr>
            <w:noProof/>
          </w:rPr>
        </w:r>
        <w:r>
          <w:rPr>
            <w:noProof/>
          </w:rPr>
          <w:fldChar w:fldCharType="separate"/>
        </w:r>
        <w:r w:rsidR="005960D4">
          <w:rPr>
            <w:noProof/>
          </w:rPr>
          <w:t>68</w:t>
        </w:r>
        <w:r>
          <w:rPr>
            <w:noProof/>
          </w:rPr>
          <w:fldChar w:fldCharType="end"/>
        </w:r>
      </w:hyperlink>
    </w:p>
    <w:p w14:paraId="49436393" w14:textId="0C5F6E29" w:rsidR="00913A13" w:rsidRDefault="00913A13">
      <w:pPr>
        <w:pStyle w:val="TOC1"/>
        <w:rPr>
          <w:rFonts w:asciiTheme="minorHAnsi" w:eastAsiaTheme="minorEastAsia" w:hAnsiTheme="minorHAnsi" w:cstheme="minorBidi"/>
          <w:noProof/>
          <w:szCs w:val="22"/>
          <w14:ligatures w14:val="standardContextual"/>
        </w:rPr>
      </w:pPr>
      <w:hyperlink w:anchor="_Toc136963814" w:history="1">
        <w:r>
          <w:rPr>
            <w:rStyle w:val="afc"/>
            <w:noProof/>
          </w:rPr>
          <w:t>第十四部分</w:t>
        </w:r>
        <w:r>
          <w:rPr>
            <w:rStyle w:val="afc"/>
            <w:noProof/>
          </w:rPr>
          <w:t xml:space="preserve">  </w:t>
        </w:r>
        <w:r>
          <w:rPr>
            <w:rStyle w:val="afc"/>
            <w:noProof/>
          </w:rPr>
          <w:t>基金的会计与审计</w:t>
        </w:r>
        <w:r>
          <w:rPr>
            <w:noProof/>
          </w:rPr>
          <w:tab/>
        </w:r>
        <w:r>
          <w:rPr>
            <w:noProof/>
          </w:rPr>
          <w:fldChar w:fldCharType="begin"/>
        </w:r>
        <w:r>
          <w:rPr>
            <w:noProof/>
          </w:rPr>
          <w:instrText xml:space="preserve"> PAGEREF _Toc136963814 \h </w:instrText>
        </w:r>
        <w:r>
          <w:rPr>
            <w:noProof/>
          </w:rPr>
        </w:r>
        <w:r>
          <w:rPr>
            <w:noProof/>
          </w:rPr>
          <w:fldChar w:fldCharType="separate"/>
        </w:r>
        <w:r w:rsidR="005960D4">
          <w:rPr>
            <w:noProof/>
          </w:rPr>
          <w:t>71</w:t>
        </w:r>
        <w:r>
          <w:rPr>
            <w:noProof/>
          </w:rPr>
          <w:fldChar w:fldCharType="end"/>
        </w:r>
      </w:hyperlink>
    </w:p>
    <w:p w14:paraId="394FD6BE" w14:textId="2C734BB2" w:rsidR="00913A13" w:rsidRDefault="00913A13">
      <w:pPr>
        <w:pStyle w:val="TOC1"/>
        <w:rPr>
          <w:rFonts w:asciiTheme="minorHAnsi" w:eastAsiaTheme="minorEastAsia" w:hAnsiTheme="minorHAnsi" w:cstheme="minorBidi"/>
          <w:noProof/>
          <w:szCs w:val="22"/>
          <w14:ligatures w14:val="standardContextual"/>
        </w:rPr>
      </w:pPr>
      <w:hyperlink w:anchor="_Toc136963815" w:history="1">
        <w:r>
          <w:rPr>
            <w:rStyle w:val="afc"/>
            <w:noProof/>
          </w:rPr>
          <w:t>第十五部分</w:t>
        </w:r>
        <w:r>
          <w:rPr>
            <w:rStyle w:val="afc"/>
            <w:noProof/>
          </w:rPr>
          <w:t xml:space="preserve">  </w:t>
        </w:r>
        <w:r>
          <w:rPr>
            <w:rStyle w:val="afc"/>
            <w:noProof/>
          </w:rPr>
          <w:t>基金的信息披露</w:t>
        </w:r>
        <w:r>
          <w:rPr>
            <w:noProof/>
          </w:rPr>
          <w:tab/>
        </w:r>
        <w:r>
          <w:rPr>
            <w:noProof/>
          </w:rPr>
          <w:fldChar w:fldCharType="begin"/>
        </w:r>
        <w:r>
          <w:rPr>
            <w:noProof/>
          </w:rPr>
          <w:instrText xml:space="preserve"> PAGEREF _Toc136963815 \h </w:instrText>
        </w:r>
        <w:r>
          <w:rPr>
            <w:noProof/>
          </w:rPr>
        </w:r>
        <w:r>
          <w:rPr>
            <w:noProof/>
          </w:rPr>
          <w:fldChar w:fldCharType="separate"/>
        </w:r>
        <w:r w:rsidR="005960D4">
          <w:rPr>
            <w:noProof/>
          </w:rPr>
          <w:t>72</w:t>
        </w:r>
        <w:r>
          <w:rPr>
            <w:noProof/>
          </w:rPr>
          <w:fldChar w:fldCharType="end"/>
        </w:r>
      </w:hyperlink>
    </w:p>
    <w:p w14:paraId="46EE16C8" w14:textId="7351D2F8" w:rsidR="00913A13" w:rsidRDefault="00913A13">
      <w:pPr>
        <w:pStyle w:val="TOC1"/>
        <w:rPr>
          <w:rFonts w:asciiTheme="minorHAnsi" w:eastAsiaTheme="minorEastAsia" w:hAnsiTheme="minorHAnsi" w:cstheme="minorBidi"/>
          <w:noProof/>
          <w:szCs w:val="22"/>
          <w14:ligatures w14:val="standardContextual"/>
        </w:rPr>
      </w:pPr>
      <w:hyperlink w:anchor="_Toc136963816" w:history="1">
        <w:r>
          <w:rPr>
            <w:rStyle w:val="afc"/>
            <w:rFonts w:cs="Arial"/>
            <w:noProof/>
          </w:rPr>
          <w:t>第十六部分</w:t>
        </w:r>
        <w:r>
          <w:rPr>
            <w:rStyle w:val="afc"/>
            <w:rFonts w:cs="Arial"/>
            <w:noProof/>
          </w:rPr>
          <w:t xml:space="preserve"> </w:t>
        </w:r>
        <w:r>
          <w:rPr>
            <w:rStyle w:val="afc"/>
            <w:rFonts w:cs="Arial"/>
            <w:noProof/>
          </w:rPr>
          <w:t>侧袋机制</w:t>
        </w:r>
        <w:r>
          <w:rPr>
            <w:noProof/>
          </w:rPr>
          <w:tab/>
        </w:r>
        <w:r>
          <w:rPr>
            <w:noProof/>
          </w:rPr>
          <w:fldChar w:fldCharType="begin"/>
        </w:r>
        <w:r>
          <w:rPr>
            <w:noProof/>
          </w:rPr>
          <w:instrText xml:space="preserve"> PAGEREF _Toc136963816 \h </w:instrText>
        </w:r>
        <w:r>
          <w:rPr>
            <w:noProof/>
          </w:rPr>
        </w:r>
        <w:r>
          <w:rPr>
            <w:noProof/>
          </w:rPr>
          <w:fldChar w:fldCharType="separate"/>
        </w:r>
        <w:r w:rsidR="005960D4">
          <w:rPr>
            <w:noProof/>
          </w:rPr>
          <w:t>79</w:t>
        </w:r>
        <w:r>
          <w:rPr>
            <w:noProof/>
          </w:rPr>
          <w:fldChar w:fldCharType="end"/>
        </w:r>
      </w:hyperlink>
    </w:p>
    <w:p w14:paraId="36ECD5BE" w14:textId="6DB0D94E" w:rsidR="00913A13" w:rsidRDefault="00913A13">
      <w:pPr>
        <w:pStyle w:val="TOC1"/>
        <w:rPr>
          <w:rFonts w:asciiTheme="minorHAnsi" w:eastAsiaTheme="minorEastAsia" w:hAnsiTheme="minorHAnsi" w:cstheme="minorBidi"/>
          <w:noProof/>
          <w:szCs w:val="22"/>
          <w14:ligatures w14:val="standardContextual"/>
        </w:rPr>
      </w:pPr>
      <w:hyperlink w:anchor="_Toc136963817" w:history="1">
        <w:r>
          <w:rPr>
            <w:rStyle w:val="afc"/>
            <w:noProof/>
          </w:rPr>
          <w:t>第十七部分</w:t>
        </w:r>
        <w:r>
          <w:rPr>
            <w:rStyle w:val="afc"/>
            <w:noProof/>
          </w:rPr>
          <w:t xml:space="preserve">  </w:t>
        </w:r>
        <w:r>
          <w:rPr>
            <w:rStyle w:val="afc"/>
            <w:noProof/>
          </w:rPr>
          <w:t>风险揭示</w:t>
        </w:r>
        <w:r>
          <w:rPr>
            <w:noProof/>
          </w:rPr>
          <w:tab/>
        </w:r>
        <w:r>
          <w:rPr>
            <w:noProof/>
          </w:rPr>
          <w:fldChar w:fldCharType="begin"/>
        </w:r>
        <w:r>
          <w:rPr>
            <w:noProof/>
          </w:rPr>
          <w:instrText xml:space="preserve"> PAGEREF _Toc136963817 \h </w:instrText>
        </w:r>
        <w:r>
          <w:rPr>
            <w:noProof/>
          </w:rPr>
        </w:r>
        <w:r>
          <w:rPr>
            <w:noProof/>
          </w:rPr>
          <w:fldChar w:fldCharType="separate"/>
        </w:r>
        <w:r w:rsidR="005960D4">
          <w:rPr>
            <w:noProof/>
          </w:rPr>
          <w:t>82</w:t>
        </w:r>
        <w:r>
          <w:rPr>
            <w:noProof/>
          </w:rPr>
          <w:fldChar w:fldCharType="end"/>
        </w:r>
      </w:hyperlink>
    </w:p>
    <w:p w14:paraId="36D0A0C2" w14:textId="24FEE56D" w:rsidR="00913A13" w:rsidRDefault="00913A13">
      <w:pPr>
        <w:pStyle w:val="TOC1"/>
        <w:rPr>
          <w:rFonts w:asciiTheme="minorHAnsi" w:eastAsiaTheme="minorEastAsia" w:hAnsiTheme="minorHAnsi" w:cstheme="minorBidi"/>
          <w:noProof/>
          <w:szCs w:val="22"/>
          <w14:ligatures w14:val="standardContextual"/>
        </w:rPr>
      </w:pPr>
      <w:hyperlink w:anchor="_Toc136963818" w:history="1">
        <w:r>
          <w:rPr>
            <w:rStyle w:val="afc"/>
            <w:noProof/>
          </w:rPr>
          <w:t>第十八部分</w:t>
        </w:r>
        <w:r>
          <w:rPr>
            <w:rStyle w:val="afc"/>
            <w:noProof/>
          </w:rPr>
          <w:t xml:space="preserve">  </w:t>
        </w:r>
        <w:r>
          <w:rPr>
            <w:rStyle w:val="afc"/>
            <w:noProof/>
          </w:rPr>
          <w:t>基金合同的变更、终止与基金财产的清算</w:t>
        </w:r>
        <w:r>
          <w:rPr>
            <w:noProof/>
          </w:rPr>
          <w:tab/>
        </w:r>
        <w:r>
          <w:rPr>
            <w:noProof/>
          </w:rPr>
          <w:fldChar w:fldCharType="begin"/>
        </w:r>
        <w:r>
          <w:rPr>
            <w:noProof/>
          </w:rPr>
          <w:instrText xml:space="preserve"> PAGEREF _Toc136963818 \h </w:instrText>
        </w:r>
        <w:r>
          <w:rPr>
            <w:noProof/>
          </w:rPr>
        </w:r>
        <w:r>
          <w:rPr>
            <w:noProof/>
          </w:rPr>
          <w:fldChar w:fldCharType="separate"/>
        </w:r>
        <w:r w:rsidR="005960D4">
          <w:rPr>
            <w:noProof/>
          </w:rPr>
          <w:t>87</w:t>
        </w:r>
        <w:r>
          <w:rPr>
            <w:noProof/>
          </w:rPr>
          <w:fldChar w:fldCharType="end"/>
        </w:r>
      </w:hyperlink>
    </w:p>
    <w:p w14:paraId="7CB3F7EF" w14:textId="31959A8B" w:rsidR="00913A13" w:rsidRDefault="00913A13">
      <w:pPr>
        <w:pStyle w:val="TOC1"/>
        <w:rPr>
          <w:rFonts w:asciiTheme="minorHAnsi" w:eastAsiaTheme="minorEastAsia" w:hAnsiTheme="minorHAnsi" w:cstheme="minorBidi"/>
          <w:noProof/>
          <w:szCs w:val="22"/>
          <w14:ligatures w14:val="standardContextual"/>
        </w:rPr>
      </w:pPr>
      <w:hyperlink w:anchor="_Toc136963819" w:history="1">
        <w:r>
          <w:rPr>
            <w:rStyle w:val="afc"/>
            <w:noProof/>
          </w:rPr>
          <w:t>第十九部分</w:t>
        </w:r>
        <w:r>
          <w:rPr>
            <w:rStyle w:val="afc"/>
            <w:noProof/>
          </w:rPr>
          <w:t xml:space="preserve">  </w:t>
        </w:r>
        <w:r>
          <w:rPr>
            <w:rStyle w:val="afc"/>
            <w:noProof/>
          </w:rPr>
          <w:t>基金合同的内容摘要</w:t>
        </w:r>
        <w:r>
          <w:rPr>
            <w:noProof/>
          </w:rPr>
          <w:tab/>
        </w:r>
        <w:r>
          <w:rPr>
            <w:noProof/>
          </w:rPr>
          <w:fldChar w:fldCharType="begin"/>
        </w:r>
        <w:r>
          <w:rPr>
            <w:noProof/>
          </w:rPr>
          <w:instrText xml:space="preserve"> PAGEREF _Toc136963819 \h </w:instrText>
        </w:r>
        <w:r>
          <w:rPr>
            <w:noProof/>
          </w:rPr>
        </w:r>
        <w:r>
          <w:rPr>
            <w:noProof/>
          </w:rPr>
          <w:fldChar w:fldCharType="separate"/>
        </w:r>
        <w:r w:rsidR="005960D4">
          <w:rPr>
            <w:noProof/>
          </w:rPr>
          <w:t>89</w:t>
        </w:r>
        <w:r>
          <w:rPr>
            <w:noProof/>
          </w:rPr>
          <w:fldChar w:fldCharType="end"/>
        </w:r>
      </w:hyperlink>
    </w:p>
    <w:p w14:paraId="1F3B7447" w14:textId="7E83D7D2" w:rsidR="00913A13" w:rsidRDefault="00913A13">
      <w:pPr>
        <w:pStyle w:val="TOC1"/>
        <w:rPr>
          <w:rFonts w:asciiTheme="minorHAnsi" w:eastAsiaTheme="minorEastAsia" w:hAnsiTheme="minorHAnsi" w:cstheme="minorBidi"/>
          <w:noProof/>
          <w:szCs w:val="22"/>
          <w14:ligatures w14:val="standardContextual"/>
        </w:rPr>
      </w:pPr>
      <w:hyperlink w:anchor="_Toc136963820" w:history="1">
        <w:r>
          <w:rPr>
            <w:rStyle w:val="afc"/>
            <w:noProof/>
          </w:rPr>
          <w:t>第二十部分</w:t>
        </w:r>
        <w:r>
          <w:rPr>
            <w:rStyle w:val="afc"/>
            <w:noProof/>
          </w:rPr>
          <w:t xml:space="preserve">  </w:t>
        </w:r>
        <w:r>
          <w:rPr>
            <w:rStyle w:val="afc"/>
            <w:noProof/>
          </w:rPr>
          <w:t>基金托管协议的内容摘要</w:t>
        </w:r>
        <w:r>
          <w:rPr>
            <w:noProof/>
          </w:rPr>
          <w:tab/>
        </w:r>
        <w:r>
          <w:rPr>
            <w:noProof/>
          </w:rPr>
          <w:fldChar w:fldCharType="begin"/>
        </w:r>
        <w:r>
          <w:rPr>
            <w:noProof/>
          </w:rPr>
          <w:instrText xml:space="preserve"> PAGEREF _Toc136963820 \h </w:instrText>
        </w:r>
        <w:r>
          <w:rPr>
            <w:noProof/>
          </w:rPr>
        </w:r>
        <w:r>
          <w:rPr>
            <w:noProof/>
          </w:rPr>
          <w:fldChar w:fldCharType="separate"/>
        </w:r>
        <w:r w:rsidR="005960D4">
          <w:rPr>
            <w:noProof/>
          </w:rPr>
          <w:t>106</w:t>
        </w:r>
        <w:r>
          <w:rPr>
            <w:noProof/>
          </w:rPr>
          <w:fldChar w:fldCharType="end"/>
        </w:r>
      </w:hyperlink>
    </w:p>
    <w:p w14:paraId="46E8835C" w14:textId="09FB685B" w:rsidR="00913A13" w:rsidRDefault="00913A13">
      <w:pPr>
        <w:pStyle w:val="TOC1"/>
        <w:rPr>
          <w:rFonts w:asciiTheme="minorHAnsi" w:eastAsiaTheme="minorEastAsia" w:hAnsiTheme="minorHAnsi" w:cstheme="minorBidi"/>
          <w:noProof/>
          <w:szCs w:val="22"/>
          <w14:ligatures w14:val="standardContextual"/>
        </w:rPr>
      </w:pPr>
      <w:hyperlink w:anchor="_Toc136963821" w:history="1">
        <w:r>
          <w:rPr>
            <w:rStyle w:val="afc"/>
            <w:noProof/>
          </w:rPr>
          <w:t>第二十一部分</w:t>
        </w:r>
        <w:r>
          <w:rPr>
            <w:rStyle w:val="afc"/>
            <w:noProof/>
          </w:rPr>
          <w:t xml:space="preserve">  </w:t>
        </w:r>
        <w:r>
          <w:rPr>
            <w:rStyle w:val="afc"/>
            <w:noProof/>
          </w:rPr>
          <w:t>对基金份额持有人的服务</w:t>
        </w:r>
        <w:r>
          <w:rPr>
            <w:noProof/>
          </w:rPr>
          <w:tab/>
        </w:r>
        <w:r>
          <w:rPr>
            <w:noProof/>
          </w:rPr>
          <w:fldChar w:fldCharType="begin"/>
        </w:r>
        <w:r>
          <w:rPr>
            <w:noProof/>
          </w:rPr>
          <w:instrText xml:space="preserve"> PAGEREF _Toc136963821 \h </w:instrText>
        </w:r>
        <w:r>
          <w:rPr>
            <w:noProof/>
          </w:rPr>
        </w:r>
        <w:r>
          <w:rPr>
            <w:noProof/>
          </w:rPr>
          <w:fldChar w:fldCharType="separate"/>
        </w:r>
        <w:r w:rsidR="005960D4">
          <w:rPr>
            <w:noProof/>
          </w:rPr>
          <w:t>128</w:t>
        </w:r>
        <w:r>
          <w:rPr>
            <w:noProof/>
          </w:rPr>
          <w:fldChar w:fldCharType="end"/>
        </w:r>
      </w:hyperlink>
    </w:p>
    <w:p w14:paraId="610449C5" w14:textId="26C3466F" w:rsidR="00913A13" w:rsidRDefault="00913A13">
      <w:pPr>
        <w:pStyle w:val="TOC1"/>
        <w:rPr>
          <w:rFonts w:asciiTheme="minorHAnsi" w:eastAsiaTheme="minorEastAsia" w:hAnsiTheme="minorHAnsi" w:cstheme="minorBidi"/>
          <w:noProof/>
          <w:szCs w:val="22"/>
          <w14:ligatures w14:val="standardContextual"/>
        </w:rPr>
      </w:pPr>
      <w:hyperlink w:anchor="_Toc136963822" w:history="1">
        <w:r>
          <w:rPr>
            <w:rStyle w:val="afc"/>
            <w:noProof/>
          </w:rPr>
          <w:t>第二十二部分</w:t>
        </w:r>
        <w:r>
          <w:rPr>
            <w:rStyle w:val="afc"/>
            <w:noProof/>
          </w:rPr>
          <w:t xml:space="preserve">  </w:t>
        </w:r>
        <w:r>
          <w:rPr>
            <w:rStyle w:val="afc"/>
            <w:noProof/>
          </w:rPr>
          <w:t>其他应披露事项</w:t>
        </w:r>
        <w:r>
          <w:rPr>
            <w:noProof/>
          </w:rPr>
          <w:tab/>
        </w:r>
        <w:r>
          <w:rPr>
            <w:noProof/>
          </w:rPr>
          <w:fldChar w:fldCharType="begin"/>
        </w:r>
        <w:r>
          <w:rPr>
            <w:noProof/>
          </w:rPr>
          <w:instrText xml:space="preserve"> PAGEREF _Toc136963822 \h </w:instrText>
        </w:r>
        <w:r>
          <w:rPr>
            <w:noProof/>
          </w:rPr>
        </w:r>
        <w:r>
          <w:rPr>
            <w:noProof/>
          </w:rPr>
          <w:fldChar w:fldCharType="separate"/>
        </w:r>
        <w:r w:rsidR="005960D4">
          <w:rPr>
            <w:noProof/>
          </w:rPr>
          <w:t>130</w:t>
        </w:r>
        <w:r>
          <w:rPr>
            <w:noProof/>
          </w:rPr>
          <w:fldChar w:fldCharType="end"/>
        </w:r>
      </w:hyperlink>
    </w:p>
    <w:p w14:paraId="7C8EF33D" w14:textId="4B1018B9" w:rsidR="00913A13" w:rsidRDefault="00913A13">
      <w:pPr>
        <w:pStyle w:val="TOC1"/>
        <w:rPr>
          <w:rFonts w:asciiTheme="minorHAnsi" w:eastAsiaTheme="minorEastAsia" w:hAnsiTheme="minorHAnsi" w:cstheme="minorBidi"/>
          <w:noProof/>
          <w:szCs w:val="22"/>
          <w14:ligatures w14:val="standardContextual"/>
        </w:rPr>
      </w:pPr>
      <w:hyperlink w:anchor="_Toc136963823" w:history="1">
        <w:r>
          <w:rPr>
            <w:rStyle w:val="afc"/>
            <w:noProof/>
          </w:rPr>
          <w:t>第二十三部分</w:t>
        </w:r>
        <w:r>
          <w:rPr>
            <w:rStyle w:val="afc"/>
            <w:noProof/>
          </w:rPr>
          <w:t xml:space="preserve">  </w:t>
        </w:r>
        <w:r>
          <w:rPr>
            <w:rStyle w:val="afc"/>
            <w:noProof/>
          </w:rPr>
          <w:t>招募说明书存放及查阅方式</w:t>
        </w:r>
        <w:r>
          <w:rPr>
            <w:noProof/>
          </w:rPr>
          <w:tab/>
        </w:r>
        <w:r>
          <w:rPr>
            <w:noProof/>
          </w:rPr>
          <w:fldChar w:fldCharType="begin"/>
        </w:r>
        <w:r>
          <w:rPr>
            <w:noProof/>
          </w:rPr>
          <w:instrText xml:space="preserve"> PAGEREF _Toc136963823 \h </w:instrText>
        </w:r>
        <w:r>
          <w:rPr>
            <w:noProof/>
          </w:rPr>
        </w:r>
        <w:r>
          <w:rPr>
            <w:noProof/>
          </w:rPr>
          <w:fldChar w:fldCharType="separate"/>
        </w:r>
        <w:r w:rsidR="005960D4">
          <w:rPr>
            <w:noProof/>
          </w:rPr>
          <w:t>131</w:t>
        </w:r>
        <w:r>
          <w:rPr>
            <w:noProof/>
          </w:rPr>
          <w:fldChar w:fldCharType="end"/>
        </w:r>
      </w:hyperlink>
    </w:p>
    <w:p w14:paraId="131661DA" w14:textId="15FE1215" w:rsidR="00913A13" w:rsidRDefault="00913A13">
      <w:pPr>
        <w:pStyle w:val="TOC1"/>
        <w:rPr>
          <w:rFonts w:asciiTheme="minorHAnsi" w:eastAsiaTheme="minorEastAsia" w:hAnsiTheme="minorHAnsi" w:cstheme="minorBidi"/>
          <w:noProof/>
          <w:szCs w:val="22"/>
          <w14:ligatures w14:val="standardContextual"/>
        </w:rPr>
      </w:pPr>
      <w:hyperlink w:anchor="_Toc136963824" w:history="1">
        <w:r>
          <w:rPr>
            <w:rStyle w:val="afc"/>
            <w:noProof/>
          </w:rPr>
          <w:t>第二十四部分</w:t>
        </w:r>
        <w:r>
          <w:rPr>
            <w:rStyle w:val="afc"/>
            <w:noProof/>
          </w:rPr>
          <w:t xml:space="preserve">  </w:t>
        </w:r>
        <w:r>
          <w:rPr>
            <w:rStyle w:val="afc"/>
            <w:noProof/>
          </w:rPr>
          <w:t>备查文件</w:t>
        </w:r>
        <w:r>
          <w:rPr>
            <w:noProof/>
          </w:rPr>
          <w:tab/>
        </w:r>
        <w:r>
          <w:rPr>
            <w:noProof/>
          </w:rPr>
          <w:fldChar w:fldCharType="begin"/>
        </w:r>
        <w:r>
          <w:rPr>
            <w:noProof/>
          </w:rPr>
          <w:instrText xml:space="preserve"> PAGEREF _Toc136963824 \h </w:instrText>
        </w:r>
        <w:r>
          <w:rPr>
            <w:noProof/>
          </w:rPr>
        </w:r>
        <w:r>
          <w:rPr>
            <w:noProof/>
          </w:rPr>
          <w:fldChar w:fldCharType="separate"/>
        </w:r>
        <w:r w:rsidR="005960D4">
          <w:rPr>
            <w:noProof/>
          </w:rPr>
          <w:t>132</w:t>
        </w:r>
        <w:r>
          <w:rPr>
            <w:noProof/>
          </w:rPr>
          <w:fldChar w:fldCharType="end"/>
        </w:r>
      </w:hyperlink>
    </w:p>
    <w:p w14:paraId="5CB490E1" w14:textId="77777777" w:rsidR="00913A13" w:rsidRDefault="002F45B8">
      <w:pPr>
        <w:sectPr w:rsidR="00913A13">
          <w:headerReference w:type="even" r:id="rId15"/>
          <w:headerReference w:type="default" r:id="rId16"/>
          <w:headerReference w:type="first" r:id="rId17"/>
          <w:pgSz w:w="11906" w:h="16838"/>
          <w:pgMar w:top="1440" w:right="1800" w:bottom="1440" w:left="1800" w:header="851" w:footer="992" w:gutter="0"/>
          <w:pgNumType w:chapStyle="1"/>
          <w:cols w:space="720"/>
          <w:docGrid w:type="lines" w:linePitch="312"/>
        </w:sectPr>
      </w:pPr>
      <w:r>
        <w:fldChar w:fldCharType="end"/>
      </w:r>
      <w:bookmarkStart w:id="32" w:name="_Toc263092309"/>
      <w:bookmarkStart w:id="33" w:name="_Toc416264537"/>
      <w:bookmarkStart w:id="34" w:name="_Toc352229747"/>
      <w:bookmarkStart w:id="35" w:name="_Toc22864"/>
      <w:bookmarkStart w:id="36" w:name="_Toc19592"/>
      <w:bookmarkStart w:id="37" w:name="_Toc15067"/>
      <w:bookmarkStart w:id="38" w:name="_Toc24860"/>
      <w:bookmarkStart w:id="39" w:name="_Toc2465"/>
      <w:bookmarkStart w:id="40" w:name="_Toc13020"/>
      <w:bookmarkStart w:id="41" w:name="_Toc3224"/>
      <w:bookmarkStart w:id="42" w:name="_Toc819"/>
      <w:bookmarkStart w:id="43" w:name="_Toc258829399"/>
      <w:bookmarkStart w:id="44" w:name="_Toc21301"/>
      <w:bookmarkStart w:id="45" w:name="_Toc6617"/>
      <w:bookmarkStart w:id="46" w:name="_Toc31551"/>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626F9C8" w14:textId="77777777" w:rsidR="00913A13" w:rsidRDefault="002F45B8">
      <w:pPr>
        <w:pStyle w:val="1"/>
        <w:jc w:val="center"/>
        <w:rPr>
          <w:sz w:val="30"/>
          <w:szCs w:val="30"/>
        </w:rPr>
      </w:pPr>
      <w:bookmarkStart w:id="47" w:name="_Toc136963801"/>
      <w:bookmarkStart w:id="48" w:name="_Toc68266288"/>
      <w:r>
        <w:rPr>
          <w:rFonts w:hint="eastAsia"/>
          <w:sz w:val="30"/>
          <w:szCs w:val="30"/>
        </w:rPr>
        <w:lastRenderedPageBreak/>
        <w:t>第一部分</w:t>
      </w:r>
      <w:r>
        <w:rPr>
          <w:sz w:val="30"/>
          <w:szCs w:val="30"/>
        </w:rPr>
        <w:t xml:space="preserve">  </w:t>
      </w:r>
      <w:r>
        <w:rPr>
          <w:rFonts w:hint="eastAsia"/>
          <w:sz w:val="30"/>
          <w:szCs w:val="30"/>
        </w:rPr>
        <w:t>绪言</w:t>
      </w:r>
      <w:bookmarkEnd w:id="32"/>
      <w:bookmarkEnd w:id="33"/>
      <w:bookmarkEnd w:id="47"/>
      <w:bookmarkEnd w:id="48"/>
    </w:p>
    <w:p w14:paraId="704932AA"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银混合型证券投资基金招募说明书》（以下简称“招募说明书”或“本招募说明书”）依照《中华人民共和国证券投资基金法》（以下简称“《基金法》”）、《公开募集证券投资基金运作管理办法》（以下简称“《运作办法》”）、《公开募集证券投资基金销售机构监督管理办法》（以下简称“《销售办法》”）、《</w:t>
      </w:r>
      <w:r>
        <w:rPr>
          <w:rFonts w:hint="eastAsia"/>
          <w:bCs/>
          <w:kern w:val="0"/>
          <w:sz w:val="24"/>
        </w:rPr>
        <w:t>公开募集证券投资基金信息披露管理办法</w:t>
      </w:r>
      <w:r>
        <w:rPr>
          <w:rFonts w:asciiTheme="minorEastAsia" w:hAnsiTheme="minorEastAsia" w:cs="Arial" w:hint="eastAsia"/>
          <w:sz w:val="24"/>
          <w:szCs w:val="24"/>
        </w:rPr>
        <w:t>》（以下简称“《信息披露办法》”）、《公开募集开放式证券投资基金流动性风险管理规定》（以下简称“《管理规定》”）以及《富荣福银混合型证券投资基金基金合同》（以下简称“基金合同”）编写。</w:t>
      </w:r>
    </w:p>
    <w:p w14:paraId="432988C3"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2B7074FC"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银混合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1444C0B7" w14:textId="77777777" w:rsidR="00913A13" w:rsidRDefault="002F45B8">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2CA1E5CD" w14:textId="77777777" w:rsidR="00913A13" w:rsidRDefault="00913A13">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913A13">
          <w:headerReference w:type="even" r:id="rId18"/>
          <w:headerReference w:type="default" r:id="rId19"/>
          <w:footerReference w:type="default" r:id="rId20"/>
          <w:headerReference w:type="first" r:id="rId21"/>
          <w:pgSz w:w="11906" w:h="16838"/>
          <w:pgMar w:top="1440" w:right="1800" w:bottom="1440" w:left="1800" w:header="851" w:footer="992" w:gutter="0"/>
          <w:pgNumType w:chapStyle="1"/>
          <w:cols w:space="720"/>
          <w:docGrid w:type="lines" w:linePitch="312"/>
        </w:sectPr>
      </w:pPr>
      <w:bookmarkStart w:id="49" w:name="_Toc5246"/>
      <w:bookmarkStart w:id="50" w:name="_Toc18631"/>
      <w:bookmarkStart w:id="51" w:name="_Toc20627"/>
      <w:bookmarkStart w:id="52" w:name="_Toc6149"/>
      <w:bookmarkStart w:id="53" w:name="_Toc13288"/>
      <w:bookmarkStart w:id="54" w:name="_Toc6683"/>
      <w:bookmarkStart w:id="55" w:name="_Toc545"/>
      <w:bookmarkStart w:id="56" w:name="_Toc352229748"/>
      <w:bookmarkStart w:id="57" w:name="_Toc24571"/>
      <w:bookmarkStart w:id="58" w:name="_Toc22708"/>
      <w:bookmarkStart w:id="59" w:name="_Toc20318"/>
      <w:bookmarkStart w:id="60" w:name="_Toc733"/>
      <w:bookmarkStart w:id="61" w:name="_Toc258829400"/>
      <w:bookmarkStart w:id="62" w:name="_Toc233456272"/>
      <w:bookmarkEnd w:id="31"/>
      <w:bookmarkEnd w:id="34"/>
      <w:bookmarkEnd w:id="35"/>
      <w:bookmarkEnd w:id="36"/>
      <w:bookmarkEnd w:id="37"/>
      <w:bookmarkEnd w:id="38"/>
      <w:bookmarkEnd w:id="39"/>
      <w:bookmarkEnd w:id="40"/>
      <w:bookmarkEnd w:id="41"/>
      <w:bookmarkEnd w:id="42"/>
      <w:bookmarkEnd w:id="43"/>
      <w:bookmarkEnd w:id="44"/>
      <w:bookmarkEnd w:id="45"/>
      <w:bookmarkEnd w:id="46"/>
    </w:p>
    <w:p w14:paraId="59F9C196" w14:textId="77777777" w:rsidR="00913A13" w:rsidRDefault="002F45B8">
      <w:pPr>
        <w:pStyle w:val="1"/>
        <w:jc w:val="center"/>
        <w:rPr>
          <w:sz w:val="30"/>
          <w:szCs w:val="30"/>
        </w:rPr>
      </w:pPr>
      <w:bookmarkStart w:id="63" w:name="_Toc136963802"/>
      <w:bookmarkStart w:id="64" w:name="_Toc68266289"/>
      <w:r>
        <w:rPr>
          <w:rFonts w:hint="eastAsia"/>
          <w:sz w:val="30"/>
          <w:szCs w:val="30"/>
        </w:rPr>
        <w:lastRenderedPageBreak/>
        <w:t>第二部分</w:t>
      </w:r>
      <w:r>
        <w:rPr>
          <w:sz w:val="30"/>
          <w:szCs w:val="30"/>
        </w:rPr>
        <w:t xml:space="preserve">  </w:t>
      </w:r>
      <w:r>
        <w:rPr>
          <w:rFonts w:hint="eastAsia"/>
          <w:sz w:val="30"/>
          <w:szCs w:val="30"/>
        </w:rPr>
        <w:t>释义</w:t>
      </w:r>
      <w:bookmarkEnd w:id="63"/>
      <w:bookmarkEnd w:id="64"/>
    </w:p>
    <w:p w14:paraId="5D8488B5"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407D733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、基金或本基金：指富荣福银混合型证券投资基金</w:t>
      </w:r>
    </w:p>
    <w:p w14:paraId="27B95780"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、基金管理人：指富荣基金管理有限公司</w:t>
      </w:r>
    </w:p>
    <w:p w14:paraId="0C5E9987"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、基金托管人：指国泰海通证券股份有限公司</w:t>
      </w:r>
    </w:p>
    <w:p w14:paraId="24348339"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、基金合同：指《富荣福银混合型证券投资基金基金合同》及对基金合同的任何有效修订和补充</w:t>
      </w:r>
    </w:p>
    <w:p w14:paraId="0D9AD78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、托管协议：指基金管理人与基金托管人就本基金签订之《富荣福银混合型证券投资基金托管协议》及对该托管协议的任何有效修订和补充</w:t>
      </w:r>
    </w:p>
    <w:p w14:paraId="084A59B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、招募说明书或本招募说明书：指《富荣福银混合型证券投资基金招募说明书》及其更新</w:t>
      </w:r>
    </w:p>
    <w:p w14:paraId="27617463"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w:t>
      </w:r>
      <w:r>
        <w:rPr>
          <w:rFonts w:asciiTheme="minorEastAsia" w:hAnsiTheme="minorEastAsia" w:cs="Times New Roman" w:hint="eastAsia"/>
          <w:sz w:val="24"/>
          <w:szCs w:val="24"/>
        </w:rPr>
        <w:t>、基金份额发售公告：指《富荣福银混合型证券投资基金基金份额发售公告》</w:t>
      </w:r>
    </w:p>
    <w:p w14:paraId="60BAD3CD"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7A5C5781"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Pr>
          <w:rFonts w:asciiTheme="minorEastAsia" w:hAnsiTheme="minorEastAsia" w:cs="Times New Roman" w:hint="eastAsia"/>
          <w:sz w:val="24"/>
          <w:szCs w:val="24"/>
        </w:rPr>
        <w:t>、《基金法》：指</w:t>
      </w:r>
      <w:r>
        <w:rPr>
          <w:rFonts w:asciiTheme="minorEastAsia" w:hAnsiTheme="minorEastAsia" w:cs="Times New Roman"/>
          <w:sz w:val="24"/>
          <w:szCs w:val="24"/>
        </w:rPr>
        <w:t>2003年10月28日经第十届全国人民代表大会常务委员会第五次会议通过，经2012年12月28日第十一届全国人民代表大会常务委员会第三十次会议修订，自2013年6月1日起实施</w:t>
      </w:r>
      <w:r>
        <w:rPr>
          <w:rFonts w:asciiTheme="minorEastAsia" w:hAnsiTheme="minorEastAsia" w:cs="Times New Roman" w:hint="eastAsia"/>
          <w:sz w:val="24"/>
          <w:szCs w:val="24"/>
        </w:rPr>
        <w:t>，并经</w:t>
      </w:r>
      <w:r>
        <w:rPr>
          <w:rFonts w:asciiTheme="minorEastAsia" w:hAnsiTheme="minorEastAsia" w:cs="Times New Roman"/>
          <w:sz w:val="24"/>
          <w:szCs w:val="24"/>
        </w:rPr>
        <w:t>2015年4月24日第十二届全国人民代表大会常务委员会第十四次会议《全国人民代表大会常务委员会关于修改&lt;中华人民共和国港口法&gt;等七部法律的决定》修正</w:t>
      </w:r>
      <w:r>
        <w:rPr>
          <w:rFonts w:asciiTheme="minorEastAsia" w:hAnsiTheme="minorEastAsia" w:cs="Times New Roman" w:hint="eastAsia"/>
          <w:sz w:val="24"/>
          <w:szCs w:val="24"/>
        </w:rPr>
        <w:t>的《中华人民共和国证券投资基金法》及颁布机关对其不时做出的修订</w:t>
      </w:r>
    </w:p>
    <w:p w14:paraId="4395EF9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Pr>
          <w:rFonts w:asciiTheme="minorEastAsia" w:hAnsiTheme="minorEastAsia" w:cs="Times New Roman" w:hint="eastAsia"/>
          <w:sz w:val="24"/>
          <w:szCs w:val="24"/>
        </w:rPr>
        <w:t>、《销售办法》：</w:t>
      </w:r>
      <w:r>
        <w:rPr>
          <w:rFonts w:asciiTheme="minorEastAsia" w:hAnsiTheme="minorEastAsia" w:cs="Times New Roman"/>
          <w:sz w:val="24"/>
          <w:szCs w:val="24"/>
        </w:rPr>
        <w:t xml:space="preserve"> </w:t>
      </w:r>
      <w:r>
        <w:rPr>
          <w:rFonts w:asciiTheme="minorEastAsia" w:hAnsiTheme="minorEastAsia" w:cs="Times New Roman" w:hint="eastAsia"/>
          <w:sz w:val="24"/>
          <w:szCs w:val="24"/>
        </w:rPr>
        <w:t>指中国证监会</w:t>
      </w:r>
      <w:r>
        <w:rPr>
          <w:rFonts w:asciiTheme="minorEastAsia" w:hAnsiTheme="minorEastAsia" w:cs="Times New Roman"/>
          <w:sz w:val="24"/>
          <w:szCs w:val="24"/>
        </w:rPr>
        <w:t>2020年8月28日颁布、同年10月1日实施的《公开募集证券投资基金销售机构监督管理办法》及颁布机关对其不时做出的修订</w:t>
      </w:r>
    </w:p>
    <w:p w14:paraId="6A164EB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Pr>
          <w:rFonts w:asciiTheme="minorEastAsia" w:hAnsiTheme="minorEastAsia" w:cs="Times New Roman" w:hint="eastAsia"/>
          <w:sz w:val="24"/>
          <w:szCs w:val="24"/>
        </w:rPr>
        <w:t>、《信息披露办法》：</w:t>
      </w:r>
      <w:r>
        <w:rPr>
          <w:rFonts w:hint="eastAsia"/>
          <w:bCs/>
          <w:kern w:val="0"/>
          <w:sz w:val="24"/>
        </w:rPr>
        <w:t>指中国证监会</w:t>
      </w:r>
      <w:r>
        <w:rPr>
          <w:bCs/>
          <w:kern w:val="0"/>
          <w:sz w:val="24"/>
        </w:rPr>
        <w:t>2019</w:t>
      </w:r>
      <w:r>
        <w:rPr>
          <w:rFonts w:hint="eastAsia"/>
          <w:bCs/>
          <w:kern w:val="0"/>
          <w:sz w:val="24"/>
        </w:rPr>
        <w:t>年</w:t>
      </w:r>
      <w:r>
        <w:rPr>
          <w:bCs/>
          <w:kern w:val="0"/>
          <w:sz w:val="24"/>
        </w:rPr>
        <w:t>7</w:t>
      </w:r>
      <w:r>
        <w:rPr>
          <w:rFonts w:hint="eastAsia"/>
          <w:bCs/>
          <w:kern w:val="0"/>
          <w:sz w:val="24"/>
        </w:rPr>
        <w:t>月</w:t>
      </w:r>
      <w:r>
        <w:rPr>
          <w:bCs/>
          <w:kern w:val="0"/>
          <w:sz w:val="24"/>
        </w:rPr>
        <w:t>26</w:t>
      </w:r>
      <w:r>
        <w:rPr>
          <w:rFonts w:hint="eastAsia"/>
          <w:bCs/>
          <w:kern w:val="0"/>
          <w:sz w:val="24"/>
        </w:rPr>
        <w:t>日颁布、同年</w:t>
      </w:r>
      <w:r>
        <w:rPr>
          <w:bCs/>
          <w:kern w:val="0"/>
          <w:sz w:val="24"/>
        </w:rPr>
        <w:t>9</w:t>
      </w:r>
      <w:r>
        <w:rPr>
          <w:rFonts w:hint="eastAsia"/>
          <w:bCs/>
          <w:kern w:val="0"/>
          <w:sz w:val="24"/>
        </w:rPr>
        <w:t>月</w:t>
      </w:r>
      <w:r>
        <w:rPr>
          <w:bCs/>
          <w:kern w:val="0"/>
          <w:sz w:val="24"/>
        </w:rPr>
        <w:t>1</w:t>
      </w:r>
      <w:r>
        <w:rPr>
          <w:rFonts w:hint="eastAsia"/>
          <w:bCs/>
          <w:kern w:val="0"/>
          <w:sz w:val="24"/>
        </w:rPr>
        <w:t>日实施的</w:t>
      </w:r>
      <w:r>
        <w:rPr>
          <w:rFonts w:hint="eastAsia"/>
          <w:bCs/>
          <w:sz w:val="24"/>
        </w:rPr>
        <w:t>，并经</w:t>
      </w:r>
      <w:r>
        <w:rPr>
          <w:bCs/>
          <w:sz w:val="24"/>
        </w:rPr>
        <w:t>2020</w:t>
      </w:r>
      <w:r>
        <w:rPr>
          <w:rFonts w:hint="eastAsia"/>
          <w:bCs/>
          <w:sz w:val="24"/>
        </w:rPr>
        <w:t>年</w:t>
      </w:r>
      <w:r>
        <w:rPr>
          <w:bCs/>
          <w:sz w:val="24"/>
        </w:rPr>
        <w:t>3</w:t>
      </w:r>
      <w:r>
        <w:rPr>
          <w:rFonts w:hint="eastAsia"/>
          <w:bCs/>
          <w:sz w:val="24"/>
        </w:rPr>
        <w:t>月</w:t>
      </w:r>
      <w:r>
        <w:rPr>
          <w:bCs/>
          <w:sz w:val="24"/>
        </w:rPr>
        <w:t>20</w:t>
      </w:r>
      <w:r>
        <w:rPr>
          <w:rFonts w:hint="eastAsia"/>
          <w:bCs/>
          <w:sz w:val="24"/>
        </w:rPr>
        <w:t>日中国证监会《关于修改部分证券期货规章的决定》修正的</w:t>
      </w:r>
      <w:r>
        <w:rPr>
          <w:rFonts w:hint="eastAsia"/>
          <w:bCs/>
          <w:kern w:val="0"/>
          <w:sz w:val="24"/>
        </w:rPr>
        <w:t>《公开募集证券投资基金信息披露管理办法》</w:t>
      </w:r>
      <w:r>
        <w:rPr>
          <w:rFonts w:asciiTheme="minorEastAsia" w:hAnsiTheme="minorEastAsia" w:cs="Times New Roman" w:hint="eastAsia"/>
          <w:sz w:val="24"/>
          <w:szCs w:val="24"/>
        </w:rPr>
        <w:t>及颁布机关对其不时做出的修订</w:t>
      </w:r>
    </w:p>
    <w:p w14:paraId="74D5FBBF"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Pr>
          <w:rFonts w:asciiTheme="minorEastAsia" w:hAnsiTheme="minorEastAsia" w:cs="Times New Roman" w:hint="eastAsia"/>
          <w:sz w:val="24"/>
          <w:szCs w:val="24"/>
        </w:rPr>
        <w:t>、《运作办法》：指中国证监会</w:t>
      </w:r>
      <w:r>
        <w:rPr>
          <w:rFonts w:asciiTheme="minorEastAsia" w:hAnsiTheme="minorEastAsia" w:cs="Times New Roman"/>
          <w:sz w:val="24"/>
          <w:szCs w:val="24"/>
        </w:rPr>
        <w:t>2014</w:t>
      </w:r>
      <w:r>
        <w:rPr>
          <w:rFonts w:asciiTheme="minorEastAsia" w:hAnsiTheme="minorEastAsia" w:cs="Times New Roman" w:hint="eastAsia"/>
          <w:sz w:val="24"/>
          <w:szCs w:val="24"/>
        </w:rPr>
        <w:t>年</w:t>
      </w:r>
      <w:r>
        <w:rPr>
          <w:rFonts w:asciiTheme="minorEastAsia" w:hAnsiTheme="minorEastAsia" w:cs="Times New Roman"/>
          <w:sz w:val="24"/>
          <w:szCs w:val="24"/>
        </w:rPr>
        <w:t>7</w:t>
      </w:r>
      <w:r>
        <w:rPr>
          <w:rFonts w:asciiTheme="minorEastAsia" w:hAnsiTheme="minorEastAsia" w:cs="Times New Roman" w:hint="eastAsia"/>
          <w:sz w:val="24"/>
          <w:szCs w:val="24"/>
        </w:rPr>
        <w:t>月</w:t>
      </w:r>
      <w:r>
        <w:rPr>
          <w:rFonts w:asciiTheme="minorEastAsia" w:hAnsiTheme="minorEastAsia" w:cs="Times New Roman"/>
          <w:sz w:val="24"/>
          <w:szCs w:val="24"/>
        </w:rPr>
        <w:t>7</w:t>
      </w:r>
      <w:r>
        <w:rPr>
          <w:rFonts w:asciiTheme="minorEastAsia" w:hAnsiTheme="minorEastAsia" w:cs="Times New Roman" w:hint="eastAsia"/>
          <w:sz w:val="24"/>
          <w:szCs w:val="24"/>
        </w:rPr>
        <w:t>日颁布、同年</w:t>
      </w:r>
      <w:r>
        <w:rPr>
          <w:rFonts w:asciiTheme="minorEastAsia" w:hAnsiTheme="minorEastAsia" w:cs="Times New Roman"/>
          <w:sz w:val="24"/>
          <w:szCs w:val="24"/>
        </w:rPr>
        <w:t>8</w:t>
      </w:r>
      <w:r>
        <w:rPr>
          <w:rFonts w:asciiTheme="minorEastAsia" w:hAnsiTheme="minorEastAsia" w:cs="Times New Roman" w:hint="eastAsia"/>
          <w:sz w:val="24"/>
          <w:szCs w:val="24"/>
        </w:rPr>
        <w:t>月</w:t>
      </w:r>
      <w:r>
        <w:rPr>
          <w:rFonts w:asciiTheme="minorEastAsia" w:hAnsiTheme="minorEastAsia" w:cs="Times New Roman"/>
          <w:sz w:val="24"/>
          <w:szCs w:val="24"/>
        </w:rPr>
        <w:t>8</w:t>
      </w:r>
      <w:r>
        <w:rPr>
          <w:rFonts w:asciiTheme="minorEastAsia" w:hAnsiTheme="minorEastAsia" w:cs="Times New Roman" w:hint="eastAsia"/>
          <w:sz w:val="24"/>
          <w:szCs w:val="24"/>
        </w:rPr>
        <w:t>日实施</w:t>
      </w:r>
      <w:r>
        <w:rPr>
          <w:rFonts w:asciiTheme="minorEastAsia" w:hAnsiTheme="minorEastAsia" w:cs="Times New Roman" w:hint="eastAsia"/>
          <w:sz w:val="24"/>
          <w:szCs w:val="24"/>
        </w:rPr>
        <w:lastRenderedPageBreak/>
        <w:t>的《公开募集证券投资基金运作管理办法》及颁布机关对其不时做出的修订</w:t>
      </w:r>
    </w:p>
    <w:p w14:paraId="5027BC9B"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w:t>
      </w:r>
      <w:r>
        <w:rPr>
          <w:rFonts w:asciiTheme="minorEastAsia" w:hAnsiTheme="minorEastAsia" w:cs="Times New Roman" w:hint="eastAsia"/>
          <w:sz w:val="24"/>
          <w:szCs w:val="24"/>
        </w:rPr>
        <w:t>、《流动性风险管理规定》：指中国证监会</w:t>
      </w:r>
      <w:r>
        <w:rPr>
          <w:rFonts w:asciiTheme="minorEastAsia" w:hAnsiTheme="minorEastAsia" w:cs="Times New Roman"/>
          <w:sz w:val="24"/>
          <w:szCs w:val="24"/>
        </w:rPr>
        <w:t>2017年8月31日颁布、同年10月1日实施的《公开募集开放式证券投资基金流动性风险管理规定》及颁布机关对其不时做出的修订</w:t>
      </w:r>
    </w:p>
    <w:p w14:paraId="1F7B67A5"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w:t>
      </w:r>
      <w:r>
        <w:rPr>
          <w:rFonts w:asciiTheme="minorEastAsia" w:hAnsiTheme="minorEastAsia" w:cs="Times New Roman" w:hint="eastAsia"/>
          <w:sz w:val="24"/>
          <w:szCs w:val="24"/>
        </w:rPr>
        <w:t>、中国证监会：指中国证券监督管理委员会</w:t>
      </w:r>
    </w:p>
    <w:p w14:paraId="5C43D68B"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318A75C7"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Pr>
          <w:rFonts w:asciiTheme="minorEastAsia" w:hAnsiTheme="minorEastAsia" w:cs="Times New Roman" w:hint="eastAsia"/>
          <w:sz w:val="24"/>
          <w:szCs w:val="24"/>
        </w:rPr>
        <w:t>、个人投资者：指依据有关法律法规规定可投资于证券投资基金的自然人</w:t>
      </w:r>
    </w:p>
    <w:p w14:paraId="27D5209F"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3651389F" w14:textId="77777777" w:rsidR="00913A13" w:rsidRDefault="002F45B8">
      <w:pPr>
        <w:spacing w:line="360" w:lineRule="auto"/>
        <w:ind w:firstLineChars="200" w:firstLine="480"/>
        <w:rPr>
          <w:bCs/>
          <w:sz w:val="24"/>
        </w:rPr>
      </w:pPr>
      <w:r>
        <w:rPr>
          <w:rFonts w:asciiTheme="minorEastAsia" w:hAnsiTheme="minorEastAsia" w:cs="Times New Roman"/>
          <w:sz w:val="24"/>
          <w:szCs w:val="24"/>
        </w:rPr>
        <w:t>18</w:t>
      </w:r>
      <w:r>
        <w:rPr>
          <w:rFonts w:asciiTheme="minorEastAsia" w:hAnsiTheme="minorEastAsia" w:cs="Times New Roman" w:hint="eastAsia"/>
          <w:sz w:val="24"/>
          <w:szCs w:val="24"/>
        </w:rPr>
        <w:t>、</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r>
        <w:rPr>
          <w:bCs/>
          <w:sz w:val="24"/>
        </w:rPr>
        <w:t xml:space="preserve"> </w:t>
      </w:r>
    </w:p>
    <w:p w14:paraId="64F602D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Pr>
          <w:rFonts w:asciiTheme="minorEastAsia" w:hAnsiTheme="minorEastAsia" w:cs="Times New Roman" w:hint="eastAsia"/>
          <w:sz w:val="24"/>
          <w:szCs w:val="24"/>
        </w:rPr>
        <w:t>、投资人、投资者：指个人投资者、机构投资者、合格境外投资者以及法律法规或中国证监会允许购买证券投资基金的其他投资人的合称</w:t>
      </w:r>
    </w:p>
    <w:p w14:paraId="4CD75B67"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w:t>
      </w:r>
      <w:r>
        <w:rPr>
          <w:rFonts w:asciiTheme="minorEastAsia" w:hAnsiTheme="minorEastAsia" w:cs="Times New Roman" w:hint="eastAsia"/>
          <w:sz w:val="24"/>
          <w:szCs w:val="24"/>
        </w:rPr>
        <w:t>、基金份额持有人：指依基金合同和招募说明书合法取得基金份额的投资人</w:t>
      </w:r>
    </w:p>
    <w:p w14:paraId="7CDA56D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5F42101B"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、销售机构：指富荣基金管理有限公司以及符合《销售办法》和中国证监会规定的其他条件，取得基金销售业务资格并与基金管理人签订了基金销售服务协议，办理基金销售业务的机构</w:t>
      </w:r>
    </w:p>
    <w:p w14:paraId="0470B6D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732370E8"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、登记机构：指办理登记业务的机构。基金登记机构为富荣基金管理有限公司或接受富荣基金管理有限公司委托代为办理登记业务的机构</w:t>
      </w:r>
    </w:p>
    <w:p w14:paraId="31AF5876"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、基金账户：指登记机构为投资人开立的、记录其持有的、基金管理人所</w:t>
      </w:r>
      <w:r>
        <w:rPr>
          <w:rFonts w:asciiTheme="minorEastAsia" w:hAnsiTheme="minorEastAsia" w:cs="Times New Roman" w:hint="eastAsia"/>
          <w:sz w:val="24"/>
          <w:szCs w:val="24"/>
        </w:rPr>
        <w:lastRenderedPageBreak/>
        <w:t>管理的基金份额余额及其变动情况的账户</w:t>
      </w:r>
    </w:p>
    <w:p w14:paraId="2EE17B2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、基金交易账户：指销售机构为投资人开立的、记录投资人通过该销售机构办理认购、申购、赎回、转换、转托管及定期定额投资等业务而引起基金份额变动及结余情况的账户</w:t>
      </w:r>
    </w:p>
    <w:p w14:paraId="1B3EBB00"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5098A01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28</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0A41F82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1FD8F42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、存续期：指基金合同生效至终止之间的不定期期限</w:t>
      </w:r>
    </w:p>
    <w:p w14:paraId="611BB17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31</w:t>
      </w:r>
      <w:r>
        <w:rPr>
          <w:rFonts w:asciiTheme="minorEastAsia" w:hAnsiTheme="minorEastAsia" w:cs="Times New Roman" w:hint="eastAsia"/>
          <w:sz w:val="24"/>
          <w:szCs w:val="24"/>
        </w:rPr>
        <w:t>、工作日：指上海证券交易所、深圳证券交易所的正常交易日</w:t>
      </w:r>
    </w:p>
    <w:p w14:paraId="7E751E7D"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6E1F9AF1"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w:t>
      </w:r>
      <w:r>
        <w:rPr>
          <w:rFonts w:asciiTheme="minorEastAsia" w:hAnsiTheme="minorEastAsia" w:cs="Times New Roman"/>
          <w:sz w:val="24"/>
          <w:szCs w:val="24"/>
        </w:rPr>
        <w:t>T+n</w:t>
      </w:r>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r>
        <w:rPr>
          <w:rFonts w:asciiTheme="minorEastAsia" w:hAnsiTheme="minorEastAsia" w:cs="Times New Roman" w:hint="eastAsia"/>
          <w:sz w:val="24"/>
          <w:szCs w:val="24"/>
        </w:rPr>
        <w:t>个工作日（不包含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w:t>
      </w:r>
      <w:r>
        <w:rPr>
          <w:rFonts w:asciiTheme="minorEastAsia" w:hAnsiTheme="minorEastAsia" w:cs="Times New Roman"/>
          <w:sz w:val="24"/>
          <w:szCs w:val="24"/>
        </w:rPr>
        <w:t>n为自然数</w:t>
      </w:r>
    </w:p>
    <w:p w14:paraId="4D88015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、开放日：指为投资人办理基金份额申购、赎回或其他业务的工作日</w:t>
      </w:r>
    </w:p>
    <w:p w14:paraId="75A949B0"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、开放时间：指开放日基金接受申购、赎回或其他交易的时间段</w:t>
      </w:r>
    </w:p>
    <w:p w14:paraId="7A7CDD45"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2341957B"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、认购：指在基金募集期内，投资人根据基金合同和招募说明书的规定申请购买基金份额的行为</w:t>
      </w:r>
    </w:p>
    <w:p w14:paraId="26105B70"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、申购：指基金合同生效后，投资人根据基金合同和招募说明书的规定申请购买基金份额的行为</w:t>
      </w:r>
    </w:p>
    <w:p w14:paraId="5C90A3A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33E391A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、基金转换：指基金份额持有人按照基金合同和基金管理人届时有效公告规定的条件，申请将其持有基金管理人管理的、某一基金的基金份额转换为基金管理人管理的其他基金基金份额的行为</w:t>
      </w:r>
    </w:p>
    <w:p w14:paraId="3C571519"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41</w:t>
      </w:r>
      <w:r>
        <w:rPr>
          <w:rFonts w:asciiTheme="minorEastAsia" w:hAnsiTheme="minorEastAsia" w:cs="Times New Roman" w:hint="eastAsia"/>
          <w:sz w:val="24"/>
          <w:szCs w:val="24"/>
        </w:rPr>
        <w:t>、转托管：指基金份额持有人在本基金的不同销售机构之间实施的变更所持基金份额销售机构的操作</w:t>
      </w:r>
    </w:p>
    <w:p w14:paraId="73D135B9"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3C06EBA6"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708B1971"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、元：指人民币元</w:t>
      </w:r>
    </w:p>
    <w:p w14:paraId="235BF199"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195043A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、基金资产总值：指基金拥有的各类有价证券、银行存款本息、基金应收款项及其他资产的价值总和</w:t>
      </w:r>
    </w:p>
    <w:p w14:paraId="373FA1E0"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、基金资产净值：指基金资产总值减去基金负债后的价值</w:t>
      </w:r>
    </w:p>
    <w:p w14:paraId="1F31EA2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48</w:t>
      </w:r>
      <w:r>
        <w:rPr>
          <w:rFonts w:asciiTheme="minorEastAsia" w:hAnsiTheme="minorEastAsia" w:cs="Times New Roman" w:hint="eastAsia"/>
          <w:sz w:val="24"/>
          <w:szCs w:val="24"/>
        </w:rPr>
        <w:t>、基金份额净值：指计算日基金资产净值除以计算日基金份额总数</w:t>
      </w:r>
    </w:p>
    <w:p w14:paraId="58F1144A"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Pr>
          <w:rFonts w:asciiTheme="minorEastAsia" w:hAnsiTheme="minorEastAsia" w:cs="Times New Roman" w:hint="eastAsia"/>
          <w:sz w:val="24"/>
          <w:szCs w:val="24"/>
        </w:rPr>
        <w:t>、基金资产估值：指计算评估基金资产和负债的价值，以确定基金资产净值和基金份额净值的过程</w:t>
      </w:r>
    </w:p>
    <w:p w14:paraId="33A43C37"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50、规定媒介：指符合中国证监会规定条件的用以进行信息披露的全国性报刊（以下简称“规定报刊”）及《信息披露办法》规定的互联网网站（以下简称“规定网站”，包括基金管理人网站、基金托管人网站、中国证监会基金电子披露网站）等媒介</w:t>
      </w:r>
    </w:p>
    <w:p w14:paraId="3EA6E1F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51、不可抗力：指基金合同当事人不能预见、不能避免且不能克服的客观事件</w:t>
      </w:r>
    </w:p>
    <w:p w14:paraId="2336E43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52、流动性受限资产：指由于法律法规、监管、合同或操作障碍等原因无法以合理价格予以变现的资产，包括但不限于到期日在10个交易日以上的逆回购与银行定期存款（</w:t>
      </w:r>
      <w:r>
        <w:rPr>
          <w:rFonts w:asciiTheme="minorEastAsia" w:hAnsiTheme="minorEastAsia" w:cs="Times New Roman" w:hint="eastAsia"/>
          <w:sz w:val="24"/>
          <w:szCs w:val="24"/>
        </w:rPr>
        <w:t>含协议约定有条件提前支取的银行存款）、停牌股票、流通受限的新股及非公开发行股票、资产支持证券、因发行人债务违约无法进行转让或交易的债券等</w:t>
      </w:r>
    </w:p>
    <w:p w14:paraId="0BDD1F7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53、摆动定价机制：指当开放式基金遭遇大额申购赎回时，通过调整基金份额净值的方式，将基金调整投资组合的市场冲击成本分配给实际申购、赎回的投</w:t>
      </w:r>
      <w:r>
        <w:rPr>
          <w:rFonts w:asciiTheme="minorEastAsia" w:hAnsiTheme="minorEastAsia" w:cs="Times New Roman" w:hint="eastAsia"/>
          <w:sz w:val="24"/>
          <w:szCs w:val="24"/>
        </w:rPr>
        <w:lastRenderedPageBreak/>
        <w:t>资者，从而减少对存量基金份额持有人利益的不利影响，确保投资者的合法权益不受损害并得到公平对待</w:t>
      </w:r>
    </w:p>
    <w:p w14:paraId="3D0DE9A2"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54、基金份额类别：指根据认购/申购费用、赎回费用、销售服务费用收取方式的不同将本</w:t>
      </w:r>
      <w:r>
        <w:rPr>
          <w:rFonts w:asciiTheme="minorEastAsia" w:hAnsiTheme="minorEastAsia" w:cs="Times New Roman" w:hint="eastAsia"/>
          <w:sz w:val="24"/>
          <w:szCs w:val="24"/>
        </w:rPr>
        <w:t>基金基金份额分为不同的类别，各基金份额类别分别设置代码，并分别计算和公告基金份额净值</w:t>
      </w:r>
    </w:p>
    <w:p w14:paraId="59C8C2EB"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55、A类基金份额：指在投资人认购/申购时收取认购/申购费用但不从本类别基金资产中计</w:t>
      </w:r>
      <w:r>
        <w:rPr>
          <w:rFonts w:asciiTheme="minorEastAsia" w:hAnsiTheme="minorEastAsia" w:cs="Times New Roman" w:hint="eastAsia"/>
          <w:sz w:val="24"/>
          <w:szCs w:val="24"/>
        </w:rPr>
        <w:t>提销售服务费、赎回时根据持有期限收取赎回费用的基金份额类别</w:t>
      </w:r>
    </w:p>
    <w:p w14:paraId="05EA8DC3"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56、C类基金份额：指从本类别基金资产中计</w:t>
      </w:r>
      <w:r>
        <w:rPr>
          <w:rFonts w:asciiTheme="minorEastAsia" w:hAnsiTheme="minorEastAsia" w:cs="Times New Roman" w:hint="eastAsia"/>
          <w:sz w:val="24"/>
          <w:szCs w:val="24"/>
        </w:rPr>
        <w:t>提销售服务费而不收取认购</w:t>
      </w:r>
      <w:r>
        <w:rPr>
          <w:rFonts w:asciiTheme="minorEastAsia" w:hAnsiTheme="minorEastAsia" w:cs="Times New Roman"/>
          <w:sz w:val="24"/>
          <w:szCs w:val="24"/>
        </w:rPr>
        <w:t>/申购费用、赎回时根据持有期限收取赎回费用的基金份额类别</w:t>
      </w:r>
    </w:p>
    <w:p w14:paraId="124D23E5"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57、销售服务费：指从基金资产中计提的，用于本基金市场推广、销售以及基金份额持有人服务的费用</w:t>
      </w:r>
    </w:p>
    <w:p w14:paraId="3466C88E"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58、基金产品资料概要：指《富荣福</w:t>
      </w:r>
      <w:r>
        <w:rPr>
          <w:rFonts w:asciiTheme="minorEastAsia" w:hAnsiTheme="minorEastAsia" w:cs="Times New Roman" w:hint="eastAsia"/>
          <w:sz w:val="24"/>
          <w:szCs w:val="24"/>
        </w:rPr>
        <w:t>银混合型证券投资基金基金产品资料概要》及其更新</w:t>
      </w:r>
    </w:p>
    <w:p w14:paraId="6628CA8C"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59、</w:t>
      </w:r>
      <w:r>
        <w:rPr>
          <w:rFonts w:asciiTheme="minorEastAsia" w:hAnsiTheme="minorEastAsia" w:cs="Times New Roman" w:hint="eastAsia"/>
          <w:sz w:val="24"/>
          <w:szCs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45EF4A54"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60、特定资产：包括：（一）无可参考的活跃市场价格且采用估值技术</w:t>
      </w:r>
      <w:r>
        <w:rPr>
          <w:rFonts w:asciiTheme="minorEastAsia" w:hAnsiTheme="minorEastAsia" w:cs="Times New Roman" w:hint="eastAsia"/>
          <w:sz w:val="24"/>
          <w:szCs w:val="24"/>
        </w:rPr>
        <w:t>仍导致公允价值存在重大不确定性的资产；（二）按摊余成本计量且计提资产减值准备仍导致资产价值存在重大不确定性的资产；（三）其他资产价值存在重大不确定性的资产</w:t>
      </w:r>
    </w:p>
    <w:p w14:paraId="080360D2" w14:textId="77777777" w:rsidR="00913A13" w:rsidRDefault="002F45B8">
      <w:pPr>
        <w:spacing w:line="360" w:lineRule="auto"/>
        <w:ind w:firstLineChars="200" w:firstLine="480"/>
        <w:rPr>
          <w:b/>
          <w:bCs/>
        </w:rPr>
        <w:sectPr w:rsidR="00913A13">
          <w:headerReference w:type="even" r:id="rId22"/>
          <w:headerReference w:type="default" r:id="rId23"/>
          <w:footerReference w:type="default" r:id="rId24"/>
          <w:headerReference w:type="first" r:id="rId25"/>
          <w:pgSz w:w="11906" w:h="16838"/>
          <w:pgMar w:top="1440" w:right="1800" w:bottom="1440" w:left="1800" w:header="851" w:footer="992" w:gutter="0"/>
          <w:pgNumType w:start="5" w:chapStyle="1"/>
          <w:cols w:space="720"/>
          <w:docGrid w:type="lines" w:linePitch="312"/>
        </w:sectPr>
      </w:pPr>
      <w:r>
        <w:rPr>
          <w:rFonts w:asciiTheme="minorEastAsia" w:hAnsiTheme="minorEastAsia" w:cs="Times New Roman" w:hint="eastAsia"/>
          <w:sz w:val="24"/>
          <w:szCs w:val="24"/>
        </w:rPr>
        <w:t>以上释义中涉及法律法规、业务规则的内容，法律法规、业务规则修订后，如适用本基金，相关内容以修订后法律法规、业务规则为准。</w:t>
      </w:r>
    </w:p>
    <w:p w14:paraId="04A605C6" w14:textId="77777777" w:rsidR="00913A13" w:rsidRDefault="002F45B8">
      <w:pPr>
        <w:pStyle w:val="1"/>
        <w:jc w:val="center"/>
        <w:rPr>
          <w:sz w:val="30"/>
          <w:szCs w:val="30"/>
        </w:rPr>
      </w:pPr>
      <w:bookmarkStart w:id="65" w:name="_Toc68266290"/>
      <w:bookmarkStart w:id="66" w:name="_Toc136963803"/>
      <w:bookmarkStart w:id="67" w:name="_Toc263092311"/>
      <w:bookmarkStart w:id="68" w:name="_Toc416264539"/>
      <w:bookmarkStart w:id="69" w:name="_Toc24682"/>
      <w:bookmarkStart w:id="70" w:name="_Toc352229749"/>
      <w:bookmarkStart w:id="71" w:name="_Toc410197817"/>
      <w:bookmarkStart w:id="72" w:name="_Toc90742321"/>
      <w:bookmarkStart w:id="73" w:name="_Toc27226"/>
      <w:bookmarkStart w:id="74" w:name="_Toc90742390"/>
      <w:bookmarkStart w:id="75" w:name="_Toc29784"/>
      <w:bookmarkStart w:id="76" w:name="_Toc6714"/>
      <w:bookmarkStart w:id="77" w:name="_Toc29948"/>
      <w:bookmarkStart w:id="78" w:name="_Toc15203"/>
      <w:bookmarkStart w:id="79" w:name="_Toc3266"/>
      <w:bookmarkStart w:id="80" w:name="_Toc22074"/>
      <w:bookmarkStart w:id="81" w:name="_Toc27189"/>
      <w:bookmarkStart w:id="82" w:name="_Toc90742688"/>
      <w:bookmarkStart w:id="83" w:name="_Toc7151"/>
      <w:bookmarkStart w:id="84" w:name="_Toc16265"/>
      <w:bookmarkEnd w:id="49"/>
      <w:bookmarkEnd w:id="50"/>
      <w:bookmarkEnd w:id="51"/>
      <w:bookmarkEnd w:id="52"/>
      <w:bookmarkEnd w:id="53"/>
      <w:bookmarkEnd w:id="54"/>
      <w:bookmarkEnd w:id="55"/>
      <w:bookmarkEnd w:id="56"/>
      <w:bookmarkEnd w:id="57"/>
      <w:bookmarkEnd w:id="58"/>
      <w:bookmarkEnd w:id="59"/>
      <w:bookmarkEnd w:id="60"/>
      <w:r>
        <w:rPr>
          <w:rFonts w:hint="eastAsia"/>
          <w:sz w:val="30"/>
          <w:szCs w:val="30"/>
        </w:rPr>
        <w:lastRenderedPageBreak/>
        <w:t>第三部分</w:t>
      </w:r>
      <w:r>
        <w:rPr>
          <w:sz w:val="30"/>
          <w:szCs w:val="30"/>
        </w:rPr>
        <w:t xml:space="preserve">  </w:t>
      </w:r>
      <w:r>
        <w:rPr>
          <w:rFonts w:hint="eastAsia"/>
          <w:sz w:val="30"/>
          <w:szCs w:val="30"/>
        </w:rPr>
        <w:t>基金管理人</w:t>
      </w:r>
      <w:bookmarkEnd w:id="65"/>
      <w:bookmarkEnd w:id="66"/>
      <w:bookmarkEnd w:id="67"/>
      <w:bookmarkEnd w:id="68"/>
    </w:p>
    <w:p w14:paraId="70383A38" w14:textId="77777777" w:rsidR="00913A13" w:rsidRDefault="002F45B8">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381E6683"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名称：富荣基金管理有限公司</w:t>
      </w:r>
    </w:p>
    <w:p w14:paraId="014F8649"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住所：广东省广州市南沙区横沥镇汇通二街2号3110房</w:t>
      </w:r>
    </w:p>
    <w:p w14:paraId="62DF5810" w14:textId="1C9B15A6"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1B55B3">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w:t>
      </w:r>
      <w:r>
        <w:rPr>
          <w:rFonts w:asciiTheme="minorEastAsia" w:hAnsiTheme="minorEastAsia" w:cs="Times New Roman" w:hint="eastAsia"/>
          <w:kern w:val="0"/>
          <w:sz w:val="24"/>
          <w:szCs w:val="24"/>
        </w:rPr>
        <w:t>号安吉尔大厦</w:t>
      </w:r>
      <w:r>
        <w:rPr>
          <w:rFonts w:asciiTheme="minorEastAsia" w:hAnsiTheme="minorEastAsia" w:cs="Times New Roman"/>
          <w:kern w:val="0"/>
          <w:sz w:val="24"/>
          <w:szCs w:val="24"/>
        </w:rPr>
        <w:t>24</w:t>
      </w:r>
      <w:r>
        <w:rPr>
          <w:rFonts w:asciiTheme="minorEastAsia" w:hAnsiTheme="minorEastAsia" w:cs="Times New Roman" w:hint="eastAsia"/>
          <w:kern w:val="0"/>
          <w:sz w:val="24"/>
          <w:szCs w:val="24"/>
        </w:rPr>
        <w:t>层</w:t>
      </w:r>
    </w:p>
    <w:p w14:paraId="2D424AD6"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w:t>
      </w:r>
      <w:r>
        <w:rPr>
          <w:rFonts w:ascii="Arial Unicode MS" w:hAnsi="Arial Unicode MS" w:cs="Arial" w:hint="eastAsia"/>
          <w:kern w:val="0"/>
          <w:sz w:val="24"/>
        </w:rPr>
        <w:t>王亦伟</w:t>
      </w:r>
    </w:p>
    <w:p w14:paraId="633DBDB2"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w:t>
      </w:r>
      <w:r>
        <w:rPr>
          <w:rFonts w:asciiTheme="minorEastAsia" w:hAnsiTheme="minorEastAsia" w:cs="Times New Roman"/>
          <w:kern w:val="0"/>
          <w:sz w:val="24"/>
          <w:szCs w:val="24"/>
        </w:rPr>
        <w:t>2016年1月25日</w:t>
      </w:r>
    </w:p>
    <w:p w14:paraId="52A33A38"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w:t>
      </w:r>
      <w:r>
        <w:rPr>
          <w:rFonts w:asciiTheme="minorEastAsia" w:hAnsiTheme="minorEastAsia" w:cs="Times New Roman"/>
          <w:kern w:val="0"/>
          <w:sz w:val="24"/>
          <w:szCs w:val="24"/>
        </w:rPr>
        <w:t>2亿元人民币</w:t>
      </w:r>
    </w:p>
    <w:p w14:paraId="5AFD470A"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419B3C86"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联系人：郭鑫</w:t>
      </w:r>
    </w:p>
    <w:p w14:paraId="7B6DBE1D" w14:textId="77777777" w:rsidR="00913A13" w:rsidRDefault="002F45B8">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联系电话：0755-84356796</w:t>
      </w:r>
    </w:p>
    <w:p w14:paraId="3C234BC8" w14:textId="77777777" w:rsidR="00913A13" w:rsidRDefault="002F45B8">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股权结构：</w:t>
      </w:r>
      <w:r>
        <w:rPr>
          <w:rFonts w:asciiTheme="minorEastAsia" w:hAnsiTheme="minorEastAsia" w:cs="Arial"/>
          <w:kern w:val="0"/>
          <w:sz w:val="24"/>
          <w:szCs w:val="24"/>
        </w:rPr>
        <w:t xml:space="preserve">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913A13" w14:paraId="30CA4DC6"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311F0B34"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0EFD91AD"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出资比例</w:t>
            </w:r>
          </w:p>
        </w:tc>
      </w:tr>
      <w:tr w:rsidR="00913A13" w14:paraId="09BC7771"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5C167A0C"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5550562"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50%</w:t>
            </w:r>
          </w:p>
        </w:tc>
      </w:tr>
      <w:tr w:rsidR="00913A13" w14:paraId="01038648"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1E3EE0AD"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6D3E1048"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45.1%</w:t>
            </w:r>
          </w:p>
        </w:tc>
      </w:tr>
      <w:tr w:rsidR="00913A13" w14:paraId="300D9E7D"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F432FD3"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湖南省典勤投资开发有限公司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4F8EB048" w14:textId="77777777" w:rsidR="00913A13" w:rsidRDefault="002F45B8">
            <w:pPr>
              <w:spacing w:line="360"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4.9%</w:t>
            </w:r>
          </w:p>
        </w:tc>
      </w:tr>
    </w:tbl>
    <w:p w14:paraId="1585DD35" w14:textId="77777777" w:rsidR="00913A13" w:rsidRDefault="00913A13">
      <w:pPr>
        <w:adjustRightInd w:val="0"/>
        <w:snapToGrid w:val="0"/>
        <w:spacing w:line="360" w:lineRule="auto"/>
        <w:ind w:firstLineChars="200" w:firstLine="480"/>
        <w:rPr>
          <w:rFonts w:asciiTheme="minorEastAsia" w:hAnsiTheme="minorEastAsia" w:cs="Arial" w:hint="eastAsia"/>
          <w:kern w:val="0"/>
          <w:sz w:val="24"/>
          <w:szCs w:val="24"/>
        </w:rPr>
      </w:pPr>
    </w:p>
    <w:p w14:paraId="4B83EBC8" w14:textId="77777777" w:rsidR="00913A13" w:rsidRDefault="002F45B8">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1EF933F8"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1、董事会成员</w:t>
      </w:r>
    </w:p>
    <w:p w14:paraId="6E9664E2" w14:textId="2B205B3B"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投投资有限公司总经理、党支部书记、董事、董事长，广州新中轴建设有限公司财务总监、董事长、法人代表，中国文化产业投资母基金管理有限公司董事，广州城恒城市更新投资有限公司董事长、法定代表人。现任广州产业投资基金管理有限公司党委书记、法定代表人、董事长，广州市城投投资有限公司董事，广州汽车集团股份有限公司董事，富荣基金管理有限公司董事长、法定代表人。</w:t>
      </w:r>
    </w:p>
    <w:p w14:paraId="1B0F9A0D" w14:textId="77777777" w:rsidR="001B55B3" w:rsidRPr="001B55B3" w:rsidRDefault="001B55B3" w:rsidP="001B55B3">
      <w:pPr>
        <w:adjustRightInd w:val="0"/>
        <w:snapToGrid w:val="0"/>
        <w:spacing w:line="360" w:lineRule="auto"/>
        <w:ind w:firstLineChars="200" w:firstLine="480"/>
        <w:rPr>
          <w:rFonts w:asciiTheme="minorEastAsia" w:hAnsiTheme="minorEastAsia" w:cs="Arial" w:hint="eastAsia"/>
          <w:kern w:val="0"/>
          <w:sz w:val="24"/>
          <w:szCs w:val="24"/>
        </w:rPr>
      </w:pPr>
      <w:r w:rsidRPr="001B55B3">
        <w:rPr>
          <w:rFonts w:asciiTheme="minorEastAsia" w:hAnsiTheme="minorEastAsia" w:cs="Arial" w:hint="eastAsia"/>
          <w:kern w:val="0"/>
          <w:sz w:val="24"/>
          <w:szCs w:val="24"/>
        </w:rPr>
        <w:t>杨小舟先生，董事，东北财经大学博士研究生。历任交通银行沈阳分行国际</w:t>
      </w:r>
      <w:r w:rsidRPr="001B55B3">
        <w:rPr>
          <w:rFonts w:asciiTheme="minorEastAsia" w:hAnsiTheme="minorEastAsia" w:cs="Arial" w:hint="eastAsia"/>
          <w:kern w:val="0"/>
          <w:sz w:val="24"/>
          <w:szCs w:val="24"/>
        </w:rPr>
        <w:lastRenderedPageBreak/>
        <w:t>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40959487" w14:textId="77777777" w:rsidR="001B55B3" w:rsidRPr="001B55B3" w:rsidRDefault="001B55B3" w:rsidP="001B55B3">
      <w:pPr>
        <w:adjustRightInd w:val="0"/>
        <w:snapToGrid w:val="0"/>
        <w:spacing w:line="360" w:lineRule="auto"/>
        <w:ind w:firstLineChars="200" w:firstLine="480"/>
        <w:rPr>
          <w:rFonts w:asciiTheme="minorEastAsia" w:hAnsiTheme="minorEastAsia" w:cs="Arial" w:hint="eastAsia"/>
          <w:kern w:val="0"/>
          <w:sz w:val="24"/>
          <w:szCs w:val="24"/>
        </w:rPr>
      </w:pPr>
      <w:r w:rsidRPr="001B55B3">
        <w:rPr>
          <w:rFonts w:asciiTheme="minorEastAsia" w:hAnsiTheme="minorEastAsia" w:cs="Arial" w:hint="eastAsia"/>
          <w:kern w:val="0"/>
          <w:sz w:val="24"/>
          <w:szCs w:val="24"/>
        </w:rPr>
        <w:t>赵宏伟先生，董事，对外经济贸易大学硕士研究生。历任北京大成律师事务所证券律师、当代北方（北京）投资有限公司总裁、黑龙江北美工业大麻科技有限公司总裁、广州产业投资基金管理有限公司风险管理部总经理、法务风控部总经理，广州产业投资基金管理有限公司投资管理部总经理，广州基金国际股权投资基金管理有限公司党支部副书记、总经理。现任穗甬控股有限公司常务副总经理，黑龙江国瑞金融资产管理有限公司董事，富荣基金管理有限公司董事。</w:t>
      </w:r>
    </w:p>
    <w:p w14:paraId="456FD489" w14:textId="77777777" w:rsidR="001B55B3" w:rsidRPr="001B55B3" w:rsidRDefault="001B55B3" w:rsidP="001B55B3">
      <w:pPr>
        <w:adjustRightInd w:val="0"/>
        <w:snapToGrid w:val="0"/>
        <w:spacing w:line="360" w:lineRule="auto"/>
        <w:ind w:firstLineChars="200" w:firstLine="480"/>
        <w:rPr>
          <w:rFonts w:asciiTheme="minorEastAsia" w:hAnsiTheme="minorEastAsia" w:cs="Arial" w:hint="eastAsia"/>
          <w:kern w:val="0"/>
          <w:sz w:val="24"/>
          <w:szCs w:val="24"/>
        </w:rPr>
      </w:pPr>
      <w:r w:rsidRPr="001B55B3">
        <w:rPr>
          <w:rFonts w:asciiTheme="minorEastAsia" w:hAnsiTheme="minorEastAsia" w:cs="Arial" w:hint="eastAsia"/>
          <w:kern w:val="0"/>
          <w:sz w:val="24"/>
          <w:szCs w:val="24"/>
        </w:rPr>
        <w:t>郭涛先生，董事，上海交通大学高级管理人员工商管理专业硕士。现任深圳市亿尔德投资有限公司总经理、执行董事、法定代表人；深圳市盈投荣达科技有限公司董事长、总经理、法定代表人；深圳市嘉年印务有限公司董事；深圳市盈实发展有限公司董事长、经理、法定代表人；深圳市盈致未来文创管理有限公司董事长、经理、法定代表人；深圳市益德置业有限公司总经理、董事；盈投科技控股集团有限公司总经理、董事；深圳市铭嘉达信息咨询有限公司董事；乐百氏（广东）饮用水有限公司董事；深圳安吉尔饮水产业集团有限公司董事；昊华化工科技集团股份有限公司董事；深圳嘉年实业股份有限公司董事；深圳市盈投发展有限公司董事；绍兴安吉尔环境科技有限公司董事；深圳市银珠塑料制品有限公司董事；深圳市润丰不动产运营服务有限公司董事；深圳乐百氏健康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久猪电子有限公司监事；乐百氏（广东）桶装水发展有限公司董事；富荣基金管理有限公司董事。</w:t>
      </w:r>
    </w:p>
    <w:p w14:paraId="6E396F46" w14:textId="4550DB4C" w:rsidR="001B55B3" w:rsidRPr="001B55B3" w:rsidRDefault="001B55B3" w:rsidP="001B55B3">
      <w:pPr>
        <w:adjustRightInd w:val="0"/>
        <w:snapToGrid w:val="0"/>
        <w:spacing w:line="360" w:lineRule="auto"/>
        <w:ind w:firstLineChars="200" w:firstLine="480"/>
        <w:rPr>
          <w:rFonts w:asciiTheme="minorEastAsia" w:hAnsiTheme="minorEastAsia" w:cs="Arial" w:hint="eastAsia"/>
          <w:kern w:val="0"/>
          <w:sz w:val="24"/>
          <w:szCs w:val="24"/>
        </w:rPr>
      </w:pPr>
      <w:r w:rsidRPr="001B55B3">
        <w:rPr>
          <w:rFonts w:asciiTheme="minorEastAsia" w:hAnsiTheme="minorEastAsia" w:cs="Arial" w:hint="eastAsia"/>
          <w:kern w:val="0"/>
          <w:sz w:val="24"/>
          <w:szCs w:val="24"/>
        </w:rPr>
        <w:t>余关健先生，独立董事，西南财经大学工业经济硕士研究生。曾任中国银行深圳分行信贷处处长、中国银行深圳分行风险管理处处长、深圳赛格、深圳特发集团董事、邦信资产管理公司董事总经理、对外贸易集团股份有限公司董事长、中国东方资产管理</w:t>
      </w:r>
      <w:r w:rsidR="006C4083">
        <w:rPr>
          <w:rFonts w:asciiTheme="minorEastAsia" w:hAnsiTheme="minorEastAsia" w:cs="Arial" w:hint="eastAsia"/>
          <w:kern w:val="0"/>
          <w:sz w:val="24"/>
          <w:szCs w:val="24"/>
        </w:rPr>
        <w:t>股份有限</w:t>
      </w:r>
      <w:r w:rsidRPr="001B55B3">
        <w:rPr>
          <w:rFonts w:asciiTheme="minorEastAsia" w:hAnsiTheme="minorEastAsia" w:cs="Arial" w:hint="eastAsia"/>
          <w:kern w:val="0"/>
          <w:sz w:val="24"/>
          <w:szCs w:val="24"/>
        </w:rPr>
        <w:t>公司广东省分公司总经理、大业信托有限责任公司董事、沈阳公用发展股份有限公司董事、东银实业（深圳）有限公司董事、金田实</w:t>
      </w:r>
      <w:r w:rsidRPr="001B55B3">
        <w:rPr>
          <w:rFonts w:asciiTheme="minorEastAsia" w:hAnsiTheme="minorEastAsia" w:cs="Arial" w:hint="eastAsia"/>
          <w:kern w:val="0"/>
          <w:sz w:val="24"/>
          <w:szCs w:val="24"/>
        </w:rPr>
        <w:lastRenderedPageBreak/>
        <w:t>业（集团）股份有限公司独立董事、申科滑动轴承股份有限公司独立董事。现任富荣基金管理有限公司独立董事。</w:t>
      </w:r>
    </w:p>
    <w:p w14:paraId="3373ED7E" w14:textId="1CBB4AF0" w:rsidR="00913A13" w:rsidRDefault="001B55B3">
      <w:pPr>
        <w:adjustRightInd w:val="0"/>
        <w:snapToGrid w:val="0"/>
        <w:spacing w:line="360" w:lineRule="auto"/>
        <w:ind w:firstLineChars="200" w:firstLine="480"/>
        <w:rPr>
          <w:rFonts w:asciiTheme="minorEastAsia" w:hAnsiTheme="minorEastAsia" w:cs="Arial" w:hint="eastAsia"/>
          <w:kern w:val="0"/>
          <w:sz w:val="24"/>
          <w:szCs w:val="24"/>
        </w:rPr>
      </w:pPr>
      <w:bookmarkStart w:id="85" w:name="_Hlk168054882"/>
      <w:r w:rsidRPr="001B55B3">
        <w:rPr>
          <w:rFonts w:asciiTheme="minorEastAsia" w:hAnsiTheme="minorEastAsia" w:cs="Arial" w:hint="eastAsia"/>
          <w:kern w:val="0"/>
          <w:sz w:val="24"/>
          <w:szCs w:val="24"/>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冠领融科服务有限公司董事，华兴银行独立董事、深圳和石资本管理有限责任公司法定代表人、董事、经理，深圳泰和瑞银金融配套服务合伙企业（有限合伙）执行事务合伙人、北京雍和瑞泰管理顾问有限公司法定代表人、执行董事、总经理、财务负责人，深圳雍和瑞银投资管理有限公司法定代表人、董事、经理，富荣基金管理有限公司独立董事。</w:t>
      </w:r>
      <w:bookmarkEnd w:id="85"/>
    </w:p>
    <w:p w14:paraId="0E2CB84A"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张刚先生，独立董事，内蒙古大学民商法学硕士研究生。曾任内蒙古大学教师、北京王玉梅律师事务所律师、北京建元律师事务所合伙人、宁夏中银绒业股份有限公司独立董事。现任北京大成律师事务所高级合伙人、富荣基金管理有限公司独立董事。</w:t>
      </w:r>
    </w:p>
    <w:p w14:paraId="64A6ACB2"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2、监事会成员</w:t>
      </w:r>
    </w:p>
    <w:p w14:paraId="693C233F" w14:textId="3BFE74FC"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653D8360"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魏丽红女士，职工监事，大专。现任富荣基金管理有限公司职工监事。</w:t>
      </w:r>
    </w:p>
    <w:p w14:paraId="03E5F8BC"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3、高级管理人员</w:t>
      </w:r>
    </w:p>
    <w:p w14:paraId="2883E544" w14:textId="58369F06"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w:t>
      </w:r>
      <w:r w:rsidR="001B55B3" w:rsidRPr="001B55B3">
        <w:rPr>
          <w:rFonts w:asciiTheme="minorEastAsia" w:hAnsiTheme="minorEastAsia" w:cs="Arial" w:hint="eastAsia"/>
          <w:kern w:val="0"/>
          <w:sz w:val="24"/>
          <w:szCs w:val="24"/>
        </w:rPr>
        <w:t>东北财经大学博士研究生</w:t>
      </w:r>
      <w:r>
        <w:rPr>
          <w:rFonts w:asciiTheme="minorEastAsia" w:hAnsiTheme="minorEastAsia" w:cs="Arial" w:hint="eastAsia"/>
          <w:kern w:val="0"/>
          <w:sz w:val="24"/>
          <w:szCs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2C719B0B" w14:textId="427F7EBF"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史克新先生，副总经理，</w:t>
      </w:r>
      <w:r w:rsidR="001B55B3" w:rsidRPr="001B55B3">
        <w:rPr>
          <w:rFonts w:asciiTheme="minorEastAsia" w:hAnsiTheme="minorEastAsia" w:cs="Arial" w:hint="eastAsia"/>
          <w:kern w:val="0"/>
          <w:sz w:val="24"/>
          <w:szCs w:val="24"/>
        </w:rPr>
        <w:t>EMBA硕士</w:t>
      </w:r>
      <w:r>
        <w:rPr>
          <w:rFonts w:asciiTheme="minorEastAsia" w:hAnsiTheme="minorEastAsia" w:cs="Arial" w:hint="eastAsia"/>
          <w:kern w:val="0"/>
          <w:sz w:val="24"/>
          <w:szCs w:val="24"/>
        </w:rPr>
        <w:t>。历任珠海会计师事务所注册会计师，君安证券有限公司审计师，北大方正投资有限公司副总经理，兴安证券东莞营业部总经理，深圳丽晶生物技术有限公司董事长，金元证券股份有限公司副监事长、审计部总经理，金元顺安基金管理有限公司董事，金元证券股份有限公司经纪管理总部总经理，金元证券股份有限公司深圳分公司总经理，金元证券股份有限公司互联网创新专项办公室总经理等。现任富荣基金管理有限公司副总经理，兼任深圳分公司总经理。</w:t>
      </w:r>
    </w:p>
    <w:p w14:paraId="3D5C856E"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规部总经理。现任富荣基金管理有限公司督察长。</w:t>
      </w:r>
    </w:p>
    <w:p w14:paraId="68291A57" w14:textId="302E4FDC"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郑宇光先生，总经理助理，</w:t>
      </w:r>
      <w:r w:rsidR="001B55B3" w:rsidRPr="001B55B3">
        <w:rPr>
          <w:rFonts w:asciiTheme="minorEastAsia" w:hAnsiTheme="minorEastAsia" w:cs="Arial" w:hint="eastAsia"/>
          <w:kern w:val="0"/>
          <w:sz w:val="24"/>
          <w:szCs w:val="24"/>
        </w:rPr>
        <w:t>上海交通大学MBA硕士</w:t>
      </w:r>
      <w:r>
        <w:rPr>
          <w:rFonts w:asciiTheme="minorEastAsia" w:hAnsiTheme="minorEastAsia" w:cs="Arial" w:hint="eastAsia"/>
          <w:kern w:val="0"/>
          <w:sz w:val="24"/>
          <w:szCs w:val="24"/>
        </w:rPr>
        <w:t>。历任平安资产管理有限责任公司交易部</w:t>
      </w:r>
      <w:r>
        <w:rPr>
          <w:rFonts w:asciiTheme="minorEastAsia" w:hAnsiTheme="minorEastAsia" w:cs="Arial"/>
          <w:kern w:val="0"/>
          <w:sz w:val="24"/>
          <w:szCs w:val="24"/>
        </w:rPr>
        <w:t>/</w:t>
      </w:r>
      <w:r>
        <w:rPr>
          <w:rFonts w:asciiTheme="minorEastAsia" w:hAnsiTheme="minorEastAsia" w:cs="Arial" w:hint="eastAsia"/>
          <w:kern w:val="0"/>
          <w:sz w:val="24"/>
          <w:szCs w:val="24"/>
        </w:rPr>
        <w:t>投资管理部经理，太平资产管理有限责任公司固定收益部投资经理，上投摩根基金管理有限公司专户管理部投资经理，中信保诚基金管理有限公司固定收益部投资经理、总监助理，长江证券资产管理有限责任公司投资经理，上海勤远投资管理中心（有限合伙）量化研究总监基金经理，泰信基金管理有限公司专户投资部副总监，固收投资部基金经理、总监。现任富荣基金管理有限公司总经理助理</w:t>
      </w:r>
      <w:r w:rsidR="001B55B3" w:rsidRPr="001B55B3">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0BE46063"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赵睿杨女士，总经理助理，对外经济贸易大学会计学硕士研究生。历任合生创展集团有限公司集团财务与投资中心上市核算管理师、投资分析副经理，慧富恒泰（北京）基金管理有限公司投融资一部总经理，北信瑞丰基金管理有限公司</w:t>
      </w:r>
      <w:r>
        <w:rPr>
          <w:rFonts w:asciiTheme="minorEastAsia" w:hAnsiTheme="minorEastAsia" w:cs="Arial" w:hint="eastAsia"/>
          <w:kern w:val="0"/>
          <w:sz w:val="24"/>
          <w:szCs w:val="24"/>
        </w:rPr>
        <w:lastRenderedPageBreak/>
        <w:t>市场部高级经理、市场部总监助理、渠道部副总监、渠道部总监、专户机构部总监、市场总监、公司总经理助理。现任富荣基金管理有限公司总经理助理，兼任北京分公司总经理。</w:t>
      </w:r>
    </w:p>
    <w:p w14:paraId="53527534"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4、本</w:t>
      </w:r>
      <w:r>
        <w:rPr>
          <w:rFonts w:asciiTheme="minorEastAsia" w:hAnsiTheme="minorEastAsia" w:cs="Arial" w:hint="eastAsia"/>
          <w:kern w:val="0"/>
          <w:sz w:val="24"/>
          <w:szCs w:val="24"/>
        </w:rPr>
        <w:t>基金基金经理</w:t>
      </w:r>
    </w:p>
    <w:p w14:paraId="23B7A8A7"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郭梁良先生，清华大学硕士，</w:t>
      </w:r>
      <w:r>
        <w:rPr>
          <w:rFonts w:asciiTheme="minorEastAsia" w:hAnsiTheme="minorEastAsia" w:hint="eastAsia"/>
          <w:sz w:val="24"/>
          <w:szCs w:val="24"/>
        </w:rPr>
        <w:t>历任</w:t>
      </w:r>
      <w:r>
        <w:rPr>
          <w:rFonts w:asciiTheme="minorEastAsia" w:hAnsiTheme="minorEastAsia"/>
          <w:sz w:val="24"/>
          <w:szCs w:val="24"/>
        </w:rPr>
        <w:t>华泰证券有限公司研究员、中信保诚基金管理有限公司权益投资分析师</w:t>
      </w:r>
      <w:r>
        <w:rPr>
          <w:rFonts w:asciiTheme="minorEastAsia" w:hAnsiTheme="minorEastAsia" w:hint="eastAsia"/>
          <w:sz w:val="24"/>
          <w:szCs w:val="24"/>
        </w:rPr>
        <w:t>。</w:t>
      </w:r>
      <w:r>
        <w:rPr>
          <w:rFonts w:asciiTheme="minorEastAsia" w:hAnsiTheme="minorEastAsia"/>
          <w:sz w:val="24"/>
          <w:szCs w:val="24"/>
        </w:rPr>
        <w:t>2022</w:t>
      </w:r>
      <w:r>
        <w:rPr>
          <w:rFonts w:asciiTheme="minorEastAsia" w:hAnsiTheme="minorEastAsia" w:hint="eastAsia"/>
          <w:sz w:val="24"/>
          <w:szCs w:val="24"/>
        </w:rPr>
        <w:t>年</w:t>
      </w:r>
      <w:r>
        <w:rPr>
          <w:rFonts w:asciiTheme="minorEastAsia" w:hAnsiTheme="minorEastAsia"/>
          <w:sz w:val="24"/>
          <w:szCs w:val="24"/>
        </w:rPr>
        <w:t>8</w:t>
      </w:r>
      <w:r>
        <w:rPr>
          <w:rFonts w:asciiTheme="minorEastAsia" w:hAnsiTheme="minorEastAsia" w:hint="eastAsia"/>
          <w:sz w:val="24"/>
          <w:szCs w:val="24"/>
        </w:rPr>
        <w:t>月加入富荣基金管理有限公司，担任研究员，现任</w:t>
      </w:r>
      <w:r>
        <w:rPr>
          <w:rFonts w:asciiTheme="minorEastAsia" w:hAnsiTheme="minorEastAsia" w:cs="Arial" w:hint="eastAsia"/>
          <w:kern w:val="0"/>
          <w:sz w:val="24"/>
          <w:szCs w:val="24"/>
        </w:rPr>
        <w:t>富荣福银混合型证券投资基金</w:t>
      </w:r>
      <w:r>
        <w:rPr>
          <w:rFonts w:asciiTheme="minorEastAsia" w:hAnsiTheme="minorEastAsia" w:hint="eastAsia"/>
          <w:sz w:val="24"/>
          <w:szCs w:val="24"/>
        </w:rPr>
        <w:t>基金经理（自2025年9月11日起任职）。</w:t>
      </w:r>
    </w:p>
    <w:p w14:paraId="1ADFB46F" w14:textId="4C3022D0"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历任基金经理：李延峥（自2021年6月18日至2024年1月15日）、李天翔（自2024年1月8日至2025年2月19日）</w:t>
      </w:r>
      <w:r w:rsidR="00C355EA">
        <w:rPr>
          <w:rFonts w:asciiTheme="minorEastAsia" w:hAnsiTheme="minorEastAsia" w:cs="Arial" w:hint="eastAsia"/>
          <w:kern w:val="0"/>
          <w:sz w:val="24"/>
          <w:szCs w:val="24"/>
        </w:rPr>
        <w:t>、姜帆（自2025年2月13日至202</w:t>
      </w:r>
      <w:r w:rsidR="00E52D0C">
        <w:rPr>
          <w:rFonts w:asciiTheme="minorEastAsia" w:hAnsiTheme="minorEastAsia" w:cs="Arial" w:hint="eastAsia"/>
          <w:kern w:val="0"/>
          <w:sz w:val="24"/>
          <w:szCs w:val="24"/>
        </w:rPr>
        <w:t>6</w:t>
      </w:r>
      <w:r w:rsidR="00C355EA">
        <w:rPr>
          <w:rFonts w:asciiTheme="minorEastAsia" w:hAnsiTheme="minorEastAsia" w:cs="Arial" w:hint="eastAsia"/>
          <w:kern w:val="0"/>
          <w:sz w:val="24"/>
          <w:szCs w:val="24"/>
        </w:rPr>
        <w:t>年3月26日）</w:t>
      </w:r>
      <w:r>
        <w:rPr>
          <w:rFonts w:asciiTheme="minorEastAsia" w:hAnsiTheme="minorEastAsia" w:cs="Arial" w:hint="eastAsia"/>
          <w:kern w:val="0"/>
          <w:sz w:val="24"/>
          <w:szCs w:val="24"/>
        </w:rPr>
        <w:t>。</w:t>
      </w:r>
    </w:p>
    <w:p w14:paraId="1319C2A5"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5、投资决策委员会成员的姓名、</w:t>
      </w:r>
      <w:r>
        <w:rPr>
          <w:rFonts w:asciiTheme="minorEastAsia" w:hAnsiTheme="minorEastAsia" w:cs="Arial" w:hint="eastAsia"/>
          <w:kern w:val="0"/>
          <w:sz w:val="24"/>
          <w:szCs w:val="24"/>
        </w:rPr>
        <w:t>职务</w:t>
      </w:r>
    </w:p>
    <w:p w14:paraId="76C204F6"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杨小舟先生，投资决策委员会主任委员、公司总经理、兼任首席信息官。</w:t>
      </w:r>
    </w:p>
    <w:p w14:paraId="637F2723" w14:textId="0E6DBB1E"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郑宇光先生，投资决策委员会委员、公司总经理助理</w:t>
      </w:r>
      <w:r w:rsidR="001B55B3" w:rsidRPr="001B55B3">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0180014E"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郎骋成先生，投资决策委员会委员、研究部总经理、权益投资部总经理、专户投资经理、基金经理。</w:t>
      </w:r>
    </w:p>
    <w:p w14:paraId="61185818" w14:textId="42409AD5"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吴敏先生，投资决策委员会委员、固定收益部总经理</w:t>
      </w:r>
      <w:r w:rsidR="006C4083">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0AFCE7B0"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孟亚强先生，投资决策委员会委员、权益投资部副总经理、基金经理。</w:t>
      </w:r>
    </w:p>
    <w:p w14:paraId="23510203"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李延峥先生，投资决策委员会委员、投资决策委员会秘书、研究部总经理助理、基金经理。</w:t>
      </w:r>
    </w:p>
    <w:p w14:paraId="4C14827E" w14:textId="77777777" w:rsidR="00913A13" w:rsidRDefault="002F45B8">
      <w:pPr>
        <w:adjustRightInd w:val="0"/>
        <w:snapToGrid w:val="0"/>
        <w:spacing w:line="360" w:lineRule="auto"/>
        <w:ind w:firstLineChars="200" w:firstLine="480"/>
        <w:rPr>
          <w:rFonts w:asciiTheme="minorEastAsia" w:hAnsiTheme="minorEastAsia" w:cs="Arial" w:hint="eastAsia"/>
          <w:color w:val="FF0000"/>
          <w:sz w:val="24"/>
          <w:szCs w:val="24"/>
        </w:rPr>
      </w:pPr>
      <w:r>
        <w:rPr>
          <w:rFonts w:asciiTheme="minorEastAsia" w:hAnsiTheme="minorEastAsia" w:cs="Arial"/>
          <w:kern w:val="0"/>
          <w:sz w:val="24"/>
          <w:szCs w:val="24"/>
        </w:rPr>
        <w:t>6、上述人员之间不存在近亲属关系。</w:t>
      </w:r>
    </w:p>
    <w:p w14:paraId="49DF05DF" w14:textId="77777777" w:rsidR="00913A13" w:rsidRDefault="002F45B8">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0BF11DA6"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1、依法募集资金，办理或者委托经中国证监会认定的其他机构代为办理基金份额的发售、申购、赎回和登记事宜；</w:t>
      </w:r>
    </w:p>
    <w:p w14:paraId="3C0B106B"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2、办理基金备案手续；</w:t>
      </w:r>
    </w:p>
    <w:p w14:paraId="0F81ABA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3、自《基金合同》生效之日起，以诚实信用、谨慎勤勉的原则管理和运用基金财产；</w:t>
      </w:r>
    </w:p>
    <w:p w14:paraId="7CA38DF1"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4、配备足够的具有专业资格的人员进行基金投资分析、决策，以专业化的经营方式管理和运作基金财产；</w:t>
      </w:r>
    </w:p>
    <w:p w14:paraId="29895A0D"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5、建立健全内部风险控制、监察与稽核、财务管理及人事管理等制度，保</w:t>
      </w:r>
      <w:r>
        <w:rPr>
          <w:rFonts w:asciiTheme="minorEastAsia" w:hAnsiTheme="minorEastAsia" w:cs="Times New Roman"/>
          <w:sz w:val="24"/>
          <w:szCs w:val="24"/>
        </w:rPr>
        <w:lastRenderedPageBreak/>
        <w:t>证所管理的基金财产和基金管理人的财产相互独立，对所管理的不同基金分别管理，分别记账，进行证券投资；</w:t>
      </w:r>
    </w:p>
    <w:p w14:paraId="1550762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6、除依据《基金法》、《基金合同》及其他有关规定外，不得利用基金财产为自己及任何第三人谋取利益，不得委托第三人运作基金财产；</w:t>
      </w:r>
    </w:p>
    <w:p w14:paraId="4AD23A78"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7、依法接受基金托管人的监督；</w:t>
      </w:r>
    </w:p>
    <w:p w14:paraId="7E19E82E"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8、采取适当合理的措施使计算基金份额认购、申购、赎回和注销价格的方法符合《基金合同》等法律文件的规定，按有关规定计算并公告基金净值信息，确定基金份额申购、赎回</w:t>
      </w:r>
      <w:r>
        <w:rPr>
          <w:rFonts w:asciiTheme="minorEastAsia" w:hAnsiTheme="minorEastAsia" w:cs="Times New Roman" w:hint="eastAsia"/>
          <w:sz w:val="24"/>
          <w:szCs w:val="24"/>
        </w:rPr>
        <w:t>的价格；</w:t>
      </w:r>
    </w:p>
    <w:p w14:paraId="42ED1DB4"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9、进行基金会计核算并编制基金财务会计报告；</w:t>
      </w:r>
    </w:p>
    <w:p w14:paraId="1D9958EF"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10、编制季度</w:t>
      </w:r>
      <w:r>
        <w:rPr>
          <w:rFonts w:asciiTheme="minorEastAsia" w:hAnsiTheme="minorEastAsia" w:cs="Times New Roman" w:hint="eastAsia"/>
          <w:sz w:val="24"/>
          <w:szCs w:val="24"/>
        </w:rPr>
        <w:t>报告、中期报告和年度报告；</w:t>
      </w:r>
    </w:p>
    <w:p w14:paraId="1EF59AC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11、严格按照《基金法》、《基金合同》及其他有关规定，履行信息披露及报告义务；</w:t>
      </w:r>
    </w:p>
    <w:p w14:paraId="4F405302"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12、保守基金商业秘密，不泄露基金投资计划、投资意向等。除《基金法》、《基金合同》及其他有关规定另有规定外，在基金信息公开披露前应予保密，不向他人泄露</w:t>
      </w:r>
      <w:r>
        <w:rPr>
          <w:rFonts w:asciiTheme="minorEastAsia" w:hAnsiTheme="minorEastAsia" w:cs="Times New Roman" w:hint="eastAsia"/>
          <w:sz w:val="24"/>
          <w:szCs w:val="24"/>
        </w:rPr>
        <w:t>，但依法向监管机构、司法机关及审计、法律等外部专业顾问提供的除外；</w:t>
      </w:r>
    </w:p>
    <w:p w14:paraId="71BD57D4"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13、按《基金合同》的约定确定基金收益分配方案，及时向基金份额持有人分配基金收益；</w:t>
      </w:r>
    </w:p>
    <w:p w14:paraId="07DF53A2"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14、按规定受理申购与赎回申请，及时、足额支付赎回款项；</w:t>
      </w:r>
    </w:p>
    <w:p w14:paraId="1D982BD2"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15、依据《基金法》、《基金合同》及其他有关规定召集基金份额持有人大会或配合基金托管人、基金份额持有人依法召集基金份额持有人大会；</w:t>
      </w:r>
    </w:p>
    <w:p w14:paraId="71D5D314"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16、按规定保存基金财产管理业务活动的会计账册、报表、记录和其他相关资料</w:t>
      </w:r>
      <w:r>
        <w:rPr>
          <w:rFonts w:asciiTheme="minorEastAsia" w:hAnsiTheme="minorEastAsia" w:cs="Times New Roman" w:hint="eastAsia"/>
          <w:sz w:val="24"/>
          <w:szCs w:val="24"/>
        </w:rPr>
        <w:t>，保存期限不低于法律法规规定的最低期限；</w:t>
      </w:r>
    </w:p>
    <w:p w14:paraId="330FA485"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A275EB3"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18、组织并参加基金财产清算小组，参与基金财产的保管、清理、估价、变现和分配；</w:t>
      </w:r>
    </w:p>
    <w:p w14:paraId="5368F7CE"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19、面临解散、依法被撤销或者被依法宣告破产时，及时报告中国证监会并</w:t>
      </w:r>
      <w:r>
        <w:rPr>
          <w:rFonts w:asciiTheme="minorEastAsia" w:hAnsiTheme="minorEastAsia" w:cs="Times New Roman"/>
          <w:sz w:val="24"/>
          <w:szCs w:val="24"/>
        </w:rPr>
        <w:lastRenderedPageBreak/>
        <w:t>通知基金托管人；</w:t>
      </w:r>
    </w:p>
    <w:p w14:paraId="7CF7808F"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20、因违反《基金合同》导致基金财产的损失或损害基金份额持有人合法权益时，应当承担赔偿责任，其赔偿责任不因其退任而免除；</w:t>
      </w:r>
    </w:p>
    <w:p w14:paraId="3E0BEF47"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21、监督基金托管人按法律法规和《基金合同》规定履行自己的义务，基金托管人违反《基金合同》造成基金财产损失时，基金管理人应为基金份额持有人利益向基金托管人追偿；</w:t>
      </w:r>
    </w:p>
    <w:p w14:paraId="6AE73E0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22、当基金管理人将其义务委托第三方处理时，应当对第三方处理有关基金事务的行为承担责任；</w:t>
      </w:r>
    </w:p>
    <w:p w14:paraId="44444899"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23、以基金管理人名义，代表基金份额持有人利益行使诉讼权利或实施其他法律行为；</w:t>
      </w:r>
    </w:p>
    <w:p w14:paraId="0AA1E157"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24、基金管理人在募集期间未能达到基金的备案条件，《基金合同》不能生效，基金管理人承担全部募集费用，将已募集资金</w:t>
      </w:r>
      <w:r>
        <w:rPr>
          <w:rFonts w:asciiTheme="minorEastAsia" w:hAnsiTheme="minorEastAsia" w:cs="Times New Roman" w:hint="eastAsia"/>
          <w:sz w:val="24"/>
          <w:szCs w:val="24"/>
        </w:rPr>
        <w:t>并加计银行同期存款利息在基金募集期结束后</w:t>
      </w:r>
      <w:r>
        <w:rPr>
          <w:rFonts w:asciiTheme="minorEastAsia" w:hAnsiTheme="minorEastAsia" w:cs="Times New Roman"/>
          <w:sz w:val="24"/>
          <w:szCs w:val="24"/>
        </w:rPr>
        <w:t>30日内退还基金认购人；</w:t>
      </w:r>
    </w:p>
    <w:p w14:paraId="7F4E6C37"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25、执行生效的基金份额持有人大会的决议；</w:t>
      </w:r>
    </w:p>
    <w:p w14:paraId="7E9A8139"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26、建立并保存基金份额持有人名册；</w:t>
      </w:r>
    </w:p>
    <w:p w14:paraId="085C62AB"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27、法律法规及中国证监会规定的和《基金合同》约定的其他义务。</w:t>
      </w:r>
    </w:p>
    <w:p w14:paraId="5B41F071" w14:textId="77777777" w:rsidR="00913A13" w:rsidRDefault="002F45B8">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0BB21358"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1、基金管理人承诺不从事违反《中华人民共和国证券法》的行为，并承诺建立健全内部控制制度，采取有效措施，防止违反《中华人民共和国证券法》行为的发生； </w:t>
      </w:r>
    </w:p>
    <w:p w14:paraId="499CC6D9"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2、基金管理人承诺不从事违反《基金法》的行为，并承诺建立健全内部风险控制制度，采取有效措施，防止下列行为的发生：</w:t>
      </w:r>
    </w:p>
    <w:p w14:paraId="1E854F4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1）将基金管理人固有财产或者他人财产混同于基金财产从事证券投资；</w:t>
      </w:r>
    </w:p>
    <w:p w14:paraId="7B3FCFA0"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2）不公平地对待管理的不同基金财产；</w:t>
      </w:r>
    </w:p>
    <w:p w14:paraId="5A0D3618"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3）利用基金财产或者职务之便为基金份额持有人以外的第三人牟取利益；</w:t>
      </w:r>
    </w:p>
    <w:p w14:paraId="47E1120E"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4）向基金份额持有人违规承诺收益或者承担损失；</w:t>
      </w:r>
    </w:p>
    <w:p w14:paraId="207E8D09"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5）侵占、挪用基金财产；</w:t>
      </w:r>
    </w:p>
    <w:p w14:paraId="31F565F7"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6）泄露因职务便利获取的未公开信息、利用该信息从事或者明示、暗示</w:t>
      </w:r>
      <w:r>
        <w:rPr>
          <w:rFonts w:asciiTheme="minorEastAsia" w:hAnsiTheme="minorEastAsia" w:cs="Times New Roman" w:hint="eastAsia"/>
          <w:sz w:val="24"/>
          <w:szCs w:val="24"/>
        </w:rPr>
        <w:t>他人从事相关的交易活动；</w:t>
      </w:r>
    </w:p>
    <w:p w14:paraId="2E558A73"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w:t>
      </w:r>
      <w:r>
        <w:rPr>
          <w:rFonts w:asciiTheme="minorEastAsia" w:hAnsiTheme="minorEastAsia" w:cs="Times New Roman"/>
          <w:sz w:val="24"/>
          <w:szCs w:val="24"/>
        </w:rPr>
        <w:t>7）玩忽职守，不按照规定履行职责；</w:t>
      </w:r>
    </w:p>
    <w:p w14:paraId="22AD2FD3"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w:t>
      </w:r>
      <w:r>
        <w:rPr>
          <w:rFonts w:asciiTheme="minorEastAsia" w:hAnsiTheme="minorEastAsia" w:cs="Times New Roman"/>
          <w:sz w:val="24"/>
          <w:szCs w:val="24"/>
        </w:rPr>
        <w:t xml:space="preserve">8）法律、行政法规和中国证监会规定禁止的其他行为。 </w:t>
      </w:r>
    </w:p>
    <w:p w14:paraId="69108785"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3、基金管理人承诺严格遵守基金合同，并承诺建立健全内部控制制度，采取有效措施，防止违反基金合同行为的发生； </w:t>
      </w:r>
    </w:p>
    <w:p w14:paraId="3A2BD94D"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4、基金管理人承诺加强人员管理，强化职业操守，督促和约束员工遵守国家有关法律法规及行业规范，诚实信用、勤勉尽责；</w:t>
      </w:r>
    </w:p>
    <w:p w14:paraId="3F3C2C99"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5、基金管理人承诺不从事其他法规规定禁止从事的行为。 </w:t>
      </w:r>
    </w:p>
    <w:p w14:paraId="0287CA52" w14:textId="77777777" w:rsidR="00913A13" w:rsidRDefault="002F45B8">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2E694C02"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1、依照有关法律法规和基金合同的规定，本着谨慎的原则为基金份额持有人谋取最大利益；</w:t>
      </w:r>
    </w:p>
    <w:p w14:paraId="1895C69E"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 xml:space="preserve">2、不利用职务之便为自己、受雇人或任何第三者牟取利益； </w:t>
      </w:r>
    </w:p>
    <w:p w14:paraId="44F1565E"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3、不泄露在任职期间知悉的有关证券、基金的商业秘密，尚未依法公开的基金投资内容、基金投资计划等信息，或利用该信息从事或者明示、暗示他人从事相关的交易活动；</w:t>
      </w:r>
    </w:p>
    <w:p w14:paraId="798B2C1C" w14:textId="77777777" w:rsidR="00913A13" w:rsidRDefault="002F45B8">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4、不以任何形式为其他组织或个人进行证券交易。</w:t>
      </w:r>
    </w:p>
    <w:p w14:paraId="6B2837D0" w14:textId="77777777" w:rsidR="00913A13" w:rsidRDefault="002F45B8">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00F21A55"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6" w:name="_Toc410197818"/>
      <w:bookmarkStart w:id="87" w:name="_Toc352229750"/>
      <w:bookmarkStart w:id="88" w:name="_Toc263092312"/>
      <w:bookmarkStart w:id="89" w:name="_Toc416264540"/>
      <w:bookmarkEnd w:id="69"/>
      <w:bookmarkEnd w:id="70"/>
      <w:bookmarkEnd w:id="71"/>
      <w:r>
        <w:rPr>
          <w:rFonts w:asciiTheme="minorEastAsia" w:hAnsiTheme="minorEastAsia" w:cs="Arial"/>
          <w:sz w:val="24"/>
          <w:szCs w:val="24"/>
        </w:rPr>
        <w:t>1、风险控制目标</w:t>
      </w:r>
    </w:p>
    <w:p w14:paraId="62E8D46B"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1）在有效控制风险的前提下，实现基金份额持有人利益最大化；</w:t>
      </w:r>
    </w:p>
    <w:p w14:paraId="1929E6CA"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2）确保国家有关法律法规、行业规章和公司各项规章制度的贯彻执行；</w:t>
      </w:r>
    </w:p>
    <w:p w14:paraId="7787911F"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3）建立符合现代企业制度要求的法人治理结构，形成科学合理的决策机制、执行机制和监督机制；</w:t>
      </w:r>
    </w:p>
    <w:p w14:paraId="26D745E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4）将各种风险控制在合理的范围内，保障公司发展战略和经营目标的全面实施，维护基金份额持有人、公司及公司股东的合法权益；</w:t>
      </w:r>
    </w:p>
    <w:p w14:paraId="2BA086B5"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5）建立行之有效的风险控制系统，保障业务稳健运行，减轻或规避各种风险对公司发展战略和经营目标的干扰。</w:t>
      </w:r>
    </w:p>
    <w:p w14:paraId="485C898C"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2、建立风险控制制度应遵循的原则</w:t>
      </w:r>
    </w:p>
    <w:p w14:paraId="211597C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1）全面性原则：风险控制制度应覆盖公司的各项业务、各个部门和各级人员，并渗透到决策、执行、监督、反馈等各个经营环节；</w:t>
      </w:r>
    </w:p>
    <w:p w14:paraId="546B7D10"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（2）审慎性原则：内部风险控制的核心是有效防范各种风险，公司组织体</w:t>
      </w:r>
      <w:r>
        <w:rPr>
          <w:rFonts w:asciiTheme="minorEastAsia" w:hAnsiTheme="minorEastAsia" w:cs="Arial" w:hint="eastAsia"/>
          <w:sz w:val="24"/>
          <w:szCs w:val="24"/>
        </w:rPr>
        <w:t>系的构成、内部管理制度的建立都要以防范风险、审慎经营为出发点；</w:t>
      </w:r>
    </w:p>
    <w:p w14:paraId="3AA9A043"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lastRenderedPageBreak/>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1875EED4"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7F57EF3D"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 xml:space="preserve"> （5）适时性原则：内部风险控制应随着公司经营战略、经营方针、经营理念等内部环境的变化和国家法律、法规、政策制度等外部环境的改变及时进行相应的修改和完善；</w:t>
      </w:r>
    </w:p>
    <w:p w14:paraId="6B81E826"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3、风险控制体系</w:t>
      </w:r>
    </w:p>
    <w:p w14:paraId="71B3F6B5"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1）风险控制制度体系</w:t>
      </w:r>
    </w:p>
    <w:p w14:paraId="200C762A"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191DFF34"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2）风险控制组织体系</w:t>
      </w:r>
    </w:p>
    <w:p w14:paraId="2ED42E7B"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1D07EE3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5449888B"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240825EC"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长履行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67A39803"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0A0B9DA9" w14:textId="77777777" w:rsidR="00913A13" w:rsidRDefault="002F45B8">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w:t>
      </w:r>
      <w:r>
        <w:rPr>
          <w:rFonts w:asciiTheme="minorEastAsia" w:hAnsiTheme="minorEastAsia" w:cs="Arial" w:hint="eastAsia"/>
          <w:sz w:val="24"/>
          <w:szCs w:val="24"/>
        </w:rPr>
        <w:lastRenderedPageBreak/>
        <w:t>中存在的风险及风险隐患，向公司相关部门提出整改要求；决定公司重大风险事件的处理方案；总结、安排风险管理和控制工作，研究、评估新出现的风险因素；评估新产品、新业务的合规风险、市场风险和操作风险等重大风险，确保公司各项业务符合法律法规、监管要求、公司制度及受托资产合同的规定；审批基金投资的关联方证券名单和关联交易；风险管理委员会认为其他需关注的事项。</w:t>
      </w:r>
    </w:p>
    <w:p w14:paraId="7AAC0574"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规、完善；检查公司内部控制制度和业务流程的执行情况，出具监察稽核报告；负责信息披露事务的管理；调查基金及其他类型产品的异常投资和交易以及对违规行为的调查；负责公司的法律事务、合规咨询、合规培训、离任审查等工作。</w:t>
      </w:r>
    </w:p>
    <w:p w14:paraId="345A21A9"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00CA273E"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4、关于授权、研究、投资、交易等方面的控制点</w:t>
      </w:r>
    </w:p>
    <w:p w14:paraId="665016A4"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1）授权制度</w:t>
      </w:r>
    </w:p>
    <w:p w14:paraId="2981765C"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66A67220"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2）研究业务</w:t>
      </w:r>
    </w:p>
    <w:p w14:paraId="1A751323"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186BF39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3）基金投资业务</w:t>
      </w:r>
    </w:p>
    <w:p w14:paraId="006BD0F4"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w:t>
      </w:r>
      <w:r>
        <w:rPr>
          <w:rFonts w:asciiTheme="minorEastAsia" w:hAnsiTheme="minorEastAsia" w:cs="Arial" w:hint="eastAsia"/>
          <w:sz w:val="24"/>
          <w:szCs w:val="24"/>
        </w:rPr>
        <w:lastRenderedPageBreak/>
        <w:t>定合理的决策程序；在进行投资时应有明确的投资授权制度，并应建立与所授权限相应的约束制度和考核制度；建立严格的投资禁止和投资限制制度，保证基金投资的合法合规性；建立投资风险评估与管理制度，将重点投资限制在一定的风险权限额度内；对于投资结果建立科学的投资管理业绩评价体系。</w:t>
      </w:r>
    </w:p>
    <w:p w14:paraId="433BDADC"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4）交易业务</w:t>
      </w:r>
    </w:p>
    <w:p w14:paraId="6A4808EE"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688B840D"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5）基金会计核算</w:t>
      </w:r>
    </w:p>
    <w:p w14:paraId="4B55CEA6"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35E58DAC"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6）信息披露</w:t>
      </w:r>
    </w:p>
    <w:p w14:paraId="4278D162"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30056489"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7）监察稽核</w:t>
      </w:r>
    </w:p>
    <w:p w14:paraId="59EE9DA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长依据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32221CBB"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w:t>
      </w:r>
      <w:r>
        <w:rPr>
          <w:rFonts w:asciiTheme="minorEastAsia" w:hAnsiTheme="minorEastAsia" w:cs="Arial" w:hint="eastAsia"/>
          <w:sz w:val="24"/>
          <w:szCs w:val="24"/>
        </w:rPr>
        <w:lastRenderedPageBreak/>
        <w:t>作，对违反法律、法规和公司内部控制制度的，追究相关部门和人员的责任。</w:t>
      </w:r>
    </w:p>
    <w:p w14:paraId="61B4F358"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sz w:val="24"/>
          <w:szCs w:val="24"/>
        </w:rPr>
        <w:t>5、风险管理和内部控制的措施</w:t>
      </w:r>
    </w:p>
    <w:p w14:paraId="75E866C2"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1）建立内控结构，完善内控制度：公司建立、健全了内控结构，高管人员具有明确的内控分工，确保各项业务活动有恰当的组织和授权，确保监察活动的独立进行，并得到高管人员的支持。</w:t>
      </w:r>
    </w:p>
    <w:p w14:paraId="6FBB20FA"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78ED0470"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3）建立、健全岗位责任制：建立、健全了岗位责任制，使每个员工都明确自己的任务、职责，并及时将各自工作领域中的风险隐患上报，以防范和减少风险。</w:t>
      </w:r>
    </w:p>
    <w:p w14:paraId="37D03300"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从而以最快速度做出决策。</w:t>
      </w:r>
    </w:p>
    <w:p w14:paraId="494159A5"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5）建立有效的内部监控系统：建立了足够、有效的内部监控系统，如计算机预警系统、投资监控系统，能对可能出现的各种风险进行全面和实时的监控。</w:t>
      </w:r>
    </w:p>
    <w:p w14:paraId="6B18F631"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37A99B2E" w14:textId="77777777" w:rsidR="00913A13" w:rsidRDefault="002F45B8">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7）提供足够的培训：制定了完整的培训计划，为所有员工提供足够和适当的培训，使员工明确其职责所在，控制风险。</w:t>
      </w:r>
    </w:p>
    <w:p w14:paraId="00B3046A" w14:textId="77777777" w:rsidR="00913A13" w:rsidRDefault="002F45B8">
      <w:pPr>
        <w:widowControl/>
        <w:adjustRightInd w:val="0"/>
        <w:snapToGrid w:val="0"/>
        <w:spacing w:line="360" w:lineRule="auto"/>
        <w:ind w:firstLineChars="200" w:firstLine="480"/>
        <w:rPr>
          <w:rFonts w:asciiTheme="minorEastAsia" w:hAnsiTheme="minorEastAsia" w:cs="Arial" w:hint="eastAsia"/>
          <w:b/>
          <w:bCs/>
          <w:sz w:val="24"/>
          <w:szCs w:val="24"/>
        </w:rPr>
      </w:pPr>
      <w:r>
        <w:rPr>
          <w:rFonts w:asciiTheme="minorEastAsia" w:hAnsiTheme="minorEastAsia" w:cs="Arial"/>
          <w:sz w:val="24"/>
          <w:szCs w:val="24"/>
        </w:rPr>
        <w:t>6、基金管理人承诺上述关于内部控制的披露真实、准确，并承诺将根据市场环境的变化及公司的发展不断完善合</w:t>
      </w:r>
      <w:r>
        <w:rPr>
          <w:rFonts w:asciiTheme="minorEastAsia" w:hAnsiTheme="minorEastAsia" w:cs="Arial" w:hint="eastAsia"/>
          <w:sz w:val="24"/>
          <w:szCs w:val="24"/>
        </w:rPr>
        <w:t>规控制。</w:t>
      </w:r>
      <w:bookmarkStart w:id="90" w:name="_Toc238013745"/>
      <w:bookmarkStart w:id="91" w:name="_Toc238027832"/>
      <w:bookmarkEnd w:id="90"/>
      <w:bookmarkEnd w:id="91"/>
    </w:p>
    <w:p w14:paraId="6EBCFBAB" w14:textId="77777777" w:rsidR="00913A13" w:rsidRDefault="00913A13">
      <w:pPr>
        <w:keepNext/>
        <w:keepLines/>
        <w:tabs>
          <w:tab w:val="center" w:pos="4364"/>
        </w:tabs>
        <w:autoSpaceDE w:val="0"/>
        <w:autoSpaceDN w:val="0"/>
        <w:adjustRightInd w:val="0"/>
        <w:snapToGrid w:val="0"/>
        <w:spacing w:line="360" w:lineRule="auto"/>
        <w:ind w:firstLineChars="150" w:firstLine="422"/>
        <w:textAlignment w:val="baseline"/>
        <w:outlineLvl w:val="0"/>
        <w:rPr>
          <w:rFonts w:ascii="Arial" w:eastAsia="宋体" w:hAnsi="Arial" w:cs="Arial"/>
          <w:b/>
          <w:bCs/>
          <w:kern w:val="0"/>
          <w:sz w:val="28"/>
          <w:szCs w:val="28"/>
        </w:rPr>
        <w:sectPr w:rsidR="00913A13">
          <w:headerReference w:type="even" r:id="rId26"/>
          <w:headerReference w:type="default" r:id="rId27"/>
          <w:footerReference w:type="default" r:id="rId28"/>
          <w:headerReference w:type="first" r:id="rId29"/>
          <w:pgSz w:w="11906" w:h="16838"/>
          <w:pgMar w:top="1440" w:right="1800" w:bottom="1440" w:left="1800" w:header="851" w:footer="992" w:gutter="0"/>
          <w:pgNumType w:chapStyle="1"/>
          <w:cols w:space="720"/>
          <w:docGrid w:type="lines" w:linePitch="312"/>
        </w:sectPr>
      </w:pPr>
    </w:p>
    <w:p w14:paraId="630FD2EB" w14:textId="77777777" w:rsidR="00913A13" w:rsidRDefault="002F45B8">
      <w:pPr>
        <w:pStyle w:val="1"/>
        <w:jc w:val="center"/>
        <w:rPr>
          <w:sz w:val="30"/>
          <w:szCs w:val="30"/>
        </w:rPr>
      </w:pPr>
      <w:bookmarkStart w:id="92" w:name="_Toc68266291"/>
      <w:bookmarkStart w:id="93" w:name="_Toc136963804"/>
      <w:r>
        <w:rPr>
          <w:rFonts w:hint="eastAsia"/>
          <w:sz w:val="30"/>
          <w:szCs w:val="30"/>
        </w:rPr>
        <w:lastRenderedPageBreak/>
        <w:t>第四部分</w:t>
      </w:r>
      <w:r>
        <w:rPr>
          <w:sz w:val="30"/>
          <w:szCs w:val="30"/>
        </w:rPr>
        <w:t xml:space="preserve">  </w:t>
      </w:r>
      <w:r>
        <w:rPr>
          <w:rFonts w:hint="eastAsia"/>
          <w:sz w:val="30"/>
          <w:szCs w:val="30"/>
        </w:rPr>
        <w:t>基金托管人</w:t>
      </w:r>
      <w:bookmarkEnd w:id="92"/>
      <w:bookmarkEnd w:id="93"/>
    </w:p>
    <w:p w14:paraId="711B7A3A" w14:textId="77777777" w:rsidR="00913A13" w:rsidRDefault="002F45B8">
      <w:pPr>
        <w:spacing w:line="360" w:lineRule="auto"/>
        <w:ind w:firstLineChars="200" w:firstLine="480"/>
        <w:rPr>
          <w:sz w:val="24"/>
          <w:szCs w:val="24"/>
        </w:rPr>
      </w:pPr>
      <w:r>
        <w:rPr>
          <w:rFonts w:hint="eastAsia"/>
          <w:sz w:val="24"/>
          <w:szCs w:val="24"/>
        </w:rPr>
        <w:t>（一）基金托管人情况</w:t>
      </w:r>
    </w:p>
    <w:p w14:paraId="1E2BF49C"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名称：国泰海通证券股份有限公司（简称“国泰海通证券”）</w:t>
      </w:r>
    </w:p>
    <w:p w14:paraId="1753D825"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住所：中国（上海）自由贸易试验区商城路</w:t>
      </w:r>
      <w:r w:rsidRPr="00EE4EDE">
        <w:rPr>
          <w:rFonts w:hint="eastAsia"/>
          <w:sz w:val="24"/>
          <w:szCs w:val="24"/>
        </w:rPr>
        <w:t>618</w:t>
      </w:r>
      <w:r w:rsidRPr="00EE4EDE">
        <w:rPr>
          <w:rFonts w:hint="eastAsia"/>
          <w:sz w:val="24"/>
          <w:szCs w:val="24"/>
        </w:rPr>
        <w:t>号</w:t>
      </w:r>
    </w:p>
    <w:p w14:paraId="0697C442"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法定代表人：朱健</w:t>
      </w:r>
    </w:p>
    <w:p w14:paraId="0750D007"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成立时间：</w:t>
      </w:r>
      <w:r w:rsidRPr="00EE4EDE">
        <w:rPr>
          <w:rFonts w:hint="eastAsia"/>
          <w:sz w:val="24"/>
          <w:szCs w:val="24"/>
        </w:rPr>
        <w:t>1999</w:t>
      </w:r>
      <w:r w:rsidRPr="00EE4EDE">
        <w:rPr>
          <w:rFonts w:hint="eastAsia"/>
          <w:sz w:val="24"/>
          <w:szCs w:val="24"/>
        </w:rPr>
        <w:t>年</w:t>
      </w:r>
      <w:r w:rsidRPr="00EE4EDE">
        <w:rPr>
          <w:rFonts w:hint="eastAsia"/>
          <w:sz w:val="24"/>
          <w:szCs w:val="24"/>
        </w:rPr>
        <w:t>8</w:t>
      </w:r>
      <w:r w:rsidRPr="00EE4EDE">
        <w:rPr>
          <w:rFonts w:hint="eastAsia"/>
          <w:sz w:val="24"/>
          <w:szCs w:val="24"/>
        </w:rPr>
        <w:t>月</w:t>
      </w:r>
      <w:r w:rsidRPr="00EE4EDE">
        <w:rPr>
          <w:rFonts w:hint="eastAsia"/>
          <w:sz w:val="24"/>
          <w:szCs w:val="24"/>
        </w:rPr>
        <w:t>18</w:t>
      </w:r>
      <w:r w:rsidRPr="00EE4EDE">
        <w:rPr>
          <w:rFonts w:hint="eastAsia"/>
          <w:sz w:val="24"/>
          <w:szCs w:val="24"/>
        </w:rPr>
        <w:t>日</w:t>
      </w:r>
    </w:p>
    <w:p w14:paraId="42494AEC"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批准设立机关：中国证监会</w:t>
      </w:r>
    </w:p>
    <w:p w14:paraId="10CC2A49"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批准设立文号：证监机构字</w:t>
      </w:r>
      <w:r w:rsidRPr="00EE4EDE">
        <w:rPr>
          <w:rFonts w:hint="eastAsia"/>
          <w:sz w:val="24"/>
          <w:szCs w:val="24"/>
        </w:rPr>
        <w:t>[1999]77</w:t>
      </w:r>
      <w:r w:rsidRPr="00EE4EDE">
        <w:rPr>
          <w:rFonts w:hint="eastAsia"/>
          <w:sz w:val="24"/>
          <w:szCs w:val="24"/>
        </w:rPr>
        <w:t>号</w:t>
      </w:r>
    </w:p>
    <w:p w14:paraId="037EF13D"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组织形式：其他股份有限公司（上市）</w:t>
      </w:r>
    </w:p>
    <w:p w14:paraId="37F965E9"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注册资本：人民币</w:t>
      </w:r>
      <w:r w:rsidRPr="00EE4EDE">
        <w:rPr>
          <w:rFonts w:hint="eastAsia"/>
          <w:sz w:val="24"/>
          <w:szCs w:val="24"/>
        </w:rPr>
        <w:t xml:space="preserve"> 17,628,925,829 </w:t>
      </w:r>
      <w:r w:rsidRPr="00EE4EDE">
        <w:rPr>
          <w:rFonts w:hint="eastAsia"/>
          <w:sz w:val="24"/>
          <w:szCs w:val="24"/>
        </w:rPr>
        <w:t>元整</w:t>
      </w:r>
    </w:p>
    <w:p w14:paraId="75C770AF"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存续期间：持续经营</w:t>
      </w:r>
    </w:p>
    <w:p w14:paraId="7F3AEFFE"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基金托管资格批文及文号：证监许可</w:t>
      </w:r>
      <w:r w:rsidRPr="00EE4EDE">
        <w:rPr>
          <w:rFonts w:hint="eastAsia"/>
          <w:sz w:val="24"/>
          <w:szCs w:val="24"/>
        </w:rPr>
        <w:t>[2014]511</w:t>
      </w:r>
      <w:r w:rsidRPr="00EE4EDE">
        <w:rPr>
          <w:rFonts w:hint="eastAsia"/>
          <w:sz w:val="24"/>
          <w:szCs w:val="24"/>
        </w:rPr>
        <w:t>号</w:t>
      </w:r>
    </w:p>
    <w:p w14:paraId="1315DE62"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联系人：丛艳</w:t>
      </w:r>
    </w:p>
    <w:p w14:paraId="490119DC"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通讯地址：上海市静安区新闸路</w:t>
      </w:r>
      <w:r w:rsidRPr="00EE4EDE">
        <w:rPr>
          <w:rFonts w:hint="eastAsia"/>
          <w:sz w:val="24"/>
          <w:szCs w:val="24"/>
        </w:rPr>
        <w:t>669</w:t>
      </w:r>
      <w:r w:rsidRPr="00EE4EDE">
        <w:rPr>
          <w:rFonts w:hint="eastAsia"/>
          <w:sz w:val="24"/>
          <w:szCs w:val="24"/>
        </w:rPr>
        <w:t>号博华广场</w:t>
      </w:r>
      <w:r w:rsidRPr="00EE4EDE">
        <w:rPr>
          <w:rFonts w:hint="eastAsia"/>
          <w:sz w:val="24"/>
          <w:szCs w:val="24"/>
        </w:rPr>
        <w:t>19</w:t>
      </w:r>
      <w:r w:rsidRPr="00EE4EDE">
        <w:rPr>
          <w:rFonts w:hint="eastAsia"/>
          <w:sz w:val="24"/>
          <w:szCs w:val="24"/>
        </w:rPr>
        <w:t>楼</w:t>
      </w:r>
    </w:p>
    <w:p w14:paraId="4A49F8F8"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联系电话：</w:t>
      </w:r>
      <w:r w:rsidRPr="00EE4EDE">
        <w:rPr>
          <w:rFonts w:hint="eastAsia"/>
          <w:sz w:val="24"/>
          <w:szCs w:val="24"/>
        </w:rPr>
        <w:t>021-38677336</w:t>
      </w:r>
    </w:p>
    <w:p w14:paraId="12E11917"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1.</w:t>
      </w:r>
      <w:r w:rsidRPr="00EE4EDE">
        <w:rPr>
          <w:rFonts w:hint="eastAsia"/>
          <w:sz w:val="24"/>
          <w:szCs w:val="24"/>
        </w:rPr>
        <w:t>拟任基金托管人简介</w:t>
      </w:r>
    </w:p>
    <w:p w14:paraId="608C3669"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本集团是中国证券行业长期、持续、全面领先的综合金融服务商。本集团跨越了中国资本市场发展的全部历程和多个周期，历经风雨，锐意进取，始终屹立在资本市场的最前列，资本规模、盈利水平、业务能力、科技实力和风险管理能力一直位居行业领先水平。截至</w:t>
      </w:r>
      <w:r w:rsidRPr="00EE4EDE">
        <w:rPr>
          <w:rFonts w:hint="eastAsia"/>
          <w:sz w:val="24"/>
          <w:szCs w:val="24"/>
        </w:rPr>
        <w:t>2025</w:t>
      </w:r>
      <w:r w:rsidRPr="00EE4EDE">
        <w:rPr>
          <w:rFonts w:hint="eastAsia"/>
          <w:sz w:val="24"/>
          <w:szCs w:val="24"/>
        </w:rPr>
        <w:t>年</w:t>
      </w:r>
      <w:r w:rsidRPr="00EE4EDE">
        <w:rPr>
          <w:rFonts w:hint="eastAsia"/>
          <w:sz w:val="24"/>
          <w:szCs w:val="24"/>
        </w:rPr>
        <w:t>12</w:t>
      </w:r>
      <w:r w:rsidRPr="00EE4EDE">
        <w:rPr>
          <w:rFonts w:hint="eastAsia"/>
          <w:sz w:val="24"/>
          <w:szCs w:val="24"/>
        </w:rPr>
        <w:t>月</w:t>
      </w:r>
      <w:r w:rsidRPr="00EE4EDE">
        <w:rPr>
          <w:rFonts w:hint="eastAsia"/>
          <w:sz w:val="24"/>
          <w:szCs w:val="24"/>
        </w:rPr>
        <w:t>31</w:t>
      </w:r>
      <w:r w:rsidRPr="00EE4EDE">
        <w:rPr>
          <w:rFonts w:hint="eastAsia"/>
          <w:sz w:val="24"/>
          <w:szCs w:val="24"/>
        </w:rPr>
        <w:t>日，公司直接拥有</w:t>
      </w:r>
      <w:r w:rsidRPr="00EE4EDE">
        <w:rPr>
          <w:rFonts w:hint="eastAsia"/>
          <w:sz w:val="24"/>
          <w:szCs w:val="24"/>
        </w:rPr>
        <w:t>12</w:t>
      </w:r>
      <w:r w:rsidRPr="00EE4EDE">
        <w:rPr>
          <w:rFonts w:hint="eastAsia"/>
          <w:sz w:val="24"/>
          <w:szCs w:val="24"/>
        </w:rPr>
        <w:t>家境内子公司和</w:t>
      </w:r>
      <w:r w:rsidRPr="00EE4EDE">
        <w:rPr>
          <w:rFonts w:hint="eastAsia"/>
          <w:sz w:val="24"/>
          <w:szCs w:val="24"/>
        </w:rPr>
        <w:t>3</w:t>
      </w:r>
      <w:r w:rsidRPr="00EE4EDE">
        <w:rPr>
          <w:rFonts w:hint="eastAsia"/>
          <w:sz w:val="24"/>
          <w:szCs w:val="24"/>
        </w:rPr>
        <w:t>家境外子公司，并在境内设有</w:t>
      </w:r>
      <w:r w:rsidRPr="00EE4EDE">
        <w:rPr>
          <w:rFonts w:hint="eastAsia"/>
          <w:sz w:val="24"/>
          <w:szCs w:val="24"/>
        </w:rPr>
        <w:t>44</w:t>
      </w:r>
      <w:r w:rsidRPr="00EE4EDE">
        <w:rPr>
          <w:rFonts w:hint="eastAsia"/>
          <w:sz w:val="24"/>
          <w:szCs w:val="24"/>
        </w:rPr>
        <w:t>家证券分公司和</w:t>
      </w:r>
      <w:r w:rsidRPr="00EE4EDE">
        <w:rPr>
          <w:rFonts w:hint="eastAsia"/>
          <w:sz w:val="24"/>
          <w:szCs w:val="24"/>
        </w:rPr>
        <w:t>640</w:t>
      </w:r>
      <w:r w:rsidRPr="00EE4EDE">
        <w:rPr>
          <w:rFonts w:hint="eastAsia"/>
          <w:sz w:val="24"/>
          <w:szCs w:val="24"/>
        </w:rPr>
        <w:t>家证券营业部。</w:t>
      </w:r>
    </w:p>
    <w:p w14:paraId="7E1036AD"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2.</w:t>
      </w:r>
      <w:r w:rsidRPr="00EE4EDE">
        <w:rPr>
          <w:rFonts w:hint="eastAsia"/>
          <w:sz w:val="24"/>
          <w:szCs w:val="24"/>
        </w:rPr>
        <w:t>主要人员情况</w:t>
      </w:r>
    </w:p>
    <w:p w14:paraId="4F0E9790"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国泰海通证券设资产托管部，下设市场管理组、产品管理组、投资绩效分析组、托管运营组、非公募运营服务组、公募运营服务组、国际运营组、客户服务组、数据运行组、系统运行组、合规风控组、规划管理组、人力资源组及大湾区业务组</w:t>
      </w:r>
      <w:r w:rsidRPr="00EE4EDE">
        <w:rPr>
          <w:rFonts w:hint="eastAsia"/>
          <w:sz w:val="24"/>
          <w:szCs w:val="24"/>
        </w:rPr>
        <w:t>14</w:t>
      </w:r>
      <w:r w:rsidRPr="00EE4EDE">
        <w:rPr>
          <w:rFonts w:hint="eastAsia"/>
          <w:sz w:val="24"/>
          <w:szCs w:val="24"/>
        </w:rPr>
        <w:t>个职能组，在北京、上海、深圳设有办公场所，共有员工</w:t>
      </w:r>
      <w:r w:rsidRPr="00EE4EDE">
        <w:rPr>
          <w:rFonts w:hint="eastAsia"/>
          <w:sz w:val="24"/>
          <w:szCs w:val="24"/>
        </w:rPr>
        <w:t>200</w:t>
      </w:r>
      <w:r w:rsidRPr="00EE4EDE">
        <w:rPr>
          <w:rFonts w:hint="eastAsia"/>
          <w:sz w:val="24"/>
          <w:szCs w:val="24"/>
        </w:rPr>
        <w:t>余人。部门团队人员平均从业年限</w:t>
      </w:r>
      <w:r w:rsidRPr="00EE4EDE">
        <w:rPr>
          <w:rFonts w:hint="eastAsia"/>
          <w:sz w:val="24"/>
          <w:szCs w:val="24"/>
        </w:rPr>
        <w:t>10</w:t>
      </w:r>
      <w:r w:rsidRPr="00EE4EDE">
        <w:rPr>
          <w:rFonts w:hint="eastAsia"/>
          <w:sz w:val="24"/>
          <w:szCs w:val="24"/>
        </w:rPr>
        <w:t>年以上，估值、风控等核心岗位人员具备</w:t>
      </w:r>
      <w:r w:rsidRPr="00EE4EDE">
        <w:rPr>
          <w:rFonts w:hint="eastAsia"/>
          <w:sz w:val="24"/>
          <w:szCs w:val="24"/>
        </w:rPr>
        <w:t>10</w:t>
      </w:r>
      <w:r w:rsidRPr="00EE4EDE">
        <w:rPr>
          <w:rFonts w:hint="eastAsia"/>
          <w:sz w:val="24"/>
          <w:szCs w:val="24"/>
        </w:rPr>
        <w:t>年以上大型托管行、基金公司相关工作经验。</w:t>
      </w:r>
    </w:p>
    <w:p w14:paraId="7DD94DF2"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3.</w:t>
      </w:r>
      <w:r w:rsidRPr="00EE4EDE">
        <w:rPr>
          <w:rFonts w:hint="eastAsia"/>
          <w:sz w:val="24"/>
          <w:szCs w:val="24"/>
        </w:rPr>
        <w:t>基金托管业务经营情况</w:t>
      </w:r>
    </w:p>
    <w:p w14:paraId="3FEC2CEB" w14:textId="37F9D788" w:rsidR="00913A13" w:rsidRDefault="00EE4EDE">
      <w:pPr>
        <w:spacing w:line="360" w:lineRule="auto"/>
        <w:ind w:firstLineChars="200" w:firstLine="480"/>
        <w:rPr>
          <w:sz w:val="24"/>
          <w:szCs w:val="24"/>
        </w:rPr>
      </w:pPr>
      <w:r w:rsidRPr="00EE4EDE">
        <w:rPr>
          <w:rFonts w:hint="eastAsia"/>
          <w:sz w:val="24"/>
          <w:szCs w:val="24"/>
        </w:rPr>
        <w:lastRenderedPageBreak/>
        <w:t>国泰海通证券已取得证券投资基金托管资格，可为各类公开募集基金、非公开募集基金提供托管服务。国泰海通证券坚守“诚信专业、质量为本”的服务宗旨，通过组建经验丰富的专业团队、搭建安全高效的业务系统，为基金份额持有人提供值得信赖的托管服务。国泰海通证券获得证券投资基金托管资格以来，广泛开展了公募基金、基金专户、券商资管计划、私募基金等基金托管业务，与易方达、华泰柏瑞、嘉实、华夏、建信、天弘等多家基金公司及其子公司建立了托管合作关系。截至</w:t>
      </w:r>
      <w:r w:rsidRPr="00EE4EDE">
        <w:rPr>
          <w:rFonts w:hint="eastAsia"/>
          <w:sz w:val="24"/>
          <w:szCs w:val="24"/>
        </w:rPr>
        <w:t>2025</w:t>
      </w:r>
      <w:r w:rsidRPr="00EE4EDE">
        <w:rPr>
          <w:rFonts w:hint="eastAsia"/>
          <w:sz w:val="24"/>
          <w:szCs w:val="24"/>
        </w:rPr>
        <w:t>年</w:t>
      </w:r>
      <w:r w:rsidRPr="00EE4EDE">
        <w:rPr>
          <w:rFonts w:hint="eastAsia"/>
          <w:sz w:val="24"/>
          <w:szCs w:val="24"/>
        </w:rPr>
        <w:t>12</w:t>
      </w:r>
      <w:r w:rsidRPr="00EE4EDE">
        <w:rPr>
          <w:rFonts w:hint="eastAsia"/>
          <w:sz w:val="24"/>
          <w:szCs w:val="24"/>
        </w:rPr>
        <w:t>月</w:t>
      </w:r>
      <w:r w:rsidRPr="00EE4EDE">
        <w:rPr>
          <w:rFonts w:hint="eastAsia"/>
          <w:sz w:val="24"/>
          <w:szCs w:val="24"/>
        </w:rPr>
        <w:t>31</w:t>
      </w:r>
      <w:r w:rsidRPr="00EE4EDE">
        <w:rPr>
          <w:rFonts w:hint="eastAsia"/>
          <w:sz w:val="24"/>
          <w:szCs w:val="24"/>
        </w:rPr>
        <w:t>日，托管与基金服务业务规模逾</w:t>
      </w:r>
      <w:r w:rsidRPr="00EE4EDE">
        <w:rPr>
          <w:rFonts w:hint="eastAsia"/>
          <w:sz w:val="24"/>
          <w:szCs w:val="24"/>
        </w:rPr>
        <w:t>40,000</w:t>
      </w:r>
      <w:r w:rsidRPr="00EE4EDE">
        <w:rPr>
          <w:rFonts w:hint="eastAsia"/>
          <w:sz w:val="24"/>
          <w:szCs w:val="24"/>
        </w:rPr>
        <w:t>亿元，其中，托管公募基金规模逾</w:t>
      </w:r>
      <w:r w:rsidRPr="00EE4EDE">
        <w:rPr>
          <w:rFonts w:hint="eastAsia"/>
          <w:sz w:val="24"/>
          <w:szCs w:val="24"/>
        </w:rPr>
        <w:t>3,000</w:t>
      </w:r>
      <w:r w:rsidRPr="00EE4EDE">
        <w:rPr>
          <w:rFonts w:hint="eastAsia"/>
          <w:sz w:val="24"/>
          <w:szCs w:val="24"/>
        </w:rPr>
        <w:t>亿元，继续排名证券行业第</w:t>
      </w:r>
      <w:r w:rsidRPr="00EE4EDE">
        <w:rPr>
          <w:rFonts w:hint="eastAsia"/>
          <w:sz w:val="24"/>
          <w:szCs w:val="24"/>
        </w:rPr>
        <w:t>1</w:t>
      </w:r>
      <w:r w:rsidRPr="00EE4EDE">
        <w:rPr>
          <w:rFonts w:hint="eastAsia"/>
          <w:sz w:val="24"/>
          <w:szCs w:val="24"/>
        </w:rPr>
        <w:t>位</w:t>
      </w:r>
      <w:r w:rsidRPr="00EE4EDE">
        <w:rPr>
          <w:rFonts w:hint="eastAsia"/>
          <w:sz w:val="24"/>
          <w:szCs w:val="24"/>
        </w:rPr>
        <w:t>,</w:t>
      </w:r>
      <w:r w:rsidRPr="00EE4EDE">
        <w:rPr>
          <w:rFonts w:hint="eastAsia"/>
          <w:sz w:val="24"/>
          <w:szCs w:val="24"/>
        </w:rPr>
        <w:t>托管公募基金逾</w:t>
      </w:r>
      <w:r w:rsidRPr="00EE4EDE">
        <w:rPr>
          <w:rFonts w:hint="eastAsia"/>
          <w:sz w:val="24"/>
          <w:szCs w:val="24"/>
        </w:rPr>
        <w:t>140</w:t>
      </w:r>
      <w:r w:rsidRPr="00EE4EDE">
        <w:rPr>
          <w:rFonts w:hint="eastAsia"/>
          <w:sz w:val="24"/>
          <w:szCs w:val="24"/>
        </w:rPr>
        <w:t>只，产品类型涉及货币市场基金、债券型证券投资基金、指数型证券投资基金、混合型证券投资基金等，专业的服务和可靠的运营获得了管理人的一致认可。</w:t>
      </w:r>
    </w:p>
    <w:p w14:paraId="495C8CE0" w14:textId="77777777" w:rsidR="00913A13" w:rsidRDefault="002F45B8">
      <w:pPr>
        <w:spacing w:line="360" w:lineRule="auto"/>
        <w:ind w:firstLineChars="200" w:firstLine="480"/>
        <w:rPr>
          <w:sz w:val="24"/>
          <w:szCs w:val="24"/>
        </w:rPr>
      </w:pPr>
      <w:r>
        <w:rPr>
          <w:rFonts w:hint="eastAsia"/>
          <w:sz w:val="24"/>
          <w:szCs w:val="24"/>
        </w:rPr>
        <w:t>（二）基金托管人的内部控制制度</w:t>
      </w:r>
    </w:p>
    <w:p w14:paraId="5B3F3BB2"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1</w:t>
      </w:r>
      <w:r w:rsidRPr="00EE4EDE">
        <w:rPr>
          <w:rFonts w:hint="eastAsia"/>
          <w:sz w:val="24"/>
          <w:szCs w:val="24"/>
        </w:rPr>
        <w:t>、内部控制目标</w:t>
      </w:r>
    </w:p>
    <w:p w14:paraId="23E1FA27"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严格遵守国家法律法规相关规定，保障业务合法合规、资产托管部规章制度健全与有效执行。通过对托管业务风险进行识别、评估与管理，确保托管业务稳健运行，保护基金份额持有人及相关当事人合法权益。</w:t>
      </w:r>
    </w:p>
    <w:p w14:paraId="2F465F85"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2</w:t>
      </w:r>
      <w:r w:rsidRPr="00EE4EDE">
        <w:rPr>
          <w:rFonts w:hint="eastAsia"/>
          <w:sz w:val="24"/>
          <w:szCs w:val="24"/>
        </w:rPr>
        <w:t>、内部控制组织结构</w:t>
      </w:r>
    </w:p>
    <w:p w14:paraId="39CB3161"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w:t>
      </w:r>
      <w:r w:rsidRPr="00EE4EDE">
        <w:rPr>
          <w:rFonts w:hint="eastAsia"/>
          <w:sz w:val="24"/>
          <w:szCs w:val="24"/>
        </w:rPr>
        <w:t>1</w:t>
      </w:r>
      <w:r w:rsidRPr="00EE4EDE">
        <w:rPr>
          <w:rFonts w:hint="eastAsia"/>
          <w:sz w:val="24"/>
          <w:szCs w:val="24"/>
        </w:rPr>
        <w:t>）公司董事会是公司风险管理的最高决策机构，对公司全面风险管理负有最终责任。公司董事会下设风险控制委员会，负责审议风险管理的总体目标、基本政策，评估重大决策的风险和重大风险的解决方案。</w:t>
      </w:r>
    </w:p>
    <w:p w14:paraId="43323BB1"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w:t>
      </w:r>
      <w:r w:rsidRPr="00EE4EDE">
        <w:rPr>
          <w:rFonts w:hint="eastAsia"/>
          <w:sz w:val="24"/>
          <w:szCs w:val="24"/>
        </w:rPr>
        <w:t>2</w:t>
      </w:r>
      <w:r w:rsidRPr="00EE4EDE">
        <w:rPr>
          <w:rFonts w:hint="eastAsia"/>
          <w:sz w:val="24"/>
          <w:szCs w:val="24"/>
        </w:rPr>
        <w:t>）公司经营管理层对公司全面风险管理承担主要责任。公司经营层设立合规与风险管理委员会，对公司经营风险实行统筹管理，对风险管理重大事项进行审议与决策。</w:t>
      </w:r>
    </w:p>
    <w:p w14:paraId="7928CCE4"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w:t>
      </w:r>
      <w:r w:rsidRPr="00EE4EDE">
        <w:rPr>
          <w:rFonts w:hint="eastAsia"/>
          <w:sz w:val="24"/>
          <w:szCs w:val="24"/>
        </w:rPr>
        <w:t>3</w:t>
      </w:r>
      <w:r w:rsidRPr="00EE4EDE">
        <w:rPr>
          <w:rFonts w:hint="eastAsia"/>
          <w:sz w:val="24"/>
          <w:szCs w:val="24"/>
        </w:rPr>
        <w:t>）履行风险管理职责的部门包括风险管理部、法律合规部、集团稽核审计中心等专职履行风险管理职责的部门，以及计划财务部、信息技术部、营运中心等其他履行风险管理职责的部门。</w:t>
      </w:r>
    </w:p>
    <w:p w14:paraId="2D492DA2"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w:t>
      </w:r>
      <w:r w:rsidRPr="00EE4EDE">
        <w:rPr>
          <w:rFonts w:hint="eastAsia"/>
          <w:sz w:val="24"/>
          <w:szCs w:val="24"/>
        </w:rPr>
        <w:t>4</w:t>
      </w:r>
      <w:r w:rsidRPr="00EE4EDE">
        <w:rPr>
          <w:rFonts w:hint="eastAsia"/>
          <w:sz w:val="24"/>
          <w:szCs w:val="24"/>
        </w:rPr>
        <w:t>）资产托管部设置合规风控组，负责牵头制定本部门风险管理规章制度，分析报告部门整体风险管理状况，评估检查风险管理执行情况并提出改进建议，抓住关键风险，协助业务运营岗位进行专项化解，监督风险薄弱环节的整改情况。</w:t>
      </w:r>
      <w:r w:rsidRPr="00EE4EDE">
        <w:rPr>
          <w:rFonts w:hint="eastAsia"/>
          <w:sz w:val="24"/>
          <w:szCs w:val="24"/>
        </w:rPr>
        <w:lastRenderedPageBreak/>
        <w:t>同时部门设置风险评估及处置小组，由资产托管部负责人及各小组负责人组成，负责对重大风险事项进行评估、确定风险事件的处理意见、突发事件应急管理等事项。</w:t>
      </w:r>
    </w:p>
    <w:p w14:paraId="6B685B6B"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3</w:t>
      </w:r>
      <w:r w:rsidRPr="00EE4EDE">
        <w:rPr>
          <w:rFonts w:hint="eastAsia"/>
          <w:sz w:val="24"/>
          <w:szCs w:val="24"/>
        </w:rPr>
        <w:t>、内部控制制度及措施</w:t>
      </w:r>
    </w:p>
    <w:p w14:paraId="1D880139"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根据《中华人民共和国证券投资基金法》、《公开募集证券投资基金运作管理办法》、《证券投资基金托管业务管理办法》等法律法规，基金托管人制定了一整套严密、高效的证券投资基金托管规章制度，确保基金托管业务运行的规范、安全、高效，包括《国泰海通证券股份有限公司资产托管业务管理办法》、《国泰海通证券资产托管部内部控制与风险管理办法》、《国泰海通证券资产托管部稽核监控管理办法》、《国泰海通证券资产托管部突发事件与危机处理规程》、《国泰海通证券资产托管部保密管理办法》、《国泰海通证券资产托管部资产保管规程》、《国泰海通证券资产托管部档案管理办法》等，并根据监管要求和基金托管业务的发展不断加以完善。</w:t>
      </w:r>
    </w:p>
    <w:p w14:paraId="571636B2" w14:textId="394A884A" w:rsidR="00913A13" w:rsidRDefault="00EE4EDE">
      <w:pPr>
        <w:spacing w:line="360" w:lineRule="auto"/>
        <w:ind w:firstLineChars="200" w:firstLine="480"/>
        <w:rPr>
          <w:sz w:val="24"/>
          <w:szCs w:val="24"/>
        </w:rPr>
      </w:pPr>
      <w:r w:rsidRPr="00EE4EDE">
        <w:rPr>
          <w:rFonts w:hint="eastAsia"/>
          <w:sz w:val="24"/>
          <w:szCs w:val="24"/>
        </w:rPr>
        <w:t>基金托管人通过基金托管业务各环节风险的事前提示、事中控制和事后稽核的动态管理过程来实施内部风险控制；安全保管基金财产，确保基金财产完整与独立；实行办公场所多重门禁管理，并配备录音和录像监控系统；配备独立的托管业务技术系统并进行防火墙设置；岗位设置权责分明，通过岗位设置和适当授权等措施有效实施相互制衡；关键业务环节设置经办复核机制，建立严格有效的操作制约体系；深入进行职业道德教育，树立风险管理是首要核心竞争力的理念，培养部门全体员工的风险防范和保密意识；配备专门的稽核监控岗对基金托管业务运行进行检查、评价，以保障基金托管业务内部控制的有效性。</w:t>
      </w:r>
    </w:p>
    <w:p w14:paraId="3E369E30" w14:textId="77777777" w:rsidR="00913A13" w:rsidRDefault="002F45B8">
      <w:pPr>
        <w:spacing w:line="360" w:lineRule="auto"/>
        <w:ind w:firstLineChars="200" w:firstLine="480"/>
        <w:rPr>
          <w:sz w:val="24"/>
          <w:szCs w:val="24"/>
        </w:rPr>
      </w:pPr>
      <w:r>
        <w:rPr>
          <w:rFonts w:hint="eastAsia"/>
          <w:sz w:val="24"/>
          <w:szCs w:val="24"/>
        </w:rPr>
        <w:t>（三）基金托管人对基金管理人运作基金进行监督的方法和程序</w:t>
      </w:r>
    </w:p>
    <w:p w14:paraId="48800665"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1</w:t>
      </w:r>
      <w:r w:rsidRPr="00EE4EDE">
        <w:rPr>
          <w:rFonts w:hint="eastAsia"/>
          <w:sz w:val="24"/>
          <w:szCs w:val="24"/>
        </w:rPr>
        <w:t>、监督方法</w:t>
      </w:r>
    </w:p>
    <w:p w14:paraId="7282225C" w14:textId="77777777" w:rsidR="00EE4EDE" w:rsidRPr="00EE4EDE" w:rsidRDefault="00EE4EDE" w:rsidP="00EE4EDE">
      <w:pPr>
        <w:spacing w:line="360" w:lineRule="auto"/>
        <w:ind w:firstLineChars="200" w:firstLine="480"/>
        <w:rPr>
          <w:sz w:val="24"/>
          <w:szCs w:val="24"/>
        </w:rPr>
      </w:pPr>
      <w:r w:rsidRPr="00EE4EDE">
        <w:rPr>
          <w:rFonts w:hint="eastAsia"/>
          <w:sz w:val="24"/>
          <w:szCs w:val="24"/>
        </w:rPr>
        <w:t>基金托管人根据法律法规的规定及基金合同、托管协议的约定，对投资范围、投资比例、投资限制等进行严格监督，及时提示管理人违规风险，并按要求向证监会报告。在日常为基金投资运作所提供的基金清算和核算服务环节中，对基金管理人发送的投资指令、基金管理人对基金资产的核算、基金资产净值的计算、对各基金费用的提取与开支情况、基金的申购资金的到账与赎回资金的划付、基金收益分配等行为的合法性、合规性进行监督和核查。</w:t>
      </w:r>
    </w:p>
    <w:p w14:paraId="056D232E" w14:textId="77777777" w:rsidR="00EE4EDE" w:rsidRPr="00EE4EDE" w:rsidRDefault="00EE4EDE" w:rsidP="00EE4EDE">
      <w:pPr>
        <w:spacing w:line="360" w:lineRule="auto"/>
        <w:ind w:firstLineChars="200" w:firstLine="480"/>
        <w:rPr>
          <w:sz w:val="24"/>
          <w:szCs w:val="24"/>
        </w:rPr>
      </w:pPr>
      <w:r w:rsidRPr="00EE4EDE">
        <w:rPr>
          <w:rFonts w:hint="eastAsia"/>
          <w:sz w:val="24"/>
          <w:szCs w:val="24"/>
        </w:rPr>
        <w:lastRenderedPageBreak/>
        <w:t>2</w:t>
      </w:r>
      <w:r w:rsidRPr="00EE4EDE">
        <w:rPr>
          <w:rFonts w:hint="eastAsia"/>
          <w:sz w:val="24"/>
          <w:szCs w:val="24"/>
        </w:rPr>
        <w:t>、监督程序</w:t>
      </w:r>
    </w:p>
    <w:p w14:paraId="67DEBC28" w14:textId="712E8309" w:rsidR="00913A13" w:rsidRDefault="00EE4EDE">
      <w:pPr>
        <w:tabs>
          <w:tab w:val="left" w:pos="1110"/>
        </w:tabs>
        <w:adjustRightInd w:val="0"/>
        <w:snapToGrid w:val="0"/>
        <w:spacing w:line="360" w:lineRule="auto"/>
        <w:ind w:firstLineChars="200" w:firstLine="480"/>
        <w:rPr>
          <w:rFonts w:asciiTheme="minorEastAsia" w:hAnsiTheme="minorEastAsia" w:cs="Arial" w:hint="eastAsia"/>
          <w:bCs/>
          <w:sz w:val="24"/>
          <w:szCs w:val="24"/>
        </w:rPr>
      </w:pPr>
      <w:r w:rsidRPr="00EE4EDE">
        <w:rPr>
          <w:rFonts w:hint="eastAsia"/>
          <w:sz w:val="24"/>
          <w:szCs w:val="24"/>
        </w:rPr>
        <w:t>基金托管人发现基金管理人有违反法律法规规定及基金合同、托管协议约定的，应当及时通知基金管理人予以纠正，基金管理人收到通知后及时核对确认并进行调整。基金托管人有权随时对通知事项进行复查，督促基金管理人改正。基金管理人对基金托管人通知的违规事项未能在限期内纠正的，基金托管人应根据要求及时报告中国证监会。</w:t>
      </w:r>
    </w:p>
    <w:p w14:paraId="66E54A5B" w14:textId="77777777" w:rsidR="00913A13" w:rsidRDefault="00913A13">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p>
    <w:p w14:paraId="0562809F" w14:textId="77777777" w:rsidR="00913A13" w:rsidRDefault="00913A13">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p>
    <w:p w14:paraId="2EECF508" w14:textId="77777777" w:rsidR="00913A13" w:rsidRDefault="00913A13">
      <w:pPr>
        <w:tabs>
          <w:tab w:val="left" w:pos="1110"/>
        </w:tabs>
        <w:adjustRightInd w:val="0"/>
        <w:snapToGrid w:val="0"/>
        <w:spacing w:line="360" w:lineRule="auto"/>
        <w:ind w:firstLineChars="200" w:firstLine="480"/>
        <w:rPr>
          <w:rFonts w:asciiTheme="minorEastAsia" w:hAnsiTheme="minorEastAsia" w:cs="Arial" w:hint="eastAsia"/>
          <w:bCs/>
          <w:sz w:val="24"/>
          <w:szCs w:val="24"/>
        </w:rPr>
      </w:pPr>
    </w:p>
    <w:p w14:paraId="53810042" w14:textId="77777777" w:rsidR="00913A13" w:rsidRDefault="002F45B8">
      <w:pPr>
        <w:widowControl/>
        <w:jc w:val="left"/>
        <w:rPr>
          <w:rFonts w:asciiTheme="minorEastAsia" w:hAnsiTheme="minorEastAsia" w:cs="Arial" w:hint="eastAsia"/>
          <w:bCs/>
          <w:sz w:val="24"/>
          <w:szCs w:val="24"/>
        </w:rPr>
      </w:pPr>
      <w:r>
        <w:rPr>
          <w:rFonts w:asciiTheme="minorEastAsia" w:hAnsiTheme="minorEastAsia" w:cs="Arial"/>
          <w:bCs/>
          <w:sz w:val="24"/>
          <w:szCs w:val="24"/>
        </w:rPr>
        <w:br w:type="page"/>
      </w:r>
    </w:p>
    <w:p w14:paraId="16F3C157" w14:textId="77777777" w:rsidR="00913A13" w:rsidRDefault="002F45B8">
      <w:pPr>
        <w:pStyle w:val="1"/>
        <w:jc w:val="center"/>
        <w:rPr>
          <w:sz w:val="30"/>
          <w:szCs w:val="30"/>
        </w:rPr>
      </w:pPr>
      <w:bookmarkStart w:id="94" w:name="_Toc263092313"/>
      <w:bookmarkStart w:id="95" w:name="_Toc68266292"/>
      <w:bookmarkStart w:id="96" w:name="_Toc136963805"/>
      <w:bookmarkStart w:id="97" w:name="_Toc214873594"/>
      <w:bookmarkStart w:id="98" w:name="_Toc416264541"/>
      <w:bookmarkStart w:id="99" w:name="_Toc98560352"/>
      <w:bookmarkStart w:id="100" w:name="_Toc79392606"/>
      <w:bookmarkStart w:id="101" w:name="_Toc4003"/>
      <w:bookmarkStart w:id="102" w:name="_Toc20733"/>
      <w:bookmarkStart w:id="103" w:name="_Toc123051452"/>
      <w:bookmarkStart w:id="104" w:name="_Toc352229751"/>
      <w:bookmarkStart w:id="105" w:name="_Toc17244"/>
      <w:bookmarkStart w:id="106" w:name="_Toc1270"/>
      <w:bookmarkStart w:id="107" w:name="_Toc610"/>
      <w:bookmarkStart w:id="108" w:name="_Toc352229752"/>
      <w:bookmarkStart w:id="109" w:name="_Toc123112234"/>
      <w:bookmarkStart w:id="110" w:name="_Toc23822"/>
      <w:bookmarkStart w:id="111" w:name="_Toc1427"/>
      <w:bookmarkStart w:id="112" w:name="_Toc11081"/>
      <w:bookmarkStart w:id="113" w:name="_Toc123102453"/>
      <w:bookmarkStart w:id="114" w:name="_Toc7920"/>
      <w:bookmarkStart w:id="115" w:name="_Toc48649707"/>
      <w:bookmarkStart w:id="116" w:name="_Toc23261"/>
      <w:bookmarkStart w:id="117" w:name="_Toc139991736"/>
      <w:bookmarkStart w:id="118" w:name="_Toc141703886"/>
      <w:bookmarkStart w:id="119" w:name="_Toc10463"/>
      <w:bookmarkEnd w:id="72"/>
      <w:bookmarkEnd w:id="73"/>
      <w:bookmarkEnd w:id="74"/>
      <w:bookmarkEnd w:id="75"/>
      <w:bookmarkEnd w:id="76"/>
      <w:bookmarkEnd w:id="77"/>
      <w:bookmarkEnd w:id="78"/>
      <w:bookmarkEnd w:id="79"/>
      <w:bookmarkEnd w:id="80"/>
      <w:bookmarkEnd w:id="81"/>
      <w:bookmarkEnd w:id="82"/>
      <w:bookmarkEnd w:id="83"/>
      <w:bookmarkEnd w:id="84"/>
      <w:bookmarkEnd w:id="86"/>
      <w:bookmarkEnd w:id="87"/>
      <w:bookmarkEnd w:id="88"/>
      <w:bookmarkEnd w:id="89"/>
      <w:r>
        <w:rPr>
          <w:rFonts w:hint="eastAsia"/>
          <w:sz w:val="30"/>
          <w:szCs w:val="30"/>
        </w:rPr>
        <w:lastRenderedPageBreak/>
        <w:t>第五部分</w:t>
      </w:r>
      <w:r>
        <w:rPr>
          <w:sz w:val="30"/>
          <w:szCs w:val="30"/>
        </w:rPr>
        <w:t xml:space="preserve">  </w:t>
      </w:r>
      <w:r>
        <w:rPr>
          <w:rFonts w:hint="eastAsia"/>
          <w:sz w:val="30"/>
          <w:szCs w:val="30"/>
        </w:rPr>
        <w:t>相关服务机构</w:t>
      </w:r>
      <w:bookmarkEnd w:id="94"/>
      <w:bookmarkEnd w:id="95"/>
      <w:bookmarkEnd w:id="96"/>
      <w:bookmarkEnd w:id="97"/>
      <w:bookmarkEnd w:id="98"/>
    </w:p>
    <w:p w14:paraId="204CE686" w14:textId="77777777" w:rsidR="00913A13" w:rsidRDefault="002F45B8">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413453D5"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1、直销机构：富荣基金管理有限公司直销中心</w:t>
      </w:r>
    </w:p>
    <w:p w14:paraId="0F80F237"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注册地址：广东省广州市南沙区横沥镇汇通二街2号3110房</w:t>
      </w:r>
    </w:p>
    <w:p w14:paraId="60D8E7AB"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52号安吉</w:t>
      </w:r>
      <w:r>
        <w:rPr>
          <w:rFonts w:asciiTheme="minorEastAsia" w:hAnsiTheme="minorEastAsia" w:cs="Times New Roman" w:hint="eastAsia"/>
          <w:kern w:val="0"/>
          <w:sz w:val="24"/>
          <w:szCs w:val="24"/>
        </w:rPr>
        <w:t>尔大厦</w:t>
      </w:r>
      <w:r>
        <w:rPr>
          <w:rFonts w:asciiTheme="minorEastAsia" w:hAnsiTheme="minorEastAsia" w:cs="Times New Roman"/>
          <w:kern w:val="0"/>
          <w:sz w:val="24"/>
          <w:szCs w:val="24"/>
        </w:rPr>
        <w:t>24层</w:t>
      </w:r>
    </w:p>
    <w:p w14:paraId="7C3C7418"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法定代表人：王亦伟</w:t>
      </w:r>
    </w:p>
    <w:p w14:paraId="363EA8EB"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w:t>
      </w:r>
      <w:r>
        <w:rPr>
          <w:rFonts w:asciiTheme="minorEastAsia" w:hAnsiTheme="minorEastAsia" w:cs="Arial"/>
          <w:sz w:val="24"/>
          <w:szCs w:val="24"/>
        </w:rPr>
        <w:t>0755-84356629</w:t>
      </w:r>
    </w:p>
    <w:p w14:paraId="1CE2FDF0"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w:t>
      </w:r>
      <w:r>
        <w:rPr>
          <w:rFonts w:asciiTheme="minorEastAsia" w:hAnsiTheme="minorEastAsia" w:cs="Arial"/>
          <w:sz w:val="24"/>
          <w:szCs w:val="24"/>
        </w:rPr>
        <w:t>0755-</w:t>
      </w:r>
      <w:r>
        <w:rPr>
          <w:rFonts w:asciiTheme="minorEastAsia" w:hAnsiTheme="minorEastAsia" w:cs="Arial"/>
          <w:kern w:val="0"/>
          <w:sz w:val="24"/>
          <w:szCs w:val="24"/>
        </w:rPr>
        <w:t>83230902</w:t>
      </w:r>
    </w:p>
    <w:p w14:paraId="4B34AD5D"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w:t>
      </w:r>
      <w:r>
        <w:rPr>
          <w:rFonts w:asciiTheme="minorEastAsia" w:hAnsiTheme="minorEastAsia" w:cs="Arial"/>
          <w:sz w:val="24"/>
          <w:szCs w:val="24"/>
        </w:rPr>
        <w:t>4006855600</w:t>
      </w:r>
    </w:p>
    <w:p w14:paraId="3EEBA612"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t>
      </w:r>
      <w:r>
        <w:rPr>
          <w:rFonts w:asciiTheme="minorEastAsia" w:hAnsiTheme="minorEastAsia" w:cs="Arial"/>
          <w:sz w:val="24"/>
          <w:szCs w:val="24"/>
        </w:rPr>
        <w:t>www.furamc.com.cn</w:t>
      </w:r>
    </w:p>
    <w:p w14:paraId="5EAD9BD8"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2、其他销售机构：</w:t>
      </w:r>
    </w:p>
    <w:p w14:paraId="714EDFD8" w14:textId="77777777" w:rsidR="00913A13" w:rsidRDefault="002F45B8">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具体名单详见基金管理人官方网站。</w:t>
      </w:r>
    </w:p>
    <w:p w14:paraId="634B3CC9" w14:textId="77777777" w:rsidR="00913A13" w:rsidRDefault="002F45B8">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5867C8AE"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名称：富荣基金管理有限公司</w:t>
      </w:r>
      <w:r>
        <w:rPr>
          <w:rFonts w:asciiTheme="minorEastAsia" w:hAnsiTheme="minorEastAsia" w:cs="Arial"/>
          <w:color w:val="000000"/>
          <w:kern w:val="0"/>
          <w:sz w:val="24"/>
          <w:szCs w:val="24"/>
        </w:rPr>
        <w:t xml:space="preserve"> </w:t>
      </w:r>
    </w:p>
    <w:p w14:paraId="208A9700"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住所：广东省广州市南沙区横沥镇汇通二街2号3110房</w:t>
      </w:r>
      <w:r>
        <w:rPr>
          <w:rFonts w:asciiTheme="minorEastAsia" w:hAnsiTheme="minorEastAsia" w:cs="Arial"/>
          <w:color w:val="000000"/>
          <w:kern w:val="0"/>
          <w:sz w:val="24"/>
          <w:szCs w:val="24"/>
        </w:rPr>
        <w:t xml:space="preserve"> </w:t>
      </w:r>
    </w:p>
    <w:p w14:paraId="7FCFA207"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办公地址：</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52号安吉</w:t>
      </w:r>
      <w:r>
        <w:rPr>
          <w:rFonts w:asciiTheme="minorEastAsia" w:hAnsiTheme="minorEastAsia" w:cs="Times New Roman" w:hint="eastAsia"/>
          <w:kern w:val="0"/>
          <w:sz w:val="24"/>
          <w:szCs w:val="24"/>
        </w:rPr>
        <w:t>尔大厦</w:t>
      </w:r>
      <w:r>
        <w:rPr>
          <w:rFonts w:asciiTheme="minorEastAsia" w:hAnsiTheme="minorEastAsia" w:cs="Times New Roman"/>
          <w:kern w:val="0"/>
          <w:sz w:val="24"/>
          <w:szCs w:val="24"/>
        </w:rPr>
        <w:t>24层</w:t>
      </w:r>
      <w:r>
        <w:rPr>
          <w:rFonts w:asciiTheme="minorEastAsia" w:hAnsiTheme="minorEastAsia" w:cs="Arial"/>
          <w:color w:val="000000"/>
          <w:kern w:val="0"/>
          <w:sz w:val="24"/>
          <w:szCs w:val="24"/>
        </w:rPr>
        <w:t xml:space="preserve"> </w:t>
      </w:r>
    </w:p>
    <w:p w14:paraId="5B87EE3D"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法定代表人：王亦伟</w:t>
      </w:r>
      <w:r>
        <w:rPr>
          <w:rFonts w:asciiTheme="minorEastAsia" w:hAnsiTheme="minorEastAsia" w:cs="Arial"/>
          <w:color w:val="000000"/>
          <w:kern w:val="0"/>
          <w:sz w:val="24"/>
          <w:szCs w:val="24"/>
        </w:rPr>
        <w:t xml:space="preserve"> </w:t>
      </w:r>
    </w:p>
    <w:p w14:paraId="08CB7234"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7FE8F8C6" w14:textId="77777777" w:rsidR="00913A13" w:rsidRDefault="002F45B8">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w:t>
      </w:r>
      <w:r>
        <w:rPr>
          <w:rFonts w:asciiTheme="minorEastAsia" w:hAnsiTheme="minorEastAsia" w:cs="Arial"/>
          <w:color w:val="000000"/>
          <w:kern w:val="0"/>
          <w:sz w:val="24"/>
          <w:szCs w:val="24"/>
        </w:rPr>
        <w:t xml:space="preserve"> 0755-84356604</w:t>
      </w:r>
    </w:p>
    <w:p w14:paraId="279CB380" w14:textId="77777777" w:rsidR="00913A13" w:rsidRDefault="002F45B8">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w:t>
      </w:r>
      <w:r>
        <w:rPr>
          <w:rFonts w:asciiTheme="minorEastAsia" w:hAnsiTheme="minorEastAsia" w:cs="Arial"/>
          <w:color w:val="000000"/>
          <w:kern w:val="0"/>
          <w:sz w:val="24"/>
          <w:szCs w:val="24"/>
        </w:rPr>
        <w:t xml:space="preserve"> 0755-83230787</w:t>
      </w:r>
    </w:p>
    <w:p w14:paraId="419EFACF" w14:textId="77777777" w:rsidR="00913A13" w:rsidRDefault="002F45B8">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0B08B1B7"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名称：上海源泰律师事务所</w:t>
      </w:r>
    </w:p>
    <w:p w14:paraId="67967D23"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住所：上海市浦东新区浦东南路</w:t>
      </w:r>
      <w:r>
        <w:rPr>
          <w:rFonts w:asciiTheme="minorEastAsia" w:hAnsiTheme="minorEastAsia" w:cs="Arial"/>
          <w:kern w:val="0"/>
          <w:sz w:val="24"/>
          <w:szCs w:val="24"/>
        </w:rPr>
        <w:t>256号华夏银行大厦14楼</w:t>
      </w:r>
    </w:p>
    <w:p w14:paraId="134BA8BF"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办公地址：上海市浦东新区浦东南路</w:t>
      </w:r>
      <w:r>
        <w:rPr>
          <w:rFonts w:asciiTheme="minorEastAsia" w:hAnsiTheme="minorEastAsia" w:cs="Arial"/>
          <w:kern w:val="0"/>
          <w:sz w:val="24"/>
          <w:szCs w:val="24"/>
        </w:rPr>
        <w:t>256号华夏银行大厦14楼</w:t>
      </w:r>
    </w:p>
    <w:p w14:paraId="5895529F"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负责人：廖海</w:t>
      </w:r>
    </w:p>
    <w:p w14:paraId="738F702E"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021）51150298</w:t>
      </w:r>
    </w:p>
    <w:p w14:paraId="60CF8D6B"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021）51150398</w:t>
      </w:r>
    </w:p>
    <w:p w14:paraId="157133B1"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经办律师：刘佳、黄丽华</w:t>
      </w:r>
    </w:p>
    <w:p w14:paraId="32D8BD68" w14:textId="77777777" w:rsidR="00913A13" w:rsidRDefault="002F45B8">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w:t>
      </w:r>
      <w:r>
        <w:rPr>
          <w:rFonts w:asciiTheme="minorEastAsia" w:hAnsiTheme="minorEastAsia" w:cs="Arial"/>
          <w:kern w:val="0"/>
          <w:sz w:val="24"/>
          <w:szCs w:val="24"/>
        </w:rPr>
        <w:t xml:space="preserve"> </w:t>
      </w:r>
      <w:r>
        <w:rPr>
          <w:rFonts w:asciiTheme="minorEastAsia" w:hAnsiTheme="minorEastAsia" w:cs="Arial" w:hint="eastAsia"/>
          <w:kern w:val="0"/>
          <w:sz w:val="24"/>
          <w:szCs w:val="24"/>
        </w:rPr>
        <w:t>刘佳</w:t>
      </w:r>
    </w:p>
    <w:p w14:paraId="3FE709C9" w14:textId="77777777" w:rsidR="00913A13" w:rsidRDefault="002F45B8">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lastRenderedPageBreak/>
        <w:t>四、</w:t>
      </w:r>
      <w:r>
        <w:rPr>
          <w:rFonts w:asciiTheme="minorEastAsia" w:hAnsiTheme="minorEastAsia" w:cs="Times New Roman" w:hint="eastAsia"/>
          <w:b/>
          <w:bCs/>
          <w:color w:val="000000"/>
          <w:sz w:val="24"/>
          <w:szCs w:val="24"/>
        </w:rPr>
        <w:t>审计基金财产的会计师事务所</w:t>
      </w:r>
    </w:p>
    <w:p w14:paraId="1D6F370B"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4E9F5E5D" w14:textId="2065D281"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w:t>
      </w:r>
      <w:r>
        <w:rPr>
          <w:rFonts w:asciiTheme="minorEastAsia" w:hAnsiTheme="minorEastAsia" w:cs="Arial"/>
          <w:kern w:val="0"/>
          <w:sz w:val="24"/>
          <w:szCs w:val="24"/>
        </w:rPr>
        <w:t>1号东方广场安永大楼</w:t>
      </w:r>
      <w:r w:rsidR="00AB6B23">
        <w:rPr>
          <w:rFonts w:asciiTheme="minorEastAsia" w:hAnsiTheme="minorEastAsia" w:cs="Arial" w:hint="eastAsia"/>
          <w:kern w:val="0"/>
          <w:sz w:val="24"/>
          <w:szCs w:val="24"/>
        </w:rPr>
        <w:t>17</w:t>
      </w:r>
      <w:r>
        <w:rPr>
          <w:rFonts w:asciiTheme="minorEastAsia" w:hAnsiTheme="minorEastAsia" w:cs="Arial"/>
          <w:kern w:val="0"/>
          <w:sz w:val="24"/>
          <w:szCs w:val="24"/>
        </w:rPr>
        <w:t>层</w:t>
      </w:r>
    </w:p>
    <w:p w14:paraId="52F3E68F" w14:textId="7D49576E"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w:t>
      </w:r>
      <w:r>
        <w:rPr>
          <w:rFonts w:asciiTheme="minorEastAsia" w:hAnsiTheme="minorEastAsia" w:cs="Arial"/>
          <w:kern w:val="0"/>
          <w:sz w:val="24"/>
          <w:szCs w:val="24"/>
        </w:rPr>
        <w:t>1号东方广场安永大楼</w:t>
      </w:r>
      <w:r w:rsidR="00AB6B23">
        <w:rPr>
          <w:rFonts w:asciiTheme="minorEastAsia" w:hAnsiTheme="minorEastAsia" w:cs="Arial" w:hint="eastAsia"/>
          <w:kern w:val="0"/>
          <w:sz w:val="24"/>
          <w:szCs w:val="24"/>
        </w:rPr>
        <w:t>17</w:t>
      </w:r>
      <w:r>
        <w:rPr>
          <w:rFonts w:asciiTheme="minorEastAsia" w:hAnsiTheme="minorEastAsia" w:cs="Arial"/>
          <w:kern w:val="0"/>
          <w:sz w:val="24"/>
          <w:szCs w:val="24"/>
        </w:rPr>
        <w:t>层</w:t>
      </w:r>
    </w:p>
    <w:p w14:paraId="71E0CE71"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法定代表人：毛鞍宁</w:t>
      </w:r>
    </w:p>
    <w:p w14:paraId="585CC4BA"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w:t>
      </w:r>
      <w:r>
        <w:rPr>
          <w:rFonts w:asciiTheme="minorEastAsia" w:hAnsiTheme="minorEastAsia" w:cs="Arial"/>
          <w:kern w:val="0"/>
          <w:sz w:val="24"/>
          <w:szCs w:val="24"/>
        </w:rPr>
        <w:t>+86 10 58153000</w:t>
      </w:r>
    </w:p>
    <w:p w14:paraId="79F40130"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w:t>
      </w:r>
      <w:r>
        <w:rPr>
          <w:rFonts w:asciiTheme="minorEastAsia" w:hAnsiTheme="minorEastAsia" w:cs="Arial"/>
          <w:kern w:val="0"/>
          <w:sz w:val="24"/>
          <w:szCs w:val="24"/>
        </w:rPr>
        <w:t>+86 10 85188298</w:t>
      </w:r>
    </w:p>
    <w:p w14:paraId="20DE84AD"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  高鹤</w:t>
      </w:r>
    </w:p>
    <w:p w14:paraId="1394AC9A" w14:textId="77777777" w:rsidR="00913A13" w:rsidRDefault="002F45B8">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联系人：吴翠蓉</w:t>
      </w:r>
    </w:p>
    <w:p w14:paraId="49AE5BEC" w14:textId="77777777" w:rsidR="00913A13" w:rsidRDefault="00913A13">
      <w:pPr>
        <w:keepNext/>
        <w:keepLines/>
        <w:autoSpaceDE w:val="0"/>
        <w:autoSpaceDN w:val="0"/>
        <w:adjustRightInd w:val="0"/>
        <w:snapToGrid w:val="0"/>
        <w:spacing w:line="360" w:lineRule="auto"/>
        <w:ind w:firstLineChars="150" w:firstLine="422"/>
        <w:jc w:val="center"/>
        <w:textAlignment w:val="baseline"/>
        <w:outlineLvl w:val="0"/>
        <w:rPr>
          <w:rFonts w:ascii="Arial" w:eastAsia="宋体" w:hAnsi="Arial" w:cs="Arial"/>
          <w:b/>
          <w:bCs/>
          <w:kern w:val="0"/>
          <w:sz w:val="28"/>
          <w:szCs w:val="28"/>
        </w:rPr>
        <w:sectPr w:rsidR="00913A13">
          <w:headerReference w:type="even" r:id="rId30"/>
          <w:headerReference w:type="default" r:id="rId31"/>
          <w:footerReference w:type="default" r:id="rId32"/>
          <w:headerReference w:type="first" r:id="rId33"/>
          <w:pgSz w:w="11906" w:h="16838"/>
          <w:pgMar w:top="1440" w:right="1800" w:bottom="1440" w:left="1800" w:header="851" w:footer="992" w:gutter="0"/>
          <w:pgNumType w:chapStyle="1"/>
          <w:cols w:space="720"/>
          <w:docGrid w:type="lines" w:linePitch="312"/>
        </w:sectPr>
      </w:pPr>
      <w:bookmarkStart w:id="120" w:name="_Toc263092314"/>
      <w:bookmarkStart w:id="121" w:name="_Toc416264542"/>
      <w:bookmarkStart w:id="122" w:name="_Toc3601"/>
      <w:bookmarkStart w:id="123" w:name="_Toc16859"/>
      <w:bookmarkStart w:id="124" w:name="_Toc123051453"/>
      <w:bookmarkStart w:id="125" w:name="_Toc139991737"/>
      <w:bookmarkStart w:id="126" w:name="_Toc31653"/>
      <w:bookmarkStart w:id="127" w:name="_Toc141703887"/>
      <w:bookmarkStart w:id="128" w:name="_Toc6405"/>
      <w:bookmarkStart w:id="129" w:name="_Toc31235"/>
      <w:bookmarkStart w:id="130" w:name="_Toc14835"/>
      <w:bookmarkStart w:id="131" w:name="_Toc12245"/>
      <w:bookmarkStart w:id="132" w:name="_Toc123102454"/>
      <w:bookmarkStart w:id="133" w:name="_Toc31644"/>
      <w:bookmarkStart w:id="134" w:name="_Toc123112235"/>
      <w:bookmarkStart w:id="135" w:name="_Toc98560353"/>
      <w:bookmarkStart w:id="136" w:name="_Toc15143"/>
      <w:bookmarkStart w:id="137" w:name="_Toc352229753"/>
      <w:bookmarkStart w:id="138" w:name="_Toc26207"/>
      <w:bookmarkStart w:id="139" w:name="_Toc29251"/>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41094D9E" w14:textId="77777777" w:rsidR="00913A13" w:rsidRDefault="002F45B8">
      <w:pPr>
        <w:pStyle w:val="1"/>
        <w:jc w:val="center"/>
        <w:rPr>
          <w:sz w:val="30"/>
          <w:szCs w:val="30"/>
        </w:rPr>
      </w:pPr>
      <w:bookmarkStart w:id="140" w:name="_Toc68266293"/>
      <w:bookmarkStart w:id="141" w:name="_Toc136963806"/>
      <w:r>
        <w:rPr>
          <w:rFonts w:hint="eastAsia"/>
          <w:sz w:val="30"/>
          <w:szCs w:val="30"/>
        </w:rPr>
        <w:lastRenderedPageBreak/>
        <w:t>第六部分</w:t>
      </w:r>
      <w:r>
        <w:rPr>
          <w:sz w:val="30"/>
          <w:szCs w:val="30"/>
        </w:rPr>
        <w:t xml:space="preserve">  </w:t>
      </w:r>
      <w:r>
        <w:rPr>
          <w:rFonts w:hint="eastAsia"/>
          <w:sz w:val="30"/>
          <w:szCs w:val="30"/>
        </w:rPr>
        <w:t>基金</w:t>
      </w:r>
      <w:bookmarkEnd w:id="120"/>
      <w:bookmarkEnd w:id="121"/>
      <w:r>
        <w:rPr>
          <w:rFonts w:hint="eastAsia"/>
          <w:sz w:val="30"/>
          <w:szCs w:val="30"/>
        </w:rPr>
        <w:t>的</w:t>
      </w:r>
      <w:bookmarkEnd w:id="140"/>
      <w:r>
        <w:rPr>
          <w:rFonts w:hint="eastAsia"/>
          <w:sz w:val="30"/>
          <w:szCs w:val="30"/>
        </w:rPr>
        <w:t>募集</w:t>
      </w:r>
      <w:bookmarkEnd w:id="141"/>
    </w:p>
    <w:p w14:paraId="1CF37AEC" w14:textId="77777777" w:rsidR="00913A13" w:rsidRDefault="00913A13">
      <w:pPr>
        <w:autoSpaceDE w:val="0"/>
        <w:autoSpaceDN w:val="0"/>
        <w:adjustRightInd w:val="0"/>
        <w:snapToGrid w:val="0"/>
        <w:spacing w:line="360" w:lineRule="auto"/>
        <w:ind w:firstLineChars="200" w:firstLine="480"/>
        <w:rPr>
          <w:rFonts w:asciiTheme="minorEastAsia" w:hAnsiTheme="minorEastAsia" w:cs="Arial" w:hint="eastAsia"/>
          <w:sz w:val="24"/>
          <w:szCs w:val="24"/>
        </w:rPr>
      </w:pPr>
    </w:p>
    <w:p w14:paraId="43BF5F04" w14:textId="77777777" w:rsidR="00913A13" w:rsidRDefault="002F45B8">
      <w:pPr>
        <w:autoSpaceDE w:val="0"/>
        <w:autoSpaceDN w:val="0"/>
        <w:adjustRightInd w:val="0"/>
        <w:snapToGrid w:val="0"/>
        <w:spacing w:line="360" w:lineRule="auto"/>
        <w:ind w:firstLineChars="200" w:firstLine="480"/>
        <w:rPr>
          <w:rFonts w:ascii="宋体" w:eastAsia="宋体" w:hAnsi="宋体" w:cs="Arial" w:hint="eastAsia"/>
          <w:sz w:val="24"/>
          <w:szCs w:val="24"/>
        </w:rPr>
      </w:pPr>
      <w:bookmarkStart w:id="142" w:name="_Toc214873596"/>
      <w:bookmarkStart w:id="143" w:name="_Toc263092315"/>
      <w:bookmarkStart w:id="144" w:name="_Toc416264543"/>
      <w:bookmarkStart w:id="145" w:name="_Toc123112236"/>
      <w:bookmarkStart w:id="146" w:name="_Toc3771"/>
      <w:bookmarkStart w:id="147" w:name="_Toc10650"/>
      <w:bookmarkStart w:id="148" w:name="_Toc79392583"/>
      <w:bookmarkStart w:id="149" w:name="_Toc20768"/>
      <w:bookmarkStart w:id="150" w:name="_Toc98560354"/>
      <w:bookmarkStart w:id="151" w:name="_Toc139991738"/>
      <w:bookmarkStart w:id="152" w:name="_Toc141703888"/>
      <w:bookmarkStart w:id="153" w:name="_Toc25783"/>
      <w:bookmarkStart w:id="154" w:name="_Toc3321"/>
      <w:bookmarkStart w:id="155" w:name="_Toc18567"/>
      <w:bookmarkStart w:id="156" w:name="_Toc352229754"/>
      <w:bookmarkStart w:id="157" w:name="_Toc9706"/>
      <w:bookmarkStart w:id="158" w:name="_Toc6447"/>
      <w:bookmarkStart w:id="159" w:name="_Toc123051454"/>
      <w:bookmarkStart w:id="160" w:name="_Toc11030"/>
      <w:bookmarkStart w:id="161" w:name="_Toc7058"/>
      <w:bookmarkStart w:id="162" w:name="_Toc123102455"/>
      <w:bookmarkStart w:id="163" w:name="_Toc4559"/>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Fonts w:ascii="宋体" w:eastAsia="宋体" w:hAnsi="宋体" w:cs="Arial" w:hint="eastAsia"/>
          <w:sz w:val="24"/>
          <w:szCs w:val="24"/>
        </w:rPr>
        <w:t>基金管理人按照《基金法》、《运作办法》、《销售办法》、基金合同及其他有关规定募集本基金，并于</w:t>
      </w:r>
      <w:r>
        <w:rPr>
          <w:rFonts w:ascii="宋体" w:eastAsia="宋体" w:hAnsi="宋体" w:cs="Arial"/>
          <w:sz w:val="24"/>
          <w:szCs w:val="24"/>
        </w:rPr>
        <w:t>2021</w:t>
      </w:r>
      <w:r>
        <w:rPr>
          <w:rFonts w:ascii="宋体" w:eastAsia="宋体" w:hAnsi="宋体" w:cs="Arial" w:hint="eastAsia"/>
          <w:sz w:val="24"/>
          <w:szCs w:val="24"/>
        </w:rPr>
        <w:t>年</w:t>
      </w:r>
      <w:r>
        <w:rPr>
          <w:rFonts w:ascii="宋体" w:eastAsia="宋体" w:hAnsi="宋体" w:cs="Arial"/>
          <w:sz w:val="24"/>
          <w:szCs w:val="24"/>
        </w:rPr>
        <w:t>5</w:t>
      </w:r>
      <w:r>
        <w:rPr>
          <w:rFonts w:ascii="宋体" w:eastAsia="宋体" w:hAnsi="宋体" w:cs="Arial" w:hint="eastAsia"/>
          <w:sz w:val="24"/>
          <w:szCs w:val="24"/>
        </w:rPr>
        <w:t>月</w:t>
      </w:r>
      <w:r>
        <w:rPr>
          <w:rFonts w:ascii="宋体" w:eastAsia="宋体" w:hAnsi="宋体" w:cs="Arial"/>
          <w:sz w:val="24"/>
          <w:szCs w:val="24"/>
        </w:rPr>
        <w:t>20</w:t>
      </w:r>
      <w:r>
        <w:rPr>
          <w:rFonts w:ascii="宋体" w:eastAsia="宋体" w:hAnsi="宋体" w:cs="Arial" w:hint="eastAsia"/>
          <w:sz w:val="24"/>
          <w:szCs w:val="24"/>
        </w:rPr>
        <w:t>日</w:t>
      </w:r>
      <w:r>
        <w:rPr>
          <w:rFonts w:ascii="宋体" w:eastAsia="宋体" w:hAnsi="宋体" w:cs="Arial" w:hint="eastAsia"/>
          <w:kern w:val="0"/>
          <w:sz w:val="24"/>
          <w:szCs w:val="24"/>
        </w:rPr>
        <w:t>经中国证监会（证监许可[2021]1738号文）</w:t>
      </w:r>
      <w:r>
        <w:rPr>
          <w:rFonts w:ascii="宋体" w:eastAsia="宋体" w:hAnsi="宋体" w:cs="Arial" w:hint="eastAsia"/>
          <w:sz w:val="24"/>
          <w:szCs w:val="24"/>
        </w:rPr>
        <w:t>准予注册募集。本基金于20</w:t>
      </w:r>
      <w:r>
        <w:rPr>
          <w:rFonts w:ascii="宋体" w:eastAsia="宋体" w:hAnsi="宋体" w:cs="Arial"/>
          <w:sz w:val="24"/>
          <w:szCs w:val="24"/>
        </w:rPr>
        <w:t>21</w:t>
      </w:r>
      <w:r>
        <w:rPr>
          <w:rFonts w:ascii="宋体" w:eastAsia="宋体" w:hAnsi="宋体" w:cs="Arial" w:hint="eastAsia"/>
          <w:sz w:val="24"/>
          <w:szCs w:val="24"/>
        </w:rPr>
        <w:t>年</w:t>
      </w:r>
      <w:r>
        <w:rPr>
          <w:rFonts w:ascii="宋体" w:eastAsia="宋体" w:hAnsi="宋体" w:cs="Arial"/>
          <w:sz w:val="24"/>
          <w:szCs w:val="24"/>
        </w:rPr>
        <w:t>6</w:t>
      </w:r>
      <w:r>
        <w:rPr>
          <w:rFonts w:ascii="宋体" w:eastAsia="宋体" w:hAnsi="宋体" w:cs="Arial" w:hint="eastAsia"/>
          <w:sz w:val="24"/>
          <w:szCs w:val="24"/>
        </w:rPr>
        <w:t>月15日起通过各销售机构向社会公开募集，截至20</w:t>
      </w:r>
      <w:r>
        <w:rPr>
          <w:rFonts w:ascii="宋体" w:eastAsia="宋体" w:hAnsi="宋体" w:cs="Arial"/>
          <w:sz w:val="24"/>
          <w:szCs w:val="24"/>
        </w:rPr>
        <w:t>21</w:t>
      </w:r>
      <w:r>
        <w:rPr>
          <w:rFonts w:ascii="宋体" w:eastAsia="宋体" w:hAnsi="宋体" w:cs="Arial" w:hint="eastAsia"/>
          <w:sz w:val="24"/>
          <w:szCs w:val="24"/>
        </w:rPr>
        <w:t>年</w:t>
      </w:r>
      <w:r>
        <w:rPr>
          <w:rFonts w:ascii="宋体" w:eastAsia="宋体" w:hAnsi="宋体" w:cs="Arial"/>
          <w:sz w:val="24"/>
          <w:szCs w:val="24"/>
        </w:rPr>
        <w:t>6</w:t>
      </w:r>
      <w:r>
        <w:rPr>
          <w:rFonts w:ascii="宋体" w:eastAsia="宋体" w:hAnsi="宋体" w:cs="Arial" w:hint="eastAsia"/>
          <w:sz w:val="24"/>
          <w:szCs w:val="24"/>
        </w:rPr>
        <w:t>月</w:t>
      </w:r>
      <w:r>
        <w:rPr>
          <w:rFonts w:ascii="宋体" w:eastAsia="宋体" w:hAnsi="宋体" w:cs="Arial"/>
          <w:sz w:val="24"/>
          <w:szCs w:val="24"/>
        </w:rPr>
        <w:t>16</w:t>
      </w:r>
      <w:r>
        <w:rPr>
          <w:rFonts w:ascii="宋体" w:eastAsia="宋体" w:hAnsi="宋体" w:cs="Arial" w:hint="eastAsia"/>
          <w:sz w:val="24"/>
          <w:szCs w:val="24"/>
        </w:rPr>
        <w:t>日，基金募集工作已顺利结束。</w:t>
      </w:r>
    </w:p>
    <w:p w14:paraId="1FACE789" w14:textId="77777777" w:rsidR="00913A13" w:rsidRDefault="00913A13">
      <w:pPr>
        <w:keepNext/>
        <w:keepLines/>
        <w:spacing w:line="360" w:lineRule="auto"/>
        <w:jc w:val="center"/>
        <w:outlineLvl w:val="0"/>
        <w:rPr>
          <w:rFonts w:ascii="Times New Roman" w:eastAsia="宋体" w:hAnsi="Times New Roman" w:cs="Times New Roman"/>
          <w:b/>
          <w:kern w:val="0"/>
          <w:sz w:val="24"/>
          <w:szCs w:val="24"/>
        </w:rPr>
        <w:sectPr w:rsidR="00913A13">
          <w:headerReference w:type="even" r:id="rId34"/>
          <w:headerReference w:type="default" r:id="rId35"/>
          <w:footerReference w:type="default" r:id="rId36"/>
          <w:headerReference w:type="first" r:id="rId37"/>
          <w:pgSz w:w="11906" w:h="16838"/>
          <w:pgMar w:top="1440" w:right="1800" w:bottom="1440" w:left="1800" w:header="851" w:footer="992" w:gutter="0"/>
          <w:pgNumType w:chapStyle="1"/>
          <w:cols w:space="720"/>
          <w:docGrid w:type="lines" w:linePitch="312"/>
        </w:sectPr>
      </w:pPr>
    </w:p>
    <w:p w14:paraId="473B2665" w14:textId="77777777" w:rsidR="00913A13" w:rsidRDefault="002F45B8">
      <w:pPr>
        <w:pStyle w:val="1"/>
        <w:jc w:val="center"/>
        <w:rPr>
          <w:sz w:val="30"/>
          <w:szCs w:val="30"/>
        </w:rPr>
      </w:pPr>
      <w:bookmarkStart w:id="164" w:name="_Toc136963807"/>
      <w:bookmarkStart w:id="165" w:name="_Toc68266294"/>
      <w:r>
        <w:rPr>
          <w:rFonts w:hint="eastAsia"/>
          <w:sz w:val="30"/>
          <w:szCs w:val="30"/>
        </w:rPr>
        <w:lastRenderedPageBreak/>
        <w:t>第七部分</w:t>
      </w:r>
      <w:r>
        <w:rPr>
          <w:sz w:val="30"/>
          <w:szCs w:val="30"/>
        </w:rPr>
        <w:t xml:space="preserve">  </w:t>
      </w:r>
      <w:r>
        <w:rPr>
          <w:rFonts w:hint="eastAsia"/>
          <w:sz w:val="30"/>
          <w:szCs w:val="30"/>
        </w:rPr>
        <w:t>基金</w:t>
      </w:r>
      <w:bookmarkEnd w:id="142"/>
      <w:bookmarkEnd w:id="143"/>
      <w:r>
        <w:rPr>
          <w:rFonts w:hint="eastAsia"/>
          <w:sz w:val="30"/>
          <w:szCs w:val="30"/>
        </w:rPr>
        <w:t>合同的生效</w:t>
      </w:r>
      <w:bookmarkEnd w:id="144"/>
      <w:bookmarkEnd w:id="164"/>
      <w:bookmarkEnd w:id="165"/>
    </w:p>
    <w:p w14:paraId="433CD04D" w14:textId="77777777" w:rsidR="00913A13" w:rsidRDefault="002F45B8">
      <w:pPr>
        <w:adjustRightInd w:val="0"/>
        <w:snapToGrid w:val="0"/>
        <w:spacing w:line="360" w:lineRule="auto"/>
        <w:ind w:firstLineChars="200" w:firstLine="480"/>
        <w:jc w:val="left"/>
        <w:rPr>
          <w:rFonts w:ascii="宋体" w:eastAsia="宋体" w:hAnsi="宋体" w:cs="Times New Roman" w:hint="eastAsia"/>
          <w:bCs/>
          <w:sz w:val="24"/>
          <w:szCs w:val="21"/>
        </w:rPr>
      </w:pPr>
      <w:r>
        <w:rPr>
          <w:rFonts w:ascii="宋体" w:eastAsia="宋体" w:hAnsi="宋体" w:cs="Times New Roman" w:hint="eastAsia"/>
          <w:bCs/>
          <w:sz w:val="24"/>
          <w:szCs w:val="21"/>
        </w:rPr>
        <w:t>根据《基金法》、《运作办法》以及基金合同、招募说明书、基金份额发售公告的有关规定，本基金募集结果符合有关条件，本基金管理人于20</w:t>
      </w:r>
      <w:r>
        <w:rPr>
          <w:rFonts w:ascii="宋体" w:eastAsia="宋体" w:hAnsi="宋体" w:cs="Times New Roman"/>
          <w:bCs/>
          <w:sz w:val="24"/>
          <w:szCs w:val="21"/>
        </w:rPr>
        <w:t>21</w:t>
      </w:r>
      <w:r>
        <w:rPr>
          <w:rFonts w:ascii="宋体" w:eastAsia="宋体" w:hAnsi="宋体" w:cs="Times New Roman" w:hint="eastAsia"/>
          <w:bCs/>
          <w:sz w:val="24"/>
          <w:szCs w:val="21"/>
        </w:rPr>
        <w:t>年</w:t>
      </w:r>
      <w:r>
        <w:rPr>
          <w:rFonts w:ascii="宋体" w:eastAsia="宋体" w:hAnsi="宋体" w:cs="Times New Roman"/>
          <w:bCs/>
          <w:sz w:val="24"/>
          <w:szCs w:val="21"/>
        </w:rPr>
        <w:t>6</w:t>
      </w:r>
      <w:r>
        <w:rPr>
          <w:rFonts w:ascii="宋体" w:eastAsia="宋体" w:hAnsi="宋体" w:cs="Times New Roman" w:hint="eastAsia"/>
          <w:bCs/>
          <w:sz w:val="24"/>
          <w:szCs w:val="21"/>
        </w:rPr>
        <w:t>月</w:t>
      </w:r>
      <w:r>
        <w:rPr>
          <w:rFonts w:ascii="宋体" w:eastAsia="宋体" w:hAnsi="宋体" w:cs="Times New Roman"/>
          <w:bCs/>
          <w:sz w:val="24"/>
          <w:szCs w:val="21"/>
        </w:rPr>
        <w:t>18</w:t>
      </w:r>
      <w:r>
        <w:rPr>
          <w:rFonts w:ascii="宋体" w:eastAsia="宋体" w:hAnsi="宋体" w:cs="Times New Roman" w:hint="eastAsia"/>
          <w:bCs/>
          <w:sz w:val="24"/>
          <w:szCs w:val="21"/>
        </w:rPr>
        <w:t>日向中国证监会办理完毕基金备案手续并已获书面确认，基金合同自该日期正式生效。自基金合同生效之日起，本基金管理人正式开始管理本基金。</w:t>
      </w:r>
    </w:p>
    <w:p w14:paraId="0F0FEB20" w14:textId="77777777" w:rsidR="00913A13" w:rsidRDefault="002F45B8">
      <w:pPr>
        <w:adjustRightInd w:val="0"/>
        <w:snapToGrid w:val="0"/>
        <w:spacing w:line="360" w:lineRule="auto"/>
        <w:ind w:firstLineChars="200" w:firstLine="480"/>
        <w:jc w:val="left"/>
        <w:rPr>
          <w:rFonts w:asciiTheme="minorEastAsia" w:hAnsiTheme="minorEastAsia" w:cs="Times New Roman" w:hint="eastAsia"/>
          <w:sz w:val="24"/>
          <w:szCs w:val="24"/>
        </w:rPr>
      </w:pPr>
      <w:r>
        <w:rPr>
          <w:rFonts w:asciiTheme="minorEastAsia" w:hAnsiTheme="minorEastAsia" w:cs="Times New Roman" w:hint="eastAsia"/>
          <w:sz w:val="24"/>
          <w:szCs w:val="24"/>
        </w:rPr>
        <w:t>《基金合同》生效后，连续</w:t>
      </w:r>
      <w:r>
        <w:rPr>
          <w:rFonts w:asciiTheme="minorEastAsia" w:hAnsiTheme="minorEastAsia" w:cs="Times New Roman"/>
          <w:sz w:val="24"/>
          <w:szCs w:val="24"/>
        </w:rPr>
        <w:t>20个工作日出现基金份额持有人数量不满200人或者基金资产净值低于5000万元情形的，基金管理人应当在定期报告中予以披露；连续60个工作日出现前述情形的，基金管理人应</w:t>
      </w:r>
      <w:r>
        <w:rPr>
          <w:rFonts w:asciiTheme="minorEastAsia" w:hAnsiTheme="minorEastAsia" w:cs="Times New Roman" w:hint="eastAsia"/>
          <w:sz w:val="24"/>
          <w:szCs w:val="24"/>
        </w:rPr>
        <w:t>在当</w:t>
      </w:r>
      <w:r>
        <w:rPr>
          <w:rFonts w:asciiTheme="minorEastAsia" w:hAnsiTheme="minorEastAsia" w:cs="Times New Roman"/>
          <w:sz w:val="24"/>
          <w:szCs w:val="24"/>
        </w:rPr>
        <w:t>10个工作日内向中国证监会报告并提出解决方案，如持续运作、转换运作方式、与其他基金合并或者终止基金合同等，并</w:t>
      </w:r>
      <w:r>
        <w:rPr>
          <w:rFonts w:asciiTheme="minorEastAsia" w:hAnsiTheme="minorEastAsia" w:cs="Times New Roman" w:hint="eastAsia"/>
          <w:sz w:val="24"/>
          <w:szCs w:val="24"/>
        </w:rPr>
        <w:t>在</w:t>
      </w:r>
      <w:r>
        <w:rPr>
          <w:rFonts w:asciiTheme="minorEastAsia" w:hAnsiTheme="minorEastAsia" w:cs="Times New Roman"/>
          <w:sz w:val="24"/>
          <w:szCs w:val="24"/>
        </w:rPr>
        <w:t>6个月内召</w:t>
      </w:r>
      <w:r>
        <w:rPr>
          <w:rFonts w:asciiTheme="minorEastAsia" w:hAnsiTheme="minorEastAsia" w:cs="Times New Roman" w:hint="eastAsia"/>
          <w:sz w:val="24"/>
          <w:szCs w:val="24"/>
        </w:rPr>
        <w:t>集基金份额持有人大会。</w:t>
      </w:r>
    </w:p>
    <w:p w14:paraId="70BBD33C" w14:textId="77777777" w:rsidR="00913A13" w:rsidRDefault="002F45B8">
      <w:pPr>
        <w:widowControl/>
        <w:spacing w:line="360" w:lineRule="auto"/>
        <w:ind w:firstLineChars="200" w:firstLine="480"/>
        <w:jc w:val="left"/>
        <w:rPr>
          <w:rFonts w:ascii="Arial" w:eastAsia="宋体" w:hAnsi="Arial" w:cs="Times New Roman"/>
          <w:szCs w:val="20"/>
        </w:rPr>
        <w:sectPr w:rsidR="00913A13">
          <w:headerReference w:type="even" r:id="rId38"/>
          <w:headerReference w:type="default" r:id="rId39"/>
          <w:footerReference w:type="default" r:id="rId40"/>
          <w:headerReference w:type="first" r:id="rId41"/>
          <w:pgSz w:w="11906" w:h="16838"/>
          <w:pgMar w:top="1440" w:right="1800" w:bottom="1440" w:left="1800" w:header="851" w:footer="992" w:gutter="0"/>
          <w:pgNumType w:chapStyle="1"/>
          <w:cols w:space="720"/>
          <w:docGrid w:type="lines" w:linePitch="312"/>
        </w:sectPr>
      </w:pPr>
      <w:r>
        <w:rPr>
          <w:rFonts w:asciiTheme="minorEastAsia" w:hAnsiTheme="minorEastAsia" w:cs="Times New Roman" w:hint="eastAsia"/>
          <w:sz w:val="24"/>
          <w:szCs w:val="24"/>
        </w:rPr>
        <w:t>法律法规或中国证监会另有规定时，从其规定。</w:t>
      </w:r>
      <w:r>
        <w:rPr>
          <w:rFonts w:asciiTheme="minorEastAsia" w:hAnsiTheme="minorEastAsia" w:cs="Times New Roman"/>
          <w:sz w:val="24"/>
          <w:szCs w:val="24"/>
        </w:rPr>
        <w:t xml:space="preserve"> </w:t>
      </w:r>
      <w:bookmarkStart w:id="166" w:name="_Toc21073391"/>
      <w:bookmarkStart w:id="167" w:name="_Toc214873597"/>
      <w:bookmarkStart w:id="168" w:name="_Toc147463118"/>
      <w:bookmarkStart w:id="169" w:name="_Toc416264544"/>
      <w:bookmarkStart w:id="170" w:name="_Toc12357171"/>
      <w:bookmarkStart w:id="171" w:name="_Toc263092316"/>
      <w:bookmarkStart w:id="172" w:name="_Toc3963"/>
      <w:bookmarkStart w:id="173" w:name="_Toc123102456"/>
      <w:bookmarkStart w:id="174" w:name="_Toc123112237"/>
      <w:bookmarkStart w:id="175" w:name="_Toc725"/>
      <w:bookmarkStart w:id="176" w:name="_Toc3572"/>
      <w:bookmarkStart w:id="177" w:name="_Toc18206"/>
      <w:bookmarkStart w:id="178" w:name="_Toc98560355"/>
      <w:bookmarkStart w:id="179" w:name="_Toc123051455"/>
      <w:bookmarkStart w:id="180" w:name="_Toc21735"/>
      <w:bookmarkStart w:id="181" w:name="_Toc31821"/>
      <w:bookmarkStart w:id="182" w:name="_Toc16164"/>
      <w:bookmarkStart w:id="183" w:name="_Toc18769"/>
      <w:bookmarkStart w:id="184" w:name="_Toc141703889"/>
      <w:bookmarkStart w:id="185" w:name="_Toc1745"/>
      <w:bookmarkStart w:id="186" w:name="_Toc139991739"/>
      <w:bookmarkStart w:id="187" w:name="_Toc10398"/>
      <w:bookmarkStart w:id="188" w:name="_Toc352229755"/>
      <w:bookmarkStart w:id="189" w:name="_Toc3080"/>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70A38FDE" w14:textId="77777777" w:rsidR="00913A13" w:rsidRDefault="002F45B8">
      <w:pPr>
        <w:pStyle w:val="1"/>
        <w:jc w:val="center"/>
        <w:rPr>
          <w:rFonts w:ascii="Arial" w:hAnsi="Arial" w:cs="Arial"/>
          <w:bCs/>
          <w:sz w:val="30"/>
          <w:szCs w:val="30"/>
        </w:rPr>
      </w:pPr>
      <w:bookmarkStart w:id="190" w:name="_Toc136963808"/>
      <w:bookmarkStart w:id="191" w:name="_Toc68266295"/>
      <w:r>
        <w:rPr>
          <w:rFonts w:hint="eastAsia"/>
          <w:sz w:val="30"/>
          <w:szCs w:val="30"/>
        </w:rPr>
        <w:lastRenderedPageBreak/>
        <w:t>第八部分</w:t>
      </w:r>
      <w:r>
        <w:rPr>
          <w:sz w:val="30"/>
          <w:szCs w:val="30"/>
        </w:rPr>
        <w:t xml:space="preserve">  </w:t>
      </w:r>
      <w:r>
        <w:rPr>
          <w:rFonts w:hint="eastAsia"/>
          <w:sz w:val="30"/>
          <w:szCs w:val="30"/>
        </w:rPr>
        <w:t>基金份额的申购与赎回</w:t>
      </w:r>
      <w:bookmarkEnd w:id="166"/>
      <w:bookmarkEnd w:id="167"/>
      <w:bookmarkEnd w:id="168"/>
      <w:bookmarkEnd w:id="169"/>
      <w:bookmarkEnd w:id="170"/>
      <w:bookmarkEnd w:id="171"/>
      <w:bookmarkEnd w:id="190"/>
      <w:bookmarkEnd w:id="191"/>
    </w:p>
    <w:p w14:paraId="4DD32737" w14:textId="77777777" w:rsidR="00913A13" w:rsidRDefault="002F45B8">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389454A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申购与赎回将通过销售机构进行。具体的销售网点将由基金管理人在招募说明书或基金管理人网站列明。基金管理人可根据情况变更或增减销售机构，并在基金管理人网站公示。基金投资者应当在销售机构办理基金销售业务的营业场所或按销售机构提供的其他方式办理基金份额的申购与赎回。</w:t>
      </w:r>
    </w:p>
    <w:p w14:paraId="2D80652F" w14:textId="77777777" w:rsidR="00913A13" w:rsidRDefault="002F45B8">
      <w:pPr>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31B67FBC"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1、开放日及开放时间</w:t>
      </w:r>
    </w:p>
    <w:p w14:paraId="414F29F6"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150993F8"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基金合同生效后，若出现新的证券</w:t>
      </w:r>
      <w:r>
        <w:rPr>
          <w:rFonts w:asciiTheme="minorEastAsia" w:hAnsiTheme="minorEastAsia" w:cs="Arial"/>
          <w:sz w:val="24"/>
          <w:szCs w:val="24"/>
        </w:rPr>
        <w:t>/期货</w:t>
      </w:r>
      <w:r>
        <w:rPr>
          <w:rFonts w:asciiTheme="minorEastAsia" w:hAnsiTheme="minorEastAsia" w:cs="Arial" w:hint="eastAsia"/>
          <w:sz w:val="24"/>
          <w:szCs w:val="24"/>
        </w:rPr>
        <w:t>交易市场、证券</w:t>
      </w:r>
      <w:r>
        <w:rPr>
          <w:rFonts w:asciiTheme="minorEastAsia" w:hAnsiTheme="minorEastAsia" w:cs="Arial"/>
          <w:sz w:val="24"/>
          <w:szCs w:val="24"/>
        </w:rPr>
        <w:t>/期货</w:t>
      </w:r>
      <w:r>
        <w:rPr>
          <w:rFonts w:asciiTheme="minorEastAsia" w:hAnsiTheme="minorEastAsia" w:cs="Arial" w:hint="eastAsia"/>
          <w:sz w:val="24"/>
          <w:szCs w:val="24"/>
        </w:rPr>
        <w:t>交易所交易时间变更或其他特殊情况，基金管理人将视情况对前述开放日及开放时间进行相应的调整，但应在实施日前依照《信息披露办法》的有关规定在规定媒介上公告。</w:t>
      </w:r>
    </w:p>
    <w:p w14:paraId="2B7E3D27"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2、申购、赎回开始日及业务办理时间</w:t>
      </w:r>
    </w:p>
    <w:p w14:paraId="24FCD384"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w:t>
      </w:r>
      <w:r>
        <w:rPr>
          <w:rFonts w:asciiTheme="minorEastAsia" w:hAnsiTheme="minorEastAsia" w:cs="Arial"/>
          <w:sz w:val="24"/>
          <w:szCs w:val="24"/>
        </w:rPr>
        <w:t>2021</w:t>
      </w:r>
      <w:r>
        <w:rPr>
          <w:rFonts w:asciiTheme="minorEastAsia" w:hAnsiTheme="minorEastAsia" w:cs="Arial" w:hint="eastAsia"/>
          <w:sz w:val="24"/>
          <w:szCs w:val="24"/>
        </w:rPr>
        <w:t>年</w:t>
      </w:r>
      <w:r>
        <w:rPr>
          <w:rFonts w:asciiTheme="minorEastAsia" w:hAnsiTheme="minorEastAsia" w:cs="Arial"/>
          <w:sz w:val="24"/>
          <w:szCs w:val="24"/>
        </w:rPr>
        <w:t>7</w:t>
      </w:r>
      <w:r>
        <w:rPr>
          <w:rFonts w:asciiTheme="minorEastAsia" w:hAnsiTheme="minorEastAsia" w:cs="Arial" w:hint="eastAsia"/>
          <w:sz w:val="24"/>
          <w:szCs w:val="24"/>
        </w:rPr>
        <w:t>月</w:t>
      </w:r>
      <w:r>
        <w:rPr>
          <w:rFonts w:asciiTheme="minorEastAsia" w:hAnsiTheme="minorEastAsia" w:cs="Arial"/>
          <w:sz w:val="24"/>
          <w:szCs w:val="24"/>
        </w:rPr>
        <w:t>19</w:t>
      </w:r>
      <w:r>
        <w:rPr>
          <w:rFonts w:asciiTheme="minorEastAsia" w:hAnsiTheme="minorEastAsia" w:cs="Arial" w:hint="eastAsia"/>
          <w:sz w:val="24"/>
          <w:szCs w:val="24"/>
        </w:rPr>
        <w:t>日开始办理申购、赎回业务。</w:t>
      </w:r>
    </w:p>
    <w:p w14:paraId="124B3A56"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该类基金份额申购、赎回的价格。</w:t>
      </w:r>
    </w:p>
    <w:p w14:paraId="6B099E60" w14:textId="77777777" w:rsidR="00913A13" w:rsidRDefault="002F45B8">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6B0DBE5C"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1、“未知价”原则，即申购、赎回价格以申请当日收市后计算的该类基金份额净值为基准进行计算；</w:t>
      </w:r>
    </w:p>
    <w:p w14:paraId="094CC86F"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2、“金额申购、份额赎回”原则，即申购以金额申请，赎回以份额申请；</w:t>
      </w:r>
    </w:p>
    <w:p w14:paraId="61B20B49"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3、当日的申购与赎回申请可以在基金管理人规定的时间以内撤销；</w:t>
      </w:r>
    </w:p>
    <w:p w14:paraId="0667DBDF"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4、赎回遵循“先进先出”原则，即按照投资人认购、申购的先后次序进行顺序赎回</w:t>
      </w:r>
      <w:r>
        <w:rPr>
          <w:rFonts w:asciiTheme="minorEastAsia" w:hAnsiTheme="minorEastAsia" w:cs="Arial" w:hint="eastAsia"/>
          <w:sz w:val="24"/>
          <w:szCs w:val="24"/>
        </w:rPr>
        <w:t>；</w:t>
      </w:r>
    </w:p>
    <w:p w14:paraId="596AA026"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5、办理申购、赎回业务时，应当遵循基金份额持有人利益优先原则，确保投资者的合法权益不受损害并得到公平对待。</w:t>
      </w:r>
    </w:p>
    <w:p w14:paraId="6A8EBD1A"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基金管理人可在法律法规允许的情况下，对上述原则进行调整。基金管理人必须在新规则开始实施前依照《信息披露办法》的有关规定在规定媒介上公告。</w:t>
      </w:r>
    </w:p>
    <w:p w14:paraId="00F96C7C" w14:textId="77777777" w:rsidR="00913A13" w:rsidRDefault="002F45B8">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7BC382F2"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1、申购和赎回的申请方式</w:t>
      </w:r>
    </w:p>
    <w:p w14:paraId="16837D12"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投资人必须根据销售机构规定的程序，在开放日的具体业务办理时间内提出申购或赎回的申请。</w:t>
      </w:r>
    </w:p>
    <w:p w14:paraId="4D61E3FF"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2、申购和赎回的款项支付</w:t>
      </w:r>
    </w:p>
    <w:p w14:paraId="3F7479EA"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申购基金份额时，必须在规定的时间内全额交付申购款项，投资人在规定的时间内全额交付申购款项，申购成立；基金份额登记机构确认基金份额时，申购生效。基金份额持有人递交赎回申请，赎回成立；基金份额登记机构确认赎回时，赎回生效。</w:t>
      </w:r>
    </w:p>
    <w:p w14:paraId="7275DC66"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w:t>
      </w:r>
      <w:r>
        <w:rPr>
          <w:rFonts w:asciiTheme="minorEastAsia" w:hAnsiTheme="minorEastAsia" w:cs="Arial"/>
          <w:sz w:val="24"/>
          <w:szCs w:val="24"/>
        </w:rPr>
        <w:t>T日</w:t>
      </w:r>
      <w:r>
        <w:rPr>
          <w:rFonts w:asciiTheme="minorEastAsia" w:hAnsiTheme="minorEastAsia" w:cs="Arial" w:hint="eastAsia"/>
          <w:sz w:val="24"/>
          <w:szCs w:val="24"/>
        </w:rPr>
        <w:t>赎回申请生效后，基金管理人将在</w:t>
      </w:r>
      <w:r>
        <w:rPr>
          <w:rFonts w:asciiTheme="minorEastAsia" w:hAnsiTheme="minorEastAsia" w:cs="Arial"/>
          <w:sz w:val="24"/>
          <w:szCs w:val="24"/>
        </w:rPr>
        <w:t>T＋7日(包括该日)内支付赎回款项。在发生巨额赎回时或基金合同载明的延缓支付赎回款项的情形时，款项的支付办法参照基金合同有关条款处理。</w:t>
      </w:r>
    </w:p>
    <w:p w14:paraId="2E951F74"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遇证券、期货交易所或交易市场数据传输延迟、通讯系统故障、银行数据交换系统故障或其它非基金管理人及基金托管人所能控制的因素影响业务处理流程时，赎回款项顺延至前述影响因素消除的下一个工作日划出。</w:t>
      </w:r>
    </w:p>
    <w:p w14:paraId="29E47C49" w14:textId="77777777" w:rsidR="00913A13" w:rsidRDefault="002F45B8">
      <w:pPr>
        <w:spacing w:line="360" w:lineRule="auto"/>
        <w:ind w:firstLineChars="200" w:firstLine="480"/>
        <w:rPr>
          <w:bCs/>
          <w:sz w:val="24"/>
        </w:rPr>
      </w:pPr>
      <w:r>
        <w:rPr>
          <w:rFonts w:hint="eastAsia"/>
          <w:bCs/>
          <w:sz w:val="24"/>
        </w:rPr>
        <w:t>基金管理人可以在法律法规和基金合同允许的范围内，对上述业务办理时间进行调整，基金管理人必须在调整实施前依照《信息披露办法》的有关规定在规定媒介上公告。</w:t>
      </w:r>
    </w:p>
    <w:p w14:paraId="3D80B983"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3、申购和赎回申请的确认</w:t>
      </w:r>
    </w:p>
    <w:p w14:paraId="0E59AAE3"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基金管理人应以交易时间结束前受理有效申购和赎回申请的当天作为申购或赎回申请日</w:t>
      </w:r>
      <w:r>
        <w:rPr>
          <w:rFonts w:asciiTheme="minorEastAsia" w:hAnsiTheme="minorEastAsia" w:cs="Arial"/>
          <w:sz w:val="24"/>
          <w:szCs w:val="24"/>
        </w:rPr>
        <w:t>(T日)，在正常情况下，本基金登记机构在T+1日内对该交易的有效性进行确认。T日提交的有效申请，投资人应在T+2日后(包括该日)及时到销售网点柜台或以销售机构规定的其他方式查询申请的确认情况。若申购不成</w:t>
      </w:r>
      <w:r>
        <w:rPr>
          <w:rFonts w:asciiTheme="minorEastAsia" w:hAnsiTheme="minorEastAsia" w:cs="Arial" w:hint="eastAsia"/>
          <w:sz w:val="24"/>
          <w:szCs w:val="24"/>
        </w:rPr>
        <w:t>立或无效，则申购款项本金退还给投资人。</w:t>
      </w:r>
    </w:p>
    <w:p w14:paraId="20FD8735"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销售机构对申购、赎回申请的受理并不代表该申请一定成功，而仅代表销售机构确实接收到申购、赎回申请。申购、赎回申请的确认以基金份额登记机构的确认结果为准。对于申购、赎回申请的确认情况，投资人应及时查询并妥善行使合法权利。</w:t>
      </w:r>
    </w:p>
    <w:p w14:paraId="3938AD55"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基金管理人可以在法律法规允许的范围内，依法对上述申购和赎回申请的确认时间进行调整，并必须在调整实施日前按照《信息披露办法》的有关规定在规定媒介上公告。</w:t>
      </w:r>
    </w:p>
    <w:p w14:paraId="4E5E6EBE" w14:textId="77777777" w:rsidR="00913A13" w:rsidRDefault="002F45B8">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五、申购与赎回的数量限制</w:t>
      </w:r>
    </w:p>
    <w:p w14:paraId="17CB5933" w14:textId="77777777" w:rsidR="00913A13" w:rsidRDefault="002F45B8">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1、投资人申购 A 类基金份额，首次最低申购金额为人民币 1.00 元，追加申购单笔最低金额为人民币 1.00 元。投资人申购 C 类基金份额，首次最低申购金额为人民币1.00元，追加申购单笔最低金额为人民币 1.00元。各销售机构在不低于上述规定的前提下，可根据自己的情况调整首次最低申购金额和追加单笔最低申购金额限制，具体以销售机构公布的为准。</w:t>
      </w:r>
    </w:p>
    <w:p w14:paraId="6F29BBC3"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2、基金份额持有人在销售机构赎回时，每个交易账户最低持有某一类别基金份额余额为 1份，若某笔赎回导致单个交易账户的某一类别基金份额余额少于 1份时，该类份额余额部分基金份额必须一同赎回。</w:t>
      </w:r>
    </w:p>
    <w:p w14:paraId="2F15178F"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3、基金管理人可以规定单个投资人累计持有的基金份额上限，具体规定请参见招募说明书或相关公告。</w:t>
      </w:r>
    </w:p>
    <w:p w14:paraId="57359C32"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r>
        <w:rPr>
          <w:rFonts w:asciiTheme="minorEastAsia" w:hAnsiTheme="minorEastAsia" w:cs="Arial" w:hint="eastAsia"/>
          <w:sz w:val="24"/>
          <w:szCs w:val="24"/>
        </w:rPr>
        <w:t>见基金管理人相关公告。</w:t>
      </w:r>
    </w:p>
    <w:p w14:paraId="3EB5FC70"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5、基金管理人可在法律法规允许的情况下，调整上述规定申购金额和赎回份额的数量限制。基金管理人必须在调整</w:t>
      </w:r>
      <w:r>
        <w:rPr>
          <w:rFonts w:asciiTheme="minorEastAsia" w:hAnsiTheme="minorEastAsia" w:cs="Arial" w:hint="eastAsia"/>
          <w:sz w:val="24"/>
          <w:szCs w:val="24"/>
        </w:rPr>
        <w:t>实施前依照《信息披露办法》的有关规定在规定媒介上公告。</w:t>
      </w:r>
    </w:p>
    <w:p w14:paraId="66A21918" w14:textId="77777777" w:rsidR="00913A13" w:rsidRDefault="002F45B8">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73A9A7B3"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4E937324" w14:textId="77777777" w:rsidR="00913A13" w:rsidRDefault="002F45B8">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2"/>
        <w:gridCol w:w="4430"/>
      </w:tblGrid>
      <w:tr w:rsidR="00913A13" w14:paraId="0026E041" w14:textId="77777777">
        <w:trPr>
          <w:trHeight w:val="190"/>
          <w:jc w:val="center"/>
        </w:trPr>
        <w:tc>
          <w:tcPr>
            <w:tcW w:w="8522" w:type="dxa"/>
            <w:gridSpan w:val="2"/>
            <w:tcBorders>
              <w:top w:val="single" w:sz="4" w:space="0" w:color="auto"/>
              <w:left w:val="single" w:sz="4" w:space="0" w:color="auto"/>
              <w:bottom w:val="single" w:sz="4" w:space="0" w:color="auto"/>
              <w:right w:val="single" w:sz="4" w:space="0" w:color="auto"/>
            </w:tcBorders>
          </w:tcPr>
          <w:p w14:paraId="09B50253" w14:textId="77777777" w:rsidR="00913A13" w:rsidRDefault="002F45B8">
            <w:pPr>
              <w:widowControl/>
              <w:spacing w:line="264" w:lineRule="auto"/>
              <w:jc w:val="center"/>
              <w:rPr>
                <w:rFonts w:asciiTheme="minorEastAsia" w:hAnsiTheme="minorEastAsia" w:cs="Arial" w:hint="eastAsia"/>
                <w:bCs/>
                <w:kern w:val="0"/>
                <w:sz w:val="24"/>
                <w:szCs w:val="24"/>
              </w:rPr>
            </w:pPr>
            <w:r>
              <w:rPr>
                <w:rFonts w:asciiTheme="minorEastAsia" w:hAnsiTheme="minorEastAsia" w:cs="Arial"/>
                <w:b/>
                <w:bCs/>
                <w:kern w:val="0"/>
                <w:sz w:val="24"/>
                <w:szCs w:val="24"/>
              </w:rPr>
              <w:t>A类基金份额</w:t>
            </w:r>
          </w:p>
        </w:tc>
      </w:tr>
      <w:tr w:rsidR="00913A13" w14:paraId="5F375D3A"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E75D6A2"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申购金额（</w:t>
            </w:r>
            <w:r>
              <w:rPr>
                <w:rFonts w:asciiTheme="minorEastAsia" w:hAnsiTheme="minorEastAsia" w:cs="Arial"/>
                <w:bCs/>
                <w:kern w:val="0"/>
                <w:sz w:val="24"/>
                <w:szCs w:val="24"/>
              </w:rPr>
              <w:t>M）</w:t>
            </w:r>
          </w:p>
        </w:tc>
        <w:tc>
          <w:tcPr>
            <w:tcW w:w="4430" w:type="dxa"/>
            <w:tcBorders>
              <w:top w:val="single" w:sz="4" w:space="0" w:color="auto"/>
              <w:left w:val="single" w:sz="4" w:space="0" w:color="auto"/>
              <w:bottom w:val="single" w:sz="4" w:space="0" w:color="auto"/>
              <w:right w:val="single" w:sz="4" w:space="0" w:color="auto"/>
            </w:tcBorders>
          </w:tcPr>
          <w:p w14:paraId="39B7E776"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申购费率</w:t>
            </w:r>
          </w:p>
        </w:tc>
      </w:tr>
      <w:tr w:rsidR="00913A13" w14:paraId="0168E94F"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6A005F39"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M＜100</w:t>
            </w:r>
            <w:r>
              <w:rPr>
                <w:rFonts w:asciiTheme="minorEastAsia" w:hAnsiTheme="minorEastAsia" w:cs="Arial" w:hint="eastAsia"/>
                <w:kern w:val="0"/>
                <w:sz w:val="24"/>
                <w:szCs w:val="24"/>
              </w:rPr>
              <w:t>万元</w:t>
            </w:r>
          </w:p>
        </w:tc>
        <w:tc>
          <w:tcPr>
            <w:tcW w:w="4430" w:type="dxa"/>
            <w:tcBorders>
              <w:top w:val="single" w:sz="4" w:space="0" w:color="auto"/>
              <w:left w:val="single" w:sz="4" w:space="0" w:color="auto"/>
              <w:bottom w:val="single" w:sz="4" w:space="0" w:color="auto"/>
              <w:right w:val="single" w:sz="4" w:space="0" w:color="auto"/>
            </w:tcBorders>
          </w:tcPr>
          <w:p w14:paraId="2B51EFCA"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1.50%</w:t>
            </w:r>
          </w:p>
        </w:tc>
      </w:tr>
      <w:tr w:rsidR="00913A13" w14:paraId="22F84216"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30CB35C5"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100万元≤M＜300万元</w:t>
            </w:r>
          </w:p>
        </w:tc>
        <w:tc>
          <w:tcPr>
            <w:tcW w:w="4430" w:type="dxa"/>
            <w:tcBorders>
              <w:top w:val="single" w:sz="4" w:space="0" w:color="auto"/>
              <w:left w:val="single" w:sz="4" w:space="0" w:color="auto"/>
              <w:bottom w:val="single" w:sz="4" w:space="0" w:color="auto"/>
              <w:right w:val="single" w:sz="4" w:space="0" w:color="auto"/>
            </w:tcBorders>
          </w:tcPr>
          <w:p w14:paraId="7EDA97A3"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1.00%</w:t>
            </w:r>
          </w:p>
        </w:tc>
      </w:tr>
      <w:tr w:rsidR="00913A13" w14:paraId="00846365"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290C1D96"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lastRenderedPageBreak/>
              <w:t>300万元≤M＜500万元</w:t>
            </w:r>
          </w:p>
        </w:tc>
        <w:tc>
          <w:tcPr>
            <w:tcW w:w="4430" w:type="dxa"/>
            <w:tcBorders>
              <w:top w:val="single" w:sz="4" w:space="0" w:color="auto"/>
              <w:left w:val="single" w:sz="4" w:space="0" w:color="auto"/>
              <w:bottom w:val="single" w:sz="4" w:space="0" w:color="auto"/>
              <w:right w:val="single" w:sz="4" w:space="0" w:color="auto"/>
            </w:tcBorders>
          </w:tcPr>
          <w:p w14:paraId="50D7C3EE"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0.60%</w:t>
            </w:r>
          </w:p>
        </w:tc>
      </w:tr>
      <w:tr w:rsidR="00913A13" w14:paraId="00C00D9F" w14:textId="77777777">
        <w:trPr>
          <w:trHeight w:val="190"/>
          <w:jc w:val="center"/>
        </w:trPr>
        <w:tc>
          <w:tcPr>
            <w:tcW w:w="4092" w:type="dxa"/>
            <w:tcBorders>
              <w:top w:val="single" w:sz="4" w:space="0" w:color="auto"/>
              <w:left w:val="single" w:sz="4" w:space="0" w:color="auto"/>
              <w:bottom w:val="single" w:sz="4" w:space="0" w:color="auto"/>
              <w:right w:val="single" w:sz="4" w:space="0" w:color="auto"/>
            </w:tcBorders>
          </w:tcPr>
          <w:p w14:paraId="71E5DCAD"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M≥500万元</w:t>
            </w:r>
          </w:p>
        </w:tc>
        <w:tc>
          <w:tcPr>
            <w:tcW w:w="4430" w:type="dxa"/>
            <w:tcBorders>
              <w:top w:val="single" w:sz="4" w:space="0" w:color="auto"/>
              <w:left w:val="single" w:sz="4" w:space="0" w:color="auto"/>
              <w:bottom w:val="single" w:sz="4" w:space="0" w:color="auto"/>
              <w:right w:val="single" w:sz="4" w:space="0" w:color="auto"/>
            </w:tcBorders>
          </w:tcPr>
          <w:p w14:paraId="1A4FC187" w14:textId="77777777" w:rsidR="00913A13" w:rsidRDefault="002F45B8">
            <w:pPr>
              <w:widowControl/>
              <w:spacing w:line="336" w:lineRule="auto"/>
              <w:jc w:val="center"/>
              <w:rPr>
                <w:rFonts w:asciiTheme="minorEastAsia" w:hAnsiTheme="minorEastAsia" w:cs="Arial" w:hint="eastAsia"/>
                <w:kern w:val="0"/>
                <w:sz w:val="24"/>
                <w:szCs w:val="24"/>
              </w:rPr>
            </w:pPr>
            <w:r>
              <w:rPr>
                <w:rFonts w:asciiTheme="minorEastAsia" w:hAnsiTheme="minorEastAsia" w:cs="Arial"/>
                <w:kern w:val="0"/>
                <w:sz w:val="24"/>
                <w:szCs w:val="24"/>
              </w:rPr>
              <w:t>1000元/笔</w:t>
            </w:r>
          </w:p>
        </w:tc>
      </w:tr>
      <w:tr w:rsidR="00913A13" w14:paraId="760D5E3D"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62D73B5E" w14:textId="77777777" w:rsidR="00913A13" w:rsidRDefault="002F45B8">
            <w:pPr>
              <w:widowControl/>
              <w:spacing w:line="264" w:lineRule="auto"/>
              <w:jc w:val="center"/>
              <w:rPr>
                <w:rFonts w:asciiTheme="minorEastAsia" w:hAnsiTheme="minorEastAsia" w:cs="Arial" w:hint="eastAsia"/>
                <w:b/>
                <w:kern w:val="0"/>
                <w:sz w:val="24"/>
                <w:szCs w:val="24"/>
              </w:rPr>
            </w:pPr>
            <w:r>
              <w:rPr>
                <w:rFonts w:asciiTheme="minorEastAsia" w:hAnsiTheme="minorEastAsia" w:cs="Arial"/>
                <w:b/>
                <w:bCs/>
                <w:kern w:val="0"/>
                <w:sz w:val="24"/>
                <w:szCs w:val="24"/>
              </w:rPr>
              <w:t>C类基金份额</w:t>
            </w:r>
          </w:p>
        </w:tc>
      </w:tr>
      <w:tr w:rsidR="00913A13" w14:paraId="682F93E6" w14:textId="77777777">
        <w:trPr>
          <w:trHeight w:val="415"/>
          <w:jc w:val="center"/>
        </w:trPr>
        <w:tc>
          <w:tcPr>
            <w:tcW w:w="8522" w:type="dxa"/>
            <w:gridSpan w:val="2"/>
            <w:tcBorders>
              <w:top w:val="single" w:sz="4" w:space="0" w:color="auto"/>
              <w:left w:val="single" w:sz="4" w:space="0" w:color="auto"/>
              <w:bottom w:val="single" w:sz="4" w:space="0" w:color="auto"/>
              <w:right w:val="single" w:sz="4" w:space="0" w:color="auto"/>
            </w:tcBorders>
            <w:vAlign w:val="center"/>
          </w:tcPr>
          <w:p w14:paraId="79E52E56" w14:textId="77777777" w:rsidR="00913A13" w:rsidRDefault="002F45B8">
            <w:pPr>
              <w:widowControl/>
              <w:spacing w:line="264" w:lineRule="auto"/>
              <w:jc w:val="center"/>
              <w:rPr>
                <w:rFonts w:asciiTheme="minorEastAsia" w:hAnsiTheme="minorEastAsia" w:cs="Arial" w:hint="eastAsia"/>
                <w:kern w:val="0"/>
                <w:sz w:val="24"/>
                <w:szCs w:val="24"/>
              </w:rPr>
            </w:pPr>
            <w:r>
              <w:rPr>
                <w:rFonts w:asciiTheme="minorEastAsia" w:hAnsiTheme="minorEastAsia" w:cs="Arial" w:hint="eastAsia"/>
                <w:bCs/>
                <w:kern w:val="0"/>
                <w:sz w:val="24"/>
                <w:szCs w:val="24"/>
              </w:rPr>
              <w:t>申</w:t>
            </w:r>
            <w:r>
              <w:rPr>
                <w:rFonts w:asciiTheme="minorEastAsia" w:hAnsiTheme="minorEastAsia" w:cs="Arial" w:hint="eastAsia"/>
                <w:kern w:val="0"/>
                <w:sz w:val="24"/>
                <w:szCs w:val="24"/>
              </w:rPr>
              <w:t>购费率为零</w:t>
            </w:r>
          </w:p>
        </w:tc>
      </w:tr>
    </w:tbl>
    <w:p w14:paraId="0449C5BC" w14:textId="77777777" w:rsidR="00913A13" w:rsidRDefault="00913A13">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1D337558" w14:textId="77777777" w:rsidR="00913A13" w:rsidRDefault="002F45B8">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A类基金份额</w:t>
      </w:r>
      <w:r>
        <w:rPr>
          <w:rFonts w:asciiTheme="minorEastAsia" w:hAnsiTheme="minorEastAsia" w:cs="Arial" w:hint="eastAsia"/>
          <w:sz w:val="24"/>
          <w:szCs w:val="24"/>
        </w:rPr>
        <w:t>的申购费用由申购</w:t>
      </w:r>
      <w:r>
        <w:rPr>
          <w:rFonts w:asciiTheme="minorEastAsia" w:hAnsiTheme="minorEastAsia" w:cs="Arial"/>
          <w:sz w:val="24"/>
          <w:szCs w:val="24"/>
        </w:rPr>
        <w:t>A类</w:t>
      </w:r>
      <w:r>
        <w:rPr>
          <w:rFonts w:asciiTheme="minorEastAsia" w:hAnsiTheme="minorEastAsia" w:cs="Arial" w:hint="eastAsia"/>
          <w:sz w:val="24"/>
          <w:szCs w:val="24"/>
        </w:rPr>
        <w:t>基金份额的投资人承担，不列入基金资产，用于基金的市场推广、销售、登记等各项费用。</w:t>
      </w:r>
      <w:r>
        <w:rPr>
          <w:rFonts w:asciiTheme="minorEastAsia" w:hAnsiTheme="minorEastAsia" w:cs="Arial"/>
          <w:bCs/>
          <w:sz w:val="24"/>
          <w:szCs w:val="24"/>
        </w:rPr>
        <w:t xml:space="preserve">C </w:t>
      </w:r>
      <w:r>
        <w:rPr>
          <w:rFonts w:asciiTheme="minorEastAsia" w:hAnsiTheme="minorEastAsia" w:cs="Arial" w:hint="eastAsia"/>
          <w:bCs/>
          <w:sz w:val="24"/>
          <w:szCs w:val="24"/>
        </w:rPr>
        <w:t>类基金份额不收取申购费用</w:t>
      </w:r>
      <w:r>
        <w:rPr>
          <w:rFonts w:asciiTheme="minorEastAsia" w:hAnsiTheme="minorEastAsia" w:cs="Arial"/>
          <w:bCs/>
          <w:sz w:val="24"/>
          <w:szCs w:val="24"/>
        </w:rPr>
        <w:t>。</w:t>
      </w:r>
    </w:p>
    <w:p w14:paraId="5A2985B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、赎回费用</w:t>
      </w:r>
    </w:p>
    <w:p w14:paraId="05FB81AB"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3"/>
        <w:gridCol w:w="2127"/>
        <w:gridCol w:w="2284"/>
      </w:tblGrid>
      <w:tr w:rsidR="00913A13" w14:paraId="0449B502"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1CAA3BD7" w14:textId="77777777" w:rsidR="00913A13" w:rsidRDefault="002F45B8">
            <w:pPr>
              <w:jc w:val="center"/>
              <w:rPr>
                <w:rFonts w:asciiTheme="minorEastAsia" w:hAnsiTheme="minorEastAsia" w:cs="Arial" w:hint="eastAsia"/>
                <w:color w:val="000000"/>
                <w:sz w:val="24"/>
                <w:szCs w:val="24"/>
              </w:rPr>
            </w:pPr>
            <w:r>
              <w:rPr>
                <w:rFonts w:asciiTheme="minorEastAsia" w:hAnsiTheme="minorEastAsia" w:cs="Arial" w:hint="eastAsia"/>
                <w:color w:val="000000"/>
                <w:sz w:val="24"/>
                <w:szCs w:val="24"/>
              </w:rPr>
              <w:t>持有基金份额期限（</w:t>
            </w:r>
            <w:r>
              <w:rPr>
                <w:rFonts w:asciiTheme="minorEastAsia" w:hAnsiTheme="minorEastAsia" w:cs="Arial"/>
                <w:color w:val="000000"/>
                <w:sz w:val="24"/>
                <w:szCs w:val="24"/>
              </w:rPr>
              <w:t>Y）</w:t>
            </w:r>
          </w:p>
        </w:tc>
        <w:tc>
          <w:tcPr>
            <w:tcW w:w="2127" w:type="dxa"/>
            <w:tcBorders>
              <w:top w:val="single" w:sz="4" w:space="0" w:color="auto"/>
              <w:left w:val="single" w:sz="4" w:space="0" w:color="auto"/>
              <w:bottom w:val="single" w:sz="4" w:space="0" w:color="auto"/>
              <w:right w:val="single" w:sz="4" w:space="0" w:color="auto"/>
            </w:tcBorders>
          </w:tcPr>
          <w:p w14:paraId="49C65BDB" w14:textId="77777777" w:rsidR="00913A13" w:rsidRDefault="002F45B8">
            <w:pPr>
              <w:jc w:val="center"/>
              <w:rPr>
                <w:rFonts w:asciiTheme="minorEastAsia" w:hAnsiTheme="minorEastAsia" w:cs="Arial" w:hint="eastAsia"/>
                <w:color w:val="000000"/>
                <w:sz w:val="24"/>
                <w:szCs w:val="24"/>
              </w:rPr>
            </w:pPr>
            <w:r>
              <w:rPr>
                <w:rFonts w:asciiTheme="minorEastAsia" w:hAnsiTheme="minorEastAsia" w:cs="Arial"/>
                <w:color w:val="000000"/>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tcPr>
          <w:p w14:paraId="59BEB59A" w14:textId="77777777" w:rsidR="00913A13" w:rsidRDefault="002F45B8">
            <w:pPr>
              <w:jc w:val="center"/>
              <w:rPr>
                <w:rFonts w:asciiTheme="minorEastAsia" w:hAnsiTheme="minorEastAsia" w:cs="Arial" w:hint="eastAsia"/>
                <w:color w:val="000000"/>
                <w:sz w:val="24"/>
                <w:szCs w:val="24"/>
              </w:rPr>
            </w:pPr>
            <w:r>
              <w:rPr>
                <w:rFonts w:asciiTheme="minorEastAsia" w:hAnsiTheme="minorEastAsia" w:cs="Arial"/>
                <w:color w:val="000000"/>
                <w:sz w:val="24"/>
                <w:szCs w:val="24"/>
              </w:rPr>
              <w:t>C类份额赎回费率</w:t>
            </w:r>
          </w:p>
        </w:tc>
      </w:tr>
      <w:tr w:rsidR="00913A13" w14:paraId="0194B36D"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1AB1BBF6"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tcPr>
          <w:p w14:paraId="2F84829E"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tcPr>
          <w:p w14:paraId="0993AE5C" w14:textId="77777777" w:rsidR="00913A13" w:rsidRDefault="002F45B8">
            <w:pPr>
              <w:jc w:val="center"/>
              <w:rPr>
                <w:rFonts w:asciiTheme="minorEastAsia" w:hAnsiTheme="minorEastAsia" w:cs="Arial" w:hint="eastAsia"/>
                <w:bCs/>
                <w:kern w:val="0"/>
                <w:sz w:val="24"/>
                <w:szCs w:val="24"/>
              </w:rPr>
            </w:pPr>
            <w:r>
              <w:rPr>
                <w:rFonts w:asciiTheme="minorEastAsia" w:hAnsiTheme="minorEastAsia" w:cs="Arial"/>
                <w:bCs/>
                <w:kern w:val="0"/>
                <w:sz w:val="24"/>
                <w:szCs w:val="24"/>
              </w:rPr>
              <w:t>1.50%</w:t>
            </w:r>
          </w:p>
        </w:tc>
      </w:tr>
      <w:tr w:rsidR="00913A13" w14:paraId="4E929644"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40B41252"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 xml:space="preserve">7日 </w:t>
            </w:r>
            <w:r>
              <w:rPr>
                <w:rFonts w:asciiTheme="minorEastAsia" w:hAnsiTheme="minorEastAsia" w:cs="Arial" w:hint="eastAsia"/>
                <w:bCs/>
                <w:kern w:val="0"/>
                <w:sz w:val="24"/>
                <w:szCs w:val="24"/>
              </w:rPr>
              <w:t>≤</w:t>
            </w:r>
            <w:r>
              <w:rPr>
                <w:rFonts w:asciiTheme="minorEastAsia" w:hAnsiTheme="minorEastAsia" w:cs="Arial"/>
                <w:bCs/>
                <w:kern w:val="0"/>
                <w:sz w:val="24"/>
                <w:szCs w:val="24"/>
              </w:rPr>
              <w:t xml:space="preserve"> Y </w:t>
            </w:r>
            <w:r>
              <w:rPr>
                <w:rFonts w:asciiTheme="minorEastAsia" w:hAnsiTheme="minorEastAsia" w:cs="Arial" w:hint="eastAsia"/>
                <w:bCs/>
                <w:kern w:val="0"/>
                <w:sz w:val="24"/>
                <w:szCs w:val="24"/>
              </w:rPr>
              <w:t>＜</w:t>
            </w:r>
            <w:r>
              <w:rPr>
                <w:rFonts w:asciiTheme="minorEastAsia" w:hAnsiTheme="minorEastAsia" w:cs="Arial"/>
                <w:bCs/>
                <w:kern w:val="0"/>
                <w:sz w:val="24"/>
                <w:szCs w:val="24"/>
              </w:rPr>
              <w:t xml:space="preserve"> 30日</w:t>
            </w:r>
          </w:p>
        </w:tc>
        <w:tc>
          <w:tcPr>
            <w:tcW w:w="2127" w:type="dxa"/>
            <w:tcBorders>
              <w:top w:val="single" w:sz="4" w:space="0" w:color="auto"/>
              <w:left w:val="single" w:sz="4" w:space="0" w:color="auto"/>
              <w:bottom w:val="single" w:sz="4" w:space="0" w:color="auto"/>
              <w:right w:val="single" w:sz="4" w:space="0" w:color="auto"/>
            </w:tcBorders>
          </w:tcPr>
          <w:p w14:paraId="572FB6B2"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0.75%</w:t>
            </w:r>
          </w:p>
        </w:tc>
        <w:tc>
          <w:tcPr>
            <w:tcW w:w="2284" w:type="dxa"/>
            <w:tcBorders>
              <w:top w:val="single" w:sz="4" w:space="0" w:color="auto"/>
              <w:left w:val="single" w:sz="4" w:space="0" w:color="auto"/>
              <w:bottom w:val="single" w:sz="4" w:space="0" w:color="auto"/>
              <w:right w:val="single" w:sz="4" w:space="0" w:color="auto"/>
            </w:tcBorders>
          </w:tcPr>
          <w:p w14:paraId="5C80A6F9" w14:textId="77777777" w:rsidR="00913A13" w:rsidRDefault="002F45B8">
            <w:pPr>
              <w:jc w:val="center"/>
              <w:rPr>
                <w:rFonts w:asciiTheme="minorEastAsia" w:hAnsiTheme="minorEastAsia" w:cs="Arial" w:hint="eastAsia"/>
                <w:bCs/>
                <w:kern w:val="0"/>
                <w:sz w:val="24"/>
                <w:szCs w:val="24"/>
              </w:rPr>
            </w:pPr>
            <w:r>
              <w:rPr>
                <w:rFonts w:asciiTheme="minorEastAsia" w:hAnsiTheme="minorEastAsia" w:cs="Arial"/>
                <w:bCs/>
                <w:kern w:val="0"/>
                <w:sz w:val="24"/>
                <w:szCs w:val="24"/>
              </w:rPr>
              <w:t>0.50%</w:t>
            </w:r>
          </w:p>
        </w:tc>
      </w:tr>
      <w:tr w:rsidR="00913A13" w14:paraId="5F1F9C57"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689B998C"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 xml:space="preserve">30日 </w:t>
            </w:r>
            <w:r>
              <w:rPr>
                <w:rFonts w:asciiTheme="minorEastAsia" w:hAnsiTheme="minorEastAsia" w:cs="Arial" w:hint="eastAsia"/>
                <w:bCs/>
                <w:kern w:val="0"/>
                <w:sz w:val="24"/>
                <w:szCs w:val="24"/>
              </w:rPr>
              <w:t>≤</w:t>
            </w:r>
            <w:r>
              <w:rPr>
                <w:rFonts w:asciiTheme="minorEastAsia" w:hAnsiTheme="minorEastAsia" w:cs="Arial"/>
                <w:bCs/>
                <w:kern w:val="0"/>
                <w:sz w:val="24"/>
                <w:szCs w:val="24"/>
              </w:rPr>
              <w:t xml:space="preserve"> Y </w:t>
            </w:r>
            <w:r>
              <w:rPr>
                <w:rFonts w:asciiTheme="minorEastAsia" w:hAnsiTheme="minorEastAsia" w:cs="Arial" w:hint="eastAsia"/>
                <w:bCs/>
                <w:kern w:val="0"/>
                <w:sz w:val="24"/>
                <w:szCs w:val="24"/>
              </w:rPr>
              <w:t>＜</w:t>
            </w:r>
            <w:r>
              <w:rPr>
                <w:rFonts w:asciiTheme="minorEastAsia" w:hAnsiTheme="minorEastAsia" w:cs="Arial"/>
                <w:bCs/>
                <w:kern w:val="0"/>
                <w:sz w:val="24"/>
                <w:szCs w:val="24"/>
              </w:rPr>
              <w:t>180日</w:t>
            </w:r>
          </w:p>
        </w:tc>
        <w:tc>
          <w:tcPr>
            <w:tcW w:w="2127" w:type="dxa"/>
            <w:tcBorders>
              <w:top w:val="single" w:sz="4" w:space="0" w:color="auto"/>
              <w:left w:val="single" w:sz="4" w:space="0" w:color="auto"/>
              <w:bottom w:val="single" w:sz="4" w:space="0" w:color="auto"/>
              <w:right w:val="single" w:sz="4" w:space="0" w:color="auto"/>
            </w:tcBorders>
          </w:tcPr>
          <w:p w14:paraId="345E90D0"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tcPr>
          <w:p w14:paraId="2AE64631" w14:textId="77777777" w:rsidR="00913A13" w:rsidRDefault="002F45B8">
            <w:pPr>
              <w:jc w:val="center"/>
              <w:rPr>
                <w:rFonts w:asciiTheme="minorEastAsia" w:hAnsiTheme="minorEastAsia" w:cs="Arial" w:hint="eastAsia"/>
                <w:bCs/>
                <w:kern w:val="0"/>
                <w:sz w:val="24"/>
                <w:szCs w:val="24"/>
              </w:rPr>
            </w:pPr>
            <w:r>
              <w:rPr>
                <w:rFonts w:asciiTheme="minorEastAsia" w:hAnsiTheme="minorEastAsia" w:cs="Arial"/>
                <w:bCs/>
                <w:kern w:val="0"/>
                <w:sz w:val="24"/>
                <w:szCs w:val="24"/>
              </w:rPr>
              <w:t>0</w:t>
            </w:r>
          </w:p>
        </w:tc>
      </w:tr>
      <w:tr w:rsidR="00913A13" w14:paraId="053B9B5B"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ABDADF0"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Y≥180日</w:t>
            </w:r>
          </w:p>
        </w:tc>
        <w:tc>
          <w:tcPr>
            <w:tcW w:w="2127" w:type="dxa"/>
            <w:tcBorders>
              <w:top w:val="single" w:sz="4" w:space="0" w:color="auto"/>
              <w:left w:val="single" w:sz="4" w:space="0" w:color="auto"/>
              <w:bottom w:val="single" w:sz="4" w:space="0" w:color="auto"/>
              <w:right w:val="single" w:sz="4" w:space="0" w:color="auto"/>
            </w:tcBorders>
          </w:tcPr>
          <w:p w14:paraId="39C6C573" w14:textId="77777777" w:rsidR="00913A13" w:rsidRDefault="002F45B8">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bCs/>
                <w:kern w:val="0"/>
                <w:sz w:val="24"/>
                <w:szCs w:val="24"/>
              </w:rPr>
              <w:t>0</w:t>
            </w:r>
          </w:p>
        </w:tc>
        <w:tc>
          <w:tcPr>
            <w:tcW w:w="2284" w:type="dxa"/>
            <w:tcBorders>
              <w:top w:val="single" w:sz="4" w:space="0" w:color="auto"/>
              <w:left w:val="single" w:sz="4" w:space="0" w:color="auto"/>
              <w:bottom w:val="single" w:sz="4" w:space="0" w:color="auto"/>
              <w:right w:val="single" w:sz="4" w:space="0" w:color="auto"/>
            </w:tcBorders>
          </w:tcPr>
          <w:p w14:paraId="1991B0E2" w14:textId="77777777" w:rsidR="00913A13" w:rsidRDefault="002F45B8">
            <w:pPr>
              <w:jc w:val="center"/>
              <w:rPr>
                <w:rFonts w:asciiTheme="minorEastAsia" w:hAnsiTheme="minorEastAsia" w:cs="Arial" w:hint="eastAsia"/>
                <w:bCs/>
                <w:kern w:val="0"/>
                <w:sz w:val="24"/>
                <w:szCs w:val="24"/>
              </w:rPr>
            </w:pPr>
            <w:r>
              <w:rPr>
                <w:rFonts w:asciiTheme="minorEastAsia" w:hAnsiTheme="minorEastAsia" w:cs="Arial"/>
                <w:bCs/>
                <w:kern w:val="0"/>
                <w:sz w:val="24"/>
                <w:szCs w:val="24"/>
              </w:rPr>
              <w:t>0</w:t>
            </w:r>
          </w:p>
        </w:tc>
      </w:tr>
    </w:tbl>
    <w:p w14:paraId="5AC3AFF3" w14:textId="77777777" w:rsidR="00913A13" w:rsidRDefault="00913A13">
      <w:pPr>
        <w:adjustRightInd w:val="0"/>
        <w:snapToGrid w:val="0"/>
        <w:spacing w:line="360" w:lineRule="auto"/>
        <w:rPr>
          <w:rFonts w:asciiTheme="minorEastAsia" w:hAnsiTheme="minorEastAsia" w:cs="Arial" w:hint="eastAsia"/>
          <w:sz w:val="24"/>
          <w:szCs w:val="24"/>
        </w:rPr>
      </w:pPr>
    </w:p>
    <w:p w14:paraId="2041D87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191A293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w:t>
      </w:r>
      <w:r>
        <w:rPr>
          <w:rFonts w:asciiTheme="minorEastAsia" w:hAnsiTheme="minorEastAsia" w:cs="Arial"/>
          <w:sz w:val="24"/>
          <w:szCs w:val="24"/>
        </w:rPr>
        <w:t>A类基金份额，对持续持有期少于30日的投资人收取的赎回费全额计入基金财产；对持续持有期不少于30日但少于3个月的投资人收取的赎回费总额的75%计入基金财产；对持续持有期不少于3个月但少于6个月的投资人收取的赎回费总额的50%计入基金财产；就C类基金份额，收取的赎回费全额计入基金财</w:t>
      </w:r>
      <w:r>
        <w:rPr>
          <w:rFonts w:asciiTheme="minorEastAsia" w:hAnsiTheme="minorEastAsia" w:cs="Arial" w:hint="eastAsia"/>
          <w:sz w:val="24"/>
          <w:szCs w:val="24"/>
        </w:rPr>
        <w:t>产。上述未纳入基金财产的赎回费用于支付登记费和其他必要的手续费（注：</w:t>
      </w:r>
      <w:r>
        <w:rPr>
          <w:rFonts w:asciiTheme="minorEastAsia" w:hAnsiTheme="minorEastAsia" w:cs="Arial"/>
          <w:sz w:val="24"/>
          <w:szCs w:val="24"/>
        </w:rPr>
        <w:t>1个月按30日计算，3个月按90</w:t>
      </w:r>
      <w:r>
        <w:rPr>
          <w:rFonts w:asciiTheme="minorEastAsia" w:hAnsiTheme="minorEastAsia" w:cs="Arial" w:hint="eastAsia"/>
          <w:sz w:val="24"/>
          <w:szCs w:val="24"/>
        </w:rPr>
        <w:t>日计算，以此类推）。</w:t>
      </w:r>
    </w:p>
    <w:p w14:paraId="1BAD0B7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、基金管理人可以在基金合同约定的范围内调整费率或收费方式，并最迟应于新的费率或收费方式实施日前依照《信息披露办法》的有关规定在规定媒介上公告。</w:t>
      </w:r>
    </w:p>
    <w:p w14:paraId="589D82D6" w14:textId="77777777" w:rsidR="00913A13" w:rsidRDefault="002F45B8">
      <w:pPr>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Arial" w:hint="eastAsia"/>
          <w:bCs/>
          <w:sz w:val="24"/>
          <w:szCs w:val="24"/>
        </w:rPr>
        <w:t>基金管理人可以在不违背法律法规规定、基金合同约定及基金持有人利益的情况下根据市场情况制定基金促销计划，定期和不定期地开展基金促销活动。在</w:t>
      </w:r>
      <w:r>
        <w:rPr>
          <w:rFonts w:asciiTheme="minorEastAsia" w:hAnsiTheme="minorEastAsia" w:cs="Arial" w:hint="eastAsia"/>
          <w:bCs/>
          <w:sz w:val="24"/>
          <w:szCs w:val="24"/>
        </w:rPr>
        <w:lastRenderedPageBreak/>
        <w:t>基金促销活动期间，基金管理人可以按中国证监会要求履行必要手续后，对基金投资者适当调低基金销售费用。</w:t>
      </w:r>
    </w:p>
    <w:p w14:paraId="2DB124D5" w14:textId="77777777" w:rsidR="00913A13" w:rsidRDefault="002F45B8">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7FDED81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1、A类基金份额申购份额的计算方式：</w:t>
      </w:r>
    </w:p>
    <w:p w14:paraId="2314ECF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1）当申购费用适用比例费率时，申购份额的计算公式如下：</w:t>
      </w:r>
    </w:p>
    <w:p w14:paraId="74D33D8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=申购金额/（1+申购费率）</w:t>
      </w:r>
    </w:p>
    <w:p w14:paraId="66ED668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=申购金额－净申购金额</w:t>
      </w:r>
    </w:p>
    <w:p w14:paraId="3C82F8E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 xml:space="preserve">=净申购金额/T </w:t>
      </w:r>
      <w:r>
        <w:rPr>
          <w:rFonts w:asciiTheme="minorEastAsia" w:hAnsiTheme="minorEastAsia" w:cs="Arial" w:hint="eastAsia"/>
          <w:sz w:val="24"/>
          <w:szCs w:val="24"/>
        </w:rPr>
        <w:t>日</w:t>
      </w:r>
      <w:r>
        <w:rPr>
          <w:rFonts w:asciiTheme="minorEastAsia" w:hAnsiTheme="minorEastAsia" w:cs="Arial"/>
          <w:sz w:val="24"/>
          <w:szCs w:val="24"/>
        </w:rPr>
        <w:t>A类基金份额净值</w:t>
      </w:r>
    </w:p>
    <w:p w14:paraId="0794523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2）当申购费用为固定金额时，申购份额的计算方法如下：</w:t>
      </w:r>
    </w:p>
    <w:p w14:paraId="6022278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申购费用＝固定费用</w:t>
      </w:r>
    </w:p>
    <w:p w14:paraId="1954087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47D5989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w:t>
      </w:r>
      <w:r>
        <w:rPr>
          <w:rFonts w:asciiTheme="minorEastAsia" w:hAnsiTheme="minorEastAsia" w:cs="Arial"/>
          <w:sz w:val="24"/>
          <w:szCs w:val="24"/>
        </w:rPr>
        <w:t>/T日A类基金份额净值</w:t>
      </w:r>
    </w:p>
    <w:p w14:paraId="684ADC9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1AFEB9D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 </w:t>
      </w:r>
      <w:r>
        <w:rPr>
          <w:rFonts w:asciiTheme="minorEastAsia" w:hAnsiTheme="minorEastAsia" w:cs="Arial" w:hint="eastAsia"/>
          <w:sz w:val="24"/>
          <w:szCs w:val="24"/>
        </w:rPr>
        <w:t>元申购本基金</w:t>
      </w:r>
      <w:r>
        <w:rPr>
          <w:rFonts w:asciiTheme="minorEastAsia" w:hAnsiTheme="minorEastAsia" w:cs="Arial"/>
          <w:sz w:val="24"/>
          <w:szCs w:val="24"/>
        </w:rPr>
        <w:t>A类基金份额，且该申购申请被全额确认，对应的申购费率为1.5%，假定申购当日A类基金份额净值为1.0500元，则可得到的申购份额为：</w:t>
      </w:r>
    </w:p>
    <w:p w14:paraId="392B830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w:t>
      </w:r>
      <w:r>
        <w:rPr>
          <w:rFonts w:asciiTheme="minorEastAsia" w:hAnsiTheme="minorEastAsia" w:cs="Arial"/>
          <w:sz w:val="24"/>
          <w:szCs w:val="24"/>
        </w:rPr>
        <w:t>50,000/(1+1.5%)＝49,261.08元</w:t>
      </w:r>
    </w:p>
    <w:p w14:paraId="554DB5C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w:t>
      </w:r>
      <w:r>
        <w:rPr>
          <w:rFonts w:asciiTheme="minorEastAsia" w:hAnsiTheme="minorEastAsia" w:cs="Arial"/>
          <w:sz w:val="24"/>
          <w:szCs w:val="24"/>
        </w:rPr>
        <w:t>50,000－49,261.08＝738.92元</w:t>
      </w:r>
    </w:p>
    <w:p w14:paraId="214342C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 xml:space="preserve">49,261.08/1.0500＝46,915.31 </w:t>
      </w:r>
      <w:r>
        <w:rPr>
          <w:rFonts w:asciiTheme="minorEastAsia" w:hAnsiTheme="minorEastAsia" w:cs="Arial" w:hint="eastAsia"/>
          <w:sz w:val="24"/>
          <w:szCs w:val="24"/>
        </w:rPr>
        <w:t>份</w:t>
      </w:r>
    </w:p>
    <w:p w14:paraId="2C666C1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w:t>
      </w:r>
      <w:r>
        <w:rPr>
          <w:rFonts w:asciiTheme="minorEastAsia" w:hAnsiTheme="minorEastAsia" w:cs="Arial"/>
          <w:kern w:val="0"/>
          <w:sz w:val="24"/>
          <w:szCs w:val="24"/>
        </w:rPr>
        <w:t xml:space="preserve">50,000 </w:t>
      </w:r>
      <w:r>
        <w:rPr>
          <w:rFonts w:asciiTheme="minorEastAsia" w:hAnsiTheme="minorEastAsia" w:cs="Arial" w:hint="eastAsia"/>
          <w:kern w:val="0"/>
          <w:sz w:val="24"/>
          <w:szCs w:val="24"/>
        </w:rPr>
        <w:t>元申购本基金</w:t>
      </w:r>
      <w:r>
        <w:rPr>
          <w:rFonts w:asciiTheme="minorEastAsia" w:hAnsiTheme="minorEastAsia" w:cs="Arial"/>
          <w:kern w:val="0"/>
          <w:sz w:val="24"/>
          <w:szCs w:val="24"/>
        </w:rPr>
        <w:t>A类基金份额，假定申购当日A类基金份额净值为1.0500元，可得到46,915.31份A类基金份额。</w:t>
      </w:r>
    </w:p>
    <w:p w14:paraId="704DA25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2、C类基金份额申购份额的计算方式：</w:t>
      </w:r>
    </w:p>
    <w:p w14:paraId="6D59EAB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w:t>
      </w:r>
      <w:r>
        <w:rPr>
          <w:rFonts w:asciiTheme="minorEastAsia" w:hAnsiTheme="minorEastAsia" w:cs="Arial"/>
          <w:sz w:val="24"/>
          <w:szCs w:val="24"/>
        </w:rPr>
        <w:t>/T日C类基金份额净值</w:t>
      </w:r>
    </w:p>
    <w:p w14:paraId="2D8DC20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上述计算结果按照四舍五入方法，保留小数点后两位，由此产生的收益或损失由基金财产承担。</w:t>
      </w:r>
    </w:p>
    <w:p w14:paraId="325A2B4A"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C类基金份额，且该申购申请被全额确认，假定申购当日C类基金份额净值为1.2300元，则可得到的申购份额为：</w:t>
      </w:r>
    </w:p>
    <w:p w14:paraId="483B830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w:t>
      </w:r>
      <w:r>
        <w:rPr>
          <w:rFonts w:asciiTheme="minorEastAsia" w:hAnsiTheme="minorEastAsia" w:cs="Arial"/>
          <w:sz w:val="24"/>
          <w:szCs w:val="24"/>
        </w:rPr>
        <w:t>5,000,000/1.2500=4,000,000.00份</w:t>
      </w:r>
    </w:p>
    <w:p w14:paraId="2E1FB3B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w:t>
      </w:r>
      <w:r>
        <w:rPr>
          <w:rFonts w:asciiTheme="minorEastAsia" w:hAnsiTheme="minorEastAsia" w:cs="Arial"/>
          <w:sz w:val="24"/>
          <w:szCs w:val="24"/>
        </w:rPr>
        <w:t xml:space="preserve">5,000,000 </w:t>
      </w:r>
      <w:r>
        <w:rPr>
          <w:rFonts w:asciiTheme="minorEastAsia" w:hAnsiTheme="minorEastAsia" w:cs="Arial" w:hint="eastAsia"/>
          <w:sz w:val="24"/>
          <w:szCs w:val="24"/>
        </w:rPr>
        <w:t>元申购本基金</w:t>
      </w:r>
      <w:r>
        <w:rPr>
          <w:rFonts w:asciiTheme="minorEastAsia" w:hAnsiTheme="minorEastAsia" w:cs="Arial"/>
          <w:sz w:val="24"/>
          <w:szCs w:val="24"/>
        </w:rPr>
        <w:t>C类基金份额，假定申购当日C类基</w:t>
      </w:r>
      <w:r>
        <w:rPr>
          <w:rFonts w:asciiTheme="minorEastAsia" w:hAnsiTheme="minorEastAsia" w:cs="Arial"/>
          <w:sz w:val="24"/>
          <w:szCs w:val="24"/>
        </w:rPr>
        <w:lastRenderedPageBreak/>
        <w:t>金份额净值为1.2500元，可得到4,000,000.00份C类基金份额。</w:t>
      </w:r>
    </w:p>
    <w:p w14:paraId="113F129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 xml:space="preserve">3、 </w:t>
      </w:r>
      <w:r>
        <w:rPr>
          <w:rFonts w:asciiTheme="minorEastAsia" w:hAnsiTheme="minorEastAsia" w:cs="Arial" w:hint="eastAsia"/>
          <w:sz w:val="24"/>
          <w:szCs w:val="24"/>
        </w:rPr>
        <w:t>赎回金额的计算方式：</w:t>
      </w:r>
    </w:p>
    <w:p w14:paraId="3BB99FF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5B39E65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5747B41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74D4873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w:t>
      </w:r>
      <w:r>
        <w:rPr>
          <w:rFonts w:asciiTheme="minorEastAsia" w:hAnsiTheme="minorEastAsia" w:cs="Arial"/>
          <w:sz w:val="24"/>
          <w:szCs w:val="24"/>
        </w:rPr>
        <w:t>2位，由此产生的收益或损失由基金财产承担。</w:t>
      </w:r>
    </w:p>
    <w:p w14:paraId="1853E69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 xml:space="preserve">1：某投资者赎回10,000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3个月，赎回费率为0.5%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元，则可得到的赎回金额为：</w:t>
      </w:r>
    </w:p>
    <w:p w14:paraId="65C18C0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 xml:space="preserve">1.0680= 10,680.00 </w:t>
      </w:r>
      <w:r>
        <w:rPr>
          <w:rFonts w:asciiTheme="minorEastAsia" w:hAnsiTheme="minorEastAsia" w:cs="Arial" w:hint="eastAsia"/>
          <w:sz w:val="24"/>
          <w:szCs w:val="24"/>
        </w:rPr>
        <w:t>元</w:t>
      </w:r>
    </w:p>
    <w:p w14:paraId="4D253D89"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28B6809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7C6F25A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w:t>
      </w:r>
      <w:r>
        <w:rPr>
          <w:rFonts w:asciiTheme="minorEastAsia" w:hAnsiTheme="minorEastAsia" w:cs="Arial"/>
          <w:sz w:val="24"/>
          <w:szCs w:val="24"/>
        </w:rPr>
        <w:t>3个月，假设赎回申请当日A</w:t>
      </w:r>
      <w:r>
        <w:rPr>
          <w:rFonts w:asciiTheme="minorEastAsia" w:hAnsiTheme="minorEastAsia" w:cs="Arial" w:hint="eastAsia"/>
          <w:sz w:val="24"/>
          <w:szCs w:val="24"/>
        </w:rPr>
        <w:t>类基金份额的基金份额净值是</w:t>
      </w:r>
      <w:r>
        <w:rPr>
          <w:rFonts w:asciiTheme="minorEastAsia" w:hAnsiTheme="minorEastAsia" w:cs="Arial"/>
          <w:sz w:val="24"/>
          <w:szCs w:val="24"/>
        </w:rPr>
        <w:t xml:space="preserve">1.0680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4F05200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w:t>
      </w:r>
      <w:r>
        <w:rPr>
          <w:rFonts w:asciiTheme="minorEastAsia" w:hAnsiTheme="minorEastAsia" w:cs="Arial"/>
          <w:sz w:val="24"/>
          <w:szCs w:val="24"/>
        </w:rPr>
        <w:t>2：某投资人赎回本基金10,000份C类基金份额，持有时间为20日，对应的赎回费率为0.5%，假设赎回当日C类基金份额净值是1.0680元，则其可得到的赎回金额为：</w:t>
      </w:r>
    </w:p>
    <w:p w14:paraId="12A9D58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=10,000×1.0680=10,680元</w:t>
      </w:r>
    </w:p>
    <w:p w14:paraId="1872607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=10,680×0.5%=53.40元</w:t>
      </w:r>
    </w:p>
    <w:p w14:paraId="76EC3BDA"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w:t>
      </w:r>
      <w:r>
        <w:rPr>
          <w:rFonts w:asciiTheme="minorEastAsia" w:hAnsiTheme="minorEastAsia" w:cs="Arial"/>
          <w:sz w:val="24"/>
          <w:szCs w:val="24"/>
        </w:rPr>
        <w:t>=10,680-53.40=10,626.60元</w:t>
      </w:r>
    </w:p>
    <w:p w14:paraId="5FC10CF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w:t>
      </w:r>
      <w:r>
        <w:rPr>
          <w:rFonts w:asciiTheme="minorEastAsia" w:hAnsiTheme="minorEastAsia" w:cs="Arial"/>
          <w:sz w:val="24"/>
          <w:szCs w:val="24"/>
        </w:rPr>
        <w:t>10,000份C类基金份额，持有期限为20日，假设赎回当日本基金C类基金份额净值是1.0680元，则其可得到的净赎回金额为10,626.60元。</w:t>
      </w:r>
    </w:p>
    <w:p w14:paraId="0C1C03E1"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本基金两类基金份额净值的计算，保留到小数点后</w:t>
      </w:r>
      <w:r>
        <w:rPr>
          <w:rFonts w:asciiTheme="minorEastAsia" w:hAnsiTheme="minorEastAsia" w:cs="Times New Roman"/>
          <w:sz w:val="24"/>
          <w:szCs w:val="24"/>
        </w:rPr>
        <w:t>4位，小数点后第5位四舍五入，由此产生的收益或损失由基金财产承担。T</w:t>
      </w:r>
      <w:r>
        <w:rPr>
          <w:rFonts w:asciiTheme="minorEastAsia" w:hAnsiTheme="minorEastAsia" w:cs="Times New Roman" w:hint="eastAsia"/>
          <w:sz w:val="24"/>
          <w:szCs w:val="24"/>
        </w:rPr>
        <w:t>日的基金份额净值在当天收市后计算，并在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29CD8A88" w14:textId="77777777" w:rsidR="00913A13" w:rsidRDefault="002F45B8">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lastRenderedPageBreak/>
        <w:t>八、申购与赎回的登记业务</w:t>
      </w:r>
    </w:p>
    <w:p w14:paraId="4D485B4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6BE34EEB"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0A57852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依照《信息披露办法》的有关规定</w:t>
      </w:r>
      <w:r>
        <w:rPr>
          <w:rFonts w:asciiTheme="minorEastAsia" w:hAnsiTheme="minorEastAsia" w:cs="Times New Roman" w:hint="eastAsia"/>
          <w:sz w:val="24"/>
          <w:szCs w:val="24"/>
        </w:rPr>
        <w:t>在规定媒介公告。</w:t>
      </w:r>
    </w:p>
    <w:p w14:paraId="5A9D20A2" w14:textId="77777777" w:rsidR="00913A13" w:rsidRDefault="002F45B8">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58F9C86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018A2AA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1、因不可抗力导致基金无法正常运作。</w:t>
      </w:r>
    </w:p>
    <w:p w14:paraId="2C931F9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2、发生基金合同规定的暂停基金资产估值情况时，基金管理人可暂停接</w:t>
      </w:r>
      <w:r>
        <w:rPr>
          <w:rFonts w:asciiTheme="minorEastAsia" w:hAnsiTheme="minorEastAsia" w:cs="Arial" w:hint="eastAsia"/>
          <w:sz w:val="24"/>
          <w:szCs w:val="24"/>
        </w:rPr>
        <w:t>受投资人的申购申请。</w:t>
      </w:r>
    </w:p>
    <w:p w14:paraId="232F8BF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3、证券、期货交易所交易时间非正常停市，导致基金管理人无法计算当日基金资产净值。</w:t>
      </w:r>
    </w:p>
    <w:p w14:paraId="721888B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4、接受某笔或某些申购申请可能会影响或损害现有基金份额持有人利益时。</w:t>
      </w:r>
    </w:p>
    <w:p w14:paraId="32417C6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5、基金资产规模过大，使基金管理人无法找到合适的投资品种，或其他可能对基金业绩产生负面影响，或发生其他损害现有基金份额持有人利益的情形。</w:t>
      </w:r>
    </w:p>
    <w:p w14:paraId="154D77C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6、当</w:t>
      </w:r>
      <w:r>
        <w:rPr>
          <w:rFonts w:asciiTheme="minorEastAsia" w:hAnsiTheme="minorEastAsia" w:cs="Arial" w:hint="eastAsia"/>
          <w:sz w:val="24"/>
          <w:szCs w:val="24"/>
        </w:rPr>
        <w:t>特定资产占前一估值日基金资产净值</w:t>
      </w:r>
      <w:r>
        <w:rPr>
          <w:rFonts w:asciiTheme="minorEastAsia" w:hAnsiTheme="minorEastAsia" w:cs="Arial"/>
          <w:sz w:val="24"/>
          <w:szCs w:val="24"/>
        </w:rPr>
        <w:t>50%以上的，经与基金托管人协商确认后，基金管理人应当暂停接受基金申购申请。</w:t>
      </w:r>
    </w:p>
    <w:p w14:paraId="57F894E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7、基金管理人接受某笔或者某些申购申请有可能导致单一投资者持有基金份额的比例达到或者超过50%，或者变相规避50%集中度的情形。</w:t>
      </w:r>
    </w:p>
    <w:p w14:paraId="767682E4"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8</w:t>
      </w:r>
      <w:r>
        <w:rPr>
          <w:rFonts w:asciiTheme="minorEastAsia" w:hAnsiTheme="minorEastAsia" w:cs="Arial" w:hint="eastAsia"/>
          <w:sz w:val="24"/>
          <w:szCs w:val="24"/>
        </w:rPr>
        <w:t>、基金管理人、基金托管人、基金销售机构或登记机构的异常情况导致基金销售系统、登记系统或基金会计系统无法正常运行。</w:t>
      </w:r>
    </w:p>
    <w:p w14:paraId="3B885E83"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9</w:t>
      </w:r>
      <w:r>
        <w:rPr>
          <w:rFonts w:asciiTheme="minorEastAsia" w:hAnsiTheme="minorEastAsia" w:cs="Arial" w:hint="eastAsia"/>
          <w:sz w:val="24"/>
          <w:szCs w:val="24"/>
        </w:rPr>
        <w:t>、接受某笔或某些申购申请超过基金管理人设定的本基金的总规模限额、单日净申购比例上限、单一投资者单日或单笔申购金额上限的。</w:t>
      </w:r>
    </w:p>
    <w:p w14:paraId="799EA0D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10</w:t>
      </w:r>
      <w:r>
        <w:rPr>
          <w:rFonts w:asciiTheme="minorEastAsia" w:hAnsiTheme="minorEastAsia" w:cs="Arial" w:hint="eastAsia"/>
          <w:sz w:val="24"/>
          <w:szCs w:val="24"/>
        </w:rPr>
        <w:t>、法律法规规定或中国证监会认定的其他情形。</w:t>
      </w:r>
    </w:p>
    <w:p w14:paraId="558CCBAB"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发生上述第</w:t>
      </w:r>
      <w:r>
        <w:rPr>
          <w:rFonts w:asciiTheme="minorEastAsia" w:hAnsiTheme="minorEastAsia" w:cs="Arial"/>
          <w:sz w:val="24"/>
          <w:szCs w:val="24"/>
        </w:rPr>
        <w:t>1、2、3、5、6、8、10</w:t>
      </w:r>
      <w:r>
        <w:rPr>
          <w:rFonts w:asciiTheme="minorEastAsia" w:hAnsiTheme="minorEastAsia" w:cs="Arial" w:hint="eastAsia"/>
          <w:sz w:val="24"/>
          <w:szCs w:val="24"/>
        </w:rPr>
        <w:t>项暂停申购情形之一且基金管理人决定暂停接受投资人的申购申请时，基金管理人应当根据有关规定在规定媒介上刊登暂停申购公告。如果投资人的申购申请被拒绝，被拒绝的申购款项本金将退还给投资人。</w:t>
      </w:r>
      <w:r>
        <w:rPr>
          <w:rFonts w:asciiTheme="minorEastAsia" w:hAnsiTheme="minorEastAsia" w:cs="Arial" w:hint="eastAsia"/>
          <w:sz w:val="24"/>
          <w:szCs w:val="24"/>
        </w:rPr>
        <w:lastRenderedPageBreak/>
        <w:t>在暂停申购的情况消除时，基金管理人应及时恢复申购业务的办理。</w:t>
      </w:r>
    </w:p>
    <w:p w14:paraId="156E3345" w14:textId="77777777" w:rsidR="00913A13" w:rsidRDefault="002F45B8">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w:t>
      </w:r>
    </w:p>
    <w:p w14:paraId="3FB190D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bookmarkStart w:id="192" w:name="_Toc416264545"/>
      <w:bookmarkStart w:id="193" w:name="_Toc352229756"/>
      <w:bookmarkStart w:id="194" w:name="_Toc739"/>
      <w:bookmarkStart w:id="195" w:name="_Toc48649708"/>
      <w:bookmarkStart w:id="196" w:name="_Toc123112238"/>
      <w:bookmarkStart w:id="197" w:name="_Toc32584"/>
      <w:bookmarkStart w:id="198" w:name="_Toc123102457"/>
      <w:bookmarkStart w:id="199" w:name="_Toc3329"/>
      <w:bookmarkStart w:id="200" w:name="_Toc29408"/>
      <w:bookmarkStart w:id="201" w:name="_Toc20976"/>
      <w:bookmarkStart w:id="202" w:name="_Toc32092"/>
      <w:bookmarkStart w:id="203" w:name="_Toc98560356"/>
      <w:bookmarkStart w:id="204" w:name="_Toc139991740"/>
      <w:bookmarkStart w:id="205" w:name="_Toc79392622"/>
      <w:bookmarkStart w:id="206" w:name="_Toc141703890"/>
      <w:bookmarkStart w:id="207" w:name="_Toc21237"/>
      <w:bookmarkStart w:id="208" w:name="_Toc17198"/>
      <w:bookmarkStart w:id="209" w:name="_Toc17920"/>
      <w:bookmarkStart w:id="210" w:name="_Toc123051456"/>
      <w:bookmarkStart w:id="211" w:name="_Toc5170"/>
      <w:bookmarkStart w:id="212" w:name="_Toc879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asciiTheme="minorEastAsia" w:hAnsiTheme="minorEastAsia" w:cs="Arial" w:hint="eastAsia"/>
          <w:sz w:val="24"/>
          <w:szCs w:val="24"/>
        </w:rPr>
        <w:t>发生下列情形时，基金管理人可暂停接受投资人的赎回申请或延缓支付赎回款项：</w:t>
      </w:r>
    </w:p>
    <w:p w14:paraId="1A0F7456"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1、因不可抗力导致基金管理人不能支付赎回款项。</w:t>
      </w:r>
    </w:p>
    <w:p w14:paraId="5DEEB8F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2、发生基金合同规定的暂停基金资产估值情况时，基金管理人可暂停接受投资人的赎回申请或延缓支付赎回款项。</w:t>
      </w:r>
    </w:p>
    <w:p w14:paraId="2A3BD97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3、证券、期货交易所交易时间非正常停市，导致基金管理人无法计算当日基金资产净值。</w:t>
      </w:r>
    </w:p>
    <w:p w14:paraId="55137BDB"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4、连续两个或两个以上开放日发生巨额赎回。</w:t>
      </w:r>
    </w:p>
    <w:p w14:paraId="67836C87"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5、发生继续接受赎回申请将损害现有基金份额持有人利益的情形时，基金管理人可暂停接受基金份额持有人的赎回申请。</w:t>
      </w:r>
    </w:p>
    <w:p w14:paraId="37E76D6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6、当</w:t>
      </w:r>
      <w:r>
        <w:rPr>
          <w:rFonts w:asciiTheme="minorEastAsia" w:hAnsiTheme="minorEastAsia" w:cs="Arial" w:hint="eastAsia"/>
          <w:sz w:val="24"/>
          <w:szCs w:val="24"/>
        </w:rPr>
        <w:t>特定资产占前一估值日基金资产净值</w:t>
      </w:r>
      <w:r>
        <w:rPr>
          <w:rFonts w:asciiTheme="minorEastAsia" w:hAnsiTheme="minorEastAsia" w:cs="Arial"/>
          <w:sz w:val="24"/>
          <w:szCs w:val="24"/>
        </w:rPr>
        <w:t>50%以上的，经与基金托管人协商确认后，基金管理人应当延缓支付赎回款项或暂停接受基金赎回申请。</w:t>
      </w:r>
    </w:p>
    <w:p w14:paraId="445DEE80"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7、法律法规规定或中国证监会认定的其他情形。</w:t>
      </w:r>
    </w:p>
    <w:p w14:paraId="629380A9"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发生上述情形之一且基金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w:t>
      </w:r>
      <w:r>
        <w:rPr>
          <w:rFonts w:asciiTheme="minorEastAsia" w:hAnsiTheme="minorEastAsia" w:cs="Arial"/>
          <w:sz w:val="24"/>
          <w:szCs w:val="24"/>
        </w:rPr>
        <w:t>4项所述情形，按基金合同的相关条款处理。基金份额持有人在申请赎回时可事先选择将当日可能未获受理部分予以撤销。在暂停赎回的情况消除时，基金管理人应及时恢复赎回业务的办理并公告。</w:t>
      </w:r>
    </w:p>
    <w:p w14:paraId="4FBBBD44"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7058CCCA"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1、巨额赎回的认定</w:t>
      </w:r>
    </w:p>
    <w:p w14:paraId="19B56196"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若本基金单个开放日内的基金份额净赎回申请</w:t>
      </w:r>
      <w:r>
        <w:rPr>
          <w:rFonts w:asciiTheme="minorEastAsia" w:hAnsiTheme="minorEastAsia" w:cs="Arial"/>
          <w:sz w:val="24"/>
          <w:szCs w:val="24"/>
        </w:rPr>
        <w:t>(赎回申请份额总数加上基金转换中转出申请份额总数后扣除申购申请份额总数及基金转换中转入申请份额总数后的余额)超过前一开放日的基金总份额的10%，即认为是发生了巨额赎回。</w:t>
      </w:r>
    </w:p>
    <w:p w14:paraId="5E6D893D"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2、巨额赎回的处理方式</w:t>
      </w:r>
    </w:p>
    <w:p w14:paraId="2B36C985"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当基金出现巨额赎回时，基金管理人可以根据基金当时的资产组合状况决定全额赎回或部分延期赎回。</w:t>
      </w:r>
    </w:p>
    <w:p w14:paraId="6FDDBD6B"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w:t>
      </w:r>
      <w:r>
        <w:rPr>
          <w:rFonts w:asciiTheme="minorEastAsia" w:hAnsiTheme="minorEastAsia" w:cs="Arial"/>
          <w:sz w:val="24"/>
          <w:szCs w:val="24"/>
        </w:rPr>
        <w:t>1）全额赎回：当基金管理人认为有能力支付投资人的全部赎回申请时，按正常赎回程序执行。</w:t>
      </w:r>
    </w:p>
    <w:p w14:paraId="28B8A45D" w14:textId="77777777" w:rsidR="00913A13" w:rsidRDefault="002F45B8">
      <w:pPr>
        <w:spacing w:line="360" w:lineRule="auto"/>
        <w:ind w:firstLineChars="200" w:firstLine="480"/>
        <w:rPr>
          <w:bCs/>
          <w:sz w:val="24"/>
        </w:rPr>
      </w:pPr>
      <w:r>
        <w:rPr>
          <w:rFonts w:asciiTheme="minorEastAsia" w:hAnsiTheme="minorEastAsia" w:cs="Arial" w:hint="eastAsia"/>
          <w:sz w:val="24"/>
          <w:szCs w:val="24"/>
        </w:rPr>
        <w:t>（</w:t>
      </w:r>
      <w:r>
        <w:rPr>
          <w:rFonts w:asciiTheme="minorEastAsia" w:hAnsiTheme="minorEastAsia" w:cs="Arial"/>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r>
        <w:rPr>
          <w:rFonts w:asciiTheme="minorEastAsia" w:hAnsiTheme="minorEastAsia" w:cs="Arial" w:hint="eastAsia"/>
          <w:sz w:val="24"/>
          <w:szCs w:val="24"/>
        </w:rPr>
        <w:t>并以下一开放日的该类基金份额净值为基础计算赎回金额，以此类推，直到全部赎回为止。如投资人在提交赎回申请时未作明确选择，投资人未能赎回部分作自动延期赎回处理。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4E864C3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3）若本基金发生巨额赎回</w:t>
      </w:r>
      <w:r>
        <w:rPr>
          <w:rFonts w:asciiTheme="minorEastAsia" w:hAnsiTheme="minorEastAsia" w:cs="Arial" w:hint="eastAsia"/>
          <w:sz w:val="24"/>
          <w:szCs w:val="24"/>
        </w:rPr>
        <w:t>且在单个基金份额持有人超过上一日基金总份额</w:t>
      </w:r>
      <w:r>
        <w:rPr>
          <w:rFonts w:asciiTheme="minorEastAsia" w:hAnsiTheme="minorEastAsia" w:cs="Arial"/>
          <w:sz w:val="24"/>
          <w:szCs w:val="24"/>
        </w:rPr>
        <w:t>20%以上的赎回申请的情形下，基金管理人有权对于该基金份额持有人当日超过上一日基金总份额20%以上的那部分赎回申请进行延期办理，对于该基金份额持有人其余赎回申请部分，基金管理人有权根据前段“（1）全额赎回”或“（2）部分延期赎回”的约定方式与其他基金份额持有人的赎回申请一并办理。但是，如该基金份额持有人在提交赎回申请时选择取消赎回，则其当日未获受理的部分赎回申请将被撤销。</w:t>
      </w:r>
    </w:p>
    <w:p w14:paraId="1127B2C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4）暂停赎回：连续2个开放日以上（含本数）发生巨额赎回，如基金管理人认为有必要，可暂停接受基金的赎回申请；已经接受的赎回申请可以延缓支付赎回款项，但不得超过20个工作日，并应当在</w:t>
      </w:r>
      <w:r>
        <w:rPr>
          <w:rFonts w:asciiTheme="minorEastAsia" w:hAnsiTheme="minorEastAsia" w:cs="Arial" w:hint="eastAsia"/>
          <w:sz w:val="24"/>
          <w:szCs w:val="24"/>
        </w:rPr>
        <w:t>规定媒介上进行公告。</w:t>
      </w:r>
    </w:p>
    <w:p w14:paraId="3B0338DE"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3、巨额赎回的公告</w:t>
      </w:r>
    </w:p>
    <w:p w14:paraId="05A960B0"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当发生上述巨额赎回并延期办理时，基金管理人应当通过邮寄、传真或者招募说明书规定的其他方式在</w:t>
      </w:r>
      <w:r>
        <w:rPr>
          <w:rFonts w:asciiTheme="minorEastAsia" w:hAnsiTheme="minorEastAsia" w:cs="Arial"/>
          <w:sz w:val="24"/>
          <w:szCs w:val="24"/>
        </w:rPr>
        <w:t>3个交易日内通知基金份额持有人，说明有关处理方法，并依照《信息披露办法》的有关规定在</w:t>
      </w:r>
      <w:r>
        <w:rPr>
          <w:rFonts w:asciiTheme="minorEastAsia" w:hAnsiTheme="minorEastAsia" w:cs="Arial" w:hint="eastAsia"/>
          <w:sz w:val="24"/>
          <w:szCs w:val="24"/>
        </w:rPr>
        <w:t>规定媒介上刊登公告。</w:t>
      </w:r>
    </w:p>
    <w:p w14:paraId="4DEEF0B7"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62957FD5"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lastRenderedPageBreak/>
        <w:t>1、发生上述暂停申购或赎回情况的，基金管理人应在规定期限内在</w:t>
      </w:r>
      <w:r>
        <w:rPr>
          <w:rFonts w:asciiTheme="minorEastAsia" w:hAnsiTheme="minorEastAsia" w:cs="Arial" w:hint="eastAsia"/>
          <w:sz w:val="24"/>
          <w:szCs w:val="24"/>
        </w:rPr>
        <w:t>规定媒介上刊登暂停公告。</w:t>
      </w:r>
    </w:p>
    <w:p w14:paraId="1C56090A"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2、如发生暂停的时间为1日，基金管理人应于重新开放日，在</w:t>
      </w:r>
      <w:r>
        <w:rPr>
          <w:rFonts w:asciiTheme="minorEastAsia" w:hAnsiTheme="minorEastAsia" w:cs="Arial" w:hint="eastAsia"/>
          <w:sz w:val="24"/>
          <w:szCs w:val="24"/>
        </w:rPr>
        <w:t>规定媒介上刊登基金重新开放申购或赎回公告，并公布最近</w:t>
      </w:r>
      <w:r>
        <w:rPr>
          <w:rFonts w:asciiTheme="minorEastAsia" w:hAnsiTheme="minorEastAsia" w:cs="Arial"/>
          <w:sz w:val="24"/>
          <w:szCs w:val="24"/>
        </w:rPr>
        <w:t>1个开放日的各类基金份额净值。</w:t>
      </w:r>
    </w:p>
    <w:p w14:paraId="2BA5855F"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sz w:val="24"/>
          <w:szCs w:val="24"/>
        </w:rPr>
        <w:t xml:space="preserve">3、如发生暂停的时间超过1 日，基金管理人应提前1 </w:t>
      </w:r>
      <w:r>
        <w:rPr>
          <w:rFonts w:asciiTheme="minorEastAsia" w:hAnsiTheme="minorEastAsia" w:cs="Arial" w:hint="eastAsia"/>
          <w:sz w:val="24"/>
          <w:szCs w:val="24"/>
        </w:rPr>
        <w:t>个工作日在规定媒介刊登基金重新开放申购或赎回的公告，并在重新开始办理申购或赎回的开放日公告最近</w:t>
      </w:r>
      <w:r>
        <w:rPr>
          <w:rFonts w:asciiTheme="minorEastAsia" w:hAnsiTheme="minorEastAsia" w:cs="Arial"/>
          <w:sz w:val="24"/>
          <w:szCs w:val="24"/>
        </w:rPr>
        <w:t xml:space="preserve">1 </w:t>
      </w:r>
      <w:r>
        <w:rPr>
          <w:rFonts w:asciiTheme="minorEastAsia" w:hAnsiTheme="minorEastAsia" w:cs="Arial" w:hint="eastAsia"/>
          <w:sz w:val="24"/>
          <w:szCs w:val="24"/>
        </w:rPr>
        <w:t>个工作日的各类基金份额净值。</w:t>
      </w:r>
    </w:p>
    <w:p w14:paraId="07FA64F5"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2BFFBD82"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0D15E80A"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十四、基金的非交易过户</w:t>
      </w:r>
    </w:p>
    <w:p w14:paraId="1C7389DF"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14:paraId="177CF95F"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30775E52"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十五、基金的转托管</w:t>
      </w:r>
    </w:p>
    <w:p w14:paraId="6E6A3B17"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7C69D03F"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十六、定期定额投资计划</w:t>
      </w:r>
    </w:p>
    <w:p w14:paraId="0266FA80"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w:t>
      </w:r>
      <w:r>
        <w:rPr>
          <w:rFonts w:asciiTheme="minorEastAsia" w:hAnsiTheme="minorEastAsia" w:cs="Arial" w:hint="eastAsia"/>
          <w:sz w:val="24"/>
          <w:szCs w:val="24"/>
        </w:rPr>
        <w:lastRenderedPageBreak/>
        <w:t>必须不低于基金管理人在相关公告或更新的招募说明书中所规定的定期定额投资计划最低申购金额。</w:t>
      </w:r>
    </w:p>
    <w:p w14:paraId="43A4AC7C"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十七、基金份额的冻结</w:t>
      </w:r>
      <w:r>
        <w:rPr>
          <w:rFonts w:asciiTheme="minorEastAsia" w:hAnsiTheme="minorEastAsia" w:cs="Arial"/>
          <w:b/>
          <w:sz w:val="24"/>
          <w:szCs w:val="24"/>
        </w:rPr>
        <w:t>、</w:t>
      </w:r>
      <w:r>
        <w:rPr>
          <w:rFonts w:asciiTheme="minorEastAsia" w:hAnsiTheme="minorEastAsia" w:cs="Arial" w:hint="eastAsia"/>
          <w:b/>
          <w:sz w:val="24"/>
          <w:szCs w:val="24"/>
        </w:rPr>
        <w:t>解冻和质押</w:t>
      </w:r>
    </w:p>
    <w:p w14:paraId="1F79DC6E" w14:textId="77777777" w:rsidR="00913A13" w:rsidRDefault="002F45B8">
      <w:pPr>
        <w:spacing w:line="360" w:lineRule="auto"/>
        <w:ind w:firstLineChars="200" w:firstLine="480"/>
        <w:rPr>
          <w:bCs/>
          <w:sz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基金份额被冻结的，被冻结部分产生的权益一并冻结，被冻结部分份额仍然参与收益分配。法律法规或监管部门另有规定的除外。</w:t>
      </w:r>
    </w:p>
    <w:p w14:paraId="210A281A" w14:textId="77777777" w:rsidR="00913A13" w:rsidRDefault="002F45B8">
      <w:pPr>
        <w:spacing w:line="360" w:lineRule="auto"/>
        <w:ind w:firstLineChars="200" w:firstLine="480"/>
        <w:rPr>
          <w:bCs/>
          <w:sz w:val="24"/>
        </w:rPr>
      </w:pPr>
      <w:r>
        <w:rPr>
          <w:rFonts w:hint="eastAsia"/>
          <w:bCs/>
          <w:sz w:val="24"/>
        </w:rPr>
        <w:t>如相关法律法规允许基金管理人办理基金份额的质押业务或其他基金业务，在对基金份额持有人无实质性不利影响的情况下，履行相关程序后，基金管理人将制定和实施相应的业务规则。</w:t>
      </w:r>
    </w:p>
    <w:p w14:paraId="1DB13381"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十八、基金份额的转让</w:t>
      </w:r>
    </w:p>
    <w:p w14:paraId="3211AF56"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在规定媒介公告相关的业务规则，基金份额持有人应根据基金管理人届时公告的业务规则办理基金份额转让业务。</w:t>
      </w:r>
    </w:p>
    <w:p w14:paraId="6B80370E" w14:textId="77777777" w:rsidR="00913A13" w:rsidRDefault="002F45B8">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十九、实施侧袋机制期间本基金的申购与赎回</w:t>
      </w:r>
    </w:p>
    <w:p w14:paraId="30CCF27F" w14:textId="77777777" w:rsidR="00913A13" w:rsidRDefault="002F45B8">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本基金实施侧袋机制的，本基金的申购和赎回安排详见招募说明书“侧袋机制</w:t>
      </w:r>
      <w:r>
        <w:rPr>
          <w:rFonts w:asciiTheme="minorEastAsia" w:hAnsiTheme="minorEastAsia" w:cs="Arial"/>
          <w:sz w:val="24"/>
          <w:szCs w:val="24"/>
        </w:rPr>
        <w:t>”</w:t>
      </w:r>
      <w:r>
        <w:rPr>
          <w:rFonts w:asciiTheme="minorEastAsia" w:hAnsiTheme="minorEastAsia" w:cs="Arial" w:hint="eastAsia"/>
          <w:sz w:val="24"/>
          <w:szCs w:val="24"/>
        </w:rPr>
        <w:t>部分的规定或相关公告。</w:t>
      </w:r>
    </w:p>
    <w:p w14:paraId="417FC6E1" w14:textId="77777777" w:rsidR="00913A13" w:rsidRDefault="002F45B8">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5DFD9049" w14:textId="77777777" w:rsidR="00913A13" w:rsidRDefault="002F45B8">
      <w:pPr>
        <w:pStyle w:val="1"/>
        <w:jc w:val="center"/>
        <w:rPr>
          <w:sz w:val="30"/>
          <w:szCs w:val="30"/>
        </w:rPr>
      </w:pPr>
      <w:bookmarkStart w:id="213" w:name="_Toc136963809"/>
      <w:bookmarkStart w:id="214" w:name="_Toc68266296"/>
      <w:r>
        <w:rPr>
          <w:rFonts w:hint="eastAsia"/>
          <w:sz w:val="30"/>
          <w:szCs w:val="30"/>
        </w:rPr>
        <w:lastRenderedPageBreak/>
        <w:t>第九部分</w:t>
      </w:r>
      <w:r>
        <w:rPr>
          <w:sz w:val="30"/>
          <w:szCs w:val="30"/>
        </w:rPr>
        <w:t xml:space="preserve">  </w:t>
      </w:r>
      <w:r>
        <w:rPr>
          <w:rFonts w:hint="eastAsia"/>
          <w:sz w:val="30"/>
          <w:szCs w:val="30"/>
        </w:rPr>
        <w:t>基金的投资</w:t>
      </w:r>
      <w:bookmarkEnd w:id="192"/>
      <w:bookmarkEnd w:id="213"/>
      <w:bookmarkEnd w:id="214"/>
    </w:p>
    <w:p w14:paraId="63952599"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一、投资目标</w:t>
      </w:r>
    </w:p>
    <w:p w14:paraId="6BD039B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本基金通过对行业及公司深入的研究分析，精选优质上市公司，在严格控制风险和保持资产流动性的前提下，追求超越业绩比较基准的投资回报，力争实现基金资产的长期稳健增值。</w:t>
      </w:r>
    </w:p>
    <w:p w14:paraId="2E4236B6"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二、投资范围</w:t>
      </w:r>
    </w:p>
    <w:p w14:paraId="3D399DE3"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投资范围为具有良好流动性的金融工具，包括国内依法发行上市的股票（含主板、科创板、创业板及其他经中国证监会允许投资的股票）、存托凭证、债券（包括国债、央行票据、金融债券、企业债券、公司债券、中期票据、短期融资券、超短期融资券、次级债券、政府支持债券、地方政府债券、可转换债券、可交换债券及其他经中国证监会允许投资的债券）、资产支持证券、债券回购、同业存单、银行存款（包括协议存款、定期存款及其他银行存款）、货币市场工具、股指期货、国债期货、股票期权以及法律法规或中国证监会允许基金投资的其他金融工具</w:t>
      </w:r>
      <w:r>
        <w:rPr>
          <w:rFonts w:asciiTheme="minorEastAsia" w:hAnsiTheme="minorEastAsia" w:cs="Times New Roman"/>
          <w:bCs/>
          <w:sz w:val="24"/>
          <w:szCs w:val="24"/>
        </w:rPr>
        <w:t>(但须符合中国证监会相关规定)。</w:t>
      </w:r>
    </w:p>
    <w:p w14:paraId="666AE90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本基金将根据法律法规的规定参与融资业务。在未来条件许可的情况下，本基金可根据相关法律法规，在履行适当程序后，参与融券业务和转融通证券出借业务。</w:t>
      </w:r>
    </w:p>
    <w:p w14:paraId="2E7A8A0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如果法律法规或监管机构以后允许基金投资其他品种，基金管理人在履行适当程序后，可以将其纳入投资范围。</w:t>
      </w:r>
    </w:p>
    <w:p w14:paraId="2E0E429A"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本基金的投资组合比例为：股票资产占基金资产的比例为</w:t>
      </w:r>
      <w:r>
        <w:rPr>
          <w:rFonts w:asciiTheme="minorEastAsia" w:hAnsiTheme="minorEastAsia" w:cs="Times New Roman"/>
          <w:bCs/>
          <w:sz w:val="24"/>
          <w:szCs w:val="24"/>
        </w:rPr>
        <w:t>60%-95%。每个交易日日终在扣除股指期货、国债期货、股票期权合约需缴纳的</w:t>
      </w:r>
      <w:r>
        <w:rPr>
          <w:rFonts w:asciiTheme="minorEastAsia" w:hAnsiTheme="minorEastAsia" w:cs="Times New Roman" w:hint="eastAsia"/>
          <w:bCs/>
          <w:sz w:val="24"/>
          <w:szCs w:val="24"/>
        </w:rPr>
        <w:t>交易保证金以后，基金保留的现金或投资于到期日在一年以内的政府债券的比例合计不低于基金资产净值的</w:t>
      </w:r>
      <w:r>
        <w:rPr>
          <w:rFonts w:asciiTheme="minorEastAsia" w:hAnsiTheme="minorEastAsia" w:cs="Times New Roman"/>
          <w:bCs/>
          <w:sz w:val="24"/>
          <w:szCs w:val="24"/>
        </w:rPr>
        <w:t>5%，本基金所指的现金不包括结算备付金、存出保证金、应收申购款等。股指期货、国债期货、股票期权及其他金融工具的投资比例依照法律法规或监管机构的规定执行。</w:t>
      </w:r>
    </w:p>
    <w:p w14:paraId="741DE4C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如果法律法规或中国证监会变更投资品种的投资比例限制，基金管理人在履行适当程序后，可以调整上述投资品种的投资比例。</w:t>
      </w:r>
    </w:p>
    <w:p w14:paraId="39DEE0DD"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三、投资策略</w:t>
      </w:r>
      <w:r>
        <w:rPr>
          <w:rFonts w:asciiTheme="minorEastAsia" w:hAnsiTheme="minorEastAsia" w:cs="Times New Roman"/>
          <w:b/>
          <w:bCs/>
          <w:sz w:val="24"/>
          <w:szCs w:val="24"/>
        </w:rPr>
        <w:t xml:space="preserve"> </w:t>
      </w:r>
    </w:p>
    <w:p w14:paraId="3665633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1、大类资产配置</w:t>
      </w:r>
    </w:p>
    <w:p w14:paraId="6A9C0228"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本基金在资产配置上采取相对稳健的策略，采取“自上而下”的方式进行大类</w:t>
      </w:r>
      <w:r>
        <w:rPr>
          <w:rFonts w:asciiTheme="minorEastAsia" w:hAnsiTheme="minorEastAsia" w:cs="Times New Roman" w:hint="eastAsia"/>
          <w:bCs/>
          <w:sz w:val="24"/>
          <w:szCs w:val="24"/>
        </w:rPr>
        <w:lastRenderedPageBreak/>
        <w:t>资产配置，根据对宏观经济、市场面、政策面等因素进行定量与定性相结合的分析研究，根据各类资产不同的预期风险收益比来确定组合中股票、债券、货币市场工具及其他金融工具的比例。</w:t>
      </w:r>
    </w:p>
    <w:p w14:paraId="7E0B95D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2、股票投资策略</w:t>
      </w:r>
    </w:p>
    <w:p w14:paraId="1D7F523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1）行业配置策略</w:t>
      </w:r>
    </w:p>
    <w:p w14:paraId="3882A36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本基金将通过分析以下因素，对各行业的投资价值进行综合评估，从而确定并动态调整行业配置比例。</w:t>
      </w:r>
    </w:p>
    <w:p w14:paraId="06C4B8C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1）行业景气度</w:t>
      </w:r>
    </w:p>
    <w:p w14:paraId="43F1BA3B"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密切关注国家相关产业政策、规划动态，并结合行业数据持续跟踪、上下游产业链深入进行调研等方法，根据相关行业盈利水平的横向与纵向比较，适时对各行业景气度周期与行业未来盈利趋势进行研判，重点投资于景气度较高且具有可持续性的行业。</w:t>
      </w:r>
    </w:p>
    <w:p w14:paraId="2B8240A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2）行业竞争格局</w:t>
      </w:r>
    </w:p>
    <w:p w14:paraId="3EF70AA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本基金主要通过密切跟踪行业进入者的数量、行业内各公司的竞争策略及各公司产品或服务的市场份额来判断公司所处行业竞争格局的变化，重点投资于行业竞争格局良好的行业。</w:t>
      </w:r>
    </w:p>
    <w:p w14:paraId="265F92AA"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2）个股投资策略</w:t>
      </w:r>
    </w:p>
    <w:p w14:paraId="3B8A44D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本基金在积极进行行业配置的基础上，通过定量筛选和定性分析相结合的方式来分析和选择具有良好风险收益比的品种。</w:t>
      </w:r>
    </w:p>
    <w:p w14:paraId="4280F2E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首先根据定量指标进行初选，主要依据盈利能力（净资产收益率、销售毛利率、销售净利率、</w:t>
      </w:r>
      <w:r>
        <w:rPr>
          <w:rFonts w:asciiTheme="minorEastAsia" w:hAnsiTheme="minorEastAsia" w:cs="Times New Roman"/>
          <w:bCs/>
          <w:sz w:val="24"/>
          <w:szCs w:val="24"/>
        </w:rPr>
        <w:t>EBITDA/主营业务收入等）、成长性（主营业务收入增长率、营业利润增长率、净利润增长率、销售毛利率增长率、每股收益增长率等）、现金流状况（经营活动现金净流量、现金购销比率、营业现金回笼率等）、偿债能力（资产负债率、利息保障倍数、流动比率、速动比率等）、营运能力（应收账款周转率、存货周转率、总资产周转率、固定资产周转率等）等。主要参考以下定量指标：</w:t>
      </w:r>
    </w:p>
    <w:p w14:paraId="67F47F15"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①公司主营业务收入在未来一段时间的变化趋势，例如主营业务收入增速超越所在行业平均增速；</w:t>
      </w:r>
    </w:p>
    <w:p w14:paraId="29BC34A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②公司扣除非经常性损益后的净利润在未来一段时间的变化趋势，例如扣非净利润增速超越所在行业平均增速；</w:t>
      </w:r>
    </w:p>
    <w:p w14:paraId="343DA7D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③公司盈利能力在未来一段时间的变化趋势，例如盈利能力位于行业所在排名前</w:t>
      </w:r>
      <w:r>
        <w:rPr>
          <w:rFonts w:asciiTheme="minorEastAsia" w:hAnsiTheme="minorEastAsia" w:cs="Times New Roman"/>
          <w:bCs/>
          <w:sz w:val="24"/>
          <w:szCs w:val="24"/>
        </w:rPr>
        <w:t>50%，盈利能力定量指标包括净资产收益率（ROE），投资资本回报（ROIC）等。</w:t>
      </w:r>
    </w:p>
    <w:p w14:paraId="3C5CB88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在定量初选的基础上，定性方面首先考虑公司管理层的诚实与勤勉，是否已经证明了其领导能力和执行能力，公司的企业文化是否有正确的价值导向；公司的发展布局和战略的合理性和可行性；公司的竞争优势是否随着产业发展而逐步加强。</w:t>
      </w:r>
    </w:p>
    <w:p w14:paraId="4C1FC93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基金经理结合定量和定性研究以及实地调研，筛选出行业增长空间广阔、业务布局合理、基本面健康的优秀公司作为本基金的核心投资标的，根据个股的风险收益比选择投资的时机。</w:t>
      </w:r>
    </w:p>
    <w:p w14:paraId="7A77295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在构建组合过程中，坚持风格均衡、个股适度、逆向投资和控制回撤。对于行业构成和个股风险收益比进行持续的权衡和优化，在确保组合在风险可控的前提下，获取稳健收益。</w:t>
      </w:r>
    </w:p>
    <w:p w14:paraId="4879805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3、存托凭证投资策略</w:t>
      </w:r>
    </w:p>
    <w:p w14:paraId="783E4B92" w14:textId="77777777" w:rsidR="00913A13" w:rsidRDefault="002F45B8">
      <w:pPr>
        <w:spacing w:line="360" w:lineRule="auto"/>
        <w:ind w:firstLineChars="200" w:firstLine="480"/>
        <w:rPr>
          <w:bCs/>
          <w:sz w:val="24"/>
        </w:rPr>
      </w:pPr>
      <w:r>
        <w:rPr>
          <w:rFonts w:hint="eastAsia"/>
          <w:bCs/>
          <w:sz w:val="24"/>
        </w:rPr>
        <w:t>本基金将在控制风险的前提下，依照基金投资目标和股票投资策略，基于对基础证券投资价值的深入研究和判断，通过定性分析和定量分析相结合的方式，精选出具有比较优势的存托凭证。</w:t>
      </w:r>
    </w:p>
    <w:p w14:paraId="08E60D7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4、债券投资策略</w:t>
      </w:r>
    </w:p>
    <w:p w14:paraId="7C9E3CA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1）资产配置策略</w:t>
      </w:r>
    </w:p>
    <w:p w14:paraId="5D89D0F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通过对宏观经济运行情况、国家货币及财政政策、资本市场资金环境等重要因素的研究和预测，结合投资时钟理论并利用公司研究开发的多因子模型等数量工具，优化基金资产在利率债、信用债以及货币市场工具等各类固定收益类金融工具之间的配置比例。</w:t>
      </w:r>
    </w:p>
    <w:p w14:paraId="0B23AA1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2）利率类品种投资策略</w:t>
      </w:r>
    </w:p>
    <w:p w14:paraId="7240297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对国债等利率品种的投资，是在对国内外宏观经济运行状况及政策环境等进行分析和预测基础上，研究利率期限结构变化趋势和债券市场供求关系变化趋势，深入分析利率品种的收益和风险，预测调整债券组合的平均久期，并通过运用统计和数量分析技术，选择合适的期限结构的配置策略。在合理控制风险的前提下，综合考虑组合的流动性，决定投资品种。</w:t>
      </w:r>
    </w:p>
    <w:p w14:paraId="228290AB"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3）信用债投资策略</w:t>
      </w:r>
    </w:p>
    <w:p w14:paraId="05F4C80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本基金将在深入的宏观研究基础上，综合分析各类信用债发行主体所处行业环</w:t>
      </w:r>
      <w:r>
        <w:rPr>
          <w:rFonts w:asciiTheme="minorEastAsia" w:hAnsiTheme="minorEastAsia" w:cs="Times New Roman" w:hint="eastAsia"/>
          <w:bCs/>
          <w:sz w:val="24"/>
          <w:szCs w:val="24"/>
        </w:rPr>
        <w:lastRenderedPageBreak/>
        <w:t>境、发行人所处的市场地位、财务状况、管理水平等因素后，结合具体发行契约，对债券进行信用评级。在此基础上，建立信用类债券池，积极发掘信用利差具有相对投资机会的个券进行投资。</w:t>
      </w:r>
    </w:p>
    <w:p w14:paraId="1AA9F76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4）可转换债券投资策略</w:t>
      </w:r>
    </w:p>
    <w:p w14:paraId="0584FBD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可转换债券兼具权益类证券与固定收益类证券的特性，具有抵御下行风险、分享股票价格上涨收益的特点。本基金在对可转换公司债券条款和发行债券公司基本面进行深入分析研究的基础上，综合考虑可转换债券的债性和股性，利用可转换公司债券定价模型进行估值分析，并最终选择合适的投资品种。</w:t>
      </w:r>
    </w:p>
    <w:p w14:paraId="59BF382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5、资产支持证券投资策略</w:t>
      </w:r>
    </w:p>
    <w:p w14:paraId="17D94AF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投资资产支持证券将综合运用久期管理、收益率曲线、个券选择和把握市场交易机会等积极策略，在严格遵守法律法规和基金合同基础上，通过信用研究和流动性管理，选择经风险调整后相对价值较高的品种进行投资，以期获得长期稳定收益。</w:t>
      </w:r>
    </w:p>
    <w:p w14:paraId="061CCA2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6、衍生</w:t>
      </w:r>
      <w:r>
        <w:rPr>
          <w:rFonts w:asciiTheme="minorEastAsia" w:hAnsiTheme="minorEastAsia" w:cs="Times New Roman" w:hint="eastAsia"/>
          <w:bCs/>
          <w:sz w:val="24"/>
          <w:szCs w:val="24"/>
        </w:rPr>
        <w:t>品投资策略</w:t>
      </w:r>
    </w:p>
    <w:p w14:paraId="19851D4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衍生品投资将严格遵守中国证监会及相关法律法规的约束，合理利用股指期货、国债期货、股票期权等衍生工具，将根据风险管理的原则，主要选择流动性好、交易活跃的股指期货、国债期货、股票期权合约进行交易，以对冲投资组合的风险、有效管理现金流量或降低建仓或调仓过程中的冲击成本等。</w:t>
      </w:r>
    </w:p>
    <w:p w14:paraId="22C0189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1）股指期货投资策略</w:t>
      </w:r>
    </w:p>
    <w:p w14:paraId="3E7C016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参与股指期货投资将根据风险管理的原则，以套期保值为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364E3D6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基金管理人针对股指期货交易制订严格的授权管理制度和投资决策流程，确保研究分析、投资决策、交易执行及风险控制各环节的独立运作，并明确相关岗位职责。</w:t>
      </w:r>
    </w:p>
    <w:p w14:paraId="72979893"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2）国债期货投资策略</w:t>
      </w:r>
    </w:p>
    <w:p w14:paraId="3CC523A8"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本基金参与国债期货投资将根据风险管理的原则，以套期保值为目的。本基金</w:t>
      </w:r>
      <w:r>
        <w:rPr>
          <w:rFonts w:asciiTheme="minorEastAsia" w:hAnsiTheme="minorEastAsia" w:cs="Times New Roman" w:hint="eastAsia"/>
          <w:bCs/>
          <w:sz w:val="24"/>
          <w:szCs w:val="24"/>
        </w:rPr>
        <w:lastRenderedPageBreak/>
        <w:t>将在风险可控的前提下，本着谨慎原则，参与国债期货的投资，以管理投资组合的系统性风险，改善组合的风险收益特性。</w:t>
      </w:r>
    </w:p>
    <w:p w14:paraId="71F5BF5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基金管理人针对国债期货交易制订严格的授权管理制度和投资决策流程，确保研究分析、投资决策、交易执行及风险控制各环节的独立运作，并明确相关岗位职责。</w:t>
      </w:r>
    </w:p>
    <w:p w14:paraId="7BBB6318"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3）股票期权投资策略</w:t>
      </w:r>
    </w:p>
    <w:p w14:paraId="5ED589E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41192CD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基金管理人将针对股票期权交易制订严格的授权管理制度和投资决策流程，确保投资、风控等核心岗位人员具备股票期权业务知识和相应的专业能力，严格防范股票期权投资的风险。</w:t>
      </w:r>
    </w:p>
    <w:p w14:paraId="7DD991C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7、参与融资业务投资策略</w:t>
      </w:r>
    </w:p>
    <w:p w14:paraId="1EBAC4E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本基金在参与融资时将根据风险管理的原则，在法律法规允许的范围和比例内、风险可控的前提下，本着谨慎原则，参与融资业务。</w:t>
      </w:r>
    </w:p>
    <w:p w14:paraId="7E1FC520"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四、投资限制</w:t>
      </w:r>
    </w:p>
    <w:p w14:paraId="23DA513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1、组合限制</w:t>
      </w:r>
    </w:p>
    <w:p w14:paraId="096A76B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基金的投资组合应遵循以下限制：</w:t>
      </w:r>
    </w:p>
    <w:p w14:paraId="5459D64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1）股票资产占基金资产的比例为60%-95%；</w:t>
      </w:r>
    </w:p>
    <w:p w14:paraId="157E1C5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每个交易日日终在扣除国债期货、股指期货、股票期权合约需缴纳的交易保证金后，本基金保持不低于基金资产净值5%的现金或者到期日在一年以内的政府债券，其中，现金不包括结算备付金、存出保证金、应收申购款等；</w:t>
      </w:r>
    </w:p>
    <w:p w14:paraId="2210FD95"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3）本基金持有一家公司发行的证券，其市值不超过基金资产净值的10％；</w:t>
      </w:r>
    </w:p>
    <w:p w14:paraId="00DD12C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4）本基金管理人管理的全部基金持有一家公司发行的证券，不超过该证券的10％；</w:t>
      </w:r>
    </w:p>
    <w:p w14:paraId="3C26010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5）本基金投资于同一原始权益人的各类资产支持证券的比例，不得超过基金资产净值的10%；</w:t>
      </w:r>
    </w:p>
    <w:p w14:paraId="190183B8"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6）本基金持有的全部资产支持证券，其市值不得超过基金资产净值的20%；</w:t>
      </w:r>
    </w:p>
    <w:p w14:paraId="6A26EE8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7）本基金持有的同一(指同一信用级别)资产支持证券的比例，不得超过该资产支持证券规模的10%；</w:t>
      </w:r>
    </w:p>
    <w:p w14:paraId="729A86B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8）本基金管理人管理的全部证券投资基金投资于同一原始权益人的各类资产支持证券，不得超过其各类资产支持证券合计规模的10%；</w:t>
      </w:r>
    </w:p>
    <w:p w14:paraId="2D2EFF1C"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9）本基金应投资于信用级别评级为BBB以上(含BBB)的资产支持证券。基金持有资产支持证券期间，如果其信用等级下降、不再符合投资标准，应在评级报告发布之日起3个月内予以全部卖出；</w:t>
      </w:r>
    </w:p>
    <w:p w14:paraId="7EFDACE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10）基金财产参与股票发行申购，本基金所申报的金额不超过本基金的总资产，本基金所申报的股票数量不超过拟发行股票公司本次发行股票的总量；</w:t>
      </w:r>
    </w:p>
    <w:p w14:paraId="64DF5B6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11）本基金进入全国银行间同业市场进行债券回购的资金余额不得超过基金资产净值的40%；本基金在全国银行间同业市场的债券回购最长期限为1年，债券回购到期后不得展期；</w:t>
      </w:r>
    </w:p>
    <w:p w14:paraId="67C1987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12）本基金参与股指期货、国债期货交易依据下列标准建构组合：</w:t>
      </w:r>
    </w:p>
    <w:p w14:paraId="0901F8BA"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1）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14:paraId="2BAFAA9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2）在任何交易日日终，持有的买入股指期货合约价值，不得超过基金资产净值的10%；在任何交易日日终，持有的买入国债期货合约价值，不得超过基金资产净值的15%；</w:t>
      </w:r>
    </w:p>
    <w:p w14:paraId="0D307DD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3）在任何交易日日终，持有的卖出股指期货合约价值不得超过基金持有的股票总市值的20%；在任何交易日日终，持有的卖出国债期货合约价值不得超过基金持有的债券总市值的30%；</w:t>
      </w:r>
    </w:p>
    <w:p w14:paraId="185739F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4）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6557119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5）本基金在任何交易日内交易（不包括平仓）的股指期货合约的成交金额不得超过上一交易日基金资产净值的20%；本基金在任何交易日内交易（不包括平仓）</w:t>
      </w:r>
      <w:r>
        <w:rPr>
          <w:rFonts w:asciiTheme="minorEastAsia" w:hAnsiTheme="minorEastAsia" w:cs="Times New Roman" w:hint="eastAsia"/>
          <w:bCs/>
          <w:sz w:val="24"/>
          <w:szCs w:val="24"/>
        </w:rPr>
        <w:lastRenderedPageBreak/>
        <w:t>的国债期货合约的成交金额不得超过上一交易日基金资产净值的</w:t>
      </w:r>
      <w:r>
        <w:rPr>
          <w:rFonts w:asciiTheme="minorEastAsia" w:hAnsiTheme="minorEastAsia" w:cs="Times New Roman"/>
          <w:bCs/>
          <w:sz w:val="24"/>
          <w:szCs w:val="24"/>
        </w:rPr>
        <w:t>30%；</w:t>
      </w:r>
    </w:p>
    <w:p w14:paraId="584BBB48"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13）本基金投资流通受限证券，基金管理人应事先根据中国证监会相关规定，在首次投资前与基金托管人签订风险控制补充协议，并明确基金投资流通受限证券的比例，根据比例进行投资；</w:t>
      </w:r>
    </w:p>
    <w:p w14:paraId="6C5C8DAC"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14）基金资产</w:t>
      </w:r>
      <w:r>
        <w:rPr>
          <w:rFonts w:asciiTheme="minorEastAsia" w:hAnsiTheme="minorEastAsia" w:cs="Times New Roman" w:hint="eastAsia"/>
          <w:bCs/>
          <w:sz w:val="24"/>
          <w:szCs w:val="24"/>
        </w:rPr>
        <w:t>总值不得超过基金资产净值的</w:t>
      </w:r>
      <w:r>
        <w:rPr>
          <w:rFonts w:asciiTheme="minorEastAsia" w:hAnsiTheme="minorEastAsia" w:cs="Times New Roman"/>
          <w:bCs/>
          <w:sz w:val="24"/>
          <w:szCs w:val="24"/>
        </w:rPr>
        <w:t>140%；</w:t>
      </w:r>
    </w:p>
    <w:p w14:paraId="35B3FB7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15）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54C3DBE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16）本基金主动投资于流动性受限资产的市值合计不得超过</w:t>
      </w:r>
      <w:r>
        <w:rPr>
          <w:rFonts w:asciiTheme="minorEastAsia" w:hAnsiTheme="minorEastAsia" w:cs="Times New Roman" w:hint="eastAsia"/>
          <w:bCs/>
          <w:sz w:val="24"/>
          <w:szCs w:val="24"/>
        </w:rPr>
        <w:t>基金资产净值的</w:t>
      </w:r>
      <w:r>
        <w:rPr>
          <w:rFonts w:asciiTheme="minorEastAsia" w:hAnsiTheme="minorEastAsia" w:cs="Times New Roman"/>
          <w:bCs/>
          <w:sz w:val="24"/>
          <w:szCs w:val="24"/>
        </w:rPr>
        <w:t>15%；</w:t>
      </w:r>
    </w:p>
    <w:p w14:paraId="78D8F40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因证券市场波动、上市公司股票停牌、基金规模变动等基金管理人之外的因素致使基金不符合前款所规定比例限制的，基金管理人不得主动新增流动性受限资产的投资；</w:t>
      </w:r>
    </w:p>
    <w:p w14:paraId="36179893"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17）本基金与私募类</w:t>
      </w:r>
      <w:r>
        <w:rPr>
          <w:rFonts w:asciiTheme="minorEastAsia" w:hAnsiTheme="minorEastAsia" w:cs="Times New Roman" w:hint="eastAsia"/>
          <w:bCs/>
          <w:sz w:val="24"/>
          <w:szCs w:val="24"/>
        </w:rPr>
        <w:t>证券资管产品及中国证监会认定的其他主体为交易对手开展逆回购交易的，可接受质押品的资质要求应当与基金合同约定的投资范围保持一致；</w:t>
      </w:r>
    </w:p>
    <w:p w14:paraId="4245110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18）本基金参与股票期权交易的，需遵守下列投资比例限制：</w:t>
      </w:r>
    </w:p>
    <w:p w14:paraId="6EA9FF6B"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1）本基金因未平仓的期权合约支付和收取的权利金总额不得超过基金资产净值的10%；</w:t>
      </w:r>
    </w:p>
    <w:p w14:paraId="0AB8A49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2）本基金开仓卖出认购期权的，应持有足额标的证券；开仓卖出认沽期权的，应持有合约行权所需的全额现金或交易所规则认可的可冲抵期权保证金的现金等价物；</w:t>
      </w:r>
    </w:p>
    <w:p w14:paraId="688EB39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3）本基金未平仓的期权合约面值不得超过基金资产净值的20%。其中，合约面值按照行权价乘以合约乘数计算；</w:t>
      </w:r>
    </w:p>
    <w:p w14:paraId="458C319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19</w:t>
      </w:r>
      <w:r>
        <w:rPr>
          <w:rFonts w:asciiTheme="minorEastAsia" w:hAnsiTheme="minorEastAsia" w:cs="Times New Roman" w:hint="eastAsia"/>
          <w:bCs/>
          <w:sz w:val="24"/>
          <w:szCs w:val="24"/>
        </w:rPr>
        <w:t>）本基金投资存托凭证的比例限制依照境内上市交易的股票执行，与境内上市交易的股票合并计算；</w:t>
      </w:r>
    </w:p>
    <w:p w14:paraId="2E57859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20</w:t>
      </w:r>
      <w:r>
        <w:rPr>
          <w:rFonts w:asciiTheme="minorEastAsia" w:hAnsiTheme="minorEastAsia" w:cs="Times New Roman" w:hint="eastAsia"/>
          <w:bCs/>
          <w:sz w:val="24"/>
          <w:szCs w:val="24"/>
        </w:rPr>
        <w:t>）本基金参与融资的，每个交易日日终，本基金持有的融资买入股票与其他有价证券市值之和，不得超过基金资产净值的</w:t>
      </w:r>
      <w:r>
        <w:rPr>
          <w:rFonts w:asciiTheme="minorEastAsia" w:hAnsiTheme="minorEastAsia" w:cs="Times New Roman"/>
          <w:bCs/>
          <w:sz w:val="24"/>
          <w:szCs w:val="24"/>
        </w:rPr>
        <w:t>95%；</w:t>
      </w:r>
    </w:p>
    <w:p w14:paraId="6EAC9E83"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21</w:t>
      </w:r>
      <w:r>
        <w:rPr>
          <w:rFonts w:asciiTheme="minorEastAsia" w:hAnsiTheme="minorEastAsia" w:cs="Times New Roman" w:hint="eastAsia"/>
          <w:bCs/>
          <w:sz w:val="24"/>
          <w:szCs w:val="24"/>
        </w:rPr>
        <w:t>）法律法规及中国证监会规定的和《基金合同》约定的其他投资限制。</w:t>
      </w:r>
    </w:p>
    <w:p w14:paraId="6F49EB5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除上述第（</w:t>
      </w:r>
      <w:r>
        <w:rPr>
          <w:rFonts w:asciiTheme="minorEastAsia" w:hAnsiTheme="minorEastAsia" w:cs="Times New Roman"/>
          <w:bCs/>
          <w:sz w:val="24"/>
          <w:szCs w:val="24"/>
        </w:rPr>
        <w:t>2）、（9）、（13）、（16）、（17）项另有约定外，因证券、期货市场波动、</w:t>
      </w:r>
      <w:r>
        <w:rPr>
          <w:rFonts w:asciiTheme="minorEastAsia" w:hAnsiTheme="minorEastAsia" w:cs="Times New Roman" w:hint="eastAsia"/>
          <w:bCs/>
          <w:sz w:val="24"/>
          <w:szCs w:val="24"/>
        </w:rPr>
        <w:t>证券发行人合并、基金规模变动等基金管理人之外的因素致使基金投资比例不符合上述规定投资比例的，基金管理人应当在</w:t>
      </w:r>
      <w:r>
        <w:rPr>
          <w:rFonts w:asciiTheme="minorEastAsia" w:hAnsiTheme="minorEastAsia" w:cs="Times New Roman"/>
          <w:bCs/>
          <w:sz w:val="24"/>
          <w:szCs w:val="24"/>
        </w:rPr>
        <w:t>10个交易日内进行调整，但中国证监会规定的特殊情形除外。</w:t>
      </w:r>
    </w:p>
    <w:p w14:paraId="01D579A4"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基金管理人应当自基金合同生效之日起</w:t>
      </w:r>
      <w:r>
        <w:rPr>
          <w:rFonts w:asciiTheme="minorEastAsia" w:hAnsiTheme="minorEastAsia" w:cs="Times New Roman"/>
          <w:bCs/>
          <w:sz w:val="24"/>
          <w:szCs w:val="24"/>
        </w:rPr>
        <w:t>6个月内使基金的投资组合比例符合基金合同的有关约定。在此期间，基金的投资范围、投资策略应当符合基金合同的约定。基金托管人对基金的投资的监督与检查自基金合同生效之日起开始。</w:t>
      </w:r>
    </w:p>
    <w:p w14:paraId="75A83BC0"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法律法规或监管部门取消或变更上述限制，如适用于本基金，基金管理人在履行适当程序后，则本基金投资不再受相关限制或以变更后的规定为准。</w:t>
      </w:r>
    </w:p>
    <w:p w14:paraId="5209374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2、禁止行为</w:t>
      </w:r>
    </w:p>
    <w:p w14:paraId="469A7962"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为维护基金份额持有人的合法权益，基金财产不得用于下列投资或者活动：</w:t>
      </w:r>
    </w:p>
    <w:p w14:paraId="2F2F6F3B"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1）承销证券；</w:t>
      </w:r>
    </w:p>
    <w:p w14:paraId="49CB00FA"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2）违反规定向他人贷款或者提供担保；</w:t>
      </w:r>
    </w:p>
    <w:p w14:paraId="0BF148CC"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3）从事承担无限责任的投资；</w:t>
      </w:r>
    </w:p>
    <w:p w14:paraId="428262A5"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4）买卖其他基金份额，但是中国证监会另有规定的除外；</w:t>
      </w:r>
    </w:p>
    <w:p w14:paraId="1F0F380C"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5）向基金管理人、基金托管人出资；</w:t>
      </w:r>
    </w:p>
    <w:p w14:paraId="25E5F19D"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6）从事内幕交易、操纵证券交易价格及其他不正当的证券交易活动；</w:t>
      </w:r>
    </w:p>
    <w:p w14:paraId="0172D1E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7）法律、行政法规和中国证监会规定禁止的其他活动。</w:t>
      </w:r>
    </w:p>
    <w:p w14:paraId="2CEC4C4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0376889"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法律、行政法规或监管部门取消或调整上述禁止行为，如适用于本基金，基金管理人在履行适当程序后，则本基金投资按照取消或调整后的规定执行。</w:t>
      </w:r>
    </w:p>
    <w:p w14:paraId="68B210D8"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五、业绩比较基准</w:t>
      </w:r>
    </w:p>
    <w:p w14:paraId="582D6869" w14:textId="77777777" w:rsidR="007D1CBF" w:rsidRDefault="007D1CBF" w:rsidP="007D1CBF">
      <w:pPr>
        <w:spacing w:line="360" w:lineRule="auto"/>
        <w:ind w:firstLineChars="200" w:firstLine="480"/>
        <w:rPr>
          <w:bCs/>
          <w:color w:val="000000"/>
          <w:sz w:val="24"/>
        </w:rPr>
      </w:pPr>
      <w:bookmarkStart w:id="215" w:name="_Hlk235801831"/>
      <w:r>
        <w:rPr>
          <w:rFonts w:hint="eastAsia"/>
          <w:bCs/>
          <w:color w:val="000000"/>
          <w:sz w:val="24"/>
        </w:rPr>
        <w:t>本基金的业绩比较基准为：</w:t>
      </w:r>
      <w:bookmarkEnd w:id="215"/>
      <w:r>
        <w:rPr>
          <w:rFonts w:hint="eastAsia"/>
          <w:bCs/>
          <w:color w:val="000000"/>
          <w:sz w:val="24"/>
        </w:rPr>
        <w:t>中证</w:t>
      </w:r>
      <w:r>
        <w:rPr>
          <w:rFonts w:hint="eastAsia"/>
          <w:bCs/>
          <w:color w:val="000000"/>
          <w:sz w:val="24"/>
        </w:rPr>
        <w:t>800</w:t>
      </w:r>
      <w:r>
        <w:rPr>
          <w:rFonts w:hint="eastAsia"/>
          <w:bCs/>
          <w:color w:val="000000"/>
          <w:sz w:val="24"/>
        </w:rPr>
        <w:t>指数收益率</w:t>
      </w:r>
      <w:r>
        <w:rPr>
          <w:rFonts w:hint="eastAsia"/>
          <w:bCs/>
          <w:color w:val="000000"/>
          <w:sz w:val="24"/>
        </w:rPr>
        <w:t>*85%+</w:t>
      </w:r>
      <w:bookmarkStart w:id="216" w:name="_Hlk235782695"/>
      <w:r>
        <w:rPr>
          <w:rFonts w:hint="eastAsia"/>
          <w:bCs/>
          <w:color w:val="000000"/>
          <w:sz w:val="24"/>
        </w:rPr>
        <w:t>中债</w:t>
      </w:r>
      <w:r>
        <w:rPr>
          <w:rFonts w:hint="eastAsia"/>
          <w:bCs/>
          <w:color w:val="000000"/>
          <w:sz w:val="24"/>
        </w:rPr>
        <w:t>-</w:t>
      </w:r>
      <w:r>
        <w:rPr>
          <w:rFonts w:hint="eastAsia"/>
          <w:bCs/>
          <w:color w:val="000000"/>
          <w:sz w:val="24"/>
        </w:rPr>
        <w:t>综合全价</w:t>
      </w:r>
      <w:r>
        <w:rPr>
          <w:rFonts w:hint="eastAsia"/>
          <w:bCs/>
          <w:color w:val="000000"/>
          <w:sz w:val="24"/>
        </w:rPr>
        <w:t>(1-3</w:t>
      </w:r>
      <w:r>
        <w:rPr>
          <w:rFonts w:hint="eastAsia"/>
          <w:bCs/>
          <w:color w:val="000000"/>
          <w:sz w:val="24"/>
        </w:rPr>
        <w:t>年</w:t>
      </w:r>
      <w:r>
        <w:rPr>
          <w:rFonts w:hint="eastAsia"/>
          <w:bCs/>
          <w:color w:val="000000"/>
          <w:sz w:val="24"/>
        </w:rPr>
        <w:t>)</w:t>
      </w:r>
      <w:r>
        <w:rPr>
          <w:rFonts w:hint="eastAsia"/>
          <w:bCs/>
          <w:color w:val="000000"/>
          <w:sz w:val="24"/>
        </w:rPr>
        <w:lastRenderedPageBreak/>
        <w:t>指数</w:t>
      </w:r>
      <w:bookmarkEnd w:id="216"/>
      <w:r>
        <w:rPr>
          <w:rFonts w:hint="eastAsia"/>
          <w:bCs/>
          <w:color w:val="000000"/>
          <w:sz w:val="24"/>
        </w:rPr>
        <w:t>收益率</w:t>
      </w:r>
      <w:r>
        <w:rPr>
          <w:rFonts w:hint="eastAsia"/>
          <w:bCs/>
          <w:color w:val="000000"/>
          <w:sz w:val="24"/>
        </w:rPr>
        <w:t>*15%</w:t>
      </w:r>
    </w:p>
    <w:p w14:paraId="610B670C" w14:textId="77777777" w:rsidR="007D1CBF" w:rsidRDefault="007D1CBF" w:rsidP="007D1CBF">
      <w:pPr>
        <w:spacing w:line="360" w:lineRule="auto"/>
        <w:ind w:firstLineChars="200" w:firstLine="480"/>
        <w:rPr>
          <w:bCs/>
          <w:sz w:val="24"/>
          <w:szCs w:val="24"/>
        </w:rPr>
      </w:pPr>
      <w:bookmarkStart w:id="217" w:name="_Hlk235802561"/>
      <w:r>
        <w:rPr>
          <w:bCs/>
          <w:sz w:val="24"/>
          <w:szCs w:val="24"/>
        </w:rPr>
        <w:t>1</w:t>
      </w:r>
      <w:r>
        <w:rPr>
          <w:rFonts w:hint="eastAsia"/>
          <w:bCs/>
          <w:sz w:val="24"/>
          <w:szCs w:val="24"/>
        </w:rPr>
        <w:t>、业绩比较基准设定的原因</w:t>
      </w:r>
    </w:p>
    <w:p w14:paraId="0D7D2E93" w14:textId="77777777" w:rsidR="007D1CBF" w:rsidRDefault="007D1CBF" w:rsidP="007D1CBF">
      <w:pPr>
        <w:spacing w:line="360" w:lineRule="auto"/>
        <w:ind w:firstLineChars="200" w:firstLine="480"/>
        <w:rPr>
          <w:bCs/>
          <w:sz w:val="24"/>
          <w:szCs w:val="24"/>
        </w:rPr>
      </w:pPr>
      <w:r>
        <w:rPr>
          <w:rFonts w:hint="eastAsia"/>
          <w:bCs/>
          <w:sz w:val="24"/>
          <w:szCs w:val="24"/>
        </w:rPr>
        <w:t>（</w:t>
      </w:r>
      <w:r>
        <w:rPr>
          <w:bCs/>
          <w:sz w:val="24"/>
          <w:szCs w:val="24"/>
        </w:rPr>
        <w:t>1</w:t>
      </w:r>
      <w:r>
        <w:rPr>
          <w:rFonts w:hint="eastAsia"/>
          <w:bCs/>
          <w:sz w:val="24"/>
          <w:szCs w:val="24"/>
        </w:rPr>
        <w:t>）基于基金投资范围以及预期投资的主要资产类别，本基金主要投资于股票、债券等资产，相应选取与之匹配的股票指数、债券指数作为基准要素。同时基于</w:t>
      </w:r>
      <w:r>
        <w:rPr>
          <w:rFonts w:hint="eastAsia"/>
          <w:bCs/>
          <w:sz w:val="24"/>
        </w:rPr>
        <w:t>股票资产占基金资产的</w:t>
      </w:r>
      <w:r>
        <w:rPr>
          <w:rFonts w:hint="eastAsia"/>
          <w:bCs/>
          <w:sz w:val="24"/>
        </w:rPr>
        <w:t>60%-95%</w:t>
      </w:r>
      <w:r>
        <w:rPr>
          <w:rFonts w:hint="eastAsia"/>
          <w:bCs/>
          <w:sz w:val="24"/>
          <w:szCs w:val="24"/>
        </w:rPr>
        <w:t>等投资比例限制，以及预期的资产配置比例中枢，本基金将股票资产、债券资产所对应的基准要素权重分别设置为</w:t>
      </w:r>
      <w:r>
        <w:rPr>
          <w:bCs/>
          <w:sz w:val="24"/>
          <w:szCs w:val="24"/>
        </w:rPr>
        <w:t>85%</w:t>
      </w:r>
      <w:r>
        <w:rPr>
          <w:rFonts w:hint="eastAsia"/>
          <w:bCs/>
          <w:sz w:val="24"/>
          <w:szCs w:val="24"/>
        </w:rPr>
        <w:t>、</w:t>
      </w:r>
      <w:r>
        <w:rPr>
          <w:bCs/>
          <w:sz w:val="24"/>
          <w:szCs w:val="24"/>
        </w:rPr>
        <w:t>15%</w:t>
      </w:r>
      <w:r>
        <w:rPr>
          <w:rFonts w:hint="eastAsia"/>
          <w:bCs/>
          <w:sz w:val="24"/>
          <w:szCs w:val="24"/>
        </w:rPr>
        <w:t>。</w:t>
      </w:r>
    </w:p>
    <w:p w14:paraId="16707082" w14:textId="77777777" w:rsidR="007D1CBF" w:rsidRDefault="007D1CBF" w:rsidP="007D1CBF">
      <w:pPr>
        <w:autoSpaceDE w:val="0"/>
        <w:autoSpaceDN w:val="0"/>
        <w:spacing w:line="360" w:lineRule="auto"/>
        <w:ind w:firstLineChars="200" w:firstLine="480"/>
        <w:textAlignment w:val="bottom"/>
        <w:rPr>
          <w:bCs/>
          <w:sz w:val="24"/>
        </w:rPr>
      </w:pPr>
      <w:r>
        <w:rPr>
          <w:rFonts w:hint="eastAsia"/>
          <w:bCs/>
          <w:sz w:val="24"/>
          <w:szCs w:val="24"/>
        </w:rPr>
        <w:t>（</w:t>
      </w:r>
      <w:r>
        <w:rPr>
          <w:bCs/>
          <w:sz w:val="24"/>
          <w:szCs w:val="24"/>
        </w:rPr>
        <w:t>2</w:t>
      </w:r>
      <w:r>
        <w:rPr>
          <w:rFonts w:hint="eastAsia"/>
          <w:bCs/>
          <w:sz w:val="24"/>
          <w:szCs w:val="24"/>
        </w:rPr>
        <w:t>）基于基金投资目标、投资范围和投资策略，本基金的股票资产</w:t>
      </w:r>
      <w:r>
        <w:rPr>
          <w:rFonts w:hint="eastAsia"/>
          <w:bCs/>
          <w:sz w:val="24"/>
        </w:rPr>
        <w:t>通过定量筛选和定性分析相结合的方式来分析和选择具有良好风险收益比的品种，对于行业构成和个股风险收益比进行持续的权衡和优化，在确保组合在风险可控的前提下，获取稳健收益。</w:t>
      </w:r>
      <w:r>
        <w:rPr>
          <w:rFonts w:hint="eastAsia"/>
          <w:bCs/>
          <w:sz w:val="24"/>
          <w:szCs w:val="24"/>
        </w:rPr>
        <w:t>综合考虑基准指数与产品定位和投资风格的匹配度，同时兼顾考虑基准指数的表征性、认可度，以及指数盘别</w:t>
      </w:r>
      <w:r>
        <w:rPr>
          <w:bCs/>
          <w:sz w:val="24"/>
          <w:szCs w:val="24"/>
        </w:rPr>
        <w:t>/</w:t>
      </w:r>
      <w:r>
        <w:rPr>
          <w:rFonts w:hint="eastAsia"/>
          <w:bCs/>
          <w:sz w:val="24"/>
          <w:szCs w:val="24"/>
        </w:rPr>
        <w:t>市值覆盖、风格特征、行业与个股分布等，本基金选取中证</w:t>
      </w:r>
      <w:r>
        <w:rPr>
          <w:rFonts w:hint="eastAsia"/>
          <w:bCs/>
          <w:sz w:val="24"/>
          <w:szCs w:val="24"/>
        </w:rPr>
        <w:t>800</w:t>
      </w:r>
      <w:r>
        <w:rPr>
          <w:rFonts w:hint="eastAsia"/>
          <w:bCs/>
          <w:sz w:val="24"/>
          <w:szCs w:val="24"/>
        </w:rPr>
        <w:t>指数作为股票部分的业绩比较基准要素。</w:t>
      </w:r>
    </w:p>
    <w:p w14:paraId="7298DA0E" w14:textId="77777777" w:rsidR="007D1CBF" w:rsidRDefault="007D1CBF" w:rsidP="007D1CBF">
      <w:pPr>
        <w:spacing w:line="360" w:lineRule="auto"/>
        <w:ind w:firstLineChars="200" w:firstLine="480"/>
        <w:rPr>
          <w:bCs/>
          <w:sz w:val="24"/>
          <w:szCs w:val="24"/>
        </w:rPr>
      </w:pPr>
      <w:r>
        <w:rPr>
          <w:rFonts w:hint="eastAsia"/>
          <w:bCs/>
          <w:sz w:val="24"/>
          <w:szCs w:val="24"/>
        </w:rPr>
        <w:t>中证</w:t>
      </w:r>
      <w:r>
        <w:rPr>
          <w:rFonts w:hint="eastAsia"/>
          <w:bCs/>
          <w:sz w:val="24"/>
          <w:szCs w:val="24"/>
        </w:rPr>
        <w:t>800</w:t>
      </w:r>
      <w:r>
        <w:rPr>
          <w:rFonts w:hint="eastAsia"/>
          <w:bCs/>
          <w:sz w:val="24"/>
          <w:szCs w:val="24"/>
        </w:rPr>
        <w:t>指数由中证</w:t>
      </w:r>
      <w:r>
        <w:rPr>
          <w:rFonts w:hint="eastAsia"/>
          <w:bCs/>
          <w:sz w:val="24"/>
          <w:szCs w:val="24"/>
        </w:rPr>
        <w:t>500</w:t>
      </w:r>
      <w:r>
        <w:rPr>
          <w:rFonts w:hint="eastAsia"/>
          <w:bCs/>
          <w:sz w:val="24"/>
          <w:szCs w:val="24"/>
        </w:rPr>
        <w:t>和沪深</w:t>
      </w:r>
      <w:r>
        <w:rPr>
          <w:rFonts w:hint="eastAsia"/>
          <w:bCs/>
          <w:sz w:val="24"/>
          <w:szCs w:val="24"/>
        </w:rPr>
        <w:t>300</w:t>
      </w:r>
      <w:r>
        <w:rPr>
          <w:rFonts w:hint="eastAsia"/>
          <w:bCs/>
          <w:sz w:val="24"/>
          <w:szCs w:val="24"/>
        </w:rPr>
        <w:t>成份股一起构成，综合反映沪深证券市场内不同市值规模公司的整体状况，适合作为本基金股票部分的业绩比较基准要素。</w:t>
      </w:r>
    </w:p>
    <w:p w14:paraId="6CF23914" w14:textId="77777777" w:rsidR="007D1CBF" w:rsidRDefault="007D1CBF" w:rsidP="007D1CBF">
      <w:pPr>
        <w:spacing w:line="360" w:lineRule="auto"/>
        <w:ind w:firstLineChars="200" w:firstLine="480"/>
        <w:rPr>
          <w:bCs/>
          <w:color w:val="000000"/>
          <w:sz w:val="24"/>
        </w:rPr>
      </w:pPr>
      <w:r>
        <w:rPr>
          <w:rFonts w:hint="eastAsia"/>
          <w:bCs/>
          <w:sz w:val="24"/>
          <w:szCs w:val="24"/>
        </w:rPr>
        <w:t>（</w:t>
      </w:r>
      <w:r>
        <w:rPr>
          <w:bCs/>
          <w:sz w:val="24"/>
          <w:szCs w:val="24"/>
        </w:rPr>
        <w:t>3</w:t>
      </w:r>
      <w:r>
        <w:rPr>
          <w:rFonts w:hint="eastAsia"/>
          <w:bCs/>
          <w:sz w:val="24"/>
          <w:szCs w:val="24"/>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w:t>
      </w:r>
      <w:r>
        <w:rPr>
          <w:rFonts w:hint="eastAsia"/>
          <w:bCs/>
          <w:sz w:val="24"/>
          <w:szCs w:val="24"/>
        </w:rPr>
        <w:t>-</w:t>
      </w:r>
      <w:r>
        <w:rPr>
          <w:rFonts w:hint="eastAsia"/>
          <w:bCs/>
          <w:sz w:val="24"/>
          <w:szCs w:val="24"/>
        </w:rPr>
        <w:t>综合全价（</w:t>
      </w:r>
      <w:r>
        <w:rPr>
          <w:rFonts w:hint="eastAsia"/>
          <w:bCs/>
          <w:sz w:val="24"/>
          <w:szCs w:val="24"/>
        </w:rPr>
        <w:t>1-3</w:t>
      </w:r>
      <w:r>
        <w:rPr>
          <w:rFonts w:hint="eastAsia"/>
          <w:bCs/>
          <w:sz w:val="24"/>
          <w:szCs w:val="24"/>
        </w:rPr>
        <w:t>年）指数作为债券部分的业绩比较基准要素。</w:t>
      </w:r>
    </w:p>
    <w:p w14:paraId="2384A6FC" w14:textId="77777777" w:rsidR="007D1CBF" w:rsidRDefault="007D1CBF" w:rsidP="007D1CBF">
      <w:pPr>
        <w:spacing w:line="360" w:lineRule="auto"/>
        <w:ind w:firstLineChars="200" w:firstLine="480"/>
        <w:rPr>
          <w:bCs/>
          <w:color w:val="000000"/>
          <w:sz w:val="24"/>
        </w:rPr>
      </w:pPr>
      <w:bookmarkStart w:id="218" w:name="_Hlk235783963"/>
      <w:r>
        <w:rPr>
          <w:rFonts w:hint="eastAsia"/>
          <w:bCs/>
          <w:color w:val="000000"/>
          <w:sz w:val="24"/>
        </w:rPr>
        <w:t>中债</w:t>
      </w:r>
      <w:r>
        <w:rPr>
          <w:bCs/>
          <w:color w:val="000000"/>
          <w:sz w:val="24"/>
        </w:rPr>
        <w:t>-</w:t>
      </w:r>
      <w:r>
        <w:rPr>
          <w:rFonts w:hint="eastAsia"/>
          <w:bCs/>
          <w:color w:val="000000"/>
          <w:sz w:val="24"/>
        </w:rPr>
        <w:t>综合全价（</w:t>
      </w:r>
      <w:r>
        <w:rPr>
          <w:bCs/>
          <w:color w:val="000000"/>
          <w:sz w:val="24"/>
        </w:rPr>
        <w:t>1-3</w:t>
      </w:r>
      <w:r>
        <w:rPr>
          <w:rFonts w:hint="eastAsia"/>
          <w:bCs/>
          <w:color w:val="000000"/>
          <w:sz w:val="24"/>
        </w:rPr>
        <w:t>年）指数</w:t>
      </w:r>
      <w:bookmarkEnd w:id="218"/>
      <w:r>
        <w:rPr>
          <w:rFonts w:hint="eastAsia"/>
          <w:bCs/>
          <w:color w:val="000000"/>
          <w:sz w:val="24"/>
        </w:rPr>
        <w:t>样本券包括银行间市场和交易所市场待偿期为</w:t>
      </w:r>
      <w:r>
        <w:rPr>
          <w:bCs/>
          <w:color w:val="000000"/>
          <w:sz w:val="24"/>
        </w:rPr>
        <w:t>1-3</w:t>
      </w:r>
      <w:r>
        <w:rPr>
          <w:rFonts w:hint="eastAsia"/>
          <w:bCs/>
          <w:color w:val="000000"/>
          <w:sz w:val="24"/>
        </w:rPr>
        <w:t>年的主要债券种类，能够较好反映中短期债券市场的整体走势，适合作为本基金的业绩比较基准要素。</w:t>
      </w:r>
    </w:p>
    <w:p w14:paraId="3306C89F" w14:textId="77777777" w:rsidR="007D1CBF" w:rsidRDefault="007D1CBF" w:rsidP="007D1CBF">
      <w:pPr>
        <w:spacing w:line="360" w:lineRule="auto"/>
        <w:ind w:firstLineChars="200" w:firstLine="480"/>
        <w:rPr>
          <w:bCs/>
          <w:color w:val="000000"/>
          <w:sz w:val="24"/>
        </w:rPr>
      </w:pPr>
      <w:r>
        <w:rPr>
          <w:rFonts w:hint="eastAsia"/>
          <w:bCs/>
          <w:color w:val="000000"/>
          <w:sz w:val="24"/>
        </w:rPr>
        <w:t>综上，本基金选取的业绩比较基准与基金投资目标、投资范围、投资策略、投资比例限制相匹配。</w:t>
      </w:r>
      <w:bookmarkEnd w:id="217"/>
    </w:p>
    <w:p w14:paraId="264B42A5" w14:textId="77777777" w:rsidR="007D1CBF" w:rsidRDefault="007D1CBF" w:rsidP="007D1CBF">
      <w:pPr>
        <w:spacing w:line="360" w:lineRule="auto"/>
        <w:ind w:firstLineChars="200" w:firstLine="480"/>
        <w:rPr>
          <w:bCs/>
          <w:sz w:val="24"/>
          <w:szCs w:val="24"/>
        </w:rPr>
      </w:pPr>
      <w:bookmarkStart w:id="219" w:name="_Hlk235801878"/>
      <w:r>
        <w:rPr>
          <w:bCs/>
          <w:sz w:val="24"/>
          <w:szCs w:val="24"/>
        </w:rPr>
        <w:t>2</w:t>
      </w:r>
      <w:r>
        <w:rPr>
          <w:rFonts w:hint="eastAsia"/>
          <w:bCs/>
          <w:sz w:val="24"/>
          <w:szCs w:val="24"/>
        </w:rPr>
        <w:t>、业绩比较基准要素的基本信息</w:t>
      </w:r>
    </w:p>
    <w:p w14:paraId="30488756" w14:textId="77777777" w:rsidR="007D1CBF" w:rsidRDefault="007D1CBF" w:rsidP="007D1CBF">
      <w:pPr>
        <w:spacing w:line="360" w:lineRule="auto"/>
        <w:ind w:firstLineChars="200" w:firstLine="480"/>
        <w:rPr>
          <w:bCs/>
          <w:sz w:val="24"/>
          <w:szCs w:val="24"/>
        </w:rPr>
      </w:pPr>
      <w:r>
        <w:rPr>
          <w:rFonts w:hint="eastAsia"/>
          <w:bCs/>
          <w:sz w:val="24"/>
          <w:szCs w:val="24"/>
        </w:rPr>
        <w:t>中证</w:t>
      </w:r>
      <w:r>
        <w:rPr>
          <w:rFonts w:hint="eastAsia"/>
          <w:bCs/>
          <w:sz w:val="24"/>
          <w:szCs w:val="24"/>
        </w:rPr>
        <w:t>800</w:t>
      </w:r>
      <w:r>
        <w:rPr>
          <w:rFonts w:hint="eastAsia"/>
          <w:bCs/>
          <w:sz w:val="24"/>
          <w:szCs w:val="24"/>
        </w:rPr>
        <w:t>指数由中证指数有限公司编制发布，指数代码为</w:t>
      </w:r>
      <w:r>
        <w:rPr>
          <w:bCs/>
          <w:sz w:val="24"/>
          <w:szCs w:val="24"/>
        </w:rPr>
        <w:t>000906</w:t>
      </w:r>
      <w:r>
        <w:rPr>
          <w:rFonts w:hint="eastAsia"/>
          <w:bCs/>
          <w:sz w:val="24"/>
          <w:szCs w:val="24"/>
        </w:rPr>
        <w:t>，指数具体信息详见中证指数有限公司网站，网址：</w:t>
      </w:r>
      <w:r>
        <w:rPr>
          <w:bCs/>
          <w:sz w:val="24"/>
          <w:szCs w:val="24"/>
        </w:rPr>
        <w:t>www.csindex.com.cn</w:t>
      </w:r>
      <w:r>
        <w:rPr>
          <w:rFonts w:hint="eastAsia"/>
          <w:bCs/>
          <w:sz w:val="24"/>
          <w:szCs w:val="24"/>
        </w:rPr>
        <w:t>。</w:t>
      </w:r>
    </w:p>
    <w:p w14:paraId="697CCE73" w14:textId="77777777" w:rsidR="007D1CBF" w:rsidRDefault="007D1CBF" w:rsidP="007D1CBF">
      <w:pPr>
        <w:spacing w:line="360" w:lineRule="auto"/>
        <w:ind w:firstLineChars="200" w:firstLine="480"/>
        <w:rPr>
          <w:bCs/>
          <w:color w:val="000000"/>
          <w:sz w:val="24"/>
        </w:rPr>
      </w:pPr>
      <w:bookmarkStart w:id="220" w:name="OLE_LINK2"/>
      <w:r>
        <w:rPr>
          <w:rFonts w:hint="eastAsia"/>
          <w:bCs/>
          <w:sz w:val="24"/>
          <w:szCs w:val="24"/>
        </w:rPr>
        <w:t>中债</w:t>
      </w:r>
      <w:r>
        <w:rPr>
          <w:bCs/>
          <w:sz w:val="24"/>
          <w:szCs w:val="24"/>
        </w:rPr>
        <w:t>-</w:t>
      </w:r>
      <w:r>
        <w:rPr>
          <w:rFonts w:hint="eastAsia"/>
          <w:bCs/>
          <w:sz w:val="24"/>
          <w:szCs w:val="24"/>
        </w:rPr>
        <w:t>综合全价（</w:t>
      </w:r>
      <w:r>
        <w:rPr>
          <w:bCs/>
          <w:sz w:val="24"/>
          <w:szCs w:val="24"/>
        </w:rPr>
        <w:t>1-3</w:t>
      </w:r>
      <w:r>
        <w:rPr>
          <w:rFonts w:hint="eastAsia"/>
          <w:bCs/>
          <w:sz w:val="24"/>
          <w:szCs w:val="24"/>
        </w:rPr>
        <w:t>年）</w:t>
      </w:r>
      <w:bookmarkEnd w:id="220"/>
      <w:r>
        <w:rPr>
          <w:rFonts w:hint="eastAsia"/>
          <w:bCs/>
          <w:sz w:val="24"/>
          <w:szCs w:val="24"/>
        </w:rPr>
        <w:t>指数由中债金融估值中心有限公司编制发布，指数代码为</w:t>
      </w:r>
      <w:r>
        <w:rPr>
          <w:bCs/>
          <w:sz w:val="24"/>
          <w:szCs w:val="24"/>
        </w:rPr>
        <w:t>CBA00223</w:t>
      </w:r>
      <w:r>
        <w:rPr>
          <w:rFonts w:hint="eastAsia"/>
          <w:bCs/>
          <w:sz w:val="24"/>
          <w:szCs w:val="24"/>
        </w:rPr>
        <w:t>，指数具体信息详见中国债券信息网，网址：</w:t>
      </w:r>
      <w:r>
        <w:rPr>
          <w:bCs/>
          <w:sz w:val="24"/>
          <w:szCs w:val="24"/>
        </w:rPr>
        <w:t>www.chinabond.com.cn</w:t>
      </w:r>
      <w:r>
        <w:rPr>
          <w:rFonts w:hint="eastAsia"/>
          <w:bCs/>
          <w:sz w:val="24"/>
          <w:szCs w:val="24"/>
        </w:rPr>
        <w:t>。</w:t>
      </w:r>
    </w:p>
    <w:p w14:paraId="7408F44E" w14:textId="77777777" w:rsidR="007D1CBF" w:rsidRDefault="007D1CBF" w:rsidP="007D1CBF">
      <w:pPr>
        <w:spacing w:line="360" w:lineRule="auto"/>
        <w:ind w:firstLineChars="200" w:firstLine="480"/>
        <w:rPr>
          <w:bCs/>
          <w:sz w:val="24"/>
          <w:szCs w:val="24"/>
        </w:rPr>
      </w:pPr>
      <w:r>
        <w:rPr>
          <w:bCs/>
          <w:sz w:val="24"/>
          <w:szCs w:val="24"/>
        </w:rPr>
        <w:lastRenderedPageBreak/>
        <w:t>3</w:t>
      </w:r>
      <w:r>
        <w:rPr>
          <w:rFonts w:hint="eastAsia"/>
          <w:bCs/>
          <w:sz w:val="24"/>
          <w:szCs w:val="24"/>
        </w:rPr>
        <w:t>、业绩比较基准的计算方法</w:t>
      </w:r>
    </w:p>
    <w:p w14:paraId="16914F12" w14:textId="77777777" w:rsidR="007D1CBF" w:rsidRDefault="007D1CBF" w:rsidP="007D1CBF">
      <w:pPr>
        <w:spacing w:line="360" w:lineRule="auto"/>
        <w:ind w:firstLineChars="200" w:firstLine="480"/>
        <w:rPr>
          <w:bCs/>
          <w:sz w:val="24"/>
          <w:szCs w:val="24"/>
        </w:rPr>
      </w:pPr>
      <w:r>
        <w:rPr>
          <w:rFonts w:hint="eastAsia"/>
          <w:bCs/>
          <w:sz w:val="24"/>
          <w:szCs w:val="24"/>
        </w:rPr>
        <w:t>本基金业绩比较基准收益率的计算方法以每日收益率为基础，以时间加权为计算原则。本基金先分别计算业绩比较基准中中证</w:t>
      </w:r>
      <w:r>
        <w:rPr>
          <w:rFonts w:hint="eastAsia"/>
          <w:bCs/>
          <w:sz w:val="24"/>
          <w:szCs w:val="24"/>
        </w:rPr>
        <w:t>800</w:t>
      </w:r>
      <w:r>
        <w:rPr>
          <w:rFonts w:hint="eastAsia"/>
          <w:bCs/>
          <w:sz w:val="24"/>
          <w:szCs w:val="24"/>
        </w:rPr>
        <w:t>指数、中债</w:t>
      </w:r>
      <w:r>
        <w:rPr>
          <w:rFonts w:hint="eastAsia"/>
          <w:bCs/>
          <w:sz w:val="24"/>
          <w:szCs w:val="24"/>
        </w:rPr>
        <w:t>-</w:t>
      </w:r>
      <w:r>
        <w:rPr>
          <w:rFonts w:hint="eastAsia"/>
          <w:bCs/>
          <w:sz w:val="24"/>
          <w:szCs w:val="24"/>
        </w:rPr>
        <w:t>综合全价</w:t>
      </w:r>
      <w:r>
        <w:rPr>
          <w:rFonts w:hint="eastAsia"/>
          <w:bCs/>
          <w:sz w:val="24"/>
          <w:szCs w:val="24"/>
        </w:rPr>
        <w:t>(1-3</w:t>
      </w:r>
      <w:r>
        <w:rPr>
          <w:rFonts w:hint="eastAsia"/>
          <w:bCs/>
          <w:sz w:val="24"/>
          <w:szCs w:val="24"/>
        </w:rPr>
        <w:t>年</w:t>
      </w:r>
      <w:r>
        <w:rPr>
          <w:rFonts w:hint="eastAsia"/>
          <w:bCs/>
          <w:sz w:val="24"/>
          <w:szCs w:val="24"/>
        </w:rPr>
        <w:t>)</w:t>
      </w:r>
      <w:r>
        <w:rPr>
          <w:rFonts w:hint="eastAsia"/>
          <w:bCs/>
          <w:sz w:val="24"/>
          <w:szCs w:val="24"/>
        </w:rPr>
        <w:t>指数对应的每日收益率，再按照预设权重比例计算当日组合要素基准的日收益率，并连乘每日收益率。</w:t>
      </w:r>
    </w:p>
    <w:p w14:paraId="5F932D65" w14:textId="77777777" w:rsidR="007D1CBF" w:rsidRDefault="007D1CBF" w:rsidP="007D1CBF">
      <w:pPr>
        <w:spacing w:line="360" w:lineRule="auto"/>
        <w:ind w:firstLineChars="200" w:firstLine="480"/>
        <w:rPr>
          <w:bCs/>
          <w:sz w:val="24"/>
          <w:szCs w:val="24"/>
        </w:rPr>
      </w:pPr>
      <w:r>
        <w:rPr>
          <w:bCs/>
          <w:sz w:val="24"/>
          <w:szCs w:val="24"/>
        </w:rPr>
        <w:t>4</w:t>
      </w:r>
      <w:r>
        <w:rPr>
          <w:rFonts w:hint="eastAsia"/>
          <w:bCs/>
          <w:sz w:val="24"/>
          <w:szCs w:val="24"/>
        </w:rPr>
        <w:t>、基金管理人管理投资偏离业绩比较基准的定性或定量方法</w:t>
      </w:r>
    </w:p>
    <w:p w14:paraId="2C415CF3" w14:textId="77777777" w:rsidR="007D1CBF" w:rsidRDefault="007D1CBF" w:rsidP="007D1CBF">
      <w:pPr>
        <w:spacing w:line="360" w:lineRule="auto"/>
        <w:ind w:firstLineChars="200" w:firstLine="480"/>
        <w:rPr>
          <w:bCs/>
          <w:sz w:val="24"/>
          <w:szCs w:val="24"/>
        </w:rPr>
      </w:pPr>
      <w:r>
        <w:rPr>
          <w:rFonts w:hint="eastAsia"/>
          <w:bCs/>
          <w:sz w:val="24"/>
          <w:szCs w:val="24"/>
        </w:rPr>
        <w:t>本基金管理人对基金实际投资与业绩比较基准的偏离情况进行动态跟踪与监测评估，监测指标主要包括超额收益、仓位偏离等，以更好管理基金实际投资与业绩比较基准的偏离情况，从而在控制风险的基础上追求超越业绩比较基准的投资回报。</w:t>
      </w:r>
    </w:p>
    <w:p w14:paraId="6297A746" w14:textId="77777777" w:rsidR="007D1CBF" w:rsidRDefault="007D1CBF" w:rsidP="007D1CBF">
      <w:pPr>
        <w:spacing w:line="360" w:lineRule="auto"/>
        <w:ind w:firstLineChars="200" w:firstLine="480"/>
        <w:rPr>
          <w:bCs/>
          <w:sz w:val="24"/>
          <w:szCs w:val="24"/>
        </w:rPr>
      </w:pPr>
      <w:r>
        <w:rPr>
          <w:rFonts w:hint="eastAsia"/>
          <w:bCs/>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6EF90FD4" w14:textId="77777777" w:rsidR="007D1CBF" w:rsidRDefault="007D1CBF" w:rsidP="007D1CBF">
      <w:pPr>
        <w:spacing w:line="360" w:lineRule="auto"/>
        <w:ind w:firstLineChars="200" w:firstLine="480"/>
        <w:rPr>
          <w:bCs/>
          <w:sz w:val="24"/>
          <w:szCs w:val="24"/>
        </w:rPr>
      </w:pPr>
      <w:r>
        <w:rPr>
          <w:bCs/>
          <w:sz w:val="24"/>
          <w:szCs w:val="24"/>
        </w:rPr>
        <w:t>5</w:t>
      </w:r>
      <w:r>
        <w:rPr>
          <w:rFonts w:hint="eastAsia"/>
          <w:bCs/>
          <w:sz w:val="24"/>
          <w:szCs w:val="24"/>
        </w:rPr>
        <w:t>、未来可能变更业绩比较基准的情况和程序</w:t>
      </w:r>
    </w:p>
    <w:p w14:paraId="63E12B54" w14:textId="77777777" w:rsidR="007D1CBF" w:rsidRDefault="007D1CBF" w:rsidP="007D1CBF">
      <w:pPr>
        <w:spacing w:line="360" w:lineRule="auto"/>
        <w:ind w:firstLineChars="200" w:firstLine="480"/>
        <w:rPr>
          <w:bCs/>
          <w:sz w:val="24"/>
          <w:szCs w:val="24"/>
        </w:rPr>
      </w:pPr>
      <w:r>
        <w:rPr>
          <w:rFonts w:hint="eastAsia"/>
          <w:bCs/>
          <w:sz w:val="24"/>
          <w:szCs w:val="24"/>
        </w:rPr>
        <w:t>（</w:t>
      </w:r>
      <w:r>
        <w:rPr>
          <w:bCs/>
          <w:sz w:val="24"/>
          <w:szCs w:val="24"/>
        </w:rPr>
        <w:t>1</w:t>
      </w:r>
      <w:r>
        <w:rPr>
          <w:rFonts w:hint="eastAsia"/>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50482455" w14:textId="77777777" w:rsidR="007D1CBF" w:rsidRDefault="007D1CBF" w:rsidP="007D1CBF">
      <w:pPr>
        <w:spacing w:line="360" w:lineRule="auto"/>
        <w:ind w:firstLineChars="200" w:firstLine="480"/>
        <w:rPr>
          <w:bCs/>
          <w:sz w:val="24"/>
          <w:szCs w:val="24"/>
        </w:rPr>
      </w:pPr>
      <w:r>
        <w:rPr>
          <w:bCs/>
          <w:sz w:val="24"/>
          <w:szCs w:val="24"/>
        </w:rPr>
        <w:t>1</w:t>
      </w:r>
      <w:r>
        <w:rPr>
          <w:rFonts w:hint="eastAsia"/>
          <w:bCs/>
          <w:sz w:val="24"/>
          <w:szCs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7AA6C384" w14:textId="77777777" w:rsidR="007D1CBF" w:rsidRDefault="007D1CBF" w:rsidP="007D1CBF">
      <w:pPr>
        <w:spacing w:line="360" w:lineRule="auto"/>
        <w:ind w:firstLineChars="200" w:firstLine="480"/>
        <w:rPr>
          <w:bCs/>
          <w:sz w:val="24"/>
          <w:szCs w:val="24"/>
        </w:rPr>
      </w:pPr>
      <w:r>
        <w:rPr>
          <w:bCs/>
          <w:sz w:val="24"/>
          <w:szCs w:val="24"/>
        </w:rPr>
        <w:t>2</w:t>
      </w:r>
      <w:r>
        <w:rPr>
          <w:rFonts w:hint="eastAsia"/>
          <w:bCs/>
          <w:sz w:val="24"/>
          <w:szCs w:val="24"/>
        </w:rPr>
        <w:t>）调整业绩比较基准的要素权重、更换相同或相近特征的要素等，使新业绩比较基准代表性更强，且符合相关法律法规规定的；</w:t>
      </w:r>
    </w:p>
    <w:p w14:paraId="6AA79BB5" w14:textId="77777777" w:rsidR="007D1CBF" w:rsidRDefault="007D1CBF" w:rsidP="007D1CBF">
      <w:pPr>
        <w:spacing w:line="360" w:lineRule="auto"/>
        <w:ind w:firstLineChars="200" w:firstLine="480"/>
        <w:rPr>
          <w:bCs/>
          <w:sz w:val="24"/>
          <w:szCs w:val="24"/>
        </w:rPr>
      </w:pPr>
      <w:r>
        <w:rPr>
          <w:bCs/>
          <w:sz w:val="24"/>
          <w:szCs w:val="24"/>
        </w:rPr>
        <w:t>3</w:t>
      </w:r>
      <w:r>
        <w:rPr>
          <w:rFonts w:hint="eastAsia"/>
          <w:bCs/>
          <w:sz w:val="24"/>
          <w:szCs w:val="24"/>
        </w:rPr>
        <w:t>）中国证监会认可的其他情形。</w:t>
      </w:r>
    </w:p>
    <w:p w14:paraId="3B0D593A" w14:textId="77777777" w:rsidR="007D1CBF" w:rsidRDefault="007D1CBF" w:rsidP="007D1CBF">
      <w:pPr>
        <w:spacing w:line="360" w:lineRule="auto"/>
        <w:ind w:firstLineChars="200" w:firstLine="480"/>
        <w:rPr>
          <w:bCs/>
          <w:sz w:val="24"/>
          <w:szCs w:val="24"/>
        </w:rPr>
      </w:pPr>
      <w:r>
        <w:rPr>
          <w:rFonts w:hint="eastAsia"/>
          <w:bCs/>
          <w:sz w:val="24"/>
          <w:szCs w:val="24"/>
        </w:rPr>
        <w:t>（</w:t>
      </w:r>
      <w:r>
        <w:rPr>
          <w:bCs/>
          <w:sz w:val="24"/>
          <w:szCs w:val="24"/>
        </w:rPr>
        <w:t>2</w:t>
      </w:r>
      <w:r>
        <w:rPr>
          <w:rFonts w:hint="eastAsia"/>
          <w:bCs/>
          <w:sz w:val="24"/>
          <w:szCs w:val="24"/>
        </w:rPr>
        <w:t>）业绩比较基准变更涉及以下情形的，基金管理人应当按照规定履行变更注册、召开基金份额持有人大会等程序，但法律法规、中国证监会另有规定或基金</w:t>
      </w:r>
      <w:r>
        <w:rPr>
          <w:rFonts w:hint="eastAsia"/>
          <w:bCs/>
          <w:sz w:val="24"/>
          <w:szCs w:val="24"/>
        </w:rPr>
        <w:lastRenderedPageBreak/>
        <w:t>合同另有约定的除外：</w:t>
      </w:r>
    </w:p>
    <w:p w14:paraId="0A24E42F" w14:textId="77777777" w:rsidR="007D1CBF" w:rsidRDefault="007D1CBF" w:rsidP="007D1CBF">
      <w:pPr>
        <w:spacing w:line="360" w:lineRule="auto"/>
        <w:ind w:firstLineChars="200" w:firstLine="480"/>
        <w:rPr>
          <w:bCs/>
          <w:sz w:val="24"/>
          <w:szCs w:val="24"/>
        </w:rPr>
      </w:pPr>
      <w:r>
        <w:rPr>
          <w:bCs/>
          <w:sz w:val="24"/>
          <w:szCs w:val="24"/>
        </w:rPr>
        <w:t>1</w:t>
      </w:r>
      <w:r>
        <w:rPr>
          <w:rFonts w:hint="eastAsia"/>
          <w:bCs/>
          <w:sz w:val="24"/>
          <w:szCs w:val="24"/>
        </w:rPr>
        <w:t>）本基金投资目标、投资范围、投资策略、投资比例等拟进行重大调整，并变更业绩比较基准的；</w:t>
      </w:r>
    </w:p>
    <w:p w14:paraId="241AE099" w14:textId="053E15C8" w:rsidR="00913A13" w:rsidRDefault="007D1CBF">
      <w:pPr>
        <w:spacing w:line="360" w:lineRule="auto"/>
        <w:ind w:firstLineChars="200" w:firstLine="480"/>
        <w:rPr>
          <w:rFonts w:asciiTheme="minorEastAsia" w:hAnsiTheme="minorEastAsia" w:cs="Times New Roman" w:hint="eastAsia"/>
          <w:bCs/>
          <w:sz w:val="24"/>
          <w:szCs w:val="24"/>
        </w:rPr>
      </w:pPr>
      <w:r>
        <w:rPr>
          <w:bCs/>
          <w:sz w:val="24"/>
          <w:szCs w:val="24"/>
        </w:rPr>
        <w:t>2</w:t>
      </w:r>
      <w:r>
        <w:rPr>
          <w:rFonts w:hint="eastAsia"/>
          <w:bCs/>
          <w:sz w:val="24"/>
          <w:szCs w:val="24"/>
        </w:rPr>
        <w:t>）其他对基金份额持有人利益产生重大实质性影响的情形。</w:t>
      </w:r>
      <w:bookmarkEnd w:id="219"/>
    </w:p>
    <w:p w14:paraId="362708B4"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六、风险收益特征</w:t>
      </w:r>
    </w:p>
    <w:p w14:paraId="1285A0EF"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本基金为混合型证券投资基金，其预期风险收益水平高于债券型基金及货币市场基金，低于股票型基金。</w:t>
      </w:r>
    </w:p>
    <w:p w14:paraId="2B7BA580"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七、基金管理人代表基金行使股东或债权人权利的处理原则及方法</w:t>
      </w:r>
    </w:p>
    <w:p w14:paraId="4188ED93"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 xml:space="preserve">1、基金管理人按照国家有关规定代表基金独立行使股东或债权人权利，保护基金份额持有人的利益； </w:t>
      </w:r>
    </w:p>
    <w:p w14:paraId="3D0F0495"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 xml:space="preserve">2、不谋求对上市公司的控股； </w:t>
      </w:r>
    </w:p>
    <w:p w14:paraId="042F9C5A"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 xml:space="preserve">3、有利于基金财产的安全与增值； </w:t>
      </w:r>
    </w:p>
    <w:p w14:paraId="318DE277"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bCs/>
          <w:sz w:val="24"/>
          <w:szCs w:val="24"/>
        </w:rPr>
        <w:t>4、不通过关联交易为自身、雇员、授权代理人或任何存在利害关系的第三人牟取任何不当利益。</w:t>
      </w:r>
    </w:p>
    <w:p w14:paraId="2B35CACB" w14:textId="77777777" w:rsidR="00913A13" w:rsidRDefault="002F45B8">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八、侧袋机制的实施和投资运作安排</w:t>
      </w:r>
    </w:p>
    <w:p w14:paraId="49B1A63C"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3F43397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侧袋机制实施期间，本部分约定的投资组合比例、投资策略、组合限制、业绩比较基准、风险收益特征等约定仅适用于主袋账户。</w:t>
      </w:r>
    </w:p>
    <w:p w14:paraId="11016D9E"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侧袋账户的实施条件、实施程序、运作安排、投资安排、特定资产的处置变现和支付等对投资者权益有重大影响的事项详见招募说明书“侧袋机制”部分的规定。</w:t>
      </w:r>
    </w:p>
    <w:p w14:paraId="7ED70DE0" w14:textId="77777777" w:rsidR="00913A13" w:rsidRDefault="002F45B8">
      <w:pPr>
        <w:spacing w:line="360" w:lineRule="auto"/>
        <w:ind w:firstLineChars="200" w:firstLine="482"/>
        <w:rPr>
          <w:b/>
          <w:bCs/>
          <w:sz w:val="24"/>
        </w:rPr>
      </w:pPr>
      <w:r>
        <w:rPr>
          <w:b/>
          <w:bCs/>
          <w:sz w:val="24"/>
        </w:rPr>
        <w:t>九</w:t>
      </w:r>
      <w:r>
        <w:rPr>
          <w:rFonts w:hint="eastAsia"/>
          <w:b/>
          <w:bCs/>
          <w:sz w:val="24"/>
        </w:rPr>
        <w:t>、基金投资组合报告</w:t>
      </w:r>
    </w:p>
    <w:p w14:paraId="1B3C5585"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基金管理人的董事会、董事保证本报告所载资料不存在虚假记载、误导性陈述或重大遗漏，并对其内容的真实性、准确性和完整性承担个别及连带的法律责任。</w:t>
      </w:r>
    </w:p>
    <w:p w14:paraId="74A98EA1"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基金托管人国泰海通证券股份有限公司根据本基金合同规定，已复核了本报告中的财务指标、净值表现和投资组合报告等内容，保证复核内容不存在虚假记载、误导性陈述或者重大遗漏。</w:t>
      </w:r>
    </w:p>
    <w:p w14:paraId="27D1A2FC" w14:textId="01AC1C7D"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本投资组合报告所载数据取自本基金</w:t>
      </w:r>
      <w:r w:rsidR="00AB6B23">
        <w:rPr>
          <w:rFonts w:asciiTheme="minorEastAsia" w:hAnsiTheme="minorEastAsia" w:cs="Times New Roman" w:hint="eastAsia"/>
          <w:bCs/>
          <w:sz w:val="24"/>
          <w:szCs w:val="24"/>
        </w:rPr>
        <w:t>2026</w:t>
      </w:r>
      <w:r>
        <w:rPr>
          <w:rFonts w:asciiTheme="minorEastAsia" w:hAnsiTheme="minorEastAsia" w:cs="Times New Roman" w:hint="eastAsia"/>
          <w:bCs/>
          <w:sz w:val="24"/>
          <w:szCs w:val="24"/>
        </w:rPr>
        <w:t>年第1季度报告，本报告中所列财务数据未经审计。</w:t>
      </w:r>
    </w:p>
    <w:p w14:paraId="306677FD" w14:textId="77777777" w:rsidR="00913A13" w:rsidRDefault="002F45B8">
      <w:pPr>
        <w:pStyle w:val="zhangjiep"/>
        <w:rPr>
          <w:rFonts w:asciiTheme="minorEastAsia" w:eastAsiaTheme="minorEastAsia" w:hAnsiTheme="minorEastAsia" w:cs="Times New Roman" w:hint="eastAsia"/>
          <w:bCs/>
          <w:kern w:val="2"/>
        </w:rPr>
      </w:pPr>
      <w:bookmarkStart w:id="221" w:name="_Toc101354064"/>
      <w:r>
        <w:rPr>
          <w:rFonts w:asciiTheme="minorEastAsia" w:eastAsiaTheme="minorEastAsia" w:hAnsiTheme="minorEastAsia" w:cs="Times New Roman"/>
          <w:bCs/>
          <w:kern w:val="2"/>
        </w:rPr>
        <w:t>1、</w:t>
      </w:r>
      <w:r>
        <w:rPr>
          <w:rFonts w:asciiTheme="minorEastAsia" w:eastAsiaTheme="minorEastAsia" w:hAnsiTheme="minorEastAsia" w:cs="Times New Roman" w:hint="eastAsia"/>
          <w:bCs/>
          <w:kern w:val="2"/>
        </w:rPr>
        <w:t>报告期末基金资产组合情况</w:t>
      </w:r>
      <w:bookmarkEnd w:id="221"/>
    </w:p>
    <w:tbl>
      <w:tblPr>
        <w:tblW w:w="0" w:type="auto"/>
        <w:tblInd w:w="108" w:type="dxa"/>
        <w:tblLook w:val="04A0" w:firstRow="1" w:lastRow="0" w:firstColumn="1" w:lastColumn="0" w:noHBand="0" w:noVBand="1"/>
      </w:tblPr>
      <w:tblGrid>
        <w:gridCol w:w="777"/>
        <w:gridCol w:w="2815"/>
        <w:gridCol w:w="2495"/>
        <w:gridCol w:w="2572"/>
      </w:tblGrid>
      <w:tr w:rsidR="00913A13" w14:paraId="776146FB" w14:textId="77777777">
        <w:tc>
          <w:tcPr>
            <w:tcW w:w="777" w:type="dxa"/>
            <w:tcBorders>
              <w:top w:val="single" w:sz="8" w:space="0" w:color="000000"/>
              <w:left w:val="single" w:sz="8" w:space="0" w:color="000000"/>
              <w:bottom w:val="single" w:sz="6" w:space="0" w:color="000000"/>
              <w:right w:val="single" w:sz="8" w:space="0" w:color="000000"/>
            </w:tcBorders>
            <w:vAlign w:val="center"/>
          </w:tcPr>
          <w:p w14:paraId="6615E19A" w14:textId="77777777" w:rsidR="00913A13" w:rsidRDefault="002F45B8">
            <w:pPr>
              <w:pStyle w:val="biaogecenter"/>
              <w:wordWrap w:val="0"/>
              <w:rPr>
                <w:rFonts w:hint="eastAsia"/>
              </w:rPr>
            </w:pPr>
            <w:r>
              <w:rPr>
                <w:rFonts w:hAnsi="等线" w:hint="eastAsia"/>
                <w:color w:val="000000"/>
              </w:rPr>
              <w:t>序号</w:t>
            </w:r>
          </w:p>
        </w:tc>
        <w:tc>
          <w:tcPr>
            <w:tcW w:w="2815" w:type="dxa"/>
            <w:tcBorders>
              <w:top w:val="single" w:sz="8" w:space="0" w:color="000000"/>
              <w:left w:val="single" w:sz="8" w:space="0" w:color="000000"/>
              <w:bottom w:val="single" w:sz="6" w:space="0" w:color="000000"/>
              <w:right w:val="single" w:sz="8" w:space="0" w:color="000000"/>
            </w:tcBorders>
            <w:vAlign w:val="center"/>
          </w:tcPr>
          <w:p w14:paraId="707CAFBA" w14:textId="77777777" w:rsidR="00913A13" w:rsidRDefault="002F45B8">
            <w:pPr>
              <w:pStyle w:val="biaogecenter"/>
              <w:wordWrap w:val="0"/>
              <w:rPr>
                <w:rFonts w:hint="eastAsia"/>
              </w:rPr>
            </w:pPr>
            <w:r>
              <w:rPr>
                <w:rFonts w:hAnsi="等线" w:hint="eastAsia"/>
                <w:color w:val="000000"/>
              </w:rPr>
              <w:t>项目</w:t>
            </w:r>
          </w:p>
        </w:tc>
        <w:tc>
          <w:tcPr>
            <w:tcW w:w="2495" w:type="dxa"/>
            <w:tcBorders>
              <w:top w:val="single" w:sz="8" w:space="0" w:color="000000"/>
              <w:left w:val="single" w:sz="8" w:space="0" w:color="000000"/>
              <w:bottom w:val="single" w:sz="6" w:space="0" w:color="000000"/>
              <w:right w:val="single" w:sz="8" w:space="0" w:color="000000"/>
            </w:tcBorders>
            <w:vAlign w:val="center"/>
          </w:tcPr>
          <w:p w14:paraId="7A6E6A27" w14:textId="77777777" w:rsidR="00913A13" w:rsidRDefault="002F45B8">
            <w:pPr>
              <w:pStyle w:val="biaogecenter"/>
              <w:wordWrap w:val="0"/>
              <w:rPr>
                <w:rFonts w:hint="eastAsia"/>
              </w:rPr>
            </w:pPr>
            <w:r>
              <w:rPr>
                <w:rFonts w:hAnsi="等线" w:hint="eastAsia"/>
                <w:color w:val="000000"/>
              </w:rPr>
              <w:t>金额(元)</w:t>
            </w:r>
          </w:p>
        </w:tc>
        <w:tc>
          <w:tcPr>
            <w:tcW w:w="2572" w:type="dxa"/>
            <w:tcBorders>
              <w:top w:val="single" w:sz="8" w:space="0" w:color="000000"/>
              <w:left w:val="single" w:sz="8" w:space="0" w:color="000000"/>
              <w:bottom w:val="single" w:sz="6" w:space="0" w:color="000000"/>
              <w:right w:val="single" w:sz="8" w:space="0" w:color="000000"/>
            </w:tcBorders>
            <w:vAlign w:val="center"/>
          </w:tcPr>
          <w:p w14:paraId="78EB5679" w14:textId="77777777" w:rsidR="00913A13" w:rsidRDefault="002F45B8">
            <w:pPr>
              <w:pStyle w:val="biaogecenter"/>
              <w:wordWrap w:val="0"/>
              <w:rPr>
                <w:rFonts w:hint="eastAsia"/>
              </w:rPr>
            </w:pPr>
            <w:r>
              <w:rPr>
                <w:rFonts w:hAnsi="等线" w:hint="eastAsia"/>
                <w:color w:val="000000"/>
              </w:rPr>
              <w:t>占基金总资产的比例（%）</w:t>
            </w:r>
          </w:p>
        </w:tc>
      </w:tr>
      <w:tr w:rsidR="00D65E55" w14:paraId="2DB36DF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9ED0218" w14:textId="77777777" w:rsidR="00D65E55" w:rsidRDefault="00D65E55" w:rsidP="00D65E55">
            <w:pPr>
              <w:pStyle w:val="biaogecenter"/>
              <w:wordWrap w:val="0"/>
              <w:rPr>
                <w:rFonts w:hint="eastAsia"/>
              </w:rPr>
            </w:pPr>
            <w:r>
              <w:rPr>
                <w:rFonts w:hAnsi="等线" w:hint="eastAsia"/>
                <w:color w:val="000000"/>
              </w:rPr>
              <w:t>1</w:t>
            </w:r>
          </w:p>
        </w:tc>
        <w:tc>
          <w:tcPr>
            <w:tcW w:w="2815" w:type="dxa"/>
            <w:tcBorders>
              <w:top w:val="single" w:sz="8" w:space="0" w:color="000000"/>
              <w:left w:val="single" w:sz="8" w:space="0" w:color="000000"/>
              <w:bottom w:val="single" w:sz="6" w:space="0" w:color="000000"/>
              <w:right w:val="single" w:sz="8" w:space="0" w:color="000000"/>
            </w:tcBorders>
            <w:vAlign w:val="center"/>
          </w:tcPr>
          <w:p w14:paraId="447636C0" w14:textId="77777777" w:rsidR="00D65E55" w:rsidRDefault="00D65E55" w:rsidP="00D65E55">
            <w:pPr>
              <w:pStyle w:val="biaogeleft"/>
              <w:wordWrap w:val="0"/>
              <w:rPr>
                <w:rFonts w:hint="eastAsia"/>
              </w:rPr>
            </w:pPr>
            <w:r>
              <w:rPr>
                <w:rFonts w:hint="eastAsia"/>
              </w:rPr>
              <w:t>权益投资</w:t>
            </w:r>
          </w:p>
        </w:tc>
        <w:tc>
          <w:tcPr>
            <w:tcW w:w="2495" w:type="dxa"/>
            <w:tcBorders>
              <w:top w:val="single" w:sz="8" w:space="0" w:color="000000"/>
              <w:left w:val="single" w:sz="8" w:space="0" w:color="000000"/>
              <w:bottom w:val="single" w:sz="6" w:space="0" w:color="000000"/>
              <w:right w:val="single" w:sz="8" w:space="0" w:color="000000"/>
            </w:tcBorders>
            <w:vAlign w:val="center"/>
          </w:tcPr>
          <w:p w14:paraId="061F2A09" w14:textId="42CD8EE6" w:rsidR="00D65E55" w:rsidRDefault="00D65E55" w:rsidP="00D65E55">
            <w:pPr>
              <w:pStyle w:val="biaogeright"/>
              <w:wordWrap w:val="0"/>
              <w:rPr>
                <w:rFonts w:hint="eastAsia"/>
              </w:rPr>
            </w:pPr>
            <w:r w:rsidRPr="00474410">
              <w:rPr>
                <w:rFonts w:hAnsi="Calibri"/>
                <w:color w:val="000000"/>
              </w:rPr>
              <w:t>1,677,770.00</w:t>
            </w:r>
          </w:p>
        </w:tc>
        <w:tc>
          <w:tcPr>
            <w:tcW w:w="2572" w:type="dxa"/>
            <w:tcBorders>
              <w:top w:val="single" w:sz="8" w:space="0" w:color="000000"/>
              <w:left w:val="single" w:sz="8" w:space="0" w:color="000000"/>
              <w:bottom w:val="single" w:sz="6" w:space="0" w:color="000000"/>
              <w:right w:val="single" w:sz="8" w:space="0" w:color="000000"/>
            </w:tcBorders>
            <w:vAlign w:val="center"/>
          </w:tcPr>
          <w:p w14:paraId="749C5D47" w14:textId="62EFDCD4" w:rsidR="00D65E55" w:rsidRDefault="00D65E55" w:rsidP="00D65E55">
            <w:pPr>
              <w:pStyle w:val="biaogeright"/>
              <w:wordWrap w:val="0"/>
              <w:rPr>
                <w:rFonts w:hint="eastAsia"/>
              </w:rPr>
            </w:pPr>
            <w:r w:rsidRPr="00474410">
              <w:rPr>
                <w:rFonts w:hAnsi="Calibri"/>
                <w:color w:val="000000"/>
              </w:rPr>
              <w:t>90.50</w:t>
            </w:r>
          </w:p>
        </w:tc>
      </w:tr>
      <w:tr w:rsidR="00D65E55" w14:paraId="720686D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78EA2A0" w14:textId="77777777" w:rsidR="00D65E55" w:rsidRDefault="00D65E55" w:rsidP="00D65E55">
            <w:pPr>
              <w:widowControl/>
              <w:jc w:val="left"/>
              <w:rPr>
                <w:rFonts w:cs="宋体"/>
                <w:kern w:val="0"/>
                <w:sz w:val="20"/>
                <w:szCs w:val="20"/>
              </w:rPr>
            </w:pPr>
          </w:p>
        </w:tc>
        <w:tc>
          <w:tcPr>
            <w:tcW w:w="2815" w:type="dxa"/>
            <w:tcBorders>
              <w:top w:val="single" w:sz="8" w:space="0" w:color="000000"/>
              <w:left w:val="single" w:sz="8" w:space="0" w:color="000000"/>
              <w:bottom w:val="single" w:sz="6" w:space="0" w:color="000000"/>
              <w:right w:val="single" w:sz="8" w:space="0" w:color="000000"/>
            </w:tcBorders>
            <w:vAlign w:val="center"/>
          </w:tcPr>
          <w:p w14:paraId="1601C4AC" w14:textId="77777777" w:rsidR="00D65E55" w:rsidRDefault="00D65E55" w:rsidP="00D65E55">
            <w:pPr>
              <w:pStyle w:val="biaogeleft"/>
              <w:wordWrap w:val="0"/>
              <w:rPr>
                <w:rFonts w:hint="eastAsia"/>
              </w:rPr>
            </w:pPr>
            <w:r>
              <w:rPr>
                <w:rFonts w:hint="eastAsia"/>
              </w:rPr>
              <w:t>其中：股票</w:t>
            </w:r>
          </w:p>
        </w:tc>
        <w:tc>
          <w:tcPr>
            <w:tcW w:w="2495" w:type="dxa"/>
            <w:tcBorders>
              <w:top w:val="single" w:sz="8" w:space="0" w:color="000000"/>
              <w:left w:val="single" w:sz="8" w:space="0" w:color="000000"/>
              <w:bottom w:val="single" w:sz="6" w:space="0" w:color="000000"/>
              <w:right w:val="single" w:sz="8" w:space="0" w:color="000000"/>
            </w:tcBorders>
            <w:vAlign w:val="center"/>
          </w:tcPr>
          <w:p w14:paraId="5CE2A737" w14:textId="26F7A89A" w:rsidR="00D65E55" w:rsidRDefault="00D65E55" w:rsidP="00D65E55">
            <w:pPr>
              <w:pStyle w:val="biaogeright"/>
              <w:wordWrap w:val="0"/>
              <w:rPr>
                <w:rFonts w:hint="eastAsia"/>
              </w:rPr>
            </w:pPr>
            <w:r w:rsidRPr="00474410">
              <w:rPr>
                <w:rFonts w:hAnsi="Calibri"/>
                <w:color w:val="000000"/>
              </w:rPr>
              <w:t>1,677,770.00</w:t>
            </w:r>
          </w:p>
        </w:tc>
        <w:tc>
          <w:tcPr>
            <w:tcW w:w="2572" w:type="dxa"/>
            <w:tcBorders>
              <w:top w:val="single" w:sz="8" w:space="0" w:color="000000"/>
              <w:left w:val="single" w:sz="8" w:space="0" w:color="000000"/>
              <w:bottom w:val="single" w:sz="6" w:space="0" w:color="000000"/>
              <w:right w:val="single" w:sz="8" w:space="0" w:color="000000"/>
            </w:tcBorders>
            <w:vAlign w:val="center"/>
          </w:tcPr>
          <w:p w14:paraId="7E35D3AD" w14:textId="060BF1E4" w:rsidR="00D65E55" w:rsidRDefault="00D65E55" w:rsidP="00D65E55">
            <w:pPr>
              <w:pStyle w:val="biaogeright"/>
              <w:wordWrap w:val="0"/>
              <w:rPr>
                <w:rFonts w:hint="eastAsia"/>
              </w:rPr>
            </w:pPr>
            <w:r w:rsidRPr="00474410">
              <w:rPr>
                <w:rFonts w:hAnsi="Calibri"/>
                <w:color w:val="000000"/>
              </w:rPr>
              <w:t>90.50</w:t>
            </w:r>
          </w:p>
        </w:tc>
      </w:tr>
      <w:tr w:rsidR="00D65E55" w14:paraId="61E822F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F709F3A" w14:textId="77777777" w:rsidR="00D65E55" w:rsidRDefault="00D65E55" w:rsidP="00D65E55">
            <w:pPr>
              <w:pStyle w:val="biaogecenter"/>
              <w:wordWrap w:val="0"/>
              <w:rPr>
                <w:rFonts w:hint="eastAsia"/>
              </w:rPr>
            </w:pPr>
            <w:r>
              <w:rPr>
                <w:rFonts w:hAnsi="等线" w:hint="eastAsia"/>
                <w:color w:val="000000"/>
              </w:rPr>
              <w:t>2</w:t>
            </w:r>
          </w:p>
        </w:tc>
        <w:tc>
          <w:tcPr>
            <w:tcW w:w="2815" w:type="dxa"/>
            <w:tcBorders>
              <w:top w:val="single" w:sz="8" w:space="0" w:color="000000"/>
              <w:left w:val="single" w:sz="8" w:space="0" w:color="000000"/>
              <w:bottom w:val="single" w:sz="6" w:space="0" w:color="000000"/>
              <w:right w:val="single" w:sz="8" w:space="0" w:color="000000"/>
            </w:tcBorders>
            <w:vAlign w:val="center"/>
          </w:tcPr>
          <w:p w14:paraId="1E997746" w14:textId="77777777" w:rsidR="00D65E55" w:rsidRDefault="00D65E55" w:rsidP="00D65E55">
            <w:pPr>
              <w:pStyle w:val="biaogeleft"/>
              <w:wordWrap w:val="0"/>
              <w:rPr>
                <w:rFonts w:hint="eastAsia"/>
              </w:rPr>
            </w:pPr>
            <w:r>
              <w:rPr>
                <w:rFonts w:hint="eastAsia"/>
              </w:rPr>
              <w:t>基金投资</w:t>
            </w:r>
          </w:p>
        </w:tc>
        <w:tc>
          <w:tcPr>
            <w:tcW w:w="2495" w:type="dxa"/>
            <w:tcBorders>
              <w:top w:val="single" w:sz="8" w:space="0" w:color="000000"/>
              <w:left w:val="single" w:sz="8" w:space="0" w:color="000000"/>
              <w:bottom w:val="single" w:sz="6" w:space="0" w:color="000000"/>
              <w:right w:val="single" w:sz="8" w:space="0" w:color="000000"/>
            </w:tcBorders>
            <w:vAlign w:val="center"/>
          </w:tcPr>
          <w:p w14:paraId="00816E02" w14:textId="134B786B"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0065F156" w14:textId="51576A60" w:rsidR="00D65E55" w:rsidRDefault="00D65E55" w:rsidP="00D65E55">
            <w:pPr>
              <w:pStyle w:val="biaogeright"/>
              <w:wordWrap w:val="0"/>
              <w:rPr>
                <w:rFonts w:hint="eastAsia"/>
              </w:rPr>
            </w:pPr>
            <w:r w:rsidRPr="00474410">
              <w:rPr>
                <w:rFonts w:hAnsi="Calibri"/>
                <w:color w:val="000000"/>
              </w:rPr>
              <w:t>-</w:t>
            </w:r>
          </w:p>
        </w:tc>
      </w:tr>
      <w:tr w:rsidR="00D65E55" w14:paraId="6A788DF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192684F" w14:textId="77777777" w:rsidR="00D65E55" w:rsidRDefault="00D65E55" w:rsidP="00D65E55">
            <w:pPr>
              <w:pStyle w:val="biaogecenter"/>
              <w:wordWrap w:val="0"/>
              <w:rPr>
                <w:rFonts w:hint="eastAsia"/>
              </w:rPr>
            </w:pPr>
            <w:r>
              <w:rPr>
                <w:rFonts w:hAnsi="等线" w:hint="eastAsia"/>
                <w:color w:val="000000"/>
              </w:rPr>
              <w:t>3</w:t>
            </w:r>
          </w:p>
        </w:tc>
        <w:tc>
          <w:tcPr>
            <w:tcW w:w="2815" w:type="dxa"/>
            <w:tcBorders>
              <w:top w:val="single" w:sz="8" w:space="0" w:color="000000"/>
              <w:left w:val="single" w:sz="8" w:space="0" w:color="000000"/>
              <w:bottom w:val="single" w:sz="6" w:space="0" w:color="000000"/>
              <w:right w:val="single" w:sz="8" w:space="0" w:color="000000"/>
            </w:tcBorders>
            <w:vAlign w:val="center"/>
          </w:tcPr>
          <w:p w14:paraId="08B87578" w14:textId="77777777" w:rsidR="00D65E55" w:rsidRDefault="00D65E55" w:rsidP="00D65E55">
            <w:pPr>
              <w:pStyle w:val="biaogeleft"/>
              <w:wordWrap w:val="0"/>
              <w:rPr>
                <w:rFonts w:hint="eastAsia"/>
              </w:rPr>
            </w:pPr>
            <w:r>
              <w:rPr>
                <w:rFonts w:hint="eastAsia"/>
              </w:rPr>
              <w:t>固定收益投资</w:t>
            </w:r>
          </w:p>
        </w:tc>
        <w:tc>
          <w:tcPr>
            <w:tcW w:w="2495" w:type="dxa"/>
            <w:tcBorders>
              <w:top w:val="single" w:sz="8" w:space="0" w:color="000000"/>
              <w:left w:val="single" w:sz="8" w:space="0" w:color="000000"/>
              <w:bottom w:val="single" w:sz="6" w:space="0" w:color="000000"/>
              <w:right w:val="single" w:sz="8" w:space="0" w:color="000000"/>
            </w:tcBorders>
            <w:vAlign w:val="center"/>
          </w:tcPr>
          <w:p w14:paraId="277F3D1C" w14:textId="2198C5FC" w:rsidR="00D65E55" w:rsidRDefault="00D65E55" w:rsidP="00D65E55">
            <w:pPr>
              <w:pStyle w:val="biaogeright"/>
              <w:wordWrap w:val="0"/>
              <w:rPr>
                <w:rFonts w:hint="eastAsia"/>
              </w:rPr>
            </w:pPr>
            <w:r w:rsidRPr="00474410">
              <w:rPr>
                <w:rFonts w:hAnsi="Calibri"/>
                <w:color w:val="000000"/>
              </w:rPr>
              <w:t>100,950.96</w:t>
            </w:r>
          </w:p>
        </w:tc>
        <w:tc>
          <w:tcPr>
            <w:tcW w:w="2572" w:type="dxa"/>
            <w:tcBorders>
              <w:top w:val="single" w:sz="8" w:space="0" w:color="000000"/>
              <w:left w:val="single" w:sz="8" w:space="0" w:color="000000"/>
              <w:bottom w:val="single" w:sz="6" w:space="0" w:color="000000"/>
              <w:right w:val="single" w:sz="8" w:space="0" w:color="000000"/>
            </w:tcBorders>
            <w:vAlign w:val="center"/>
          </w:tcPr>
          <w:p w14:paraId="57581DB5" w14:textId="7CF0179B" w:rsidR="00D65E55" w:rsidRDefault="00D65E55" w:rsidP="00D65E55">
            <w:pPr>
              <w:pStyle w:val="biaogeright"/>
              <w:wordWrap w:val="0"/>
              <w:rPr>
                <w:rFonts w:hint="eastAsia"/>
              </w:rPr>
            </w:pPr>
            <w:r w:rsidRPr="00474410">
              <w:rPr>
                <w:rFonts w:hAnsi="Calibri"/>
                <w:color w:val="000000"/>
              </w:rPr>
              <w:t>5.45</w:t>
            </w:r>
          </w:p>
        </w:tc>
      </w:tr>
      <w:tr w:rsidR="00D65E55" w14:paraId="46DC358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DEBBF3C" w14:textId="77777777" w:rsidR="00D65E55" w:rsidRDefault="00D65E55" w:rsidP="00D65E55">
            <w:pPr>
              <w:widowControl/>
              <w:jc w:val="left"/>
              <w:rPr>
                <w:rFonts w:cs="宋体"/>
                <w:kern w:val="0"/>
                <w:sz w:val="20"/>
                <w:szCs w:val="20"/>
              </w:rPr>
            </w:pPr>
          </w:p>
        </w:tc>
        <w:tc>
          <w:tcPr>
            <w:tcW w:w="2815" w:type="dxa"/>
            <w:tcBorders>
              <w:top w:val="single" w:sz="8" w:space="0" w:color="000000"/>
              <w:left w:val="single" w:sz="8" w:space="0" w:color="000000"/>
              <w:bottom w:val="single" w:sz="6" w:space="0" w:color="000000"/>
              <w:right w:val="single" w:sz="8" w:space="0" w:color="000000"/>
            </w:tcBorders>
            <w:vAlign w:val="center"/>
          </w:tcPr>
          <w:p w14:paraId="48142D99" w14:textId="77777777" w:rsidR="00D65E55" w:rsidRDefault="00D65E55" w:rsidP="00D65E55">
            <w:pPr>
              <w:pStyle w:val="biaogeleft"/>
              <w:wordWrap w:val="0"/>
              <w:rPr>
                <w:rFonts w:hint="eastAsia"/>
              </w:rPr>
            </w:pPr>
            <w:r>
              <w:rPr>
                <w:rFonts w:hint="eastAsia"/>
              </w:rPr>
              <w:t>其中：债券</w:t>
            </w:r>
          </w:p>
        </w:tc>
        <w:tc>
          <w:tcPr>
            <w:tcW w:w="2495" w:type="dxa"/>
            <w:tcBorders>
              <w:top w:val="single" w:sz="8" w:space="0" w:color="000000"/>
              <w:left w:val="single" w:sz="8" w:space="0" w:color="000000"/>
              <w:bottom w:val="single" w:sz="6" w:space="0" w:color="000000"/>
              <w:right w:val="single" w:sz="8" w:space="0" w:color="000000"/>
            </w:tcBorders>
            <w:vAlign w:val="center"/>
          </w:tcPr>
          <w:p w14:paraId="49262764" w14:textId="21C684F4" w:rsidR="00D65E55" w:rsidRDefault="00D65E55" w:rsidP="00D65E55">
            <w:pPr>
              <w:pStyle w:val="biaogeright"/>
              <w:wordWrap w:val="0"/>
              <w:rPr>
                <w:rFonts w:hint="eastAsia"/>
              </w:rPr>
            </w:pPr>
            <w:r w:rsidRPr="00474410">
              <w:rPr>
                <w:rFonts w:hAnsi="Calibri"/>
                <w:color w:val="000000"/>
              </w:rPr>
              <w:t>100,950.96</w:t>
            </w:r>
          </w:p>
        </w:tc>
        <w:tc>
          <w:tcPr>
            <w:tcW w:w="2572" w:type="dxa"/>
            <w:tcBorders>
              <w:top w:val="single" w:sz="8" w:space="0" w:color="000000"/>
              <w:left w:val="single" w:sz="8" w:space="0" w:color="000000"/>
              <w:bottom w:val="single" w:sz="6" w:space="0" w:color="000000"/>
              <w:right w:val="single" w:sz="8" w:space="0" w:color="000000"/>
            </w:tcBorders>
            <w:vAlign w:val="center"/>
          </w:tcPr>
          <w:p w14:paraId="57C1F4E1" w14:textId="57E750FE" w:rsidR="00D65E55" w:rsidRDefault="00D65E55" w:rsidP="00D65E55">
            <w:pPr>
              <w:pStyle w:val="biaogeright"/>
              <w:wordWrap w:val="0"/>
              <w:rPr>
                <w:rFonts w:hint="eastAsia"/>
              </w:rPr>
            </w:pPr>
            <w:r w:rsidRPr="00474410">
              <w:rPr>
                <w:rFonts w:hAnsi="Calibri"/>
                <w:color w:val="000000"/>
              </w:rPr>
              <w:t>5.45</w:t>
            </w:r>
          </w:p>
        </w:tc>
      </w:tr>
      <w:tr w:rsidR="00D65E55" w14:paraId="64C6DBFC"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8FD6092" w14:textId="77777777" w:rsidR="00D65E55" w:rsidRDefault="00D65E55" w:rsidP="00D65E55">
            <w:pPr>
              <w:widowControl/>
              <w:jc w:val="left"/>
              <w:rPr>
                <w:rFonts w:cs="宋体"/>
                <w:kern w:val="0"/>
                <w:sz w:val="20"/>
                <w:szCs w:val="20"/>
              </w:rPr>
            </w:pPr>
          </w:p>
        </w:tc>
        <w:tc>
          <w:tcPr>
            <w:tcW w:w="2815" w:type="dxa"/>
            <w:tcBorders>
              <w:top w:val="single" w:sz="8" w:space="0" w:color="000000"/>
              <w:left w:val="single" w:sz="8" w:space="0" w:color="000000"/>
              <w:bottom w:val="single" w:sz="6" w:space="0" w:color="000000"/>
              <w:right w:val="single" w:sz="8" w:space="0" w:color="000000"/>
            </w:tcBorders>
            <w:vAlign w:val="center"/>
          </w:tcPr>
          <w:p w14:paraId="7B6E782F" w14:textId="77777777" w:rsidR="00D65E55" w:rsidRDefault="00D65E55" w:rsidP="00D65E55">
            <w:pPr>
              <w:pStyle w:val="biaogeleft"/>
              <w:wordWrap w:val="0"/>
              <w:ind w:left="750"/>
              <w:rPr>
                <w:rFonts w:hint="eastAsia"/>
              </w:rPr>
            </w:pPr>
            <w:r>
              <w:rPr>
                <w:rFonts w:hint="eastAsia"/>
              </w:rPr>
              <w:t>资产支持证券</w:t>
            </w:r>
          </w:p>
        </w:tc>
        <w:tc>
          <w:tcPr>
            <w:tcW w:w="2495" w:type="dxa"/>
            <w:tcBorders>
              <w:top w:val="single" w:sz="8" w:space="0" w:color="000000"/>
              <w:left w:val="single" w:sz="8" w:space="0" w:color="000000"/>
              <w:bottom w:val="single" w:sz="6" w:space="0" w:color="000000"/>
              <w:right w:val="single" w:sz="8" w:space="0" w:color="000000"/>
            </w:tcBorders>
            <w:vAlign w:val="center"/>
          </w:tcPr>
          <w:p w14:paraId="58059749" w14:textId="601AFDA2"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6989C13B" w14:textId="06811622" w:rsidR="00D65E55" w:rsidRDefault="00D65E55" w:rsidP="00D65E55">
            <w:pPr>
              <w:pStyle w:val="biaogeright"/>
              <w:wordWrap w:val="0"/>
              <w:rPr>
                <w:rFonts w:hint="eastAsia"/>
              </w:rPr>
            </w:pPr>
            <w:r w:rsidRPr="00474410">
              <w:rPr>
                <w:rFonts w:hAnsi="Calibri"/>
                <w:color w:val="000000"/>
              </w:rPr>
              <w:t>-</w:t>
            </w:r>
          </w:p>
        </w:tc>
      </w:tr>
      <w:tr w:rsidR="00D65E55" w14:paraId="639227B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BF22D6F" w14:textId="77777777" w:rsidR="00D65E55" w:rsidRDefault="00D65E55" w:rsidP="00D65E55">
            <w:pPr>
              <w:pStyle w:val="biaogecenter"/>
              <w:wordWrap w:val="0"/>
              <w:rPr>
                <w:rFonts w:hint="eastAsia"/>
              </w:rPr>
            </w:pPr>
            <w:r>
              <w:rPr>
                <w:rFonts w:hAnsi="等线" w:hint="eastAsia"/>
                <w:color w:val="000000"/>
              </w:rPr>
              <w:t>4</w:t>
            </w:r>
          </w:p>
        </w:tc>
        <w:tc>
          <w:tcPr>
            <w:tcW w:w="0" w:type="auto"/>
            <w:tcBorders>
              <w:top w:val="single" w:sz="8" w:space="0" w:color="000000"/>
              <w:left w:val="single" w:sz="8" w:space="0" w:color="000000"/>
              <w:bottom w:val="single" w:sz="6" w:space="0" w:color="000000"/>
              <w:right w:val="single" w:sz="8" w:space="0" w:color="000000"/>
            </w:tcBorders>
            <w:vAlign w:val="center"/>
          </w:tcPr>
          <w:p w14:paraId="54C5E1D3" w14:textId="77777777" w:rsidR="00D65E55" w:rsidRDefault="00D65E55" w:rsidP="00D65E55">
            <w:pPr>
              <w:pStyle w:val="biaogeleft"/>
              <w:wordWrap w:val="0"/>
              <w:rPr>
                <w:rFonts w:hint="eastAsia"/>
              </w:rPr>
            </w:pPr>
            <w:r>
              <w:rPr>
                <w:rFonts w:hint="eastAsia"/>
              </w:rPr>
              <w:t>贵金属投资</w:t>
            </w:r>
          </w:p>
        </w:tc>
        <w:tc>
          <w:tcPr>
            <w:tcW w:w="2495" w:type="dxa"/>
            <w:tcBorders>
              <w:top w:val="single" w:sz="8" w:space="0" w:color="000000"/>
              <w:left w:val="single" w:sz="8" w:space="0" w:color="000000"/>
              <w:bottom w:val="single" w:sz="6" w:space="0" w:color="000000"/>
              <w:right w:val="single" w:sz="8" w:space="0" w:color="000000"/>
            </w:tcBorders>
            <w:vAlign w:val="center"/>
          </w:tcPr>
          <w:p w14:paraId="46754813" w14:textId="213AC782"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1C5AD460" w14:textId="67047FB2" w:rsidR="00D65E55" w:rsidRDefault="00D65E55" w:rsidP="00D65E55">
            <w:pPr>
              <w:pStyle w:val="biaogeright"/>
              <w:wordWrap w:val="0"/>
              <w:rPr>
                <w:rFonts w:hint="eastAsia"/>
              </w:rPr>
            </w:pPr>
            <w:r w:rsidRPr="00474410">
              <w:rPr>
                <w:rFonts w:hAnsi="Calibri"/>
                <w:color w:val="000000"/>
              </w:rPr>
              <w:t>-</w:t>
            </w:r>
          </w:p>
        </w:tc>
      </w:tr>
      <w:tr w:rsidR="00D65E55" w14:paraId="5F88416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9096958" w14:textId="77777777" w:rsidR="00D65E55" w:rsidRDefault="00D65E55" w:rsidP="00D65E55">
            <w:pPr>
              <w:pStyle w:val="biaogecenter"/>
              <w:wordWrap w:val="0"/>
              <w:rPr>
                <w:rFonts w:hint="eastAsia"/>
              </w:rPr>
            </w:pPr>
            <w:r>
              <w:rPr>
                <w:rFonts w:hAnsi="等线" w:hint="eastAsia"/>
                <w:color w:val="000000"/>
              </w:rPr>
              <w:t>5</w:t>
            </w:r>
          </w:p>
        </w:tc>
        <w:tc>
          <w:tcPr>
            <w:tcW w:w="2815" w:type="dxa"/>
            <w:tcBorders>
              <w:top w:val="single" w:sz="8" w:space="0" w:color="000000"/>
              <w:left w:val="single" w:sz="8" w:space="0" w:color="000000"/>
              <w:bottom w:val="single" w:sz="6" w:space="0" w:color="000000"/>
              <w:right w:val="single" w:sz="8" w:space="0" w:color="000000"/>
            </w:tcBorders>
            <w:vAlign w:val="center"/>
          </w:tcPr>
          <w:p w14:paraId="791B5013" w14:textId="77777777" w:rsidR="00D65E55" w:rsidRDefault="00D65E55" w:rsidP="00D65E55">
            <w:pPr>
              <w:pStyle w:val="biaogeleft"/>
              <w:wordWrap w:val="0"/>
              <w:rPr>
                <w:rFonts w:hint="eastAsia"/>
              </w:rPr>
            </w:pPr>
            <w:r>
              <w:rPr>
                <w:rFonts w:hint="eastAsia"/>
              </w:rPr>
              <w:t>金融衍生品投资</w:t>
            </w:r>
          </w:p>
        </w:tc>
        <w:tc>
          <w:tcPr>
            <w:tcW w:w="2495" w:type="dxa"/>
            <w:tcBorders>
              <w:top w:val="single" w:sz="8" w:space="0" w:color="000000"/>
              <w:left w:val="single" w:sz="8" w:space="0" w:color="000000"/>
              <w:bottom w:val="single" w:sz="6" w:space="0" w:color="000000"/>
              <w:right w:val="single" w:sz="8" w:space="0" w:color="000000"/>
            </w:tcBorders>
            <w:vAlign w:val="center"/>
          </w:tcPr>
          <w:p w14:paraId="27DBD387" w14:textId="32A3B5B8"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374EA7CD" w14:textId="4D7F1674" w:rsidR="00D65E55" w:rsidRDefault="00D65E55" w:rsidP="00D65E55">
            <w:pPr>
              <w:pStyle w:val="biaogeright"/>
              <w:wordWrap w:val="0"/>
              <w:rPr>
                <w:rFonts w:hint="eastAsia"/>
              </w:rPr>
            </w:pPr>
            <w:r w:rsidRPr="00474410">
              <w:rPr>
                <w:rFonts w:hAnsi="Calibri"/>
                <w:color w:val="000000"/>
              </w:rPr>
              <w:t>-</w:t>
            </w:r>
          </w:p>
        </w:tc>
      </w:tr>
      <w:tr w:rsidR="00D65E55" w14:paraId="65DEB7C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94310A0" w14:textId="77777777" w:rsidR="00D65E55" w:rsidRDefault="00D65E55" w:rsidP="00D65E55">
            <w:pPr>
              <w:pStyle w:val="biaogecenter"/>
              <w:wordWrap w:val="0"/>
              <w:rPr>
                <w:rFonts w:hint="eastAsia"/>
              </w:rPr>
            </w:pPr>
            <w:r>
              <w:rPr>
                <w:rFonts w:hAnsi="等线" w:hint="eastAsia"/>
                <w:color w:val="000000"/>
              </w:rPr>
              <w:t>6</w:t>
            </w:r>
          </w:p>
        </w:tc>
        <w:tc>
          <w:tcPr>
            <w:tcW w:w="2815" w:type="dxa"/>
            <w:tcBorders>
              <w:top w:val="single" w:sz="8" w:space="0" w:color="000000"/>
              <w:left w:val="single" w:sz="8" w:space="0" w:color="000000"/>
              <w:bottom w:val="single" w:sz="6" w:space="0" w:color="000000"/>
              <w:right w:val="single" w:sz="8" w:space="0" w:color="000000"/>
            </w:tcBorders>
            <w:vAlign w:val="center"/>
          </w:tcPr>
          <w:p w14:paraId="6CE180AC" w14:textId="77777777" w:rsidR="00D65E55" w:rsidRDefault="00D65E55" w:rsidP="00D65E55">
            <w:pPr>
              <w:pStyle w:val="biaogeleft"/>
              <w:wordWrap w:val="0"/>
              <w:rPr>
                <w:rFonts w:hint="eastAsia"/>
              </w:rPr>
            </w:pPr>
            <w:r>
              <w:rPr>
                <w:rFonts w:hint="eastAsia"/>
              </w:rPr>
              <w:t>买入返售金融资产</w:t>
            </w:r>
          </w:p>
        </w:tc>
        <w:tc>
          <w:tcPr>
            <w:tcW w:w="2495" w:type="dxa"/>
            <w:tcBorders>
              <w:top w:val="single" w:sz="8" w:space="0" w:color="000000"/>
              <w:left w:val="single" w:sz="8" w:space="0" w:color="000000"/>
              <w:bottom w:val="single" w:sz="6" w:space="0" w:color="000000"/>
              <w:right w:val="single" w:sz="8" w:space="0" w:color="000000"/>
            </w:tcBorders>
            <w:vAlign w:val="center"/>
          </w:tcPr>
          <w:p w14:paraId="22122951" w14:textId="1F8D4C57"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2DC7D262" w14:textId="0AB6642D" w:rsidR="00D65E55" w:rsidRDefault="00D65E55" w:rsidP="00D65E55">
            <w:pPr>
              <w:pStyle w:val="biaogeright"/>
              <w:wordWrap w:val="0"/>
              <w:rPr>
                <w:rFonts w:hint="eastAsia"/>
              </w:rPr>
            </w:pPr>
            <w:r w:rsidRPr="00474410">
              <w:rPr>
                <w:rFonts w:hAnsi="Calibri"/>
                <w:color w:val="000000"/>
              </w:rPr>
              <w:t>-</w:t>
            </w:r>
          </w:p>
        </w:tc>
      </w:tr>
      <w:tr w:rsidR="00D65E55" w14:paraId="5C54402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C3DB772" w14:textId="77777777" w:rsidR="00D65E55" w:rsidRDefault="00D65E55" w:rsidP="00D65E55">
            <w:pPr>
              <w:widowControl/>
              <w:jc w:val="left"/>
              <w:rPr>
                <w:rFonts w:cs="宋体"/>
                <w:kern w:val="0"/>
                <w:sz w:val="20"/>
                <w:szCs w:val="20"/>
              </w:rPr>
            </w:pPr>
          </w:p>
        </w:tc>
        <w:tc>
          <w:tcPr>
            <w:tcW w:w="2815" w:type="dxa"/>
            <w:tcBorders>
              <w:top w:val="single" w:sz="8" w:space="0" w:color="000000"/>
              <w:left w:val="single" w:sz="8" w:space="0" w:color="000000"/>
              <w:bottom w:val="single" w:sz="6" w:space="0" w:color="000000"/>
              <w:right w:val="single" w:sz="8" w:space="0" w:color="000000"/>
            </w:tcBorders>
            <w:vAlign w:val="center"/>
          </w:tcPr>
          <w:p w14:paraId="56B35BF1" w14:textId="77777777" w:rsidR="00D65E55" w:rsidRDefault="00D65E55" w:rsidP="00D65E55">
            <w:pPr>
              <w:pStyle w:val="biaogeleft"/>
              <w:wordWrap w:val="0"/>
              <w:rPr>
                <w:rFonts w:hint="eastAsia"/>
              </w:rPr>
            </w:pPr>
            <w:r>
              <w:rPr>
                <w:rFonts w:hint="eastAsia"/>
              </w:rPr>
              <w:t>其中：买断式回购的买入返售金融资产</w:t>
            </w:r>
          </w:p>
        </w:tc>
        <w:tc>
          <w:tcPr>
            <w:tcW w:w="2495" w:type="dxa"/>
            <w:tcBorders>
              <w:top w:val="single" w:sz="8" w:space="0" w:color="000000"/>
              <w:left w:val="single" w:sz="8" w:space="0" w:color="000000"/>
              <w:bottom w:val="single" w:sz="6" w:space="0" w:color="000000"/>
              <w:right w:val="single" w:sz="8" w:space="0" w:color="000000"/>
            </w:tcBorders>
            <w:vAlign w:val="center"/>
          </w:tcPr>
          <w:p w14:paraId="39DB09FD" w14:textId="122DB92A" w:rsidR="00D65E55" w:rsidRDefault="00D65E55" w:rsidP="00D65E55">
            <w:pPr>
              <w:pStyle w:val="biaogeright"/>
              <w:wordWrap w:val="0"/>
              <w:rPr>
                <w:rFonts w:hint="eastAsia"/>
              </w:rPr>
            </w:pPr>
            <w:r w:rsidRPr="00474410">
              <w:rPr>
                <w:rFonts w:hAnsi="Calibri"/>
                <w:color w:val="000000"/>
              </w:rPr>
              <w:t>-</w:t>
            </w:r>
          </w:p>
        </w:tc>
        <w:tc>
          <w:tcPr>
            <w:tcW w:w="2572" w:type="dxa"/>
            <w:tcBorders>
              <w:top w:val="single" w:sz="8" w:space="0" w:color="000000"/>
              <w:left w:val="single" w:sz="8" w:space="0" w:color="000000"/>
              <w:bottom w:val="single" w:sz="6" w:space="0" w:color="000000"/>
              <w:right w:val="single" w:sz="8" w:space="0" w:color="000000"/>
            </w:tcBorders>
            <w:vAlign w:val="center"/>
          </w:tcPr>
          <w:p w14:paraId="231AF5CB" w14:textId="7F25372D" w:rsidR="00D65E55" w:rsidRDefault="00D65E55" w:rsidP="00D65E55">
            <w:pPr>
              <w:pStyle w:val="biaogeright"/>
              <w:wordWrap w:val="0"/>
              <w:rPr>
                <w:rFonts w:hint="eastAsia"/>
              </w:rPr>
            </w:pPr>
            <w:r w:rsidRPr="00474410">
              <w:rPr>
                <w:rFonts w:hAnsi="Calibri"/>
                <w:color w:val="000000"/>
              </w:rPr>
              <w:t>-</w:t>
            </w:r>
          </w:p>
        </w:tc>
      </w:tr>
      <w:tr w:rsidR="00D65E55" w14:paraId="78D0FBE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72D854A" w14:textId="77777777" w:rsidR="00D65E55" w:rsidRDefault="00D65E55" w:rsidP="00D65E55">
            <w:pPr>
              <w:pStyle w:val="biaogecenter"/>
              <w:wordWrap w:val="0"/>
              <w:rPr>
                <w:rFonts w:hint="eastAsia"/>
              </w:rPr>
            </w:pPr>
            <w:r>
              <w:rPr>
                <w:rFonts w:hAnsi="等线" w:hint="eastAsia"/>
                <w:color w:val="000000"/>
              </w:rPr>
              <w:t>7</w:t>
            </w:r>
          </w:p>
        </w:tc>
        <w:tc>
          <w:tcPr>
            <w:tcW w:w="2815" w:type="dxa"/>
            <w:tcBorders>
              <w:top w:val="single" w:sz="8" w:space="0" w:color="000000"/>
              <w:left w:val="single" w:sz="8" w:space="0" w:color="000000"/>
              <w:bottom w:val="single" w:sz="6" w:space="0" w:color="000000"/>
              <w:right w:val="single" w:sz="8" w:space="0" w:color="000000"/>
            </w:tcBorders>
            <w:vAlign w:val="center"/>
          </w:tcPr>
          <w:p w14:paraId="185F240E" w14:textId="77777777" w:rsidR="00D65E55" w:rsidRDefault="00D65E55" w:rsidP="00D65E55">
            <w:pPr>
              <w:pStyle w:val="biaogeleft"/>
              <w:wordWrap w:val="0"/>
              <w:rPr>
                <w:rFonts w:hint="eastAsia"/>
              </w:rPr>
            </w:pPr>
            <w:r>
              <w:rPr>
                <w:rFonts w:hint="eastAsia"/>
              </w:rPr>
              <w:t>银行存款和结算备付金</w:t>
            </w:r>
            <w:r>
              <w:rPr>
                <w:rFonts w:hint="eastAsia"/>
              </w:rPr>
              <w:lastRenderedPageBreak/>
              <w:t>合计</w:t>
            </w:r>
          </w:p>
        </w:tc>
        <w:tc>
          <w:tcPr>
            <w:tcW w:w="2495" w:type="dxa"/>
            <w:tcBorders>
              <w:top w:val="single" w:sz="8" w:space="0" w:color="000000"/>
              <w:left w:val="single" w:sz="8" w:space="0" w:color="000000"/>
              <w:bottom w:val="single" w:sz="6" w:space="0" w:color="000000"/>
              <w:right w:val="single" w:sz="8" w:space="0" w:color="000000"/>
            </w:tcBorders>
            <w:vAlign w:val="center"/>
          </w:tcPr>
          <w:p w14:paraId="14F6DB18" w14:textId="51C2BF05" w:rsidR="00D65E55" w:rsidRDefault="00D65E55" w:rsidP="00D65E55">
            <w:pPr>
              <w:pStyle w:val="biaogeright"/>
              <w:wordWrap w:val="0"/>
              <w:rPr>
                <w:rFonts w:hint="eastAsia"/>
              </w:rPr>
            </w:pPr>
            <w:r w:rsidRPr="00474410">
              <w:rPr>
                <w:rFonts w:hAnsi="Calibri"/>
                <w:color w:val="000000"/>
              </w:rPr>
              <w:lastRenderedPageBreak/>
              <w:t>10,665.39</w:t>
            </w:r>
          </w:p>
        </w:tc>
        <w:tc>
          <w:tcPr>
            <w:tcW w:w="2572" w:type="dxa"/>
            <w:tcBorders>
              <w:top w:val="single" w:sz="8" w:space="0" w:color="000000"/>
              <w:left w:val="single" w:sz="8" w:space="0" w:color="000000"/>
              <w:bottom w:val="single" w:sz="6" w:space="0" w:color="000000"/>
              <w:right w:val="single" w:sz="8" w:space="0" w:color="000000"/>
            </w:tcBorders>
            <w:vAlign w:val="center"/>
          </w:tcPr>
          <w:p w14:paraId="5D3FEF6C" w14:textId="3726FE74" w:rsidR="00D65E55" w:rsidRDefault="00D65E55" w:rsidP="00D65E55">
            <w:pPr>
              <w:pStyle w:val="biaogeright"/>
              <w:wordWrap w:val="0"/>
              <w:rPr>
                <w:rFonts w:hint="eastAsia"/>
              </w:rPr>
            </w:pPr>
            <w:r w:rsidRPr="00474410">
              <w:rPr>
                <w:rFonts w:hAnsi="Calibri"/>
                <w:color w:val="000000"/>
              </w:rPr>
              <w:t>0.58</w:t>
            </w:r>
          </w:p>
        </w:tc>
      </w:tr>
      <w:tr w:rsidR="00D65E55" w14:paraId="35510A0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45D3F9D" w14:textId="77777777" w:rsidR="00D65E55" w:rsidRDefault="00D65E55" w:rsidP="00D65E55">
            <w:pPr>
              <w:pStyle w:val="biaogecenter"/>
              <w:wordWrap w:val="0"/>
              <w:rPr>
                <w:rFonts w:hint="eastAsia"/>
              </w:rPr>
            </w:pPr>
            <w:r>
              <w:rPr>
                <w:rFonts w:hAnsi="等线" w:hint="eastAsia"/>
                <w:color w:val="000000"/>
              </w:rPr>
              <w:t>8</w:t>
            </w:r>
          </w:p>
        </w:tc>
        <w:tc>
          <w:tcPr>
            <w:tcW w:w="2815" w:type="dxa"/>
            <w:tcBorders>
              <w:top w:val="single" w:sz="8" w:space="0" w:color="000000"/>
              <w:left w:val="single" w:sz="8" w:space="0" w:color="000000"/>
              <w:bottom w:val="single" w:sz="6" w:space="0" w:color="000000"/>
              <w:right w:val="single" w:sz="8" w:space="0" w:color="000000"/>
            </w:tcBorders>
            <w:vAlign w:val="center"/>
          </w:tcPr>
          <w:p w14:paraId="085E2A67" w14:textId="77777777" w:rsidR="00D65E55" w:rsidRDefault="00D65E55" w:rsidP="00D65E55">
            <w:pPr>
              <w:pStyle w:val="biaogeleft"/>
              <w:wordWrap w:val="0"/>
              <w:rPr>
                <w:rFonts w:hint="eastAsia"/>
              </w:rPr>
            </w:pPr>
            <w:r>
              <w:rPr>
                <w:rFonts w:hint="eastAsia"/>
              </w:rPr>
              <w:t>其他资产</w:t>
            </w:r>
          </w:p>
        </w:tc>
        <w:tc>
          <w:tcPr>
            <w:tcW w:w="2495" w:type="dxa"/>
            <w:tcBorders>
              <w:top w:val="single" w:sz="8" w:space="0" w:color="000000"/>
              <w:left w:val="single" w:sz="8" w:space="0" w:color="000000"/>
              <w:bottom w:val="single" w:sz="6" w:space="0" w:color="000000"/>
              <w:right w:val="single" w:sz="8" w:space="0" w:color="000000"/>
            </w:tcBorders>
            <w:vAlign w:val="center"/>
          </w:tcPr>
          <w:p w14:paraId="1F8D6605" w14:textId="6DFC8799" w:rsidR="00D65E55" w:rsidRDefault="00D65E55" w:rsidP="00D65E55">
            <w:pPr>
              <w:pStyle w:val="biaogeright"/>
              <w:wordWrap w:val="0"/>
              <w:rPr>
                <w:rFonts w:hint="eastAsia"/>
              </w:rPr>
            </w:pPr>
            <w:r w:rsidRPr="00474410">
              <w:rPr>
                <w:rFonts w:hAnsi="Calibri"/>
                <w:color w:val="000000"/>
              </w:rPr>
              <w:t>64,442.07</w:t>
            </w:r>
          </w:p>
        </w:tc>
        <w:tc>
          <w:tcPr>
            <w:tcW w:w="2572" w:type="dxa"/>
            <w:tcBorders>
              <w:top w:val="single" w:sz="8" w:space="0" w:color="000000"/>
              <w:left w:val="single" w:sz="8" w:space="0" w:color="000000"/>
              <w:bottom w:val="single" w:sz="6" w:space="0" w:color="000000"/>
              <w:right w:val="single" w:sz="8" w:space="0" w:color="000000"/>
            </w:tcBorders>
            <w:vAlign w:val="center"/>
          </w:tcPr>
          <w:p w14:paraId="0E8F94ED" w14:textId="0BEAE229" w:rsidR="00D65E55" w:rsidRDefault="00D65E55" w:rsidP="00D65E55">
            <w:pPr>
              <w:pStyle w:val="biaogeright"/>
              <w:wordWrap w:val="0"/>
              <w:rPr>
                <w:rFonts w:hint="eastAsia"/>
              </w:rPr>
            </w:pPr>
            <w:r w:rsidRPr="00474410">
              <w:rPr>
                <w:rFonts w:hAnsi="Calibri"/>
                <w:color w:val="000000"/>
              </w:rPr>
              <w:t>3.48</w:t>
            </w:r>
          </w:p>
        </w:tc>
      </w:tr>
      <w:tr w:rsidR="00D65E55" w14:paraId="19D07D2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0FACF1E" w14:textId="77777777" w:rsidR="00D65E55" w:rsidRDefault="00D65E55" w:rsidP="00D65E55">
            <w:pPr>
              <w:pStyle w:val="biaogecenter"/>
              <w:wordWrap w:val="0"/>
              <w:rPr>
                <w:rFonts w:hint="eastAsia"/>
              </w:rPr>
            </w:pPr>
            <w:r>
              <w:rPr>
                <w:rFonts w:hint="eastAsia"/>
              </w:rPr>
              <w:t>9</w:t>
            </w:r>
          </w:p>
        </w:tc>
        <w:tc>
          <w:tcPr>
            <w:tcW w:w="2815" w:type="dxa"/>
            <w:tcBorders>
              <w:top w:val="single" w:sz="8" w:space="0" w:color="000000"/>
              <w:left w:val="single" w:sz="8" w:space="0" w:color="000000"/>
              <w:bottom w:val="single" w:sz="6" w:space="0" w:color="000000"/>
              <w:right w:val="single" w:sz="8" w:space="0" w:color="000000"/>
            </w:tcBorders>
            <w:vAlign w:val="center"/>
          </w:tcPr>
          <w:p w14:paraId="30E86F31" w14:textId="77777777" w:rsidR="00D65E55" w:rsidRDefault="00D65E55" w:rsidP="00D65E55">
            <w:pPr>
              <w:pStyle w:val="biaogeleft"/>
              <w:wordWrap w:val="0"/>
              <w:rPr>
                <w:rFonts w:hint="eastAsia"/>
              </w:rPr>
            </w:pPr>
            <w:r>
              <w:rPr>
                <w:rFonts w:hint="eastAsia"/>
              </w:rPr>
              <w:t>合计</w:t>
            </w:r>
          </w:p>
        </w:tc>
        <w:tc>
          <w:tcPr>
            <w:tcW w:w="2495" w:type="dxa"/>
            <w:tcBorders>
              <w:top w:val="single" w:sz="8" w:space="0" w:color="000000"/>
              <w:left w:val="single" w:sz="8" w:space="0" w:color="000000"/>
              <w:bottom w:val="single" w:sz="6" w:space="0" w:color="000000"/>
              <w:right w:val="single" w:sz="8" w:space="0" w:color="000000"/>
            </w:tcBorders>
            <w:vAlign w:val="center"/>
          </w:tcPr>
          <w:p w14:paraId="5FFE749B" w14:textId="4CF2EFD2" w:rsidR="00D65E55" w:rsidRDefault="00D65E55" w:rsidP="00D65E55">
            <w:pPr>
              <w:pStyle w:val="biaogeright"/>
              <w:wordWrap w:val="0"/>
              <w:rPr>
                <w:rFonts w:hint="eastAsia"/>
              </w:rPr>
            </w:pPr>
            <w:r w:rsidRPr="00474410">
              <w:rPr>
                <w:rFonts w:hAnsi="Calibri"/>
                <w:color w:val="000000"/>
              </w:rPr>
              <w:t>1,853,828.42</w:t>
            </w:r>
          </w:p>
        </w:tc>
        <w:tc>
          <w:tcPr>
            <w:tcW w:w="2572" w:type="dxa"/>
            <w:tcBorders>
              <w:top w:val="single" w:sz="8" w:space="0" w:color="000000"/>
              <w:left w:val="single" w:sz="8" w:space="0" w:color="000000"/>
              <w:bottom w:val="single" w:sz="6" w:space="0" w:color="000000"/>
              <w:right w:val="single" w:sz="8" w:space="0" w:color="000000"/>
            </w:tcBorders>
            <w:vAlign w:val="center"/>
          </w:tcPr>
          <w:p w14:paraId="3FCC406D" w14:textId="1EE73C95" w:rsidR="00D65E55" w:rsidRDefault="00D65E55" w:rsidP="00D65E55">
            <w:pPr>
              <w:pStyle w:val="biaogeright"/>
              <w:wordWrap w:val="0"/>
              <w:rPr>
                <w:rFonts w:hint="eastAsia"/>
              </w:rPr>
            </w:pPr>
            <w:r w:rsidRPr="00474410">
              <w:rPr>
                <w:rFonts w:hAnsi="Calibri"/>
                <w:color w:val="000000"/>
              </w:rPr>
              <w:t>100.00</w:t>
            </w:r>
          </w:p>
        </w:tc>
      </w:tr>
    </w:tbl>
    <w:p w14:paraId="6E5DF5B1" w14:textId="77777777" w:rsidR="00913A13" w:rsidRDefault="00913A13">
      <w:pPr>
        <w:widowControl/>
        <w:jc w:val="left"/>
        <w:rPr>
          <w:rFonts w:ascii="宋体" w:eastAsia="宋体" w:hAnsi="宋体" w:cs="宋体" w:hint="eastAsia"/>
          <w:kern w:val="0"/>
          <w:sz w:val="24"/>
          <w:szCs w:val="24"/>
        </w:rPr>
      </w:pPr>
    </w:p>
    <w:p w14:paraId="25A76DCE" w14:textId="77777777" w:rsidR="00913A13" w:rsidRDefault="002F45B8">
      <w:pPr>
        <w:pStyle w:val="zhangjiep"/>
        <w:rPr>
          <w:rFonts w:asciiTheme="minorEastAsia" w:eastAsiaTheme="minorEastAsia" w:hAnsiTheme="minorEastAsia" w:cs="Times New Roman" w:hint="eastAsia"/>
          <w:bCs/>
          <w:kern w:val="2"/>
        </w:rPr>
      </w:pPr>
      <w:bookmarkStart w:id="222" w:name="_Toc101354065"/>
      <w:r>
        <w:rPr>
          <w:rFonts w:asciiTheme="minorEastAsia" w:eastAsiaTheme="minorEastAsia" w:hAnsiTheme="minorEastAsia" w:cs="Times New Roman"/>
          <w:bCs/>
          <w:kern w:val="2"/>
        </w:rPr>
        <w:t>2、</w:t>
      </w:r>
      <w:r>
        <w:rPr>
          <w:rFonts w:asciiTheme="minorEastAsia" w:eastAsiaTheme="minorEastAsia" w:hAnsiTheme="minorEastAsia" w:cs="Times New Roman" w:hint="eastAsia"/>
          <w:bCs/>
          <w:kern w:val="2"/>
        </w:rPr>
        <w:t>报告期末按行业分类的股票投资组合</w:t>
      </w:r>
      <w:bookmarkEnd w:id="222"/>
    </w:p>
    <w:tbl>
      <w:tblPr>
        <w:tblW w:w="0" w:type="auto"/>
        <w:tblInd w:w="108" w:type="dxa"/>
        <w:tblLook w:val="04A0" w:firstRow="1" w:lastRow="0" w:firstColumn="1" w:lastColumn="0" w:noHBand="0" w:noVBand="1"/>
      </w:tblPr>
      <w:tblGrid>
        <w:gridCol w:w="795"/>
        <w:gridCol w:w="2596"/>
        <w:gridCol w:w="2596"/>
        <w:gridCol w:w="2672"/>
      </w:tblGrid>
      <w:tr w:rsidR="00913A13" w14:paraId="1AA45E65" w14:textId="77777777">
        <w:tc>
          <w:tcPr>
            <w:tcW w:w="795" w:type="dxa"/>
            <w:tcBorders>
              <w:top w:val="single" w:sz="8" w:space="0" w:color="000000"/>
              <w:left w:val="single" w:sz="8" w:space="0" w:color="000000"/>
              <w:bottom w:val="single" w:sz="6" w:space="0" w:color="000000"/>
              <w:right w:val="single" w:sz="8" w:space="0" w:color="000000"/>
            </w:tcBorders>
            <w:vAlign w:val="center"/>
          </w:tcPr>
          <w:p w14:paraId="232C3DE5" w14:textId="77777777" w:rsidR="00913A13" w:rsidRDefault="002F45B8">
            <w:pPr>
              <w:pStyle w:val="biaogecenter"/>
              <w:wordWrap w:val="0"/>
              <w:rPr>
                <w:rFonts w:hint="eastAsia"/>
              </w:rPr>
            </w:pPr>
            <w:r>
              <w:rPr>
                <w:rFonts w:hAnsi="等线" w:hint="eastAsia"/>
                <w:color w:val="000000"/>
              </w:rPr>
              <w:t>代码</w:t>
            </w:r>
          </w:p>
        </w:tc>
        <w:tc>
          <w:tcPr>
            <w:tcW w:w="2596" w:type="dxa"/>
            <w:tcBorders>
              <w:top w:val="single" w:sz="8" w:space="0" w:color="000000"/>
              <w:left w:val="single" w:sz="8" w:space="0" w:color="000000"/>
              <w:bottom w:val="single" w:sz="6" w:space="0" w:color="000000"/>
              <w:right w:val="single" w:sz="8" w:space="0" w:color="000000"/>
            </w:tcBorders>
            <w:vAlign w:val="center"/>
          </w:tcPr>
          <w:p w14:paraId="734F4DA9" w14:textId="77777777" w:rsidR="00913A13" w:rsidRDefault="002F45B8">
            <w:pPr>
              <w:pStyle w:val="biaogecenter"/>
              <w:wordWrap w:val="0"/>
              <w:rPr>
                <w:rFonts w:hint="eastAsia"/>
              </w:rPr>
            </w:pPr>
            <w:r>
              <w:rPr>
                <w:rFonts w:hAnsi="等线" w:hint="eastAsia"/>
                <w:color w:val="000000"/>
              </w:rPr>
              <w:t>行业类别</w:t>
            </w:r>
          </w:p>
        </w:tc>
        <w:tc>
          <w:tcPr>
            <w:tcW w:w="2596" w:type="dxa"/>
            <w:tcBorders>
              <w:top w:val="single" w:sz="8" w:space="0" w:color="000000"/>
              <w:left w:val="single" w:sz="8" w:space="0" w:color="000000"/>
              <w:bottom w:val="single" w:sz="6" w:space="0" w:color="000000"/>
              <w:right w:val="single" w:sz="8" w:space="0" w:color="000000"/>
            </w:tcBorders>
            <w:vAlign w:val="center"/>
          </w:tcPr>
          <w:p w14:paraId="44633392" w14:textId="77777777" w:rsidR="00913A13" w:rsidRDefault="002F45B8">
            <w:pPr>
              <w:pStyle w:val="biaogecenter"/>
              <w:wordWrap w:val="0"/>
              <w:rPr>
                <w:rFonts w:hint="eastAsia"/>
              </w:rPr>
            </w:pPr>
            <w:r>
              <w:rPr>
                <w:rFonts w:hAnsi="等线" w:hint="eastAsia"/>
                <w:color w:val="000000"/>
              </w:rPr>
              <w:t>公允价值(元)</w:t>
            </w:r>
          </w:p>
        </w:tc>
        <w:tc>
          <w:tcPr>
            <w:tcW w:w="2672" w:type="dxa"/>
            <w:tcBorders>
              <w:top w:val="single" w:sz="8" w:space="0" w:color="000000"/>
              <w:left w:val="single" w:sz="8" w:space="0" w:color="000000"/>
              <w:bottom w:val="single" w:sz="6" w:space="0" w:color="000000"/>
              <w:right w:val="single" w:sz="8" w:space="0" w:color="000000"/>
            </w:tcBorders>
            <w:vAlign w:val="center"/>
          </w:tcPr>
          <w:p w14:paraId="2CBE4686" w14:textId="77777777" w:rsidR="00913A13" w:rsidRDefault="002F45B8">
            <w:pPr>
              <w:pStyle w:val="biaogecenter"/>
              <w:wordWrap w:val="0"/>
              <w:rPr>
                <w:rFonts w:hint="eastAsia"/>
              </w:rPr>
            </w:pPr>
            <w:r>
              <w:rPr>
                <w:rFonts w:hAnsi="等线" w:hint="eastAsia"/>
                <w:color w:val="000000"/>
              </w:rPr>
              <w:t>占基金资产净值比例（%）</w:t>
            </w:r>
          </w:p>
        </w:tc>
      </w:tr>
      <w:tr w:rsidR="00D65E55" w14:paraId="74DCB0A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EC608C2" w14:textId="77777777" w:rsidR="00D65E55" w:rsidRDefault="00D65E55" w:rsidP="00D65E55">
            <w:pPr>
              <w:pStyle w:val="biaogecenter"/>
              <w:wordWrap w:val="0"/>
              <w:rPr>
                <w:rFonts w:hint="eastAsia"/>
              </w:rPr>
            </w:pPr>
            <w:r>
              <w:rPr>
                <w:rFonts w:hint="eastAsia"/>
              </w:rPr>
              <w:t>A</w:t>
            </w:r>
          </w:p>
        </w:tc>
        <w:tc>
          <w:tcPr>
            <w:tcW w:w="2596" w:type="dxa"/>
            <w:tcBorders>
              <w:top w:val="single" w:sz="8" w:space="0" w:color="000000"/>
              <w:left w:val="single" w:sz="8" w:space="0" w:color="000000"/>
              <w:bottom w:val="single" w:sz="6" w:space="0" w:color="000000"/>
              <w:right w:val="single" w:sz="8" w:space="0" w:color="000000"/>
            </w:tcBorders>
            <w:vAlign w:val="center"/>
          </w:tcPr>
          <w:p w14:paraId="7E4AB990" w14:textId="77777777" w:rsidR="00D65E55" w:rsidRDefault="00D65E55" w:rsidP="00D65E55">
            <w:pPr>
              <w:pStyle w:val="biaogeleft"/>
              <w:wordWrap w:val="0"/>
              <w:rPr>
                <w:rFonts w:hint="eastAsia"/>
              </w:rPr>
            </w:pPr>
            <w:r>
              <w:rPr>
                <w:rFonts w:hint="eastAsia"/>
              </w:rPr>
              <w:t>农、林、牧、渔业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13BDC745" w14:textId="280BEC2F"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72926294" w14:textId="6C70888F" w:rsidR="00D65E55" w:rsidRDefault="00D65E55" w:rsidP="00D65E55">
            <w:pPr>
              <w:pStyle w:val="biaogeright"/>
              <w:wordWrap w:val="0"/>
              <w:rPr>
                <w:rFonts w:hint="eastAsia"/>
              </w:rPr>
            </w:pPr>
            <w:r>
              <w:t>-</w:t>
            </w:r>
          </w:p>
        </w:tc>
      </w:tr>
      <w:tr w:rsidR="00D65E55" w14:paraId="223C3DE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1724EFC" w14:textId="77777777" w:rsidR="00D65E55" w:rsidRDefault="00D65E55" w:rsidP="00D65E55">
            <w:pPr>
              <w:pStyle w:val="biaogecenter"/>
              <w:wordWrap w:val="0"/>
              <w:rPr>
                <w:rFonts w:hint="eastAsia"/>
              </w:rPr>
            </w:pPr>
            <w:r>
              <w:rPr>
                <w:rFonts w:hint="eastAsia"/>
              </w:rPr>
              <w:t>B</w:t>
            </w:r>
          </w:p>
        </w:tc>
        <w:tc>
          <w:tcPr>
            <w:tcW w:w="2596" w:type="dxa"/>
            <w:tcBorders>
              <w:top w:val="single" w:sz="8" w:space="0" w:color="000000"/>
              <w:left w:val="single" w:sz="8" w:space="0" w:color="000000"/>
              <w:bottom w:val="single" w:sz="6" w:space="0" w:color="000000"/>
              <w:right w:val="single" w:sz="8" w:space="0" w:color="000000"/>
            </w:tcBorders>
            <w:vAlign w:val="center"/>
          </w:tcPr>
          <w:p w14:paraId="294D02AC" w14:textId="77777777" w:rsidR="00D65E55" w:rsidRDefault="00D65E55" w:rsidP="00D65E55">
            <w:pPr>
              <w:pStyle w:val="biaogeleft"/>
              <w:wordWrap w:val="0"/>
              <w:rPr>
                <w:rFonts w:hint="eastAsia"/>
              </w:rPr>
            </w:pPr>
            <w:r>
              <w:rPr>
                <w:rFonts w:hint="eastAsia"/>
              </w:rPr>
              <w:t>采矿业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0A6C5442" w14:textId="3433CCB6"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78E91E4C" w14:textId="42413836" w:rsidR="00D65E55" w:rsidRDefault="00D65E55" w:rsidP="00D65E55">
            <w:pPr>
              <w:pStyle w:val="biaogeright"/>
              <w:wordWrap w:val="0"/>
              <w:rPr>
                <w:rFonts w:hint="eastAsia"/>
              </w:rPr>
            </w:pPr>
            <w:r>
              <w:t>-</w:t>
            </w:r>
          </w:p>
        </w:tc>
      </w:tr>
      <w:tr w:rsidR="00D65E55" w14:paraId="35CA503A"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C1F76CB" w14:textId="77777777" w:rsidR="00D65E55" w:rsidRDefault="00D65E55" w:rsidP="00D65E55">
            <w:pPr>
              <w:pStyle w:val="biaogecenter"/>
              <w:wordWrap w:val="0"/>
              <w:rPr>
                <w:rFonts w:hint="eastAsia"/>
              </w:rPr>
            </w:pPr>
            <w:r>
              <w:rPr>
                <w:rFonts w:hint="eastAsia"/>
              </w:rPr>
              <w:t>C</w:t>
            </w:r>
          </w:p>
        </w:tc>
        <w:tc>
          <w:tcPr>
            <w:tcW w:w="2596" w:type="dxa"/>
            <w:tcBorders>
              <w:top w:val="single" w:sz="8" w:space="0" w:color="000000"/>
              <w:left w:val="single" w:sz="8" w:space="0" w:color="000000"/>
              <w:bottom w:val="single" w:sz="6" w:space="0" w:color="000000"/>
              <w:right w:val="single" w:sz="8" w:space="0" w:color="000000"/>
            </w:tcBorders>
            <w:vAlign w:val="center"/>
          </w:tcPr>
          <w:p w14:paraId="5E1D4C92" w14:textId="77777777" w:rsidR="00D65E55" w:rsidRDefault="00D65E55" w:rsidP="00D65E55">
            <w:pPr>
              <w:pStyle w:val="biaogeleft"/>
              <w:wordWrap w:val="0"/>
              <w:rPr>
                <w:rFonts w:hint="eastAsia"/>
              </w:rPr>
            </w:pPr>
            <w:r>
              <w:rPr>
                <w:rFonts w:hint="eastAsia"/>
              </w:rPr>
              <w:t>制造业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250F5C93" w14:textId="5B163E24" w:rsidR="00D65E55" w:rsidRDefault="00D65E55" w:rsidP="00D65E55">
            <w:pPr>
              <w:pStyle w:val="biaogeright"/>
              <w:wordWrap w:val="0"/>
              <w:rPr>
                <w:rFonts w:hint="eastAsia"/>
              </w:rPr>
            </w:pPr>
            <w:r>
              <w:t>1,677,770.00</w:t>
            </w:r>
          </w:p>
        </w:tc>
        <w:tc>
          <w:tcPr>
            <w:tcW w:w="2672" w:type="dxa"/>
            <w:tcBorders>
              <w:top w:val="single" w:sz="8" w:space="0" w:color="000000"/>
              <w:left w:val="single" w:sz="8" w:space="0" w:color="000000"/>
              <w:bottom w:val="single" w:sz="6" w:space="0" w:color="000000"/>
              <w:right w:val="single" w:sz="8" w:space="0" w:color="000000"/>
            </w:tcBorders>
            <w:vAlign w:val="center"/>
          </w:tcPr>
          <w:p w14:paraId="595F3D95" w14:textId="7F5AD2B3" w:rsidR="00D65E55" w:rsidRDefault="00D65E55" w:rsidP="00D65E55">
            <w:pPr>
              <w:pStyle w:val="biaogeright"/>
              <w:wordWrap w:val="0"/>
              <w:rPr>
                <w:rFonts w:hint="eastAsia"/>
              </w:rPr>
            </w:pPr>
            <w:r>
              <w:t>90.83</w:t>
            </w:r>
          </w:p>
        </w:tc>
      </w:tr>
      <w:tr w:rsidR="00D65E55" w14:paraId="6229130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D748568" w14:textId="77777777" w:rsidR="00D65E55" w:rsidRDefault="00D65E55" w:rsidP="00D65E55">
            <w:pPr>
              <w:pStyle w:val="biaogecenter"/>
              <w:wordWrap w:val="0"/>
              <w:rPr>
                <w:rFonts w:hint="eastAsia"/>
              </w:rPr>
            </w:pPr>
            <w:r>
              <w:rPr>
                <w:rFonts w:hAnsi="等线" w:hint="eastAsia"/>
                <w:color w:val="000000"/>
              </w:rPr>
              <w:t>D</w:t>
            </w:r>
          </w:p>
        </w:tc>
        <w:tc>
          <w:tcPr>
            <w:tcW w:w="2596" w:type="dxa"/>
            <w:tcBorders>
              <w:top w:val="single" w:sz="8" w:space="0" w:color="000000"/>
              <w:left w:val="single" w:sz="8" w:space="0" w:color="000000"/>
              <w:bottom w:val="single" w:sz="6" w:space="0" w:color="000000"/>
              <w:right w:val="single" w:sz="8" w:space="0" w:color="000000"/>
            </w:tcBorders>
            <w:vAlign w:val="center"/>
          </w:tcPr>
          <w:p w14:paraId="6A2EB36E" w14:textId="77777777" w:rsidR="00D65E55" w:rsidRDefault="00D65E55" w:rsidP="00D65E55">
            <w:pPr>
              <w:pStyle w:val="biaogeleft"/>
              <w:wordWrap w:val="0"/>
              <w:rPr>
                <w:rFonts w:hint="eastAsia"/>
              </w:rPr>
            </w:pPr>
            <w:r>
              <w:rPr>
                <w:rFonts w:hint="eastAsia"/>
              </w:rPr>
              <w:t>电力、热力、燃气及水生产和供应业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1CA67C33" w14:textId="5A52253F"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39F75FF5" w14:textId="1C6BC46B" w:rsidR="00D65E55" w:rsidRDefault="00D65E55" w:rsidP="00D65E55">
            <w:pPr>
              <w:pStyle w:val="biaogeright"/>
              <w:wordWrap w:val="0"/>
              <w:rPr>
                <w:rFonts w:hint="eastAsia"/>
              </w:rPr>
            </w:pPr>
            <w:r>
              <w:t>-</w:t>
            </w:r>
          </w:p>
        </w:tc>
      </w:tr>
      <w:tr w:rsidR="00D65E55" w14:paraId="20611401"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CCB7890" w14:textId="77777777" w:rsidR="00D65E55" w:rsidRDefault="00D65E55" w:rsidP="00D65E55">
            <w:pPr>
              <w:pStyle w:val="biaogecenter"/>
              <w:wordWrap w:val="0"/>
              <w:rPr>
                <w:rFonts w:hint="eastAsia"/>
              </w:rPr>
            </w:pPr>
            <w:r>
              <w:rPr>
                <w:rFonts w:hint="eastAsia"/>
              </w:rPr>
              <w:t>E</w:t>
            </w:r>
          </w:p>
        </w:tc>
        <w:tc>
          <w:tcPr>
            <w:tcW w:w="2596" w:type="dxa"/>
            <w:tcBorders>
              <w:top w:val="single" w:sz="8" w:space="0" w:color="000000"/>
              <w:left w:val="single" w:sz="8" w:space="0" w:color="000000"/>
              <w:bottom w:val="single" w:sz="6" w:space="0" w:color="000000"/>
              <w:right w:val="single" w:sz="8" w:space="0" w:color="000000"/>
            </w:tcBorders>
            <w:vAlign w:val="center"/>
          </w:tcPr>
          <w:p w14:paraId="04DD0CAD" w14:textId="77777777" w:rsidR="00D65E55" w:rsidRDefault="00D65E55" w:rsidP="00D65E55">
            <w:pPr>
              <w:pStyle w:val="biaogeleft"/>
              <w:wordWrap w:val="0"/>
              <w:rPr>
                <w:rFonts w:hint="eastAsia"/>
              </w:rPr>
            </w:pPr>
            <w:r>
              <w:rPr>
                <w:rFonts w:hint="eastAsia"/>
              </w:rPr>
              <w:t>建筑业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2F3BEC97" w14:textId="6D5B113D"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28F028FC" w14:textId="59B13F3B" w:rsidR="00D65E55" w:rsidRDefault="00D65E55" w:rsidP="00D65E55">
            <w:pPr>
              <w:pStyle w:val="biaogeright"/>
              <w:wordWrap w:val="0"/>
              <w:rPr>
                <w:rFonts w:hint="eastAsia"/>
              </w:rPr>
            </w:pPr>
            <w:r>
              <w:t>-</w:t>
            </w:r>
          </w:p>
        </w:tc>
      </w:tr>
      <w:tr w:rsidR="00D65E55" w14:paraId="1E5DA35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74936A4" w14:textId="77777777" w:rsidR="00D65E55" w:rsidRDefault="00D65E55" w:rsidP="00D65E55">
            <w:pPr>
              <w:pStyle w:val="biaogecenter"/>
              <w:wordWrap w:val="0"/>
              <w:rPr>
                <w:rFonts w:hint="eastAsia"/>
              </w:rPr>
            </w:pPr>
            <w:r>
              <w:rPr>
                <w:rFonts w:hAnsi="等线" w:hint="eastAsia"/>
                <w:color w:val="000000"/>
              </w:rPr>
              <w:t>F</w:t>
            </w:r>
          </w:p>
        </w:tc>
        <w:tc>
          <w:tcPr>
            <w:tcW w:w="2596" w:type="dxa"/>
            <w:tcBorders>
              <w:top w:val="single" w:sz="8" w:space="0" w:color="000000"/>
              <w:left w:val="single" w:sz="8" w:space="0" w:color="000000"/>
              <w:bottom w:val="single" w:sz="6" w:space="0" w:color="000000"/>
              <w:right w:val="single" w:sz="8" w:space="0" w:color="000000"/>
            </w:tcBorders>
            <w:vAlign w:val="center"/>
          </w:tcPr>
          <w:p w14:paraId="5EC207F8" w14:textId="77777777" w:rsidR="00D65E55" w:rsidRDefault="00D65E55" w:rsidP="00D65E55">
            <w:pPr>
              <w:pStyle w:val="biaogeleft"/>
              <w:wordWrap w:val="0"/>
              <w:rPr>
                <w:rFonts w:hint="eastAsia"/>
              </w:rPr>
            </w:pPr>
            <w:r>
              <w:rPr>
                <w:rFonts w:hint="eastAsia"/>
              </w:rPr>
              <w:t>批发和零售业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54B89F7E" w14:textId="7FD38DD3"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9CB7BEA" w14:textId="71F4DE39" w:rsidR="00D65E55" w:rsidRDefault="00D65E55" w:rsidP="00D65E55">
            <w:pPr>
              <w:pStyle w:val="biaogeright"/>
              <w:wordWrap w:val="0"/>
              <w:rPr>
                <w:rFonts w:hint="eastAsia"/>
              </w:rPr>
            </w:pPr>
            <w:r>
              <w:t>-</w:t>
            </w:r>
          </w:p>
        </w:tc>
      </w:tr>
      <w:tr w:rsidR="00D65E55" w14:paraId="4C38070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950FB15" w14:textId="77777777" w:rsidR="00D65E55" w:rsidRDefault="00D65E55" w:rsidP="00D65E55">
            <w:pPr>
              <w:pStyle w:val="biaogecenter"/>
              <w:wordWrap w:val="0"/>
              <w:rPr>
                <w:rFonts w:hint="eastAsia"/>
              </w:rPr>
            </w:pPr>
            <w:r>
              <w:rPr>
                <w:rFonts w:hAnsi="等线" w:hint="eastAsia"/>
                <w:color w:val="000000"/>
              </w:rPr>
              <w:t>G</w:t>
            </w:r>
          </w:p>
        </w:tc>
        <w:tc>
          <w:tcPr>
            <w:tcW w:w="2596" w:type="dxa"/>
            <w:tcBorders>
              <w:top w:val="single" w:sz="8" w:space="0" w:color="000000"/>
              <w:left w:val="single" w:sz="8" w:space="0" w:color="000000"/>
              <w:bottom w:val="single" w:sz="6" w:space="0" w:color="000000"/>
              <w:right w:val="single" w:sz="8" w:space="0" w:color="000000"/>
            </w:tcBorders>
            <w:vAlign w:val="center"/>
          </w:tcPr>
          <w:p w14:paraId="02BD155F" w14:textId="77777777" w:rsidR="00D65E55" w:rsidRDefault="00D65E55" w:rsidP="00D65E55">
            <w:pPr>
              <w:pStyle w:val="biaogeleft"/>
              <w:wordWrap w:val="0"/>
              <w:rPr>
                <w:rFonts w:hint="eastAsia"/>
              </w:rPr>
            </w:pPr>
            <w:r>
              <w:rPr>
                <w:rFonts w:hint="eastAsia"/>
              </w:rPr>
              <w:t>交通运输、仓储和邮政业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2AE98E97" w14:textId="59FE133D"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5D100FB9" w14:textId="0334DF9C" w:rsidR="00D65E55" w:rsidRDefault="00D65E55" w:rsidP="00D65E55">
            <w:pPr>
              <w:pStyle w:val="biaogeright"/>
              <w:wordWrap w:val="0"/>
              <w:rPr>
                <w:rFonts w:hint="eastAsia"/>
              </w:rPr>
            </w:pPr>
            <w:r>
              <w:t>-</w:t>
            </w:r>
          </w:p>
        </w:tc>
      </w:tr>
      <w:tr w:rsidR="00D65E55" w14:paraId="6703C3E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C722A5A" w14:textId="77777777" w:rsidR="00D65E55" w:rsidRDefault="00D65E55" w:rsidP="00D65E55">
            <w:pPr>
              <w:pStyle w:val="biaogecenter"/>
              <w:wordWrap w:val="0"/>
              <w:rPr>
                <w:rFonts w:hint="eastAsia"/>
              </w:rPr>
            </w:pPr>
            <w:r>
              <w:rPr>
                <w:rFonts w:hAnsi="等线" w:hint="eastAsia"/>
                <w:color w:val="000000"/>
              </w:rPr>
              <w:t>H</w:t>
            </w:r>
          </w:p>
        </w:tc>
        <w:tc>
          <w:tcPr>
            <w:tcW w:w="2596" w:type="dxa"/>
            <w:tcBorders>
              <w:top w:val="single" w:sz="8" w:space="0" w:color="000000"/>
              <w:left w:val="single" w:sz="8" w:space="0" w:color="000000"/>
              <w:bottom w:val="single" w:sz="6" w:space="0" w:color="000000"/>
              <w:right w:val="single" w:sz="8" w:space="0" w:color="000000"/>
            </w:tcBorders>
            <w:vAlign w:val="center"/>
          </w:tcPr>
          <w:p w14:paraId="62CF88DF" w14:textId="77777777" w:rsidR="00D65E55" w:rsidRDefault="00D65E55" w:rsidP="00D65E55">
            <w:pPr>
              <w:pStyle w:val="biaogeleft"/>
              <w:wordWrap w:val="0"/>
              <w:rPr>
                <w:rFonts w:hint="eastAsia"/>
              </w:rPr>
            </w:pPr>
            <w:r>
              <w:rPr>
                <w:rFonts w:hint="eastAsia"/>
              </w:rPr>
              <w:t>住宿和餐饮业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4EC2CC78" w14:textId="1E730BFC"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222B024B" w14:textId="3E9F91C0" w:rsidR="00D65E55" w:rsidRDefault="00D65E55" w:rsidP="00D65E55">
            <w:pPr>
              <w:pStyle w:val="biaogeright"/>
              <w:wordWrap w:val="0"/>
              <w:rPr>
                <w:rFonts w:hint="eastAsia"/>
              </w:rPr>
            </w:pPr>
            <w:r>
              <w:t>-</w:t>
            </w:r>
          </w:p>
        </w:tc>
      </w:tr>
      <w:tr w:rsidR="00D65E55" w14:paraId="7616AEE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67F216E" w14:textId="77777777" w:rsidR="00D65E55" w:rsidRDefault="00D65E55" w:rsidP="00D65E55">
            <w:pPr>
              <w:pStyle w:val="biaogecenter"/>
              <w:wordWrap w:val="0"/>
              <w:rPr>
                <w:rFonts w:hint="eastAsia"/>
              </w:rPr>
            </w:pPr>
            <w:r>
              <w:rPr>
                <w:rFonts w:hAnsi="等线" w:hint="eastAsia"/>
                <w:color w:val="000000"/>
              </w:rPr>
              <w:t>I</w:t>
            </w:r>
          </w:p>
        </w:tc>
        <w:tc>
          <w:tcPr>
            <w:tcW w:w="2596" w:type="dxa"/>
            <w:tcBorders>
              <w:top w:val="single" w:sz="8" w:space="0" w:color="000000"/>
              <w:left w:val="single" w:sz="8" w:space="0" w:color="000000"/>
              <w:bottom w:val="single" w:sz="6" w:space="0" w:color="000000"/>
              <w:right w:val="single" w:sz="8" w:space="0" w:color="000000"/>
            </w:tcBorders>
            <w:vAlign w:val="center"/>
          </w:tcPr>
          <w:p w14:paraId="26322864" w14:textId="77777777" w:rsidR="00D65E55" w:rsidRDefault="00D65E55" w:rsidP="00D65E55">
            <w:pPr>
              <w:pStyle w:val="biaogeleft"/>
              <w:wordWrap w:val="0"/>
              <w:rPr>
                <w:rFonts w:hint="eastAsia"/>
              </w:rPr>
            </w:pPr>
            <w:r>
              <w:rPr>
                <w:rFonts w:hint="eastAsia"/>
              </w:rPr>
              <w:t>信息传输、软件和信息技术服务业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6D445D57" w14:textId="0AA73D02"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72BDCAB6" w14:textId="4CDC296D" w:rsidR="00D65E55" w:rsidRDefault="00D65E55" w:rsidP="00D65E55">
            <w:pPr>
              <w:pStyle w:val="biaogeright"/>
              <w:wordWrap w:val="0"/>
              <w:rPr>
                <w:rFonts w:hint="eastAsia"/>
              </w:rPr>
            </w:pPr>
            <w:r>
              <w:t>-</w:t>
            </w:r>
          </w:p>
        </w:tc>
      </w:tr>
      <w:tr w:rsidR="00D65E55" w14:paraId="7AC2285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F411827" w14:textId="77777777" w:rsidR="00D65E55" w:rsidRDefault="00D65E55" w:rsidP="00D65E55">
            <w:pPr>
              <w:pStyle w:val="biaogecenter"/>
              <w:wordWrap w:val="0"/>
              <w:rPr>
                <w:rFonts w:hint="eastAsia"/>
              </w:rPr>
            </w:pPr>
            <w:r>
              <w:rPr>
                <w:rFonts w:hAnsi="等线" w:hint="eastAsia"/>
                <w:color w:val="000000"/>
              </w:rPr>
              <w:t>J</w:t>
            </w:r>
          </w:p>
        </w:tc>
        <w:tc>
          <w:tcPr>
            <w:tcW w:w="2596" w:type="dxa"/>
            <w:tcBorders>
              <w:top w:val="single" w:sz="8" w:space="0" w:color="000000"/>
              <w:left w:val="single" w:sz="8" w:space="0" w:color="000000"/>
              <w:bottom w:val="single" w:sz="6" w:space="0" w:color="000000"/>
              <w:right w:val="single" w:sz="8" w:space="0" w:color="000000"/>
            </w:tcBorders>
            <w:vAlign w:val="center"/>
          </w:tcPr>
          <w:p w14:paraId="5F488594" w14:textId="77777777" w:rsidR="00D65E55" w:rsidRDefault="00D65E55" w:rsidP="00D65E55">
            <w:pPr>
              <w:pStyle w:val="biaogeleft"/>
              <w:wordWrap w:val="0"/>
              <w:rPr>
                <w:rFonts w:hint="eastAsia"/>
              </w:rPr>
            </w:pPr>
            <w:r>
              <w:rPr>
                <w:rFonts w:hint="eastAsia"/>
              </w:rPr>
              <w:t>金融业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7C3970CE" w14:textId="352E212D"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2A97A35" w14:textId="45BB8860" w:rsidR="00D65E55" w:rsidRDefault="00D65E55" w:rsidP="00D65E55">
            <w:pPr>
              <w:pStyle w:val="biaogeright"/>
              <w:wordWrap w:val="0"/>
              <w:rPr>
                <w:rFonts w:hint="eastAsia"/>
              </w:rPr>
            </w:pPr>
            <w:r>
              <w:t>-</w:t>
            </w:r>
          </w:p>
        </w:tc>
      </w:tr>
      <w:tr w:rsidR="00D65E55" w14:paraId="5AA9B843"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5921FFF" w14:textId="77777777" w:rsidR="00D65E55" w:rsidRDefault="00D65E55" w:rsidP="00D65E55">
            <w:pPr>
              <w:pStyle w:val="biaogecenter"/>
              <w:wordWrap w:val="0"/>
              <w:rPr>
                <w:rFonts w:hint="eastAsia"/>
              </w:rPr>
            </w:pPr>
            <w:r>
              <w:rPr>
                <w:rFonts w:hAnsi="等线" w:hint="eastAsia"/>
                <w:color w:val="000000"/>
              </w:rPr>
              <w:t>K</w:t>
            </w:r>
          </w:p>
        </w:tc>
        <w:tc>
          <w:tcPr>
            <w:tcW w:w="2596" w:type="dxa"/>
            <w:tcBorders>
              <w:top w:val="single" w:sz="8" w:space="0" w:color="000000"/>
              <w:left w:val="single" w:sz="8" w:space="0" w:color="000000"/>
              <w:bottom w:val="single" w:sz="6" w:space="0" w:color="000000"/>
              <w:right w:val="single" w:sz="8" w:space="0" w:color="000000"/>
            </w:tcBorders>
            <w:vAlign w:val="center"/>
          </w:tcPr>
          <w:p w14:paraId="51E22851" w14:textId="77777777" w:rsidR="00D65E55" w:rsidRDefault="00D65E55" w:rsidP="00D65E55">
            <w:pPr>
              <w:pStyle w:val="biaogeleft"/>
              <w:wordWrap w:val="0"/>
              <w:rPr>
                <w:rFonts w:hint="eastAsia"/>
              </w:rPr>
            </w:pPr>
            <w:r>
              <w:rPr>
                <w:rFonts w:hint="eastAsia"/>
              </w:rPr>
              <w:t>房地产业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6C318B7B" w14:textId="466B9A39"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3C0E8A4" w14:textId="29086442" w:rsidR="00D65E55" w:rsidRDefault="00D65E55" w:rsidP="00D65E55">
            <w:pPr>
              <w:pStyle w:val="biaogeright"/>
              <w:wordWrap w:val="0"/>
              <w:rPr>
                <w:rFonts w:hint="eastAsia"/>
              </w:rPr>
            </w:pPr>
            <w:r>
              <w:t>-</w:t>
            </w:r>
          </w:p>
        </w:tc>
      </w:tr>
      <w:tr w:rsidR="00D65E55" w14:paraId="269B6B83"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C0ED6A1" w14:textId="77777777" w:rsidR="00D65E55" w:rsidRDefault="00D65E55" w:rsidP="00D65E55">
            <w:pPr>
              <w:pStyle w:val="biaogecenter"/>
              <w:wordWrap w:val="0"/>
              <w:rPr>
                <w:rFonts w:hint="eastAsia"/>
              </w:rPr>
            </w:pPr>
            <w:r>
              <w:rPr>
                <w:rFonts w:hAnsi="等线" w:hint="eastAsia"/>
                <w:color w:val="000000"/>
              </w:rPr>
              <w:t>L</w:t>
            </w:r>
          </w:p>
        </w:tc>
        <w:tc>
          <w:tcPr>
            <w:tcW w:w="2596" w:type="dxa"/>
            <w:tcBorders>
              <w:top w:val="single" w:sz="8" w:space="0" w:color="000000"/>
              <w:left w:val="single" w:sz="8" w:space="0" w:color="000000"/>
              <w:bottom w:val="single" w:sz="6" w:space="0" w:color="000000"/>
              <w:right w:val="single" w:sz="8" w:space="0" w:color="000000"/>
            </w:tcBorders>
            <w:vAlign w:val="center"/>
          </w:tcPr>
          <w:p w14:paraId="204CB4BC" w14:textId="77777777" w:rsidR="00D65E55" w:rsidRDefault="00D65E55" w:rsidP="00D65E55">
            <w:pPr>
              <w:pStyle w:val="biaogeleft"/>
              <w:wordWrap w:val="0"/>
              <w:rPr>
                <w:rFonts w:hint="eastAsia"/>
              </w:rPr>
            </w:pPr>
            <w:r>
              <w:rPr>
                <w:rFonts w:hint="eastAsia"/>
              </w:rPr>
              <w:t>租赁和商务服务业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39BE4665" w14:textId="41FB12DD"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539F7013" w14:textId="580F8EC9" w:rsidR="00D65E55" w:rsidRDefault="00D65E55" w:rsidP="00D65E55">
            <w:pPr>
              <w:pStyle w:val="biaogeright"/>
              <w:wordWrap w:val="0"/>
              <w:rPr>
                <w:rFonts w:hint="eastAsia"/>
              </w:rPr>
            </w:pPr>
            <w:r>
              <w:t>-</w:t>
            </w:r>
          </w:p>
        </w:tc>
      </w:tr>
      <w:tr w:rsidR="00D65E55" w14:paraId="299A7AF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3783591" w14:textId="77777777" w:rsidR="00D65E55" w:rsidRDefault="00D65E55" w:rsidP="00D65E55">
            <w:pPr>
              <w:pStyle w:val="biaogecenter"/>
              <w:wordWrap w:val="0"/>
              <w:rPr>
                <w:rFonts w:hint="eastAsia"/>
              </w:rPr>
            </w:pPr>
            <w:r>
              <w:rPr>
                <w:rFonts w:hAnsi="等线" w:hint="eastAsia"/>
                <w:color w:val="000000"/>
              </w:rPr>
              <w:t>M</w:t>
            </w:r>
          </w:p>
        </w:tc>
        <w:tc>
          <w:tcPr>
            <w:tcW w:w="2596" w:type="dxa"/>
            <w:tcBorders>
              <w:top w:val="single" w:sz="8" w:space="0" w:color="000000"/>
              <w:left w:val="single" w:sz="8" w:space="0" w:color="000000"/>
              <w:bottom w:val="single" w:sz="6" w:space="0" w:color="000000"/>
              <w:right w:val="single" w:sz="8" w:space="0" w:color="000000"/>
            </w:tcBorders>
            <w:vAlign w:val="center"/>
          </w:tcPr>
          <w:p w14:paraId="25ABBF43" w14:textId="77777777" w:rsidR="00D65E55" w:rsidRDefault="00D65E55" w:rsidP="00D65E55">
            <w:pPr>
              <w:pStyle w:val="biaogeleft"/>
              <w:wordWrap w:val="0"/>
              <w:rPr>
                <w:rFonts w:hint="eastAsia"/>
              </w:rPr>
            </w:pPr>
            <w:r>
              <w:rPr>
                <w:rFonts w:hint="eastAsia"/>
              </w:rPr>
              <w:t>科学研究和技术服务业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48D54109" w14:textId="67E5A170"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382CCBFD" w14:textId="6F6F3F85" w:rsidR="00D65E55" w:rsidRDefault="00D65E55" w:rsidP="00D65E55">
            <w:pPr>
              <w:pStyle w:val="biaogeright"/>
              <w:wordWrap w:val="0"/>
              <w:rPr>
                <w:rFonts w:hint="eastAsia"/>
              </w:rPr>
            </w:pPr>
            <w:r>
              <w:t>-</w:t>
            </w:r>
          </w:p>
        </w:tc>
      </w:tr>
      <w:tr w:rsidR="00D65E55" w14:paraId="0E60D27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66BDEE0" w14:textId="77777777" w:rsidR="00D65E55" w:rsidRDefault="00D65E55" w:rsidP="00D65E55">
            <w:pPr>
              <w:pStyle w:val="biaogecenter"/>
              <w:wordWrap w:val="0"/>
              <w:rPr>
                <w:rFonts w:hint="eastAsia"/>
              </w:rPr>
            </w:pPr>
            <w:r>
              <w:rPr>
                <w:rFonts w:hAnsi="等线" w:hint="eastAsia"/>
                <w:color w:val="000000"/>
              </w:rPr>
              <w:t>N</w:t>
            </w:r>
          </w:p>
        </w:tc>
        <w:tc>
          <w:tcPr>
            <w:tcW w:w="2596" w:type="dxa"/>
            <w:tcBorders>
              <w:top w:val="single" w:sz="8" w:space="0" w:color="000000"/>
              <w:left w:val="single" w:sz="8" w:space="0" w:color="000000"/>
              <w:bottom w:val="single" w:sz="6" w:space="0" w:color="000000"/>
              <w:right w:val="single" w:sz="8" w:space="0" w:color="000000"/>
            </w:tcBorders>
            <w:vAlign w:val="center"/>
          </w:tcPr>
          <w:p w14:paraId="1351F0FF" w14:textId="77777777" w:rsidR="00D65E55" w:rsidRDefault="00D65E55" w:rsidP="00D65E55">
            <w:pPr>
              <w:pStyle w:val="biaogeleft"/>
              <w:wordWrap w:val="0"/>
              <w:rPr>
                <w:rFonts w:hint="eastAsia"/>
              </w:rPr>
            </w:pPr>
            <w:r>
              <w:rPr>
                <w:rFonts w:hint="eastAsia"/>
              </w:rPr>
              <w:t>水利、环境和公共设施管理业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49973443" w14:textId="19E4B87F"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8BCCF12" w14:textId="76869841" w:rsidR="00D65E55" w:rsidRDefault="00D65E55" w:rsidP="00D65E55">
            <w:pPr>
              <w:pStyle w:val="biaogeright"/>
              <w:wordWrap w:val="0"/>
              <w:rPr>
                <w:rFonts w:hint="eastAsia"/>
              </w:rPr>
            </w:pPr>
            <w:r>
              <w:t>-</w:t>
            </w:r>
          </w:p>
        </w:tc>
      </w:tr>
      <w:tr w:rsidR="00D65E55" w14:paraId="0C4302F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377BCEF" w14:textId="77777777" w:rsidR="00D65E55" w:rsidRDefault="00D65E55" w:rsidP="00D65E55">
            <w:pPr>
              <w:pStyle w:val="biaogecenter"/>
              <w:wordWrap w:val="0"/>
              <w:rPr>
                <w:rFonts w:hint="eastAsia"/>
              </w:rPr>
            </w:pPr>
            <w:r>
              <w:rPr>
                <w:rFonts w:hAnsi="等线" w:hint="eastAsia"/>
                <w:color w:val="000000"/>
              </w:rPr>
              <w:t>O</w:t>
            </w:r>
          </w:p>
        </w:tc>
        <w:tc>
          <w:tcPr>
            <w:tcW w:w="2596" w:type="dxa"/>
            <w:tcBorders>
              <w:top w:val="single" w:sz="8" w:space="0" w:color="000000"/>
              <w:left w:val="single" w:sz="8" w:space="0" w:color="000000"/>
              <w:bottom w:val="single" w:sz="6" w:space="0" w:color="000000"/>
              <w:right w:val="single" w:sz="8" w:space="0" w:color="000000"/>
            </w:tcBorders>
            <w:vAlign w:val="center"/>
          </w:tcPr>
          <w:p w14:paraId="1397E728" w14:textId="77777777" w:rsidR="00D65E55" w:rsidRDefault="00D65E55" w:rsidP="00D65E55">
            <w:pPr>
              <w:pStyle w:val="biaogeleft"/>
              <w:wordWrap w:val="0"/>
              <w:rPr>
                <w:rFonts w:hint="eastAsia"/>
              </w:rPr>
            </w:pPr>
            <w:r>
              <w:rPr>
                <w:rFonts w:hint="eastAsia"/>
              </w:rPr>
              <w:t>居民服务、修理和其他服务业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458BA433" w14:textId="248BF7B1"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19271AFC" w14:textId="28AA015E" w:rsidR="00D65E55" w:rsidRDefault="00D65E55" w:rsidP="00D65E55">
            <w:pPr>
              <w:pStyle w:val="biaogeright"/>
              <w:wordWrap w:val="0"/>
              <w:rPr>
                <w:rFonts w:hint="eastAsia"/>
              </w:rPr>
            </w:pPr>
            <w:r>
              <w:t>-</w:t>
            </w:r>
          </w:p>
        </w:tc>
      </w:tr>
      <w:tr w:rsidR="00D65E55" w14:paraId="202AFD7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1D4F01C" w14:textId="77777777" w:rsidR="00D65E55" w:rsidRDefault="00D65E55" w:rsidP="00D65E55">
            <w:pPr>
              <w:pStyle w:val="biaogecenter"/>
              <w:wordWrap w:val="0"/>
              <w:rPr>
                <w:rFonts w:hint="eastAsia"/>
              </w:rPr>
            </w:pPr>
            <w:r>
              <w:rPr>
                <w:rFonts w:hAnsi="等线" w:hint="eastAsia"/>
                <w:color w:val="000000"/>
              </w:rPr>
              <w:t>P</w:t>
            </w:r>
          </w:p>
        </w:tc>
        <w:tc>
          <w:tcPr>
            <w:tcW w:w="2596" w:type="dxa"/>
            <w:tcBorders>
              <w:top w:val="single" w:sz="8" w:space="0" w:color="000000"/>
              <w:left w:val="single" w:sz="8" w:space="0" w:color="000000"/>
              <w:bottom w:val="single" w:sz="6" w:space="0" w:color="000000"/>
              <w:right w:val="single" w:sz="8" w:space="0" w:color="000000"/>
            </w:tcBorders>
            <w:vAlign w:val="center"/>
          </w:tcPr>
          <w:p w14:paraId="610C0EC1" w14:textId="77777777" w:rsidR="00D65E55" w:rsidRDefault="00D65E55" w:rsidP="00D65E55">
            <w:pPr>
              <w:pStyle w:val="biaogeleft"/>
              <w:wordWrap w:val="0"/>
              <w:rPr>
                <w:rFonts w:hint="eastAsia"/>
              </w:rPr>
            </w:pPr>
            <w:r>
              <w:rPr>
                <w:rFonts w:hint="eastAsia"/>
              </w:rPr>
              <w:t>教育</w:t>
            </w:r>
          </w:p>
        </w:tc>
        <w:tc>
          <w:tcPr>
            <w:tcW w:w="2596" w:type="dxa"/>
            <w:tcBorders>
              <w:top w:val="single" w:sz="8" w:space="0" w:color="000000"/>
              <w:left w:val="single" w:sz="8" w:space="0" w:color="000000"/>
              <w:bottom w:val="single" w:sz="6" w:space="0" w:color="000000"/>
              <w:right w:val="single" w:sz="8" w:space="0" w:color="000000"/>
            </w:tcBorders>
            <w:vAlign w:val="center"/>
          </w:tcPr>
          <w:p w14:paraId="269EDEE1" w14:textId="1D03323E"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37D92346" w14:textId="1EAB25C1" w:rsidR="00D65E55" w:rsidRDefault="00D65E55" w:rsidP="00D65E55">
            <w:pPr>
              <w:pStyle w:val="biaogeright"/>
              <w:wordWrap w:val="0"/>
              <w:rPr>
                <w:rFonts w:hint="eastAsia"/>
              </w:rPr>
            </w:pPr>
            <w:r>
              <w:t>-</w:t>
            </w:r>
          </w:p>
        </w:tc>
      </w:tr>
      <w:tr w:rsidR="00D65E55" w14:paraId="221E4BD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C4B5BB5" w14:textId="77777777" w:rsidR="00D65E55" w:rsidRDefault="00D65E55" w:rsidP="00D65E55">
            <w:pPr>
              <w:pStyle w:val="biaogecenter"/>
              <w:wordWrap w:val="0"/>
              <w:rPr>
                <w:rFonts w:hint="eastAsia"/>
              </w:rPr>
            </w:pPr>
            <w:r>
              <w:rPr>
                <w:rFonts w:hAnsi="等线" w:hint="eastAsia"/>
                <w:color w:val="000000"/>
              </w:rPr>
              <w:t>Q</w:t>
            </w:r>
          </w:p>
        </w:tc>
        <w:tc>
          <w:tcPr>
            <w:tcW w:w="2596" w:type="dxa"/>
            <w:tcBorders>
              <w:top w:val="single" w:sz="8" w:space="0" w:color="000000"/>
              <w:left w:val="single" w:sz="8" w:space="0" w:color="000000"/>
              <w:bottom w:val="single" w:sz="6" w:space="0" w:color="000000"/>
              <w:right w:val="single" w:sz="8" w:space="0" w:color="000000"/>
            </w:tcBorders>
            <w:vAlign w:val="center"/>
          </w:tcPr>
          <w:p w14:paraId="620A0A8A" w14:textId="77777777" w:rsidR="00D65E55" w:rsidRDefault="00D65E55" w:rsidP="00D65E55">
            <w:pPr>
              <w:pStyle w:val="biaogeleft"/>
              <w:wordWrap w:val="0"/>
              <w:rPr>
                <w:rFonts w:hint="eastAsia"/>
              </w:rPr>
            </w:pPr>
            <w:r>
              <w:rPr>
                <w:rFonts w:hint="eastAsia"/>
              </w:rPr>
              <w:t>卫生和社会工作</w:t>
            </w:r>
          </w:p>
        </w:tc>
        <w:tc>
          <w:tcPr>
            <w:tcW w:w="2596" w:type="dxa"/>
            <w:tcBorders>
              <w:top w:val="single" w:sz="8" w:space="0" w:color="000000"/>
              <w:left w:val="single" w:sz="8" w:space="0" w:color="000000"/>
              <w:bottom w:val="single" w:sz="6" w:space="0" w:color="000000"/>
              <w:right w:val="single" w:sz="8" w:space="0" w:color="000000"/>
            </w:tcBorders>
            <w:vAlign w:val="center"/>
          </w:tcPr>
          <w:p w14:paraId="36433D87" w14:textId="26D41D8E"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C9C4560" w14:textId="327E8C28" w:rsidR="00D65E55" w:rsidRDefault="00D65E55" w:rsidP="00D65E55">
            <w:pPr>
              <w:pStyle w:val="biaogeright"/>
              <w:wordWrap w:val="0"/>
              <w:rPr>
                <w:rFonts w:hint="eastAsia"/>
              </w:rPr>
            </w:pPr>
            <w:r>
              <w:t>-</w:t>
            </w:r>
          </w:p>
        </w:tc>
      </w:tr>
      <w:tr w:rsidR="00D65E55" w14:paraId="6BE1C2E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F505A62" w14:textId="77777777" w:rsidR="00D65E55" w:rsidRDefault="00D65E55" w:rsidP="00D65E55">
            <w:pPr>
              <w:pStyle w:val="biaogecenter"/>
              <w:wordWrap w:val="0"/>
              <w:rPr>
                <w:rFonts w:hint="eastAsia"/>
              </w:rPr>
            </w:pPr>
            <w:r>
              <w:rPr>
                <w:rFonts w:hAnsi="等线" w:hint="eastAsia"/>
                <w:color w:val="000000"/>
              </w:rPr>
              <w:t>R</w:t>
            </w:r>
          </w:p>
        </w:tc>
        <w:tc>
          <w:tcPr>
            <w:tcW w:w="2596" w:type="dxa"/>
            <w:tcBorders>
              <w:top w:val="single" w:sz="8" w:space="0" w:color="000000"/>
              <w:left w:val="single" w:sz="8" w:space="0" w:color="000000"/>
              <w:bottom w:val="single" w:sz="6" w:space="0" w:color="000000"/>
              <w:right w:val="single" w:sz="8" w:space="0" w:color="000000"/>
            </w:tcBorders>
            <w:vAlign w:val="center"/>
          </w:tcPr>
          <w:p w14:paraId="48A8554A" w14:textId="77777777" w:rsidR="00D65E55" w:rsidRDefault="00D65E55" w:rsidP="00D65E55">
            <w:pPr>
              <w:pStyle w:val="biaogeleft"/>
              <w:wordWrap w:val="0"/>
              <w:rPr>
                <w:rFonts w:hint="eastAsia"/>
              </w:rPr>
            </w:pPr>
            <w:r>
              <w:rPr>
                <w:rFonts w:hint="eastAsia"/>
              </w:rPr>
              <w:t>文化、体育和娱乐业</w:t>
            </w:r>
          </w:p>
        </w:tc>
        <w:tc>
          <w:tcPr>
            <w:tcW w:w="2596" w:type="dxa"/>
            <w:tcBorders>
              <w:top w:val="single" w:sz="8" w:space="0" w:color="000000"/>
              <w:left w:val="single" w:sz="8" w:space="0" w:color="000000"/>
              <w:bottom w:val="single" w:sz="6" w:space="0" w:color="000000"/>
              <w:right w:val="single" w:sz="8" w:space="0" w:color="000000"/>
            </w:tcBorders>
            <w:vAlign w:val="center"/>
          </w:tcPr>
          <w:p w14:paraId="7CDCE31A" w14:textId="3BD39D85"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410159E0" w14:textId="404EB9A1" w:rsidR="00D65E55" w:rsidRDefault="00D65E55" w:rsidP="00D65E55">
            <w:pPr>
              <w:pStyle w:val="biaogeright"/>
              <w:wordWrap w:val="0"/>
              <w:rPr>
                <w:rFonts w:hint="eastAsia"/>
              </w:rPr>
            </w:pPr>
            <w:r>
              <w:t>-</w:t>
            </w:r>
          </w:p>
        </w:tc>
      </w:tr>
      <w:tr w:rsidR="00D65E55" w14:paraId="57DF54F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EFF4AFF" w14:textId="77777777" w:rsidR="00D65E55" w:rsidRDefault="00D65E55" w:rsidP="00D65E55">
            <w:pPr>
              <w:pStyle w:val="biaogecenter"/>
              <w:wordWrap w:val="0"/>
              <w:rPr>
                <w:rFonts w:hint="eastAsia"/>
              </w:rPr>
            </w:pPr>
            <w:r>
              <w:rPr>
                <w:rFonts w:hAnsi="等线" w:hint="eastAsia"/>
                <w:color w:val="000000"/>
              </w:rPr>
              <w:t>S</w:t>
            </w:r>
          </w:p>
        </w:tc>
        <w:tc>
          <w:tcPr>
            <w:tcW w:w="2596" w:type="dxa"/>
            <w:tcBorders>
              <w:top w:val="single" w:sz="8" w:space="0" w:color="000000"/>
              <w:left w:val="single" w:sz="8" w:space="0" w:color="000000"/>
              <w:bottom w:val="single" w:sz="6" w:space="0" w:color="000000"/>
              <w:right w:val="single" w:sz="8" w:space="0" w:color="000000"/>
            </w:tcBorders>
            <w:vAlign w:val="center"/>
          </w:tcPr>
          <w:p w14:paraId="32ECF746" w14:textId="77777777" w:rsidR="00D65E55" w:rsidRDefault="00D65E55" w:rsidP="00D65E55">
            <w:pPr>
              <w:pStyle w:val="biaogeleft"/>
              <w:wordWrap w:val="0"/>
              <w:rPr>
                <w:rFonts w:hint="eastAsia"/>
              </w:rPr>
            </w:pPr>
            <w:r>
              <w:rPr>
                <w:rFonts w:hint="eastAsia"/>
              </w:rPr>
              <w:t>综合</w:t>
            </w:r>
          </w:p>
        </w:tc>
        <w:tc>
          <w:tcPr>
            <w:tcW w:w="2596" w:type="dxa"/>
            <w:tcBorders>
              <w:top w:val="single" w:sz="8" w:space="0" w:color="000000"/>
              <w:left w:val="single" w:sz="8" w:space="0" w:color="000000"/>
              <w:bottom w:val="single" w:sz="6" w:space="0" w:color="000000"/>
              <w:right w:val="single" w:sz="8" w:space="0" w:color="000000"/>
            </w:tcBorders>
            <w:vAlign w:val="center"/>
          </w:tcPr>
          <w:p w14:paraId="47D6FBB7" w14:textId="273425D0" w:rsidR="00D65E55" w:rsidRDefault="00D65E55" w:rsidP="00D65E55">
            <w:pPr>
              <w:pStyle w:val="biaogeright"/>
              <w:wordWrap w:val="0"/>
              <w:rPr>
                <w:rFonts w:hint="eastAsia"/>
              </w:rPr>
            </w:pPr>
            <w:r>
              <w:t>-</w:t>
            </w:r>
          </w:p>
        </w:tc>
        <w:tc>
          <w:tcPr>
            <w:tcW w:w="2672" w:type="dxa"/>
            <w:tcBorders>
              <w:top w:val="single" w:sz="8" w:space="0" w:color="000000"/>
              <w:left w:val="single" w:sz="8" w:space="0" w:color="000000"/>
              <w:bottom w:val="single" w:sz="6" w:space="0" w:color="000000"/>
              <w:right w:val="single" w:sz="8" w:space="0" w:color="000000"/>
            </w:tcBorders>
            <w:vAlign w:val="center"/>
          </w:tcPr>
          <w:p w14:paraId="1D8379AB" w14:textId="169B6B9D" w:rsidR="00D65E55" w:rsidRDefault="00D65E55" w:rsidP="00D65E55">
            <w:pPr>
              <w:pStyle w:val="biaogeright"/>
              <w:wordWrap w:val="0"/>
              <w:rPr>
                <w:rFonts w:hint="eastAsia"/>
              </w:rPr>
            </w:pPr>
            <w:r>
              <w:t>-</w:t>
            </w:r>
          </w:p>
        </w:tc>
      </w:tr>
      <w:tr w:rsidR="00D65E55" w14:paraId="0B49A63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DCB31EB" w14:textId="77777777" w:rsidR="00D65E55" w:rsidRDefault="00D65E55" w:rsidP="00D65E55">
            <w:pPr>
              <w:widowControl/>
              <w:jc w:val="left"/>
              <w:rPr>
                <w:rFonts w:cs="宋体"/>
                <w:kern w:val="0"/>
                <w:sz w:val="20"/>
                <w:szCs w:val="20"/>
              </w:rPr>
            </w:pPr>
          </w:p>
        </w:tc>
        <w:tc>
          <w:tcPr>
            <w:tcW w:w="2596" w:type="dxa"/>
            <w:tcBorders>
              <w:top w:val="single" w:sz="8" w:space="0" w:color="000000"/>
              <w:left w:val="single" w:sz="8" w:space="0" w:color="000000"/>
              <w:bottom w:val="single" w:sz="6" w:space="0" w:color="000000"/>
              <w:right w:val="single" w:sz="8" w:space="0" w:color="000000"/>
            </w:tcBorders>
            <w:vAlign w:val="center"/>
          </w:tcPr>
          <w:p w14:paraId="6746C1F6" w14:textId="77777777" w:rsidR="00D65E55" w:rsidRDefault="00D65E55" w:rsidP="00D65E55">
            <w:pPr>
              <w:pStyle w:val="biaogeleft"/>
              <w:wordWrap w:val="0"/>
              <w:rPr>
                <w:rFonts w:hint="eastAsia"/>
              </w:rPr>
            </w:pPr>
            <w:r>
              <w:rPr>
                <w:rFonts w:hint="eastAsia"/>
              </w:rPr>
              <w:t>合计</w:t>
            </w:r>
          </w:p>
        </w:tc>
        <w:tc>
          <w:tcPr>
            <w:tcW w:w="2596" w:type="dxa"/>
            <w:tcBorders>
              <w:top w:val="single" w:sz="8" w:space="0" w:color="000000"/>
              <w:left w:val="single" w:sz="8" w:space="0" w:color="000000"/>
              <w:bottom w:val="single" w:sz="6" w:space="0" w:color="000000"/>
              <w:right w:val="single" w:sz="8" w:space="0" w:color="000000"/>
            </w:tcBorders>
            <w:vAlign w:val="center"/>
          </w:tcPr>
          <w:p w14:paraId="208BE00C" w14:textId="637C31B6" w:rsidR="00D65E55" w:rsidRDefault="00D65E55" w:rsidP="00D65E55">
            <w:pPr>
              <w:pStyle w:val="biaogeright"/>
              <w:wordWrap w:val="0"/>
              <w:rPr>
                <w:rFonts w:hint="eastAsia"/>
              </w:rPr>
            </w:pPr>
            <w:r>
              <w:t>1,677,770.00</w:t>
            </w:r>
          </w:p>
        </w:tc>
        <w:tc>
          <w:tcPr>
            <w:tcW w:w="2672" w:type="dxa"/>
            <w:tcBorders>
              <w:top w:val="single" w:sz="8" w:space="0" w:color="000000"/>
              <w:left w:val="single" w:sz="8" w:space="0" w:color="000000"/>
              <w:bottom w:val="single" w:sz="6" w:space="0" w:color="000000"/>
              <w:right w:val="single" w:sz="8" w:space="0" w:color="000000"/>
            </w:tcBorders>
            <w:vAlign w:val="center"/>
          </w:tcPr>
          <w:p w14:paraId="311EF27E" w14:textId="2E8BFE7E" w:rsidR="00D65E55" w:rsidRDefault="00D65E55" w:rsidP="00D65E55">
            <w:pPr>
              <w:pStyle w:val="biaogeright"/>
              <w:wordWrap w:val="0"/>
              <w:rPr>
                <w:rFonts w:hint="eastAsia"/>
              </w:rPr>
            </w:pPr>
            <w:r>
              <w:t>90.83</w:t>
            </w:r>
          </w:p>
        </w:tc>
      </w:tr>
    </w:tbl>
    <w:p w14:paraId="237A48AD" w14:textId="77777777" w:rsidR="00913A13" w:rsidRDefault="00913A13">
      <w:pPr>
        <w:widowControl/>
        <w:jc w:val="left"/>
        <w:rPr>
          <w:rFonts w:ascii="宋体" w:eastAsia="宋体" w:hAnsi="宋体" w:cs="宋体" w:hint="eastAsia"/>
          <w:kern w:val="0"/>
          <w:sz w:val="24"/>
          <w:szCs w:val="24"/>
        </w:rPr>
      </w:pPr>
    </w:p>
    <w:p w14:paraId="2542CD45" w14:textId="77777777" w:rsidR="00913A13" w:rsidRDefault="002F45B8">
      <w:pPr>
        <w:pStyle w:val="zhangjiep"/>
        <w:rPr>
          <w:rFonts w:asciiTheme="minorEastAsia" w:eastAsiaTheme="minorEastAsia" w:hAnsiTheme="minorEastAsia" w:cs="Times New Roman" w:hint="eastAsia"/>
          <w:bCs/>
          <w:kern w:val="2"/>
        </w:rPr>
      </w:pPr>
      <w:bookmarkStart w:id="223" w:name="_Toc101354066"/>
      <w:r>
        <w:rPr>
          <w:rFonts w:asciiTheme="minorEastAsia" w:eastAsiaTheme="minorEastAsia" w:hAnsiTheme="minorEastAsia" w:cs="Times New Roman"/>
          <w:bCs/>
          <w:kern w:val="2"/>
        </w:rPr>
        <w:lastRenderedPageBreak/>
        <w:t>3、</w:t>
      </w:r>
      <w:r>
        <w:rPr>
          <w:rFonts w:asciiTheme="minorEastAsia" w:eastAsiaTheme="minorEastAsia" w:hAnsiTheme="minorEastAsia" w:cs="Times New Roman" w:hint="eastAsia"/>
          <w:bCs/>
          <w:kern w:val="2"/>
        </w:rPr>
        <w:t>报告期末按公允价值占基金资产净值比例大小排序的前十名股票投资明细</w:t>
      </w:r>
      <w:bookmarkEnd w:id="223"/>
    </w:p>
    <w:tbl>
      <w:tblPr>
        <w:tblW w:w="0" w:type="auto"/>
        <w:tblInd w:w="108" w:type="dxa"/>
        <w:tblLook w:val="04A0" w:firstRow="1" w:lastRow="0" w:firstColumn="1" w:lastColumn="0" w:noHBand="0" w:noVBand="1"/>
      </w:tblPr>
      <w:tblGrid>
        <w:gridCol w:w="472"/>
        <w:gridCol w:w="1402"/>
        <w:gridCol w:w="1528"/>
        <w:gridCol w:w="1560"/>
        <w:gridCol w:w="1978"/>
        <w:gridCol w:w="1719"/>
      </w:tblGrid>
      <w:tr w:rsidR="00913A13" w14:paraId="52C6CE23"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0EC9A14B" w14:textId="77777777" w:rsidR="00913A13" w:rsidRDefault="002F45B8">
            <w:pPr>
              <w:pStyle w:val="biaogecenter"/>
              <w:wordWrap w:val="0"/>
              <w:rPr>
                <w:rFonts w:hint="eastAsia"/>
              </w:rPr>
            </w:pPr>
            <w:r>
              <w:rPr>
                <w:rFonts w:hAnsi="等线" w:hint="eastAsia"/>
                <w:color w:val="000000"/>
              </w:rPr>
              <w:t>序号</w:t>
            </w:r>
          </w:p>
        </w:tc>
        <w:tc>
          <w:tcPr>
            <w:tcW w:w="1402" w:type="dxa"/>
            <w:tcBorders>
              <w:top w:val="single" w:sz="8" w:space="0" w:color="000000"/>
              <w:left w:val="single" w:sz="8" w:space="0" w:color="000000"/>
              <w:bottom w:val="single" w:sz="6" w:space="0" w:color="000000"/>
              <w:right w:val="single" w:sz="8" w:space="0" w:color="000000"/>
            </w:tcBorders>
            <w:vAlign w:val="center"/>
          </w:tcPr>
          <w:p w14:paraId="683D69D3" w14:textId="77777777" w:rsidR="00913A13" w:rsidRDefault="002F45B8">
            <w:pPr>
              <w:pStyle w:val="biaogecenter"/>
              <w:wordWrap w:val="0"/>
              <w:rPr>
                <w:rFonts w:hint="eastAsia"/>
              </w:rPr>
            </w:pPr>
            <w:r>
              <w:rPr>
                <w:rFonts w:hAnsi="等线" w:hint="eastAsia"/>
                <w:color w:val="000000"/>
              </w:rPr>
              <w:t>股票代码</w:t>
            </w:r>
          </w:p>
        </w:tc>
        <w:tc>
          <w:tcPr>
            <w:tcW w:w="1528" w:type="dxa"/>
            <w:tcBorders>
              <w:top w:val="single" w:sz="8" w:space="0" w:color="000000"/>
              <w:left w:val="single" w:sz="8" w:space="0" w:color="000000"/>
              <w:bottom w:val="single" w:sz="6" w:space="0" w:color="000000"/>
              <w:right w:val="single" w:sz="8" w:space="0" w:color="000000"/>
            </w:tcBorders>
            <w:vAlign w:val="center"/>
          </w:tcPr>
          <w:p w14:paraId="1711AA9B" w14:textId="77777777" w:rsidR="00913A13" w:rsidRDefault="002F45B8">
            <w:pPr>
              <w:pStyle w:val="biaogecenter"/>
              <w:wordWrap w:val="0"/>
              <w:rPr>
                <w:rFonts w:hint="eastAsia"/>
              </w:rPr>
            </w:pPr>
            <w:r>
              <w:rPr>
                <w:rFonts w:hAnsi="等线" w:hint="eastAsia"/>
                <w:color w:val="000000"/>
              </w:rPr>
              <w:t>股票名称</w:t>
            </w:r>
          </w:p>
        </w:tc>
        <w:tc>
          <w:tcPr>
            <w:tcW w:w="1560" w:type="dxa"/>
            <w:tcBorders>
              <w:top w:val="single" w:sz="8" w:space="0" w:color="000000"/>
              <w:left w:val="single" w:sz="8" w:space="0" w:color="000000"/>
              <w:bottom w:val="single" w:sz="6" w:space="0" w:color="000000"/>
              <w:right w:val="single" w:sz="8" w:space="0" w:color="000000"/>
            </w:tcBorders>
            <w:vAlign w:val="center"/>
          </w:tcPr>
          <w:p w14:paraId="1BCAC5D1" w14:textId="77777777" w:rsidR="00913A13" w:rsidRDefault="002F45B8">
            <w:pPr>
              <w:pStyle w:val="biaogecenter"/>
              <w:wordWrap w:val="0"/>
              <w:rPr>
                <w:rFonts w:hint="eastAsia"/>
              </w:rPr>
            </w:pPr>
            <w:r>
              <w:rPr>
                <w:rFonts w:hAnsi="等线" w:hint="eastAsia"/>
                <w:color w:val="000000"/>
              </w:rPr>
              <w:t>数量(股)</w:t>
            </w:r>
          </w:p>
        </w:tc>
        <w:tc>
          <w:tcPr>
            <w:tcW w:w="1978" w:type="dxa"/>
            <w:tcBorders>
              <w:top w:val="single" w:sz="8" w:space="0" w:color="000000"/>
              <w:left w:val="single" w:sz="8" w:space="0" w:color="000000"/>
              <w:bottom w:val="single" w:sz="6" w:space="0" w:color="000000"/>
              <w:right w:val="single" w:sz="8" w:space="0" w:color="000000"/>
            </w:tcBorders>
            <w:vAlign w:val="center"/>
          </w:tcPr>
          <w:p w14:paraId="4D139DAB" w14:textId="77777777" w:rsidR="00913A13" w:rsidRDefault="002F45B8">
            <w:pPr>
              <w:pStyle w:val="biaogecenter"/>
              <w:wordWrap w:val="0"/>
              <w:rPr>
                <w:rFonts w:hint="eastAsia"/>
              </w:rPr>
            </w:pPr>
            <w:r>
              <w:rPr>
                <w:rFonts w:hAnsi="等线" w:hint="eastAsia"/>
                <w:color w:val="000000"/>
              </w:rPr>
              <w:t>公允价值(元)</w:t>
            </w:r>
          </w:p>
        </w:tc>
        <w:tc>
          <w:tcPr>
            <w:tcW w:w="1719" w:type="dxa"/>
            <w:tcBorders>
              <w:top w:val="single" w:sz="8" w:space="0" w:color="000000"/>
              <w:left w:val="single" w:sz="8" w:space="0" w:color="000000"/>
              <w:bottom w:val="single" w:sz="6" w:space="0" w:color="000000"/>
              <w:right w:val="single" w:sz="8" w:space="0" w:color="000000"/>
            </w:tcBorders>
            <w:vAlign w:val="center"/>
          </w:tcPr>
          <w:p w14:paraId="0494928D" w14:textId="77777777" w:rsidR="00913A13" w:rsidRDefault="002F45B8">
            <w:pPr>
              <w:pStyle w:val="biaogecenter"/>
              <w:wordWrap w:val="0"/>
              <w:rPr>
                <w:rFonts w:hint="eastAsia"/>
              </w:rPr>
            </w:pPr>
            <w:r>
              <w:rPr>
                <w:rFonts w:hAnsi="等线" w:hint="eastAsia"/>
                <w:color w:val="000000"/>
              </w:rPr>
              <w:t>占基金资产净值比例（％）</w:t>
            </w:r>
          </w:p>
        </w:tc>
      </w:tr>
      <w:tr w:rsidR="00D65E55" w14:paraId="3AF446F4"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2FDF0748" w14:textId="77777777" w:rsidR="00D65E55" w:rsidRDefault="00D65E55" w:rsidP="00D65E55">
            <w:pPr>
              <w:pStyle w:val="biaogecenter"/>
              <w:wordWrap w:val="0"/>
              <w:rPr>
                <w:rFonts w:hint="eastAsia"/>
              </w:rPr>
            </w:pPr>
            <w:r>
              <w:rPr>
                <w:rFonts w:hAnsi="等线"/>
                <w:color w:val="000000"/>
              </w:rPr>
              <w:t>1</w:t>
            </w:r>
          </w:p>
        </w:tc>
        <w:tc>
          <w:tcPr>
            <w:tcW w:w="1402" w:type="dxa"/>
            <w:tcBorders>
              <w:top w:val="single" w:sz="8" w:space="0" w:color="000000"/>
              <w:left w:val="single" w:sz="8" w:space="0" w:color="000000"/>
              <w:bottom w:val="single" w:sz="6" w:space="0" w:color="000000"/>
              <w:right w:val="single" w:sz="8" w:space="0" w:color="000000"/>
            </w:tcBorders>
            <w:vAlign w:val="center"/>
          </w:tcPr>
          <w:p w14:paraId="1A272495" w14:textId="4BAEE66A" w:rsidR="00D65E55" w:rsidRDefault="00D65E55" w:rsidP="00D65E55">
            <w:pPr>
              <w:pStyle w:val="biaogeleft"/>
              <w:wordWrap w:val="0"/>
              <w:rPr>
                <w:rFonts w:hint="eastAsia"/>
              </w:rPr>
            </w:pPr>
            <w:r w:rsidRPr="00474410">
              <w:rPr>
                <w:rFonts w:hAnsi="Calibri"/>
                <w:color w:val="000000"/>
              </w:rPr>
              <w:t>300502</w:t>
            </w:r>
          </w:p>
        </w:tc>
        <w:tc>
          <w:tcPr>
            <w:tcW w:w="1528" w:type="dxa"/>
            <w:tcBorders>
              <w:top w:val="single" w:sz="8" w:space="0" w:color="000000"/>
              <w:left w:val="single" w:sz="8" w:space="0" w:color="000000"/>
              <w:bottom w:val="single" w:sz="6" w:space="0" w:color="000000"/>
              <w:right w:val="single" w:sz="8" w:space="0" w:color="000000"/>
            </w:tcBorders>
            <w:vAlign w:val="center"/>
          </w:tcPr>
          <w:p w14:paraId="6AB33048" w14:textId="0FCA44A8" w:rsidR="00D65E55" w:rsidRDefault="00D65E55" w:rsidP="00D65E55">
            <w:pPr>
              <w:pStyle w:val="biaogeleft"/>
              <w:wordWrap w:val="0"/>
              <w:rPr>
                <w:rFonts w:hint="eastAsia"/>
              </w:rPr>
            </w:pPr>
            <w:r w:rsidRPr="00474410">
              <w:rPr>
                <w:rFonts w:hAnsi="Calibri"/>
                <w:color w:val="000000"/>
              </w:rPr>
              <w:t>新易盛</w:t>
            </w:r>
          </w:p>
        </w:tc>
        <w:tc>
          <w:tcPr>
            <w:tcW w:w="1560" w:type="dxa"/>
            <w:tcBorders>
              <w:top w:val="single" w:sz="8" w:space="0" w:color="000000"/>
              <w:left w:val="single" w:sz="8" w:space="0" w:color="000000"/>
              <w:bottom w:val="single" w:sz="6" w:space="0" w:color="000000"/>
              <w:right w:val="single" w:sz="8" w:space="0" w:color="000000"/>
            </w:tcBorders>
            <w:vAlign w:val="center"/>
          </w:tcPr>
          <w:p w14:paraId="77503749" w14:textId="5DB893D5" w:rsidR="00D65E55" w:rsidRDefault="00D65E55" w:rsidP="00D65E55">
            <w:pPr>
              <w:pStyle w:val="biaogeright"/>
              <w:wordWrap w:val="0"/>
              <w:rPr>
                <w:rFonts w:hint="eastAsia"/>
              </w:rPr>
            </w:pPr>
            <w:r w:rsidRPr="00474410">
              <w:rPr>
                <w:rFonts w:hAnsi="Calibri"/>
                <w:color w:val="000000"/>
              </w:rPr>
              <w:t>300</w:t>
            </w:r>
          </w:p>
        </w:tc>
        <w:tc>
          <w:tcPr>
            <w:tcW w:w="1978" w:type="dxa"/>
            <w:tcBorders>
              <w:top w:val="single" w:sz="8" w:space="0" w:color="000000"/>
              <w:left w:val="single" w:sz="8" w:space="0" w:color="000000"/>
              <w:bottom w:val="single" w:sz="6" w:space="0" w:color="000000"/>
              <w:right w:val="single" w:sz="8" w:space="0" w:color="000000"/>
            </w:tcBorders>
            <w:vAlign w:val="center"/>
          </w:tcPr>
          <w:p w14:paraId="5B65D265" w14:textId="0D0C3211" w:rsidR="00D65E55" w:rsidRDefault="00D65E55" w:rsidP="00D65E55">
            <w:pPr>
              <w:pStyle w:val="biaogeright"/>
              <w:wordWrap w:val="0"/>
              <w:rPr>
                <w:rFonts w:hint="eastAsia"/>
              </w:rPr>
            </w:pPr>
            <w:r w:rsidRPr="00474410">
              <w:rPr>
                <w:rFonts w:hAnsi="Calibri"/>
                <w:color w:val="000000"/>
              </w:rPr>
              <w:t>132,852.00</w:t>
            </w:r>
          </w:p>
        </w:tc>
        <w:tc>
          <w:tcPr>
            <w:tcW w:w="1719" w:type="dxa"/>
            <w:tcBorders>
              <w:top w:val="single" w:sz="8" w:space="0" w:color="000000"/>
              <w:left w:val="single" w:sz="8" w:space="0" w:color="000000"/>
              <w:bottom w:val="single" w:sz="6" w:space="0" w:color="000000"/>
              <w:right w:val="single" w:sz="8" w:space="0" w:color="000000"/>
            </w:tcBorders>
            <w:vAlign w:val="center"/>
          </w:tcPr>
          <w:p w14:paraId="6C4555AA" w14:textId="27E967EE" w:rsidR="00D65E55" w:rsidRDefault="00D65E55" w:rsidP="00D65E55">
            <w:pPr>
              <w:pStyle w:val="biaogeright"/>
              <w:wordWrap w:val="0"/>
              <w:rPr>
                <w:rFonts w:hint="eastAsia"/>
              </w:rPr>
            </w:pPr>
            <w:r w:rsidRPr="00474410">
              <w:rPr>
                <w:rFonts w:hAnsi="Calibri"/>
                <w:color w:val="000000"/>
              </w:rPr>
              <w:t>7.19</w:t>
            </w:r>
          </w:p>
        </w:tc>
      </w:tr>
      <w:tr w:rsidR="00D65E55" w14:paraId="2FB4331E"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4852E392" w14:textId="77777777" w:rsidR="00D65E55" w:rsidRDefault="00D65E55" w:rsidP="00D65E55">
            <w:pPr>
              <w:pStyle w:val="biaogecenter"/>
              <w:wordWrap w:val="0"/>
              <w:rPr>
                <w:rFonts w:hint="eastAsia"/>
              </w:rPr>
            </w:pPr>
            <w:r>
              <w:rPr>
                <w:rFonts w:hAnsi="等线"/>
                <w:color w:val="000000"/>
              </w:rPr>
              <w:t>2</w:t>
            </w:r>
          </w:p>
        </w:tc>
        <w:tc>
          <w:tcPr>
            <w:tcW w:w="1402" w:type="dxa"/>
            <w:tcBorders>
              <w:top w:val="single" w:sz="8" w:space="0" w:color="000000"/>
              <w:left w:val="single" w:sz="8" w:space="0" w:color="000000"/>
              <w:bottom w:val="single" w:sz="6" w:space="0" w:color="000000"/>
              <w:right w:val="single" w:sz="8" w:space="0" w:color="000000"/>
            </w:tcBorders>
            <w:vAlign w:val="center"/>
          </w:tcPr>
          <w:p w14:paraId="2EF12537" w14:textId="4044E051" w:rsidR="00D65E55" w:rsidRDefault="00D65E55" w:rsidP="00D65E55">
            <w:pPr>
              <w:pStyle w:val="biaogeleft"/>
              <w:wordWrap w:val="0"/>
              <w:rPr>
                <w:rFonts w:hint="eastAsia"/>
              </w:rPr>
            </w:pPr>
            <w:r w:rsidRPr="00474410">
              <w:rPr>
                <w:rFonts w:hAnsi="Calibri"/>
                <w:color w:val="000000"/>
              </w:rPr>
              <w:t>601869</w:t>
            </w:r>
          </w:p>
        </w:tc>
        <w:tc>
          <w:tcPr>
            <w:tcW w:w="1528" w:type="dxa"/>
            <w:tcBorders>
              <w:top w:val="single" w:sz="8" w:space="0" w:color="000000"/>
              <w:left w:val="single" w:sz="8" w:space="0" w:color="000000"/>
              <w:bottom w:val="single" w:sz="6" w:space="0" w:color="000000"/>
              <w:right w:val="single" w:sz="8" w:space="0" w:color="000000"/>
            </w:tcBorders>
            <w:vAlign w:val="center"/>
          </w:tcPr>
          <w:p w14:paraId="742D8C43" w14:textId="2D5E4883" w:rsidR="00D65E55" w:rsidRDefault="00D65E55" w:rsidP="00D65E55">
            <w:pPr>
              <w:pStyle w:val="biaogeleft"/>
              <w:wordWrap w:val="0"/>
              <w:rPr>
                <w:rFonts w:hint="eastAsia"/>
              </w:rPr>
            </w:pPr>
            <w:r w:rsidRPr="00474410">
              <w:rPr>
                <w:rFonts w:hAnsi="Calibri"/>
                <w:color w:val="000000"/>
              </w:rPr>
              <w:t>长飞光纤</w:t>
            </w:r>
          </w:p>
        </w:tc>
        <w:tc>
          <w:tcPr>
            <w:tcW w:w="1560" w:type="dxa"/>
            <w:tcBorders>
              <w:top w:val="single" w:sz="8" w:space="0" w:color="000000"/>
              <w:left w:val="single" w:sz="8" w:space="0" w:color="000000"/>
              <w:bottom w:val="single" w:sz="6" w:space="0" w:color="000000"/>
              <w:right w:val="single" w:sz="8" w:space="0" w:color="000000"/>
            </w:tcBorders>
            <w:vAlign w:val="center"/>
          </w:tcPr>
          <w:p w14:paraId="126AEC04" w14:textId="15108F34" w:rsidR="00D65E55" w:rsidRDefault="00D65E55" w:rsidP="00D65E55">
            <w:pPr>
              <w:pStyle w:val="biaogeright"/>
              <w:wordWrap w:val="0"/>
              <w:rPr>
                <w:rFonts w:hint="eastAsia"/>
              </w:rPr>
            </w:pPr>
            <w:r w:rsidRPr="00474410">
              <w:rPr>
                <w:rFonts w:hAnsi="Calibri"/>
                <w:color w:val="000000"/>
              </w:rPr>
              <w:t>400</w:t>
            </w:r>
          </w:p>
        </w:tc>
        <w:tc>
          <w:tcPr>
            <w:tcW w:w="1978" w:type="dxa"/>
            <w:tcBorders>
              <w:top w:val="single" w:sz="8" w:space="0" w:color="000000"/>
              <w:left w:val="single" w:sz="8" w:space="0" w:color="000000"/>
              <w:bottom w:val="single" w:sz="6" w:space="0" w:color="000000"/>
              <w:right w:val="single" w:sz="8" w:space="0" w:color="000000"/>
            </w:tcBorders>
            <w:vAlign w:val="center"/>
          </w:tcPr>
          <w:p w14:paraId="2AED0ABB" w14:textId="3752678D" w:rsidR="00D65E55" w:rsidRDefault="00D65E55" w:rsidP="00D65E55">
            <w:pPr>
              <w:pStyle w:val="biaogeright"/>
              <w:wordWrap w:val="0"/>
              <w:rPr>
                <w:rFonts w:hint="eastAsia"/>
              </w:rPr>
            </w:pPr>
            <w:r w:rsidRPr="00474410">
              <w:rPr>
                <w:rFonts w:hAnsi="Calibri"/>
                <w:color w:val="000000"/>
              </w:rPr>
              <w:t>123,796.00</w:t>
            </w:r>
          </w:p>
        </w:tc>
        <w:tc>
          <w:tcPr>
            <w:tcW w:w="1719" w:type="dxa"/>
            <w:tcBorders>
              <w:top w:val="single" w:sz="8" w:space="0" w:color="000000"/>
              <w:left w:val="single" w:sz="8" w:space="0" w:color="000000"/>
              <w:bottom w:val="single" w:sz="6" w:space="0" w:color="000000"/>
              <w:right w:val="single" w:sz="8" w:space="0" w:color="000000"/>
            </w:tcBorders>
            <w:vAlign w:val="center"/>
          </w:tcPr>
          <w:p w14:paraId="62C16107" w14:textId="6F5B65C2" w:rsidR="00D65E55" w:rsidRDefault="00D65E55" w:rsidP="00D65E55">
            <w:pPr>
              <w:pStyle w:val="biaogeright"/>
              <w:wordWrap w:val="0"/>
              <w:rPr>
                <w:rFonts w:hint="eastAsia"/>
              </w:rPr>
            </w:pPr>
            <w:r w:rsidRPr="00474410">
              <w:rPr>
                <w:rFonts w:hAnsi="Calibri"/>
                <w:color w:val="000000"/>
              </w:rPr>
              <w:t>6.70</w:t>
            </w:r>
          </w:p>
        </w:tc>
      </w:tr>
      <w:tr w:rsidR="00D65E55" w14:paraId="3EC49630"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2F19DD1E" w14:textId="77777777" w:rsidR="00D65E55" w:rsidRDefault="00D65E55" w:rsidP="00D65E55">
            <w:pPr>
              <w:pStyle w:val="biaogecenter"/>
              <w:wordWrap w:val="0"/>
              <w:rPr>
                <w:rFonts w:hint="eastAsia"/>
              </w:rPr>
            </w:pPr>
            <w:r>
              <w:rPr>
                <w:rFonts w:hAnsi="等线"/>
                <w:color w:val="000000"/>
              </w:rPr>
              <w:t>3</w:t>
            </w:r>
          </w:p>
        </w:tc>
        <w:tc>
          <w:tcPr>
            <w:tcW w:w="1402" w:type="dxa"/>
            <w:tcBorders>
              <w:top w:val="single" w:sz="8" w:space="0" w:color="000000"/>
              <w:left w:val="single" w:sz="8" w:space="0" w:color="000000"/>
              <w:bottom w:val="single" w:sz="6" w:space="0" w:color="000000"/>
              <w:right w:val="single" w:sz="8" w:space="0" w:color="000000"/>
            </w:tcBorders>
            <w:vAlign w:val="center"/>
          </w:tcPr>
          <w:p w14:paraId="0E448BDD" w14:textId="205BC601" w:rsidR="00D65E55" w:rsidRDefault="00D65E55" w:rsidP="00D65E55">
            <w:pPr>
              <w:pStyle w:val="biaogeleft"/>
              <w:wordWrap w:val="0"/>
              <w:rPr>
                <w:rFonts w:hint="eastAsia"/>
              </w:rPr>
            </w:pPr>
            <w:r w:rsidRPr="00474410">
              <w:rPr>
                <w:rFonts w:hAnsi="Calibri"/>
                <w:color w:val="000000"/>
              </w:rPr>
              <w:t>300394</w:t>
            </w:r>
          </w:p>
        </w:tc>
        <w:tc>
          <w:tcPr>
            <w:tcW w:w="1528" w:type="dxa"/>
            <w:tcBorders>
              <w:top w:val="single" w:sz="8" w:space="0" w:color="000000"/>
              <w:left w:val="single" w:sz="8" w:space="0" w:color="000000"/>
              <w:bottom w:val="single" w:sz="6" w:space="0" w:color="000000"/>
              <w:right w:val="single" w:sz="8" w:space="0" w:color="000000"/>
            </w:tcBorders>
            <w:vAlign w:val="center"/>
          </w:tcPr>
          <w:p w14:paraId="76B64718" w14:textId="7BC7D805" w:rsidR="00D65E55" w:rsidRDefault="00D65E55" w:rsidP="00D65E55">
            <w:pPr>
              <w:pStyle w:val="biaogeleft"/>
              <w:wordWrap w:val="0"/>
              <w:rPr>
                <w:rFonts w:hint="eastAsia"/>
              </w:rPr>
            </w:pPr>
            <w:r w:rsidRPr="00474410">
              <w:rPr>
                <w:rFonts w:hAnsi="Calibri"/>
                <w:color w:val="000000"/>
              </w:rPr>
              <w:t>天孚通信</w:t>
            </w:r>
          </w:p>
        </w:tc>
        <w:tc>
          <w:tcPr>
            <w:tcW w:w="1560" w:type="dxa"/>
            <w:tcBorders>
              <w:top w:val="single" w:sz="8" w:space="0" w:color="000000"/>
              <w:left w:val="single" w:sz="8" w:space="0" w:color="000000"/>
              <w:bottom w:val="single" w:sz="6" w:space="0" w:color="000000"/>
              <w:right w:val="single" w:sz="8" w:space="0" w:color="000000"/>
            </w:tcBorders>
            <w:vAlign w:val="center"/>
          </w:tcPr>
          <w:p w14:paraId="49D24B32" w14:textId="3CB738D8" w:rsidR="00D65E55" w:rsidRDefault="00D65E55" w:rsidP="00D65E55">
            <w:pPr>
              <w:pStyle w:val="biaogeright"/>
              <w:wordWrap w:val="0"/>
              <w:rPr>
                <w:rFonts w:hint="eastAsia"/>
              </w:rPr>
            </w:pPr>
            <w:r w:rsidRPr="00474410">
              <w:rPr>
                <w:rFonts w:hAnsi="Calibri"/>
                <w:color w:val="000000"/>
              </w:rPr>
              <w:t>400</w:t>
            </w:r>
          </w:p>
        </w:tc>
        <w:tc>
          <w:tcPr>
            <w:tcW w:w="1978" w:type="dxa"/>
            <w:tcBorders>
              <w:top w:val="single" w:sz="8" w:space="0" w:color="000000"/>
              <w:left w:val="single" w:sz="8" w:space="0" w:color="000000"/>
              <w:bottom w:val="single" w:sz="6" w:space="0" w:color="000000"/>
              <w:right w:val="single" w:sz="8" w:space="0" w:color="000000"/>
            </w:tcBorders>
            <w:vAlign w:val="center"/>
          </w:tcPr>
          <w:p w14:paraId="239B9129" w14:textId="5C0C8837" w:rsidR="00D65E55" w:rsidRDefault="00D65E55" w:rsidP="00D65E55">
            <w:pPr>
              <w:pStyle w:val="biaogeright"/>
              <w:wordWrap w:val="0"/>
              <w:rPr>
                <w:rFonts w:hint="eastAsia"/>
              </w:rPr>
            </w:pPr>
            <w:r w:rsidRPr="00474410">
              <w:rPr>
                <w:rFonts w:hAnsi="Calibri"/>
                <w:color w:val="000000"/>
              </w:rPr>
              <w:t>120,640.00</w:t>
            </w:r>
          </w:p>
        </w:tc>
        <w:tc>
          <w:tcPr>
            <w:tcW w:w="1719" w:type="dxa"/>
            <w:tcBorders>
              <w:top w:val="single" w:sz="8" w:space="0" w:color="000000"/>
              <w:left w:val="single" w:sz="8" w:space="0" w:color="000000"/>
              <w:bottom w:val="single" w:sz="6" w:space="0" w:color="000000"/>
              <w:right w:val="single" w:sz="8" w:space="0" w:color="000000"/>
            </w:tcBorders>
            <w:vAlign w:val="center"/>
          </w:tcPr>
          <w:p w14:paraId="221C9D20" w14:textId="67D28656" w:rsidR="00D65E55" w:rsidRDefault="00D65E55" w:rsidP="00D65E55">
            <w:pPr>
              <w:pStyle w:val="biaogeright"/>
              <w:wordWrap w:val="0"/>
              <w:rPr>
                <w:rFonts w:hint="eastAsia"/>
              </w:rPr>
            </w:pPr>
            <w:r w:rsidRPr="00474410">
              <w:rPr>
                <w:rFonts w:hAnsi="Calibri"/>
                <w:color w:val="000000"/>
              </w:rPr>
              <w:t>6.53</w:t>
            </w:r>
          </w:p>
        </w:tc>
      </w:tr>
      <w:tr w:rsidR="00D65E55" w14:paraId="6AD8C4F8"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16C286CF" w14:textId="77777777" w:rsidR="00D65E55" w:rsidRDefault="00D65E55" w:rsidP="00D65E55">
            <w:pPr>
              <w:pStyle w:val="biaogecenter"/>
              <w:wordWrap w:val="0"/>
              <w:rPr>
                <w:rFonts w:hint="eastAsia"/>
              </w:rPr>
            </w:pPr>
            <w:r>
              <w:rPr>
                <w:rFonts w:hAnsi="等线"/>
                <w:color w:val="000000"/>
              </w:rPr>
              <w:t>4</w:t>
            </w:r>
          </w:p>
        </w:tc>
        <w:tc>
          <w:tcPr>
            <w:tcW w:w="1402" w:type="dxa"/>
            <w:tcBorders>
              <w:top w:val="single" w:sz="8" w:space="0" w:color="000000"/>
              <w:left w:val="single" w:sz="8" w:space="0" w:color="000000"/>
              <w:bottom w:val="single" w:sz="6" w:space="0" w:color="000000"/>
              <w:right w:val="single" w:sz="8" w:space="0" w:color="000000"/>
            </w:tcBorders>
            <w:vAlign w:val="center"/>
          </w:tcPr>
          <w:p w14:paraId="3FBA5EBC" w14:textId="127881B6" w:rsidR="00D65E55" w:rsidRDefault="00D65E55" w:rsidP="00D65E55">
            <w:pPr>
              <w:pStyle w:val="biaogeleft"/>
              <w:wordWrap w:val="0"/>
              <w:rPr>
                <w:rFonts w:hint="eastAsia"/>
              </w:rPr>
            </w:pPr>
            <w:r w:rsidRPr="00474410">
              <w:rPr>
                <w:rFonts w:hAnsi="Calibri"/>
                <w:color w:val="000000"/>
              </w:rPr>
              <w:t>300308</w:t>
            </w:r>
          </w:p>
        </w:tc>
        <w:tc>
          <w:tcPr>
            <w:tcW w:w="1528" w:type="dxa"/>
            <w:tcBorders>
              <w:top w:val="single" w:sz="8" w:space="0" w:color="000000"/>
              <w:left w:val="single" w:sz="8" w:space="0" w:color="000000"/>
              <w:bottom w:val="single" w:sz="6" w:space="0" w:color="000000"/>
              <w:right w:val="single" w:sz="8" w:space="0" w:color="000000"/>
            </w:tcBorders>
            <w:vAlign w:val="center"/>
          </w:tcPr>
          <w:p w14:paraId="6BD11A3A" w14:textId="3414EF3F" w:rsidR="00D65E55" w:rsidRDefault="00D65E55" w:rsidP="00D65E55">
            <w:pPr>
              <w:pStyle w:val="biaogeleft"/>
              <w:wordWrap w:val="0"/>
              <w:rPr>
                <w:rFonts w:hint="eastAsia"/>
              </w:rPr>
            </w:pPr>
            <w:r w:rsidRPr="00474410">
              <w:rPr>
                <w:rFonts w:hAnsi="Calibri"/>
                <w:color w:val="000000"/>
              </w:rPr>
              <w:t>中际旭创</w:t>
            </w:r>
          </w:p>
        </w:tc>
        <w:tc>
          <w:tcPr>
            <w:tcW w:w="1560" w:type="dxa"/>
            <w:tcBorders>
              <w:top w:val="single" w:sz="8" w:space="0" w:color="000000"/>
              <w:left w:val="single" w:sz="8" w:space="0" w:color="000000"/>
              <w:bottom w:val="single" w:sz="6" w:space="0" w:color="000000"/>
              <w:right w:val="single" w:sz="8" w:space="0" w:color="000000"/>
            </w:tcBorders>
            <w:vAlign w:val="center"/>
          </w:tcPr>
          <w:p w14:paraId="4FE80B4C" w14:textId="222B0C58" w:rsidR="00D65E55" w:rsidRDefault="00D65E55" w:rsidP="00D65E55">
            <w:pPr>
              <w:pStyle w:val="biaogeright"/>
              <w:wordWrap w:val="0"/>
              <w:rPr>
                <w:rFonts w:hint="eastAsia"/>
              </w:rPr>
            </w:pPr>
            <w:r w:rsidRPr="00474410">
              <w:rPr>
                <w:rFonts w:hAnsi="Calibri"/>
                <w:color w:val="000000"/>
              </w:rPr>
              <w:t>200</w:t>
            </w:r>
          </w:p>
        </w:tc>
        <w:tc>
          <w:tcPr>
            <w:tcW w:w="1978" w:type="dxa"/>
            <w:tcBorders>
              <w:top w:val="single" w:sz="8" w:space="0" w:color="000000"/>
              <w:left w:val="single" w:sz="8" w:space="0" w:color="000000"/>
              <w:bottom w:val="single" w:sz="6" w:space="0" w:color="000000"/>
              <w:right w:val="single" w:sz="8" w:space="0" w:color="000000"/>
            </w:tcBorders>
            <w:vAlign w:val="center"/>
          </w:tcPr>
          <w:p w14:paraId="14062F90" w14:textId="6885583E" w:rsidR="00D65E55" w:rsidRDefault="00D65E55" w:rsidP="00D65E55">
            <w:pPr>
              <w:pStyle w:val="biaogeright"/>
              <w:wordWrap w:val="0"/>
              <w:rPr>
                <w:rFonts w:hint="eastAsia"/>
              </w:rPr>
            </w:pPr>
            <w:r w:rsidRPr="00474410">
              <w:rPr>
                <w:rFonts w:hAnsi="Calibri"/>
                <w:color w:val="000000"/>
              </w:rPr>
              <w:t>113,882.00</w:t>
            </w:r>
          </w:p>
        </w:tc>
        <w:tc>
          <w:tcPr>
            <w:tcW w:w="1719" w:type="dxa"/>
            <w:tcBorders>
              <w:top w:val="single" w:sz="8" w:space="0" w:color="000000"/>
              <w:left w:val="single" w:sz="8" w:space="0" w:color="000000"/>
              <w:bottom w:val="single" w:sz="6" w:space="0" w:color="000000"/>
              <w:right w:val="single" w:sz="8" w:space="0" w:color="000000"/>
            </w:tcBorders>
            <w:vAlign w:val="center"/>
          </w:tcPr>
          <w:p w14:paraId="4C5B6FB1" w14:textId="5E973F47" w:rsidR="00D65E55" w:rsidRDefault="00D65E55" w:rsidP="00D65E55">
            <w:pPr>
              <w:pStyle w:val="biaogeright"/>
              <w:wordWrap w:val="0"/>
              <w:rPr>
                <w:rFonts w:hint="eastAsia"/>
              </w:rPr>
            </w:pPr>
            <w:r w:rsidRPr="00474410">
              <w:rPr>
                <w:rFonts w:hAnsi="Calibri"/>
                <w:color w:val="000000"/>
              </w:rPr>
              <w:t>6.17</w:t>
            </w:r>
          </w:p>
        </w:tc>
      </w:tr>
      <w:tr w:rsidR="00D65E55" w14:paraId="1B91BF0F"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19095EF9" w14:textId="77777777" w:rsidR="00D65E55" w:rsidRDefault="00D65E55" w:rsidP="00D65E55">
            <w:pPr>
              <w:pStyle w:val="biaogecenter"/>
              <w:wordWrap w:val="0"/>
              <w:rPr>
                <w:rFonts w:hint="eastAsia"/>
              </w:rPr>
            </w:pPr>
            <w:r>
              <w:rPr>
                <w:rFonts w:hAnsi="等线"/>
                <w:color w:val="000000"/>
              </w:rPr>
              <w:t>5</w:t>
            </w:r>
          </w:p>
        </w:tc>
        <w:tc>
          <w:tcPr>
            <w:tcW w:w="1402" w:type="dxa"/>
            <w:tcBorders>
              <w:top w:val="single" w:sz="8" w:space="0" w:color="000000"/>
              <w:left w:val="single" w:sz="8" w:space="0" w:color="000000"/>
              <w:bottom w:val="single" w:sz="6" w:space="0" w:color="000000"/>
              <w:right w:val="single" w:sz="8" w:space="0" w:color="000000"/>
            </w:tcBorders>
            <w:vAlign w:val="center"/>
          </w:tcPr>
          <w:p w14:paraId="178D3A1F" w14:textId="6B637130" w:rsidR="00D65E55" w:rsidRDefault="00D65E55" w:rsidP="00D65E55">
            <w:pPr>
              <w:pStyle w:val="biaogeleft"/>
              <w:wordWrap w:val="0"/>
              <w:rPr>
                <w:rFonts w:hint="eastAsia"/>
              </w:rPr>
            </w:pPr>
            <w:r w:rsidRPr="00474410">
              <w:rPr>
                <w:rFonts w:hAnsi="Calibri"/>
                <w:color w:val="000000"/>
              </w:rPr>
              <w:t>002384</w:t>
            </w:r>
          </w:p>
        </w:tc>
        <w:tc>
          <w:tcPr>
            <w:tcW w:w="1528" w:type="dxa"/>
            <w:tcBorders>
              <w:top w:val="single" w:sz="8" w:space="0" w:color="000000"/>
              <w:left w:val="single" w:sz="8" w:space="0" w:color="000000"/>
              <w:bottom w:val="single" w:sz="6" w:space="0" w:color="000000"/>
              <w:right w:val="single" w:sz="8" w:space="0" w:color="000000"/>
            </w:tcBorders>
            <w:vAlign w:val="center"/>
          </w:tcPr>
          <w:p w14:paraId="1FFB6B90" w14:textId="60FA3BF1" w:rsidR="00D65E55" w:rsidRDefault="00D65E55" w:rsidP="00D65E55">
            <w:pPr>
              <w:pStyle w:val="biaogeleft"/>
              <w:wordWrap w:val="0"/>
              <w:rPr>
                <w:rFonts w:hint="eastAsia"/>
              </w:rPr>
            </w:pPr>
            <w:r w:rsidRPr="00474410">
              <w:rPr>
                <w:rFonts w:hAnsi="Calibri"/>
                <w:color w:val="000000"/>
              </w:rPr>
              <w:t>东山精密</w:t>
            </w:r>
          </w:p>
        </w:tc>
        <w:tc>
          <w:tcPr>
            <w:tcW w:w="1560" w:type="dxa"/>
            <w:tcBorders>
              <w:top w:val="single" w:sz="8" w:space="0" w:color="000000"/>
              <w:left w:val="single" w:sz="8" w:space="0" w:color="000000"/>
              <w:bottom w:val="single" w:sz="6" w:space="0" w:color="000000"/>
              <w:right w:val="single" w:sz="8" w:space="0" w:color="000000"/>
            </w:tcBorders>
            <w:vAlign w:val="center"/>
          </w:tcPr>
          <w:p w14:paraId="0B5A44EA" w14:textId="7ADA6FFA" w:rsidR="00D65E55" w:rsidRDefault="00D65E55" w:rsidP="00D65E55">
            <w:pPr>
              <w:pStyle w:val="biaogeright"/>
              <w:wordWrap w:val="0"/>
              <w:rPr>
                <w:rFonts w:hint="eastAsia"/>
              </w:rPr>
            </w:pPr>
            <w:r w:rsidRPr="00474410">
              <w:rPr>
                <w:rFonts w:hAnsi="Calibri"/>
                <w:color w:val="000000"/>
              </w:rPr>
              <w:t>1,100</w:t>
            </w:r>
          </w:p>
        </w:tc>
        <w:tc>
          <w:tcPr>
            <w:tcW w:w="1978" w:type="dxa"/>
            <w:tcBorders>
              <w:top w:val="single" w:sz="8" w:space="0" w:color="000000"/>
              <w:left w:val="single" w:sz="8" w:space="0" w:color="000000"/>
              <w:bottom w:val="single" w:sz="6" w:space="0" w:color="000000"/>
              <w:right w:val="single" w:sz="8" w:space="0" w:color="000000"/>
            </w:tcBorders>
            <w:vAlign w:val="center"/>
          </w:tcPr>
          <w:p w14:paraId="21127111" w14:textId="2906CB73" w:rsidR="00D65E55" w:rsidRDefault="00D65E55" w:rsidP="00D65E55">
            <w:pPr>
              <w:pStyle w:val="biaogeright"/>
              <w:wordWrap w:val="0"/>
              <w:rPr>
                <w:rFonts w:hint="eastAsia"/>
              </w:rPr>
            </w:pPr>
            <w:r w:rsidRPr="00474410">
              <w:rPr>
                <w:rFonts w:hAnsi="Calibri"/>
                <w:color w:val="000000"/>
              </w:rPr>
              <w:t>113,630.00</w:t>
            </w:r>
          </w:p>
        </w:tc>
        <w:tc>
          <w:tcPr>
            <w:tcW w:w="1719" w:type="dxa"/>
            <w:tcBorders>
              <w:top w:val="single" w:sz="8" w:space="0" w:color="000000"/>
              <w:left w:val="single" w:sz="8" w:space="0" w:color="000000"/>
              <w:bottom w:val="single" w:sz="6" w:space="0" w:color="000000"/>
              <w:right w:val="single" w:sz="8" w:space="0" w:color="000000"/>
            </w:tcBorders>
            <w:vAlign w:val="center"/>
          </w:tcPr>
          <w:p w14:paraId="5B886B85" w14:textId="04B7B78C" w:rsidR="00D65E55" w:rsidRDefault="00D65E55" w:rsidP="00D65E55">
            <w:pPr>
              <w:pStyle w:val="biaogeright"/>
              <w:wordWrap w:val="0"/>
              <w:rPr>
                <w:rFonts w:hint="eastAsia"/>
              </w:rPr>
            </w:pPr>
            <w:r w:rsidRPr="00474410">
              <w:rPr>
                <w:rFonts w:hAnsi="Calibri"/>
                <w:color w:val="000000"/>
              </w:rPr>
              <w:t>6.15</w:t>
            </w:r>
          </w:p>
        </w:tc>
      </w:tr>
      <w:tr w:rsidR="00D65E55" w14:paraId="05937041"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415B71F3" w14:textId="77777777" w:rsidR="00D65E55" w:rsidRDefault="00D65E55" w:rsidP="00D65E55">
            <w:pPr>
              <w:pStyle w:val="biaogecenter"/>
              <w:wordWrap w:val="0"/>
              <w:rPr>
                <w:rFonts w:hint="eastAsia"/>
              </w:rPr>
            </w:pPr>
            <w:r>
              <w:rPr>
                <w:rFonts w:hAnsi="等线"/>
                <w:color w:val="000000"/>
              </w:rPr>
              <w:t>6</w:t>
            </w:r>
          </w:p>
        </w:tc>
        <w:tc>
          <w:tcPr>
            <w:tcW w:w="1402" w:type="dxa"/>
            <w:tcBorders>
              <w:top w:val="single" w:sz="8" w:space="0" w:color="000000"/>
              <w:left w:val="single" w:sz="8" w:space="0" w:color="000000"/>
              <w:bottom w:val="single" w:sz="6" w:space="0" w:color="000000"/>
              <w:right w:val="single" w:sz="8" w:space="0" w:color="000000"/>
            </w:tcBorders>
            <w:vAlign w:val="center"/>
          </w:tcPr>
          <w:p w14:paraId="6C2F4666" w14:textId="17093540" w:rsidR="00D65E55" w:rsidRDefault="00D65E55" w:rsidP="00D65E55">
            <w:pPr>
              <w:pStyle w:val="biaogeleft"/>
              <w:wordWrap w:val="0"/>
              <w:rPr>
                <w:rFonts w:hint="eastAsia"/>
              </w:rPr>
            </w:pPr>
            <w:r w:rsidRPr="00474410">
              <w:rPr>
                <w:rFonts w:hAnsi="Calibri"/>
                <w:color w:val="000000"/>
              </w:rPr>
              <w:t>688630</w:t>
            </w:r>
          </w:p>
        </w:tc>
        <w:tc>
          <w:tcPr>
            <w:tcW w:w="1528" w:type="dxa"/>
            <w:tcBorders>
              <w:top w:val="single" w:sz="8" w:space="0" w:color="000000"/>
              <w:left w:val="single" w:sz="8" w:space="0" w:color="000000"/>
              <w:bottom w:val="single" w:sz="6" w:space="0" w:color="000000"/>
              <w:right w:val="single" w:sz="8" w:space="0" w:color="000000"/>
            </w:tcBorders>
            <w:vAlign w:val="center"/>
          </w:tcPr>
          <w:p w14:paraId="6CACB010" w14:textId="574CA55A" w:rsidR="00D65E55" w:rsidRDefault="00D65E55" w:rsidP="00D65E55">
            <w:pPr>
              <w:pStyle w:val="biaogeleft"/>
              <w:wordWrap w:val="0"/>
              <w:rPr>
                <w:rFonts w:hint="eastAsia"/>
              </w:rPr>
            </w:pPr>
            <w:r w:rsidRPr="00474410">
              <w:rPr>
                <w:rFonts w:hAnsi="Calibri"/>
                <w:color w:val="000000"/>
              </w:rPr>
              <w:t>芯碁微装</w:t>
            </w:r>
          </w:p>
        </w:tc>
        <w:tc>
          <w:tcPr>
            <w:tcW w:w="1560" w:type="dxa"/>
            <w:tcBorders>
              <w:top w:val="single" w:sz="8" w:space="0" w:color="000000"/>
              <w:left w:val="single" w:sz="8" w:space="0" w:color="000000"/>
              <w:bottom w:val="single" w:sz="6" w:space="0" w:color="000000"/>
              <w:right w:val="single" w:sz="8" w:space="0" w:color="000000"/>
            </w:tcBorders>
            <w:vAlign w:val="center"/>
          </w:tcPr>
          <w:p w14:paraId="37EB3D24" w14:textId="32704404" w:rsidR="00D65E55" w:rsidRDefault="00D65E55" w:rsidP="00D65E55">
            <w:pPr>
              <w:pStyle w:val="biaogeright"/>
              <w:wordWrap w:val="0"/>
              <w:rPr>
                <w:rFonts w:hint="eastAsia"/>
              </w:rPr>
            </w:pPr>
            <w:r w:rsidRPr="00474410">
              <w:rPr>
                <w:rFonts w:hAnsi="Calibri"/>
                <w:color w:val="000000"/>
              </w:rPr>
              <w:t>500</w:t>
            </w:r>
          </w:p>
        </w:tc>
        <w:tc>
          <w:tcPr>
            <w:tcW w:w="1978" w:type="dxa"/>
            <w:tcBorders>
              <w:top w:val="single" w:sz="8" w:space="0" w:color="000000"/>
              <w:left w:val="single" w:sz="8" w:space="0" w:color="000000"/>
              <w:bottom w:val="single" w:sz="6" w:space="0" w:color="000000"/>
              <w:right w:val="single" w:sz="8" w:space="0" w:color="000000"/>
            </w:tcBorders>
            <w:vAlign w:val="center"/>
          </w:tcPr>
          <w:p w14:paraId="56955423" w14:textId="17EE0A86" w:rsidR="00D65E55" w:rsidRDefault="00D65E55" w:rsidP="00D65E55">
            <w:pPr>
              <w:pStyle w:val="biaogeright"/>
              <w:wordWrap w:val="0"/>
              <w:rPr>
                <w:rFonts w:hint="eastAsia"/>
              </w:rPr>
            </w:pPr>
            <w:r w:rsidRPr="00474410">
              <w:rPr>
                <w:rFonts w:hAnsi="Calibri"/>
                <w:color w:val="000000"/>
              </w:rPr>
              <w:t>96,700.00</w:t>
            </w:r>
          </w:p>
        </w:tc>
        <w:tc>
          <w:tcPr>
            <w:tcW w:w="1719" w:type="dxa"/>
            <w:tcBorders>
              <w:top w:val="single" w:sz="8" w:space="0" w:color="000000"/>
              <w:left w:val="single" w:sz="8" w:space="0" w:color="000000"/>
              <w:bottom w:val="single" w:sz="6" w:space="0" w:color="000000"/>
              <w:right w:val="single" w:sz="8" w:space="0" w:color="000000"/>
            </w:tcBorders>
            <w:vAlign w:val="center"/>
          </w:tcPr>
          <w:p w14:paraId="39C99630" w14:textId="22166B95" w:rsidR="00D65E55" w:rsidRDefault="00D65E55" w:rsidP="00D65E55">
            <w:pPr>
              <w:pStyle w:val="biaogeright"/>
              <w:wordWrap w:val="0"/>
              <w:rPr>
                <w:rFonts w:hint="eastAsia"/>
              </w:rPr>
            </w:pPr>
            <w:r w:rsidRPr="00474410">
              <w:rPr>
                <w:rFonts w:hAnsi="Calibri"/>
                <w:color w:val="000000"/>
              </w:rPr>
              <w:t>5.24</w:t>
            </w:r>
          </w:p>
        </w:tc>
      </w:tr>
      <w:tr w:rsidR="00D65E55" w14:paraId="6A73BCE9"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044625AA" w14:textId="77777777" w:rsidR="00D65E55" w:rsidRDefault="00D65E55" w:rsidP="00D65E55">
            <w:pPr>
              <w:pStyle w:val="biaogecenter"/>
              <w:wordWrap w:val="0"/>
              <w:rPr>
                <w:rFonts w:hint="eastAsia"/>
              </w:rPr>
            </w:pPr>
            <w:r>
              <w:rPr>
                <w:rFonts w:hAnsi="等线"/>
                <w:color w:val="000000"/>
              </w:rPr>
              <w:t>7</w:t>
            </w:r>
          </w:p>
        </w:tc>
        <w:tc>
          <w:tcPr>
            <w:tcW w:w="1402" w:type="dxa"/>
            <w:tcBorders>
              <w:top w:val="single" w:sz="8" w:space="0" w:color="000000"/>
              <w:left w:val="single" w:sz="8" w:space="0" w:color="000000"/>
              <w:bottom w:val="single" w:sz="6" w:space="0" w:color="000000"/>
              <w:right w:val="single" w:sz="8" w:space="0" w:color="000000"/>
            </w:tcBorders>
            <w:vAlign w:val="center"/>
          </w:tcPr>
          <w:p w14:paraId="121F9924" w14:textId="5129EFBF" w:rsidR="00D65E55" w:rsidRDefault="00D65E55" w:rsidP="00D65E55">
            <w:pPr>
              <w:pStyle w:val="biaogeleft"/>
              <w:wordWrap w:val="0"/>
              <w:rPr>
                <w:rFonts w:hint="eastAsia"/>
              </w:rPr>
            </w:pPr>
            <w:r w:rsidRPr="00474410">
              <w:rPr>
                <w:rFonts w:hAnsi="Calibri"/>
                <w:color w:val="000000"/>
              </w:rPr>
              <w:t>600487</w:t>
            </w:r>
          </w:p>
        </w:tc>
        <w:tc>
          <w:tcPr>
            <w:tcW w:w="1528" w:type="dxa"/>
            <w:tcBorders>
              <w:top w:val="single" w:sz="8" w:space="0" w:color="000000"/>
              <w:left w:val="single" w:sz="8" w:space="0" w:color="000000"/>
              <w:bottom w:val="single" w:sz="6" w:space="0" w:color="000000"/>
              <w:right w:val="single" w:sz="8" w:space="0" w:color="000000"/>
            </w:tcBorders>
            <w:vAlign w:val="center"/>
          </w:tcPr>
          <w:p w14:paraId="6142BE43" w14:textId="50DF4A34" w:rsidR="00D65E55" w:rsidRDefault="00D65E55" w:rsidP="00D65E55">
            <w:pPr>
              <w:pStyle w:val="biaogeleft"/>
              <w:wordWrap w:val="0"/>
              <w:rPr>
                <w:rFonts w:hint="eastAsia"/>
              </w:rPr>
            </w:pPr>
            <w:r w:rsidRPr="00474410">
              <w:rPr>
                <w:rFonts w:hAnsi="Calibri"/>
                <w:color w:val="000000"/>
              </w:rPr>
              <w:t>亨通光电</w:t>
            </w:r>
          </w:p>
        </w:tc>
        <w:tc>
          <w:tcPr>
            <w:tcW w:w="1560" w:type="dxa"/>
            <w:tcBorders>
              <w:top w:val="single" w:sz="8" w:space="0" w:color="000000"/>
              <w:left w:val="single" w:sz="8" w:space="0" w:color="000000"/>
              <w:bottom w:val="single" w:sz="6" w:space="0" w:color="000000"/>
              <w:right w:val="single" w:sz="8" w:space="0" w:color="000000"/>
            </w:tcBorders>
            <w:vAlign w:val="center"/>
          </w:tcPr>
          <w:p w14:paraId="5889F56B" w14:textId="212E823C" w:rsidR="00D65E55" w:rsidRDefault="00D65E55" w:rsidP="00D65E55">
            <w:pPr>
              <w:pStyle w:val="biaogeright"/>
              <w:wordWrap w:val="0"/>
              <w:rPr>
                <w:rFonts w:hint="eastAsia"/>
              </w:rPr>
            </w:pPr>
            <w:r w:rsidRPr="00474410">
              <w:rPr>
                <w:rFonts w:hAnsi="Calibri"/>
                <w:color w:val="000000"/>
              </w:rPr>
              <w:t>1,600</w:t>
            </w:r>
          </w:p>
        </w:tc>
        <w:tc>
          <w:tcPr>
            <w:tcW w:w="1978" w:type="dxa"/>
            <w:tcBorders>
              <w:top w:val="single" w:sz="8" w:space="0" w:color="000000"/>
              <w:left w:val="single" w:sz="8" w:space="0" w:color="000000"/>
              <w:bottom w:val="single" w:sz="6" w:space="0" w:color="000000"/>
              <w:right w:val="single" w:sz="8" w:space="0" w:color="000000"/>
            </w:tcBorders>
            <w:vAlign w:val="center"/>
          </w:tcPr>
          <w:p w14:paraId="3F98E4FC" w14:textId="10470D5E" w:rsidR="00D65E55" w:rsidRDefault="00D65E55" w:rsidP="00D65E55">
            <w:pPr>
              <w:pStyle w:val="biaogeright"/>
              <w:wordWrap w:val="0"/>
              <w:rPr>
                <w:rFonts w:hint="eastAsia"/>
              </w:rPr>
            </w:pPr>
            <w:r w:rsidRPr="00474410">
              <w:rPr>
                <w:rFonts w:hAnsi="Calibri"/>
                <w:color w:val="000000"/>
              </w:rPr>
              <w:t>84,256.00</w:t>
            </w:r>
          </w:p>
        </w:tc>
        <w:tc>
          <w:tcPr>
            <w:tcW w:w="1719" w:type="dxa"/>
            <w:tcBorders>
              <w:top w:val="single" w:sz="8" w:space="0" w:color="000000"/>
              <w:left w:val="single" w:sz="8" w:space="0" w:color="000000"/>
              <w:bottom w:val="single" w:sz="6" w:space="0" w:color="000000"/>
              <w:right w:val="single" w:sz="8" w:space="0" w:color="000000"/>
            </w:tcBorders>
            <w:vAlign w:val="center"/>
          </w:tcPr>
          <w:p w14:paraId="67956C97" w14:textId="10D89343" w:rsidR="00D65E55" w:rsidRDefault="00D65E55" w:rsidP="00D65E55">
            <w:pPr>
              <w:pStyle w:val="biaogeright"/>
              <w:wordWrap w:val="0"/>
              <w:rPr>
                <w:rFonts w:hint="eastAsia"/>
              </w:rPr>
            </w:pPr>
            <w:r w:rsidRPr="00474410">
              <w:rPr>
                <w:rFonts w:hAnsi="Calibri"/>
                <w:color w:val="000000"/>
              </w:rPr>
              <w:t>4.56</w:t>
            </w:r>
          </w:p>
        </w:tc>
      </w:tr>
      <w:tr w:rsidR="00D65E55" w14:paraId="7BE4289F"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75233199" w14:textId="77777777" w:rsidR="00D65E55" w:rsidRDefault="00D65E55" w:rsidP="00D65E55">
            <w:pPr>
              <w:pStyle w:val="biaogecenter"/>
              <w:wordWrap w:val="0"/>
              <w:rPr>
                <w:rFonts w:hint="eastAsia"/>
              </w:rPr>
            </w:pPr>
            <w:r>
              <w:rPr>
                <w:rFonts w:hAnsi="等线"/>
                <w:color w:val="000000"/>
              </w:rPr>
              <w:t>8</w:t>
            </w:r>
          </w:p>
        </w:tc>
        <w:tc>
          <w:tcPr>
            <w:tcW w:w="1402" w:type="dxa"/>
            <w:tcBorders>
              <w:top w:val="single" w:sz="8" w:space="0" w:color="000000"/>
              <w:left w:val="single" w:sz="8" w:space="0" w:color="000000"/>
              <w:bottom w:val="single" w:sz="6" w:space="0" w:color="000000"/>
              <w:right w:val="single" w:sz="8" w:space="0" w:color="000000"/>
            </w:tcBorders>
            <w:vAlign w:val="center"/>
          </w:tcPr>
          <w:p w14:paraId="6232BD8E" w14:textId="5F962916" w:rsidR="00D65E55" w:rsidRDefault="00D65E55" w:rsidP="00D65E55">
            <w:pPr>
              <w:pStyle w:val="biaogeleft"/>
              <w:wordWrap w:val="0"/>
              <w:rPr>
                <w:rFonts w:hint="eastAsia"/>
              </w:rPr>
            </w:pPr>
            <w:r w:rsidRPr="00474410">
              <w:rPr>
                <w:rFonts w:hAnsi="Calibri"/>
                <w:color w:val="000000"/>
              </w:rPr>
              <w:t>002222</w:t>
            </w:r>
          </w:p>
        </w:tc>
        <w:tc>
          <w:tcPr>
            <w:tcW w:w="1528" w:type="dxa"/>
            <w:tcBorders>
              <w:top w:val="single" w:sz="8" w:space="0" w:color="000000"/>
              <w:left w:val="single" w:sz="8" w:space="0" w:color="000000"/>
              <w:bottom w:val="single" w:sz="6" w:space="0" w:color="000000"/>
              <w:right w:val="single" w:sz="8" w:space="0" w:color="000000"/>
            </w:tcBorders>
            <w:vAlign w:val="center"/>
          </w:tcPr>
          <w:p w14:paraId="4F9EDDE8" w14:textId="1EB3103A" w:rsidR="00D65E55" w:rsidRDefault="00D65E55" w:rsidP="00D65E55">
            <w:pPr>
              <w:pStyle w:val="biaogeleft"/>
              <w:wordWrap w:val="0"/>
              <w:rPr>
                <w:rFonts w:hint="eastAsia"/>
              </w:rPr>
            </w:pPr>
            <w:r w:rsidRPr="00474410">
              <w:rPr>
                <w:rFonts w:hAnsi="Calibri"/>
                <w:color w:val="000000"/>
              </w:rPr>
              <w:t>福晶科技</w:t>
            </w:r>
          </w:p>
        </w:tc>
        <w:tc>
          <w:tcPr>
            <w:tcW w:w="1560" w:type="dxa"/>
            <w:tcBorders>
              <w:top w:val="single" w:sz="8" w:space="0" w:color="000000"/>
              <w:left w:val="single" w:sz="8" w:space="0" w:color="000000"/>
              <w:bottom w:val="single" w:sz="6" w:space="0" w:color="000000"/>
              <w:right w:val="single" w:sz="8" w:space="0" w:color="000000"/>
            </w:tcBorders>
            <w:vAlign w:val="center"/>
          </w:tcPr>
          <w:p w14:paraId="1CB3E7A6" w14:textId="568255BD" w:rsidR="00D65E55" w:rsidRDefault="00D65E55" w:rsidP="00D65E55">
            <w:pPr>
              <w:pStyle w:val="biaogeright"/>
              <w:wordWrap w:val="0"/>
              <w:rPr>
                <w:rFonts w:hint="eastAsia"/>
              </w:rPr>
            </w:pPr>
            <w:r w:rsidRPr="00474410">
              <w:rPr>
                <w:rFonts w:hAnsi="Calibri"/>
                <w:color w:val="000000"/>
              </w:rPr>
              <w:t>1,200</w:t>
            </w:r>
          </w:p>
        </w:tc>
        <w:tc>
          <w:tcPr>
            <w:tcW w:w="1978" w:type="dxa"/>
            <w:tcBorders>
              <w:top w:val="single" w:sz="8" w:space="0" w:color="000000"/>
              <w:left w:val="single" w:sz="8" w:space="0" w:color="000000"/>
              <w:bottom w:val="single" w:sz="6" w:space="0" w:color="000000"/>
              <w:right w:val="single" w:sz="8" w:space="0" w:color="000000"/>
            </w:tcBorders>
            <w:vAlign w:val="center"/>
          </w:tcPr>
          <w:p w14:paraId="3CCA8107" w14:textId="6120173D" w:rsidR="00D65E55" w:rsidRDefault="00D65E55" w:rsidP="00D65E55">
            <w:pPr>
              <w:pStyle w:val="biaogeright"/>
              <w:wordWrap w:val="0"/>
              <w:rPr>
                <w:rFonts w:hint="eastAsia"/>
              </w:rPr>
            </w:pPr>
            <w:r w:rsidRPr="00474410">
              <w:rPr>
                <w:rFonts w:hAnsi="Calibri"/>
                <w:color w:val="000000"/>
              </w:rPr>
              <w:t>81,624.00</w:t>
            </w:r>
          </w:p>
        </w:tc>
        <w:tc>
          <w:tcPr>
            <w:tcW w:w="1719" w:type="dxa"/>
            <w:tcBorders>
              <w:top w:val="single" w:sz="8" w:space="0" w:color="000000"/>
              <w:left w:val="single" w:sz="8" w:space="0" w:color="000000"/>
              <w:bottom w:val="single" w:sz="6" w:space="0" w:color="000000"/>
              <w:right w:val="single" w:sz="8" w:space="0" w:color="000000"/>
            </w:tcBorders>
            <w:vAlign w:val="center"/>
          </w:tcPr>
          <w:p w14:paraId="3FC4CC73" w14:textId="2728685C" w:rsidR="00D65E55" w:rsidRDefault="00D65E55" w:rsidP="00D65E55">
            <w:pPr>
              <w:pStyle w:val="biaogeright"/>
              <w:wordWrap w:val="0"/>
              <w:rPr>
                <w:rFonts w:hint="eastAsia"/>
              </w:rPr>
            </w:pPr>
            <w:r w:rsidRPr="00474410">
              <w:rPr>
                <w:rFonts w:hAnsi="Calibri"/>
                <w:color w:val="000000"/>
              </w:rPr>
              <w:t>4.42</w:t>
            </w:r>
          </w:p>
        </w:tc>
      </w:tr>
      <w:tr w:rsidR="00D65E55" w14:paraId="77589FFA"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7AF75B96" w14:textId="77777777" w:rsidR="00D65E55" w:rsidRDefault="00D65E55" w:rsidP="00D65E55">
            <w:pPr>
              <w:pStyle w:val="biaogecenter"/>
              <w:wordWrap w:val="0"/>
              <w:rPr>
                <w:rFonts w:hint="eastAsia"/>
              </w:rPr>
            </w:pPr>
            <w:r>
              <w:rPr>
                <w:rFonts w:hAnsi="等线"/>
                <w:color w:val="000000"/>
              </w:rPr>
              <w:t>9</w:t>
            </w:r>
          </w:p>
        </w:tc>
        <w:tc>
          <w:tcPr>
            <w:tcW w:w="1402" w:type="dxa"/>
            <w:tcBorders>
              <w:top w:val="single" w:sz="8" w:space="0" w:color="000000"/>
              <w:left w:val="single" w:sz="8" w:space="0" w:color="000000"/>
              <w:bottom w:val="single" w:sz="6" w:space="0" w:color="000000"/>
              <w:right w:val="single" w:sz="8" w:space="0" w:color="000000"/>
            </w:tcBorders>
            <w:vAlign w:val="center"/>
          </w:tcPr>
          <w:p w14:paraId="7E818532" w14:textId="54386C29" w:rsidR="00D65E55" w:rsidRDefault="00D65E55" w:rsidP="00D65E55">
            <w:pPr>
              <w:pStyle w:val="biaogeleft"/>
              <w:wordWrap w:val="0"/>
              <w:rPr>
                <w:rFonts w:hint="eastAsia"/>
              </w:rPr>
            </w:pPr>
            <w:r w:rsidRPr="00474410">
              <w:rPr>
                <w:rFonts w:hAnsi="Calibri"/>
                <w:color w:val="000000"/>
              </w:rPr>
              <w:t>600522</w:t>
            </w:r>
          </w:p>
        </w:tc>
        <w:tc>
          <w:tcPr>
            <w:tcW w:w="1528" w:type="dxa"/>
            <w:tcBorders>
              <w:top w:val="single" w:sz="8" w:space="0" w:color="000000"/>
              <w:left w:val="single" w:sz="8" w:space="0" w:color="000000"/>
              <w:bottom w:val="single" w:sz="6" w:space="0" w:color="000000"/>
              <w:right w:val="single" w:sz="8" w:space="0" w:color="000000"/>
            </w:tcBorders>
            <w:vAlign w:val="center"/>
          </w:tcPr>
          <w:p w14:paraId="49DFCB2C" w14:textId="139A3976" w:rsidR="00D65E55" w:rsidRDefault="00D65E55" w:rsidP="00D65E55">
            <w:pPr>
              <w:pStyle w:val="biaogeleft"/>
              <w:wordWrap w:val="0"/>
              <w:rPr>
                <w:rFonts w:hint="eastAsia"/>
              </w:rPr>
            </w:pPr>
            <w:r w:rsidRPr="00474410">
              <w:rPr>
                <w:rFonts w:hAnsi="Calibri"/>
                <w:color w:val="000000"/>
              </w:rPr>
              <w:t>中天科技</w:t>
            </w:r>
          </w:p>
        </w:tc>
        <w:tc>
          <w:tcPr>
            <w:tcW w:w="1560" w:type="dxa"/>
            <w:tcBorders>
              <w:top w:val="single" w:sz="8" w:space="0" w:color="000000"/>
              <w:left w:val="single" w:sz="8" w:space="0" w:color="000000"/>
              <w:bottom w:val="single" w:sz="6" w:space="0" w:color="000000"/>
              <w:right w:val="single" w:sz="8" w:space="0" w:color="000000"/>
            </w:tcBorders>
            <w:vAlign w:val="center"/>
          </w:tcPr>
          <w:p w14:paraId="29822224" w14:textId="1E9B322B" w:rsidR="00D65E55" w:rsidRDefault="00D65E55" w:rsidP="00D65E55">
            <w:pPr>
              <w:pStyle w:val="biaogeright"/>
              <w:wordWrap w:val="0"/>
              <w:rPr>
                <w:rFonts w:hint="eastAsia"/>
              </w:rPr>
            </w:pPr>
            <w:r w:rsidRPr="00474410">
              <w:rPr>
                <w:rFonts w:hAnsi="Calibri"/>
                <w:color w:val="000000"/>
              </w:rPr>
              <w:t>2,600</w:t>
            </w:r>
          </w:p>
        </w:tc>
        <w:tc>
          <w:tcPr>
            <w:tcW w:w="1978" w:type="dxa"/>
            <w:tcBorders>
              <w:top w:val="single" w:sz="8" w:space="0" w:color="000000"/>
              <w:left w:val="single" w:sz="8" w:space="0" w:color="000000"/>
              <w:bottom w:val="single" w:sz="6" w:space="0" w:color="000000"/>
              <w:right w:val="single" w:sz="8" w:space="0" w:color="000000"/>
            </w:tcBorders>
            <w:vAlign w:val="center"/>
          </w:tcPr>
          <w:p w14:paraId="006479AD" w14:textId="42E06E58" w:rsidR="00D65E55" w:rsidRDefault="00D65E55" w:rsidP="00D65E55">
            <w:pPr>
              <w:pStyle w:val="biaogeright"/>
              <w:wordWrap w:val="0"/>
              <w:rPr>
                <w:rFonts w:hint="eastAsia"/>
              </w:rPr>
            </w:pPr>
            <w:r w:rsidRPr="00474410">
              <w:rPr>
                <w:rFonts w:hAnsi="Calibri"/>
                <w:color w:val="000000"/>
              </w:rPr>
              <w:t>78,234.00</w:t>
            </w:r>
          </w:p>
        </w:tc>
        <w:tc>
          <w:tcPr>
            <w:tcW w:w="1719" w:type="dxa"/>
            <w:tcBorders>
              <w:top w:val="single" w:sz="8" w:space="0" w:color="000000"/>
              <w:left w:val="single" w:sz="8" w:space="0" w:color="000000"/>
              <w:bottom w:val="single" w:sz="6" w:space="0" w:color="000000"/>
              <w:right w:val="single" w:sz="8" w:space="0" w:color="000000"/>
            </w:tcBorders>
            <w:vAlign w:val="center"/>
          </w:tcPr>
          <w:p w14:paraId="299C96F9" w14:textId="36F5EDD3" w:rsidR="00D65E55" w:rsidRDefault="00D65E55" w:rsidP="00D65E55">
            <w:pPr>
              <w:pStyle w:val="biaogeright"/>
              <w:wordWrap w:val="0"/>
              <w:rPr>
                <w:rFonts w:hint="eastAsia"/>
              </w:rPr>
            </w:pPr>
            <w:r w:rsidRPr="00474410">
              <w:rPr>
                <w:rFonts w:hAnsi="Calibri"/>
                <w:color w:val="000000"/>
              </w:rPr>
              <w:t>4.24</w:t>
            </w:r>
          </w:p>
        </w:tc>
      </w:tr>
      <w:tr w:rsidR="00D65E55" w14:paraId="4C963FA1" w14:textId="77777777">
        <w:tc>
          <w:tcPr>
            <w:tcW w:w="472" w:type="dxa"/>
            <w:tcBorders>
              <w:top w:val="single" w:sz="8" w:space="0" w:color="000000"/>
              <w:left w:val="single" w:sz="8" w:space="0" w:color="000000"/>
              <w:bottom w:val="single" w:sz="6" w:space="0" w:color="000000"/>
              <w:right w:val="single" w:sz="8" w:space="0" w:color="000000"/>
            </w:tcBorders>
            <w:vAlign w:val="center"/>
          </w:tcPr>
          <w:p w14:paraId="1DFE3A06" w14:textId="77777777" w:rsidR="00D65E55" w:rsidRDefault="00D65E55" w:rsidP="00D65E55">
            <w:pPr>
              <w:pStyle w:val="biaogecenter"/>
              <w:wordWrap w:val="0"/>
              <w:rPr>
                <w:rFonts w:hint="eastAsia"/>
              </w:rPr>
            </w:pPr>
            <w:r>
              <w:rPr>
                <w:rFonts w:hAnsi="等线"/>
                <w:color w:val="000000"/>
              </w:rPr>
              <w:t>10</w:t>
            </w:r>
          </w:p>
        </w:tc>
        <w:tc>
          <w:tcPr>
            <w:tcW w:w="1402" w:type="dxa"/>
            <w:tcBorders>
              <w:top w:val="single" w:sz="8" w:space="0" w:color="000000"/>
              <w:left w:val="single" w:sz="8" w:space="0" w:color="000000"/>
              <w:bottom w:val="single" w:sz="6" w:space="0" w:color="000000"/>
              <w:right w:val="single" w:sz="8" w:space="0" w:color="000000"/>
            </w:tcBorders>
            <w:vAlign w:val="center"/>
          </w:tcPr>
          <w:p w14:paraId="3D04C9ED" w14:textId="13B198EA" w:rsidR="00D65E55" w:rsidRDefault="00D65E55" w:rsidP="00D65E55">
            <w:pPr>
              <w:pStyle w:val="biaogeleft"/>
              <w:wordWrap w:val="0"/>
              <w:rPr>
                <w:rFonts w:hint="eastAsia"/>
              </w:rPr>
            </w:pPr>
            <w:r w:rsidRPr="00474410">
              <w:rPr>
                <w:rFonts w:hAnsi="Calibri"/>
                <w:color w:val="000000"/>
              </w:rPr>
              <w:t>300476</w:t>
            </w:r>
          </w:p>
        </w:tc>
        <w:tc>
          <w:tcPr>
            <w:tcW w:w="1528" w:type="dxa"/>
            <w:tcBorders>
              <w:top w:val="single" w:sz="8" w:space="0" w:color="000000"/>
              <w:left w:val="single" w:sz="8" w:space="0" w:color="000000"/>
              <w:bottom w:val="single" w:sz="6" w:space="0" w:color="000000"/>
              <w:right w:val="single" w:sz="8" w:space="0" w:color="000000"/>
            </w:tcBorders>
            <w:vAlign w:val="center"/>
          </w:tcPr>
          <w:p w14:paraId="7BC36974" w14:textId="1F43F3A5" w:rsidR="00D65E55" w:rsidRDefault="00D65E55" w:rsidP="00D65E55">
            <w:pPr>
              <w:pStyle w:val="biaogeleft"/>
              <w:wordWrap w:val="0"/>
              <w:rPr>
                <w:rFonts w:hint="eastAsia"/>
              </w:rPr>
            </w:pPr>
            <w:r w:rsidRPr="00474410">
              <w:rPr>
                <w:rFonts w:hAnsi="Calibri"/>
                <w:color w:val="000000"/>
              </w:rPr>
              <w:t>胜宏科技</w:t>
            </w:r>
          </w:p>
        </w:tc>
        <w:tc>
          <w:tcPr>
            <w:tcW w:w="1560" w:type="dxa"/>
            <w:tcBorders>
              <w:top w:val="single" w:sz="8" w:space="0" w:color="000000"/>
              <w:left w:val="single" w:sz="8" w:space="0" w:color="000000"/>
              <w:bottom w:val="single" w:sz="6" w:space="0" w:color="000000"/>
              <w:right w:val="single" w:sz="8" w:space="0" w:color="000000"/>
            </w:tcBorders>
            <w:vAlign w:val="center"/>
          </w:tcPr>
          <w:p w14:paraId="12B1779C" w14:textId="0CE6C1FC" w:rsidR="00D65E55" w:rsidRDefault="00D65E55" w:rsidP="00D65E55">
            <w:pPr>
              <w:pStyle w:val="biaogeright"/>
              <w:wordWrap w:val="0"/>
              <w:rPr>
                <w:rFonts w:hint="eastAsia"/>
              </w:rPr>
            </w:pPr>
            <w:r w:rsidRPr="00474410">
              <w:rPr>
                <w:rFonts w:hAnsi="Calibri"/>
                <w:color w:val="000000"/>
              </w:rPr>
              <w:t>300</w:t>
            </w:r>
          </w:p>
        </w:tc>
        <w:tc>
          <w:tcPr>
            <w:tcW w:w="1978" w:type="dxa"/>
            <w:tcBorders>
              <w:top w:val="single" w:sz="8" w:space="0" w:color="000000"/>
              <w:left w:val="single" w:sz="8" w:space="0" w:color="000000"/>
              <w:bottom w:val="single" w:sz="6" w:space="0" w:color="000000"/>
              <w:right w:val="single" w:sz="8" w:space="0" w:color="000000"/>
            </w:tcBorders>
            <w:vAlign w:val="center"/>
          </w:tcPr>
          <w:p w14:paraId="3D4667E0" w14:textId="0BAC8723" w:rsidR="00D65E55" w:rsidRDefault="00D65E55" w:rsidP="00D65E55">
            <w:pPr>
              <w:pStyle w:val="biaogeright"/>
              <w:wordWrap w:val="0"/>
              <w:rPr>
                <w:rFonts w:hint="eastAsia"/>
              </w:rPr>
            </w:pPr>
            <w:r w:rsidRPr="00474410">
              <w:rPr>
                <w:rFonts w:hAnsi="Calibri"/>
                <w:color w:val="000000"/>
              </w:rPr>
              <w:t>75,300.00</w:t>
            </w:r>
          </w:p>
        </w:tc>
        <w:tc>
          <w:tcPr>
            <w:tcW w:w="1719" w:type="dxa"/>
            <w:tcBorders>
              <w:top w:val="single" w:sz="8" w:space="0" w:color="000000"/>
              <w:left w:val="single" w:sz="8" w:space="0" w:color="000000"/>
              <w:bottom w:val="single" w:sz="6" w:space="0" w:color="000000"/>
              <w:right w:val="single" w:sz="8" w:space="0" w:color="000000"/>
            </w:tcBorders>
            <w:vAlign w:val="center"/>
          </w:tcPr>
          <w:p w14:paraId="510BCBCC" w14:textId="74C91218" w:rsidR="00D65E55" w:rsidRDefault="00D65E55" w:rsidP="00D65E55">
            <w:pPr>
              <w:pStyle w:val="biaogeright"/>
              <w:wordWrap w:val="0"/>
              <w:rPr>
                <w:rFonts w:hint="eastAsia"/>
              </w:rPr>
            </w:pPr>
            <w:r w:rsidRPr="00474410">
              <w:rPr>
                <w:rFonts w:hAnsi="Calibri"/>
                <w:color w:val="000000"/>
              </w:rPr>
              <w:t>4.08</w:t>
            </w:r>
          </w:p>
        </w:tc>
      </w:tr>
    </w:tbl>
    <w:p w14:paraId="3B13DA42" w14:textId="77777777" w:rsidR="00913A13" w:rsidRDefault="00913A13">
      <w:pPr>
        <w:widowControl/>
        <w:jc w:val="left"/>
        <w:rPr>
          <w:rFonts w:ascii="宋体" w:eastAsia="宋体" w:hAnsi="宋体" w:cs="宋体" w:hint="eastAsia"/>
          <w:kern w:val="0"/>
          <w:sz w:val="24"/>
          <w:szCs w:val="24"/>
        </w:rPr>
      </w:pPr>
    </w:p>
    <w:p w14:paraId="03A8D67E" w14:textId="77777777" w:rsidR="00913A13" w:rsidRDefault="002F45B8">
      <w:pPr>
        <w:pStyle w:val="zhangjiep"/>
        <w:rPr>
          <w:rFonts w:asciiTheme="minorEastAsia" w:eastAsiaTheme="minorEastAsia" w:hAnsiTheme="minorEastAsia" w:cs="Times New Roman" w:hint="eastAsia"/>
          <w:bCs/>
          <w:kern w:val="2"/>
        </w:rPr>
      </w:pPr>
      <w:bookmarkStart w:id="224" w:name="_Toc101354067"/>
      <w:r>
        <w:rPr>
          <w:rFonts w:asciiTheme="minorEastAsia" w:eastAsiaTheme="minorEastAsia" w:hAnsiTheme="minorEastAsia" w:cs="Times New Roman"/>
          <w:bCs/>
          <w:kern w:val="2"/>
        </w:rPr>
        <w:t>4、 报告期末按债券品种分类的债券投资组合</w:t>
      </w:r>
      <w:bookmarkEnd w:id="224"/>
    </w:p>
    <w:tbl>
      <w:tblPr>
        <w:tblW w:w="9080" w:type="dxa"/>
        <w:tblInd w:w="108" w:type="dxa"/>
        <w:tblLook w:val="04A0" w:firstRow="1" w:lastRow="0" w:firstColumn="1" w:lastColumn="0" w:noHBand="0" w:noVBand="1"/>
      </w:tblPr>
      <w:tblGrid>
        <w:gridCol w:w="1210"/>
        <w:gridCol w:w="3481"/>
        <w:gridCol w:w="2573"/>
        <w:gridCol w:w="1816"/>
      </w:tblGrid>
      <w:tr w:rsidR="00913A13" w14:paraId="3B69D7EB"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2A2E1212" w14:textId="77777777" w:rsidR="00913A13" w:rsidRDefault="002F45B8">
            <w:pPr>
              <w:pStyle w:val="biaogecenter"/>
              <w:wordWrap w:val="0"/>
              <w:rPr>
                <w:rFonts w:hint="eastAsia"/>
              </w:rPr>
            </w:pPr>
            <w:r>
              <w:rPr>
                <w:rFonts w:hAnsi="Calibri"/>
                <w:color w:val="000000"/>
              </w:rPr>
              <w:t>序号</w:t>
            </w:r>
          </w:p>
        </w:tc>
        <w:tc>
          <w:tcPr>
            <w:tcW w:w="3481" w:type="dxa"/>
            <w:tcBorders>
              <w:top w:val="single" w:sz="8" w:space="0" w:color="000000"/>
              <w:left w:val="single" w:sz="8" w:space="0" w:color="000000"/>
              <w:bottom w:val="single" w:sz="6" w:space="0" w:color="000000"/>
              <w:right w:val="single" w:sz="8" w:space="0" w:color="000000"/>
            </w:tcBorders>
            <w:vAlign w:val="center"/>
          </w:tcPr>
          <w:p w14:paraId="44780C30" w14:textId="77777777" w:rsidR="00913A13" w:rsidRDefault="002F45B8">
            <w:pPr>
              <w:pStyle w:val="biaogecenter"/>
              <w:wordWrap w:val="0"/>
              <w:rPr>
                <w:rFonts w:hint="eastAsia"/>
              </w:rPr>
            </w:pPr>
            <w:r>
              <w:rPr>
                <w:rFonts w:hAnsi="Calibri"/>
                <w:color w:val="000000"/>
              </w:rPr>
              <w:t>债券品种</w:t>
            </w:r>
          </w:p>
        </w:tc>
        <w:tc>
          <w:tcPr>
            <w:tcW w:w="2573" w:type="dxa"/>
            <w:tcBorders>
              <w:top w:val="single" w:sz="8" w:space="0" w:color="000000"/>
              <w:left w:val="single" w:sz="8" w:space="0" w:color="000000"/>
              <w:bottom w:val="single" w:sz="6" w:space="0" w:color="000000"/>
              <w:right w:val="single" w:sz="8" w:space="0" w:color="000000"/>
            </w:tcBorders>
            <w:vAlign w:val="center"/>
          </w:tcPr>
          <w:p w14:paraId="4C786A7F" w14:textId="77777777" w:rsidR="00913A13" w:rsidRDefault="002F45B8">
            <w:pPr>
              <w:pStyle w:val="biaogecenter"/>
              <w:wordWrap w:val="0"/>
              <w:rPr>
                <w:rFonts w:hint="eastAsia"/>
              </w:rPr>
            </w:pPr>
            <w:r>
              <w:rPr>
                <w:rFonts w:hAnsi="Calibri"/>
                <w:color w:val="000000"/>
              </w:rPr>
              <w:t>公允价值(元)</w:t>
            </w:r>
          </w:p>
        </w:tc>
        <w:tc>
          <w:tcPr>
            <w:tcW w:w="1816" w:type="dxa"/>
            <w:tcBorders>
              <w:top w:val="single" w:sz="8" w:space="0" w:color="000000"/>
              <w:left w:val="single" w:sz="8" w:space="0" w:color="000000"/>
              <w:bottom w:val="single" w:sz="6" w:space="0" w:color="000000"/>
              <w:right w:val="single" w:sz="8" w:space="0" w:color="000000"/>
            </w:tcBorders>
            <w:vAlign w:val="center"/>
          </w:tcPr>
          <w:p w14:paraId="429A7AE7" w14:textId="77777777" w:rsidR="00913A13" w:rsidRDefault="002F45B8">
            <w:pPr>
              <w:pStyle w:val="biaogecenter"/>
              <w:wordWrap w:val="0"/>
              <w:rPr>
                <w:rFonts w:hint="eastAsia"/>
              </w:rPr>
            </w:pPr>
            <w:r>
              <w:rPr>
                <w:rFonts w:hAnsi="Calibri"/>
                <w:color w:val="000000"/>
              </w:rPr>
              <w:t>占基金资产净值比例（％）</w:t>
            </w:r>
          </w:p>
        </w:tc>
      </w:tr>
      <w:tr w:rsidR="00D65E55" w14:paraId="65D19AEC"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668D30B4" w14:textId="77777777" w:rsidR="00D65E55" w:rsidRDefault="00D65E55" w:rsidP="00D65E55">
            <w:pPr>
              <w:pStyle w:val="biaogecenter"/>
              <w:wordWrap w:val="0"/>
              <w:rPr>
                <w:rFonts w:hint="eastAsia"/>
              </w:rPr>
            </w:pPr>
            <w:r>
              <w:rPr>
                <w:rFonts w:hAnsi="Calibri"/>
                <w:color w:val="000000"/>
              </w:rPr>
              <w:t>1</w:t>
            </w:r>
          </w:p>
        </w:tc>
        <w:tc>
          <w:tcPr>
            <w:tcW w:w="3481" w:type="dxa"/>
            <w:tcBorders>
              <w:top w:val="single" w:sz="8" w:space="0" w:color="000000"/>
              <w:left w:val="single" w:sz="8" w:space="0" w:color="000000"/>
              <w:bottom w:val="single" w:sz="6" w:space="0" w:color="000000"/>
              <w:right w:val="single" w:sz="8" w:space="0" w:color="000000"/>
            </w:tcBorders>
            <w:vAlign w:val="center"/>
          </w:tcPr>
          <w:p w14:paraId="51925D87" w14:textId="77777777" w:rsidR="00D65E55" w:rsidRDefault="00D65E55" w:rsidP="00D65E55">
            <w:pPr>
              <w:pStyle w:val="biaogeleft"/>
              <w:wordWrap w:val="0"/>
              <w:rPr>
                <w:rFonts w:hint="eastAsia"/>
              </w:rPr>
            </w:pPr>
            <w:r>
              <w:rPr>
                <w:rFonts w:hAnsi="Calibri"/>
                <w:color w:val="000000"/>
              </w:rPr>
              <w:t>国家债券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771AF2B6" w14:textId="60C80E64" w:rsidR="00D65E55" w:rsidRDefault="00D65E55" w:rsidP="00D65E55">
            <w:pPr>
              <w:pStyle w:val="biaogeright"/>
              <w:wordWrap w:val="0"/>
              <w:rPr>
                <w:rFonts w:hint="eastAsia"/>
              </w:rPr>
            </w:pPr>
            <w:r w:rsidRPr="00474410">
              <w:rPr>
                <w:rFonts w:hAnsi="Calibri"/>
                <w:color w:val="000000"/>
              </w:rPr>
              <w:t>100,950.96</w:t>
            </w:r>
          </w:p>
        </w:tc>
        <w:tc>
          <w:tcPr>
            <w:tcW w:w="1816" w:type="dxa"/>
            <w:tcBorders>
              <w:top w:val="single" w:sz="8" w:space="0" w:color="000000"/>
              <w:left w:val="single" w:sz="8" w:space="0" w:color="000000"/>
              <w:bottom w:val="single" w:sz="6" w:space="0" w:color="000000"/>
              <w:right w:val="single" w:sz="8" w:space="0" w:color="000000"/>
            </w:tcBorders>
            <w:vAlign w:val="center"/>
          </w:tcPr>
          <w:p w14:paraId="5FDE14D2" w14:textId="75DCECEA" w:rsidR="00D65E55" w:rsidRDefault="00D65E55" w:rsidP="00D65E55">
            <w:pPr>
              <w:pStyle w:val="biaogeright"/>
              <w:wordWrap w:val="0"/>
              <w:rPr>
                <w:rFonts w:hint="eastAsia"/>
              </w:rPr>
            </w:pPr>
            <w:r w:rsidRPr="00474410">
              <w:rPr>
                <w:rFonts w:hAnsi="Calibri"/>
                <w:color w:val="000000"/>
              </w:rPr>
              <w:t>5.47</w:t>
            </w:r>
          </w:p>
        </w:tc>
      </w:tr>
      <w:tr w:rsidR="00D65E55" w14:paraId="0FA2E792"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35313962" w14:textId="77777777" w:rsidR="00D65E55" w:rsidRDefault="00D65E55" w:rsidP="00D65E55">
            <w:pPr>
              <w:pStyle w:val="biaogecenter"/>
              <w:wordWrap w:val="0"/>
              <w:rPr>
                <w:rFonts w:hint="eastAsia"/>
              </w:rPr>
            </w:pPr>
            <w:r>
              <w:rPr>
                <w:rFonts w:hAnsi="Calibri"/>
                <w:color w:val="000000"/>
              </w:rPr>
              <w:t>2</w:t>
            </w:r>
          </w:p>
        </w:tc>
        <w:tc>
          <w:tcPr>
            <w:tcW w:w="3481" w:type="dxa"/>
            <w:tcBorders>
              <w:top w:val="single" w:sz="8" w:space="0" w:color="000000"/>
              <w:left w:val="single" w:sz="8" w:space="0" w:color="000000"/>
              <w:bottom w:val="single" w:sz="6" w:space="0" w:color="000000"/>
              <w:right w:val="single" w:sz="8" w:space="0" w:color="000000"/>
            </w:tcBorders>
            <w:vAlign w:val="center"/>
          </w:tcPr>
          <w:p w14:paraId="3C7342C9" w14:textId="77777777" w:rsidR="00D65E55" w:rsidRDefault="00D65E55" w:rsidP="00D65E55">
            <w:pPr>
              <w:pStyle w:val="biaogeleft"/>
              <w:wordWrap w:val="0"/>
              <w:rPr>
                <w:rFonts w:hint="eastAsia"/>
              </w:rPr>
            </w:pPr>
            <w:r>
              <w:rPr>
                <w:rFonts w:hAnsi="Calibri"/>
                <w:color w:val="000000"/>
              </w:rPr>
              <w:t>央行票据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2CD5FF39" w14:textId="3779BE00"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28ACFE42" w14:textId="547ADC8B" w:rsidR="00D65E55" w:rsidRDefault="00D65E55" w:rsidP="00D65E55">
            <w:pPr>
              <w:pStyle w:val="biaogeright"/>
              <w:wordWrap w:val="0"/>
              <w:rPr>
                <w:rFonts w:hint="eastAsia"/>
              </w:rPr>
            </w:pPr>
            <w:r w:rsidRPr="00474410">
              <w:rPr>
                <w:rFonts w:hAnsi="Calibri"/>
                <w:color w:val="000000"/>
              </w:rPr>
              <w:t>-</w:t>
            </w:r>
          </w:p>
        </w:tc>
      </w:tr>
      <w:tr w:rsidR="00D65E55" w14:paraId="188C51A3"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779A8B5A" w14:textId="77777777" w:rsidR="00D65E55" w:rsidRDefault="00D65E55" w:rsidP="00D65E55">
            <w:pPr>
              <w:pStyle w:val="biaogecenter"/>
              <w:wordWrap w:val="0"/>
              <w:rPr>
                <w:rFonts w:hint="eastAsia"/>
              </w:rPr>
            </w:pPr>
            <w:r>
              <w:rPr>
                <w:rFonts w:hAnsi="Calibri"/>
                <w:color w:val="000000"/>
              </w:rPr>
              <w:t>3</w:t>
            </w:r>
          </w:p>
        </w:tc>
        <w:tc>
          <w:tcPr>
            <w:tcW w:w="3481" w:type="dxa"/>
            <w:tcBorders>
              <w:top w:val="single" w:sz="8" w:space="0" w:color="000000"/>
              <w:left w:val="single" w:sz="8" w:space="0" w:color="000000"/>
              <w:bottom w:val="single" w:sz="6" w:space="0" w:color="000000"/>
              <w:right w:val="single" w:sz="8" w:space="0" w:color="000000"/>
            </w:tcBorders>
            <w:vAlign w:val="center"/>
          </w:tcPr>
          <w:p w14:paraId="7EE0E830" w14:textId="77777777" w:rsidR="00D65E55" w:rsidRDefault="00D65E55" w:rsidP="00D65E55">
            <w:pPr>
              <w:pStyle w:val="biaogeleft"/>
              <w:wordWrap w:val="0"/>
              <w:rPr>
                <w:rFonts w:hint="eastAsia"/>
              </w:rPr>
            </w:pPr>
            <w:r>
              <w:rPr>
                <w:rFonts w:hAnsi="Calibri"/>
                <w:color w:val="000000"/>
              </w:rPr>
              <w:t>金融债券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15387A3E" w14:textId="086B9279"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32B6594B" w14:textId="21DED47F" w:rsidR="00D65E55" w:rsidRDefault="00D65E55" w:rsidP="00D65E55">
            <w:pPr>
              <w:pStyle w:val="biaogeright"/>
              <w:wordWrap w:val="0"/>
              <w:rPr>
                <w:rFonts w:hint="eastAsia"/>
              </w:rPr>
            </w:pPr>
            <w:r w:rsidRPr="00474410">
              <w:rPr>
                <w:rFonts w:hAnsi="Calibri"/>
                <w:color w:val="000000"/>
              </w:rPr>
              <w:t>-</w:t>
            </w:r>
          </w:p>
        </w:tc>
      </w:tr>
      <w:tr w:rsidR="00D65E55" w14:paraId="6EADEB65"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5A24A751" w14:textId="77777777" w:rsidR="00D65E55" w:rsidRDefault="00D65E55" w:rsidP="00D65E55">
            <w:pPr>
              <w:rPr>
                <w:rFonts w:ascii="宋体" w:hAnsi="宋体" w:cs="宋体" w:hint="eastAsia"/>
                <w:kern w:val="0"/>
                <w:sz w:val="24"/>
                <w:szCs w:val="24"/>
              </w:rPr>
            </w:pPr>
          </w:p>
        </w:tc>
        <w:tc>
          <w:tcPr>
            <w:tcW w:w="3481" w:type="dxa"/>
            <w:tcBorders>
              <w:top w:val="single" w:sz="8" w:space="0" w:color="000000"/>
              <w:left w:val="single" w:sz="8" w:space="0" w:color="000000"/>
              <w:bottom w:val="single" w:sz="6" w:space="0" w:color="000000"/>
              <w:right w:val="single" w:sz="8" w:space="0" w:color="000000"/>
            </w:tcBorders>
            <w:vAlign w:val="center"/>
          </w:tcPr>
          <w:p w14:paraId="4B33A4BE" w14:textId="77777777" w:rsidR="00D65E55" w:rsidRDefault="00D65E55" w:rsidP="00D65E55">
            <w:pPr>
              <w:pStyle w:val="biaogeleft"/>
              <w:wordWrap w:val="0"/>
              <w:rPr>
                <w:rFonts w:hint="eastAsia"/>
              </w:rPr>
            </w:pPr>
            <w:r>
              <w:rPr>
                <w:rFonts w:hAnsi="Calibri"/>
                <w:color w:val="000000"/>
              </w:rPr>
              <w:t>其中：政策性金融债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1743F075" w14:textId="7C8AC9E0"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246C6D68" w14:textId="736F89FD" w:rsidR="00D65E55" w:rsidRDefault="00D65E55" w:rsidP="00D65E55">
            <w:pPr>
              <w:pStyle w:val="biaogeright"/>
              <w:wordWrap w:val="0"/>
              <w:rPr>
                <w:rFonts w:hint="eastAsia"/>
              </w:rPr>
            </w:pPr>
            <w:r w:rsidRPr="00474410">
              <w:rPr>
                <w:rFonts w:hAnsi="Calibri"/>
                <w:color w:val="000000"/>
              </w:rPr>
              <w:t>-</w:t>
            </w:r>
          </w:p>
        </w:tc>
      </w:tr>
      <w:tr w:rsidR="00D65E55" w14:paraId="1216C6C5"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212C7FDF" w14:textId="77777777" w:rsidR="00D65E55" w:rsidRDefault="00D65E55" w:rsidP="00D65E55">
            <w:pPr>
              <w:pStyle w:val="biaogecenter"/>
              <w:wordWrap w:val="0"/>
              <w:rPr>
                <w:rFonts w:hint="eastAsia"/>
              </w:rPr>
            </w:pPr>
            <w:r>
              <w:rPr>
                <w:rFonts w:hAnsi="Calibri"/>
                <w:color w:val="000000"/>
              </w:rPr>
              <w:t>4</w:t>
            </w:r>
          </w:p>
        </w:tc>
        <w:tc>
          <w:tcPr>
            <w:tcW w:w="3481" w:type="dxa"/>
            <w:tcBorders>
              <w:top w:val="single" w:sz="8" w:space="0" w:color="000000"/>
              <w:left w:val="single" w:sz="8" w:space="0" w:color="000000"/>
              <w:bottom w:val="single" w:sz="6" w:space="0" w:color="000000"/>
              <w:right w:val="single" w:sz="8" w:space="0" w:color="000000"/>
            </w:tcBorders>
            <w:vAlign w:val="center"/>
          </w:tcPr>
          <w:p w14:paraId="4332635B" w14:textId="77777777" w:rsidR="00D65E55" w:rsidRDefault="00D65E55" w:rsidP="00D65E55">
            <w:pPr>
              <w:pStyle w:val="biaogeleft"/>
              <w:wordWrap w:val="0"/>
              <w:rPr>
                <w:rFonts w:hint="eastAsia"/>
              </w:rPr>
            </w:pPr>
            <w:r>
              <w:rPr>
                <w:rFonts w:hAnsi="Calibri"/>
                <w:color w:val="000000"/>
              </w:rPr>
              <w:t>企业债券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7F1A6FA0" w14:textId="190D933E"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34393799" w14:textId="38D66D64" w:rsidR="00D65E55" w:rsidRDefault="00D65E55" w:rsidP="00D65E55">
            <w:pPr>
              <w:pStyle w:val="biaogeright"/>
              <w:wordWrap w:val="0"/>
              <w:rPr>
                <w:rFonts w:hint="eastAsia"/>
              </w:rPr>
            </w:pPr>
            <w:r w:rsidRPr="00474410">
              <w:rPr>
                <w:rFonts w:hAnsi="Calibri"/>
                <w:color w:val="000000"/>
              </w:rPr>
              <w:t>-</w:t>
            </w:r>
          </w:p>
        </w:tc>
      </w:tr>
      <w:tr w:rsidR="00D65E55" w14:paraId="4BCE2B4E"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0ED43369" w14:textId="77777777" w:rsidR="00D65E55" w:rsidRDefault="00D65E55" w:rsidP="00D65E55">
            <w:pPr>
              <w:pStyle w:val="biaogecenter"/>
              <w:wordWrap w:val="0"/>
              <w:rPr>
                <w:rFonts w:hint="eastAsia"/>
              </w:rPr>
            </w:pPr>
            <w:r>
              <w:rPr>
                <w:rFonts w:hAnsi="Calibri"/>
                <w:color w:val="000000"/>
              </w:rPr>
              <w:t>5</w:t>
            </w:r>
          </w:p>
        </w:tc>
        <w:tc>
          <w:tcPr>
            <w:tcW w:w="3481" w:type="dxa"/>
            <w:tcBorders>
              <w:top w:val="single" w:sz="8" w:space="0" w:color="000000"/>
              <w:left w:val="single" w:sz="8" w:space="0" w:color="000000"/>
              <w:bottom w:val="single" w:sz="6" w:space="0" w:color="000000"/>
              <w:right w:val="single" w:sz="8" w:space="0" w:color="000000"/>
            </w:tcBorders>
            <w:vAlign w:val="center"/>
          </w:tcPr>
          <w:p w14:paraId="7DC4ED53" w14:textId="77777777" w:rsidR="00D65E55" w:rsidRDefault="00D65E55" w:rsidP="00D65E55">
            <w:pPr>
              <w:pStyle w:val="biaogeleft"/>
              <w:wordWrap w:val="0"/>
              <w:rPr>
                <w:rFonts w:hint="eastAsia"/>
              </w:rPr>
            </w:pPr>
            <w:r>
              <w:rPr>
                <w:rFonts w:hAnsi="Calibri"/>
                <w:color w:val="000000"/>
              </w:rPr>
              <w:t>企业短期融资券</w:t>
            </w:r>
          </w:p>
        </w:tc>
        <w:tc>
          <w:tcPr>
            <w:tcW w:w="2573" w:type="dxa"/>
            <w:tcBorders>
              <w:top w:val="single" w:sz="8" w:space="0" w:color="000000"/>
              <w:left w:val="single" w:sz="8" w:space="0" w:color="000000"/>
              <w:bottom w:val="single" w:sz="6" w:space="0" w:color="000000"/>
              <w:right w:val="single" w:sz="8" w:space="0" w:color="000000"/>
            </w:tcBorders>
            <w:vAlign w:val="center"/>
          </w:tcPr>
          <w:p w14:paraId="06D19379" w14:textId="152F7431"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3113486C" w14:textId="58892DA0" w:rsidR="00D65E55" w:rsidRDefault="00D65E55" w:rsidP="00D65E55">
            <w:pPr>
              <w:pStyle w:val="biaogeright"/>
              <w:wordWrap w:val="0"/>
              <w:rPr>
                <w:rFonts w:hint="eastAsia"/>
              </w:rPr>
            </w:pPr>
            <w:r w:rsidRPr="00474410">
              <w:rPr>
                <w:rFonts w:hAnsi="Calibri"/>
                <w:color w:val="000000"/>
              </w:rPr>
              <w:t>-</w:t>
            </w:r>
          </w:p>
        </w:tc>
      </w:tr>
      <w:tr w:rsidR="00D65E55" w14:paraId="5E7137CC"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3F602188" w14:textId="77777777" w:rsidR="00D65E55" w:rsidRDefault="00D65E55" w:rsidP="00D65E55">
            <w:pPr>
              <w:pStyle w:val="biaogecenter"/>
              <w:wordWrap w:val="0"/>
              <w:rPr>
                <w:rFonts w:hint="eastAsia"/>
              </w:rPr>
            </w:pPr>
            <w:r>
              <w:rPr>
                <w:rFonts w:hAnsi="Calibri"/>
                <w:color w:val="000000"/>
              </w:rPr>
              <w:t>6</w:t>
            </w:r>
          </w:p>
        </w:tc>
        <w:tc>
          <w:tcPr>
            <w:tcW w:w="3481" w:type="dxa"/>
            <w:tcBorders>
              <w:top w:val="single" w:sz="8" w:space="0" w:color="000000"/>
              <w:left w:val="single" w:sz="8" w:space="0" w:color="000000"/>
              <w:bottom w:val="single" w:sz="6" w:space="0" w:color="000000"/>
              <w:right w:val="single" w:sz="8" w:space="0" w:color="000000"/>
            </w:tcBorders>
            <w:vAlign w:val="center"/>
          </w:tcPr>
          <w:p w14:paraId="65F34235" w14:textId="77777777" w:rsidR="00D65E55" w:rsidRDefault="00D65E55" w:rsidP="00D65E55">
            <w:pPr>
              <w:pStyle w:val="biaogeleft"/>
              <w:wordWrap w:val="0"/>
              <w:rPr>
                <w:rFonts w:hint="eastAsia"/>
              </w:rPr>
            </w:pPr>
            <w:r>
              <w:rPr>
                <w:rFonts w:hAnsi="Calibri"/>
                <w:color w:val="000000"/>
              </w:rPr>
              <w:t>中期票据</w:t>
            </w:r>
          </w:p>
        </w:tc>
        <w:tc>
          <w:tcPr>
            <w:tcW w:w="2573" w:type="dxa"/>
            <w:tcBorders>
              <w:top w:val="single" w:sz="8" w:space="0" w:color="000000"/>
              <w:left w:val="single" w:sz="8" w:space="0" w:color="000000"/>
              <w:bottom w:val="single" w:sz="6" w:space="0" w:color="000000"/>
              <w:right w:val="single" w:sz="8" w:space="0" w:color="000000"/>
            </w:tcBorders>
            <w:vAlign w:val="center"/>
          </w:tcPr>
          <w:p w14:paraId="403FE95C" w14:textId="21A84B50"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6EE83CCB" w14:textId="505DFD06" w:rsidR="00D65E55" w:rsidRDefault="00D65E55" w:rsidP="00D65E55">
            <w:pPr>
              <w:pStyle w:val="biaogeright"/>
              <w:wordWrap w:val="0"/>
              <w:rPr>
                <w:rFonts w:hint="eastAsia"/>
              </w:rPr>
            </w:pPr>
            <w:r w:rsidRPr="00474410">
              <w:rPr>
                <w:rFonts w:hAnsi="Calibri"/>
                <w:color w:val="000000"/>
              </w:rPr>
              <w:t>-</w:t>
            </w:r>
          </w:p>
        </w:tc>
      </w:tr>
      <w:tr w:rsidR="00D65E55" w14:paraId="21418687"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38767749" w14:textId="77777777" w:rsidR="00D65E55" w:rsidRDefault="00D65E55" w:rsidP="00D65E55">
            <w:pPr>
              <w:pStyle w:val="biaogecenter"/>
              <w:wordWrap w:val="0"/>
              <w:rPr>
                <w:rFonts w:hint="eastAsia"/>
              </w:rPr>
            </w:pPr>
            <w:r>
              <w:rPr>
                <w:rFonts w:hAnsi="Calibri"/>
                <w:color w:val="000000"/>
              </w:rPr>
              <w:t>7</w:t>
            </w:r>
          </w:p>
        </w:tc>
        <w:tc>
          <w:tcPr>
            <w:tcW w:w="3481" w:type="dxa"/>
            <w:tcBorders>
              <w:top w:val="single" w:sz="8" w:space="0" w:color="000000"/>
              <w:left w:val="single" w:sz="8" w:space="0" w:color="000000"/>
              <w:bottom w:val="single" w:sz="6" w:space="0" w:color="000000"/>
              <w:right w:val="single" w:sz="8" w:space="0" w:color="000000"/>
            </w:tcBorders>
            <w:vAlign w:val="center"/>
          </w:tcPr>
          <w:p w14:paraId="33CAEDC2" w14:textId="77777777" w:rsidR="00D65E55" w:rsidRDefault="00D65E55" w:rsidP="00D65E55">
            <w:pPr>
              <w:pStyle w:val="biaogeleft"/>
              <w:wordWrap w:val="0"/>
              <w:rPr>
                <w:rFonts w:hint="eastAsia"/>
              </w:rPr>
            </w:pPr>
            <w:r>
              <w:rPr>
                <w:rFonts w:hAnsi="Calibri"/>
                <w:color w:val="000000"/>
              </w:rPr>
              <w:t>可转债（可交换债）</w:t>
            </w:r>
          </w:p>
        </w:tc>
        <w:tc>
          <w:tcPr>
            <w:tcW w:w="2573" w:type="dxa"/>
            <w:tcBorders>
              <w:top w:val="single" w:sz="8" w:space="0" w:color="000000"/>
              <w:left w:val="single" w:sz="8" w:space="0" w:color="000000"/>
              <w:bottom w:val="single" w:sz="6" w:space="0" w:color="000000"/>
              <w:right w:val="single" w:sz="8" w:space="0" w:color="000000"/>
            </w:tcBorders>
            <w:vAlign w:val="center"/>
          </w:tcPr>
          <w:p w14:paraId="0B0FF4D6" w14:textId="40C0BB87"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7E30628C" w14:textId="3CE6F68C" w:rsidR="00D65E55" w:rsidRDefault="00D65E55" w:rsidP="00D65E55">
            <w:pPr>
              <w:pStyle w:val="biaogeright"/>
              <w:wordWrap w:val="0"/>
              <w:rPr>
                <w:rFonts w:hint="eastAsia"/>
              </w:rPr>
            </w:pPr>
            <w:r w:rsidRPr="00474410">
              <w:rPr>
                <w:rFonts w:hAnsi="Calibri"/>
                <w:color w:val="000000"/>
              </w:rPr>
              <w:t>-</w:t>
            </w:r>
          </w:p>
        </w:tc>
      </w:tr>
      <w:tr w:rsidR="00D65E55" w14:paraId="5A8CD856"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69D2B1A5" w14:textId="77777777" w:rsidR="00D65E55" w:rsidRDefault="00D65E55" w:rsidP="00D65E55">
            <w:pPr>
              <w:pStyle w:val="biaogecenter"/>
              <w:wordWrap w:val="0"/>
              <w:rPr>
                <w:rFonts w:hint="eastAsia"/>
              </w:rPr>
            </w:pPr>
            <w:r>
              <w:rPr>
                <w:rFonts w:hAnsi="Calibri"/>
                <w:color w:val="000000"/>
              </w:rPr>
              <w:t>8</w:t>
            </w:r>
          </w:p>
        </w:tc>
        <w:tc>
          <w:tcPr>
            <w:tcW w:w="3481" w:type="dxa"/>
            <w:tcBorders>
              <w:top w:val="single" w:sz="8" w:space="0" w:color="000000"/>
              <w:left w:val="single" w:sz="8" w:space="0" w:color="000000"/>
              <w:bottom w:val="single" w:sz="6" w:space="0" w:color="000000"/>
              <w:right w:val="single" w:sz="8" w:space="0" w:color="000000"/>
            </w:tcBorders>
            <w:vAlign w:val="center"/>
          </w:tcPr>
          <w:p w14:paraId="52F60784" w14:textId="77777777" w:rsidR="00D65E55" w:rsidRDefault="00D65E55" w:rsidP="00D65E55">
            <w:pPr>
              <w:pStyle w:val="biaogeleft"/>
              <w:wordWrap w:val="0"/>
              <w:rPr>
                <w:rFonts w:hint="eastAsia"/>
              </w:rPr>
            </w:pPr>
            <w:r>
              <w:rPr>
                <w:rFonts w:hAnsi="Calibri"/>
                <w:color w:val="000000"/>
              </w:rPr>
              <w:t>同业存单</w:t>
            </w:r>
          </w:p>
        </w:tc>
        <w:tc>
          <w:tcPr>
            <w:tcW w:w="2573" w:type="dxa"/>
            <w:tcBorders>
              <w:top w:val="single" w:sz="8" w:space="0" w:color="000000"/>
              <w:left w:val="single" w:sz="8" w:space="0" w:color="000000"/>
              <w:bottom w:val="single" w:sz="6" w:space="0" w:color="000000"/>
              <w:right w:val="single" w:sz="8" w:space="0" w:color="000000"/>
            </w:tcBorders>
            <w:vAlign w:val="center"/>
          </w:tcPr>
          <w:p w14:paraId="438B4777" w14:textId="038D1DCC"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51418B61" w14:textId="57BCD2C8" w:rsidR="00D65E55" w:rsidRDefault="00D65E55" w:rsidP="00D65E55">
            <w:pPr>
              <w:pStyle w:val="biaogeright"/>
              <w:wordWrap w:val="0"/>
              <w:rPr>
                <w:rFonts w:hint="eastAsia"/>
              </w:rPr>
            </w:pPr>
            <w:r w:rsidRPr="00474410">
              <w:rPr>
                <w:rFonts w:hAnsi="Calibri"/>
                <w:color w:val="000000"/>
              </w:rPr>
              <w:t>-</w:t>
            </w:r>
          </w:p>
        </w:tc>
      </w:tr>
      <w:tr w:rsidR="00D65E55" w14:paraId="217A0EB0"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68543BBF" w14:textId="77777777" w:rsidR="00D65E55" w:rsidRDefault="00D65E55" w:rsidP="00D65E55">
            <w:pPr>
              <w:pStyle w:val="biaogecenter"/>
              <w:wordWrap w:val="0"/>
              <w:rPr>
                <w:rFonts w:hint="eastAsia"/>
              </w:rPr>
            </w:pPr>
            <w:r>
              <w:rPr>
                <w:rFonts w:hAnsi="Calibri"/>
                <w:color w:val="000000"/>
              </w:rPr>
              <w:t>9</w:t>
            </w:r>
          </w:p>
        </w:tc>
        <w:tc>
          <w:tcPr>
            <w:tcW w:w="3481" w:type="dxa"/>
            <w:tcBorders>
              <w:top w:val="single" w:sz="8" w:space="0" w:color="000000"/>
              <w:left w:val="single" w:sz="8" w:space="0" w:color="000000"/>
              <w:bottom w:val="single" w:sz="6" w:space="0" w:color="000000"/>
              <w:right w:val="single" w:sz="8" w:space="0" w:color="000000"/>
            </w:tcBorders>
            <w:vAlign w:val="center"/>
          </w:tcPr>
          <w:p w14:paraId="02850CCB" w14:textId="77777777" w:rsidR="00D65E55" w:rsidRDefault="00D65E55" w:rsidP="00D65E55">
            <w:pPr>
              <w:pStyle w:val="biaogeleft"/>
              <w:wordWrap w:val="0"/>
              <w:rPr>
                <w:rFonts w:hint="eastAsia"/>
              </w:rPr>
            </w:pPr>
            <w:r>
              <w:rPr>
                <w:rFonts w:hAnsi="Calibri"/>
                <w:color w:val="000000"/>
              </w:rPr>
              <w:t>其他</w:t>
            </w:r>
          </w:p>
        </w:tc>
        <w:tc>
          <w:tcPr>
            <w:tcW w:w="2573" w:type="dxa"/>
            <w:tcBorders>
              <w:top w:val="single" w:sz="8" w:space="0" w:color="000000"/>
              <w:left w:val="single" w:sz="8" w:space="0" w:color="000000"/>
              <w:bottom w:val="single" w:sz="6" w:space="0" w:color="000000"/>
              <w:right w:val="single" w:sz="8" w:space="0" w:color="000000"/>
            </w:tcBorders>
            <w:vAlign w:val="center"/>
          </w:tcPr>
          <w:p w14:paraId="45488BA2" w14:textId="01EF1AED" w:rsidR="00D65E55" w:rsidRDefault="00D65E55" w:rsidP="00D65E55">
            <w:pPr>
              <w:pStyle w:val="biaogeright"/>
              <w:wordWrap w:val="0"/>
              <w:rPr>
                <w:rFonts w:hint="eastAsia"/>
              </w:rPr>
            </w:pPr>
            <w:r w:rsidRPr="00474410">
              <w:rPr>
                <w:rFonts w:hAnsi="Calibri"/>
                <w:color w:val="000000"/>
              </w:rPr>
              <w:t>-</w:t>
            </w:r>
          </w:p>
        </w:tc>
        <w:tc>
          <w:tcPr>
            <w:tcW w:w="1816" w:type="dxa"/>
            <w:tcBorders>
              <w:top w:val="single" w:sz="8" w:space="0" w:color="000000"/>
              <w:left w:val="single" w:sz="8" w:space="0" w:color="000000"/>
              <w:bottom w:val="single" w:sz="6" w:space="0" w:color="000000"/>
              <w:right w:val="single" w:sz="8" w:space="0" w:color="000000"/>
            </w:tcBorders>
            <w:vAlign w:val="center"/>
          </w:tcPr>
          <w:p w14:paraId="0B218F10" w14:textId="4CE8A886" w:rsidR="00D65E55" w:rsidRDefault="00D65E55" w:rsidP="00D65E55">
            <w:pPr>
              <w:pStyle w:val="biaogeright"/>
              <w:wordWrap w:val="0"/>
              <w:rPr>
                <w:rFonts w:hint="eastAsia"/>
              </w:rPr>
            </w:pPr>
            <w:r w:rsidRPr="00474410">
              <w:rPr>
                <w:rFonts w:hAnsi="Calibri"/>
                <w:color w:val="000000"/>
              </w:rPr>
              <w:t>-</w:t>
            </w:r>
          </w:p>
        </w:tc>
      </w:tr>
      <w:tr w:rsidR="00D65E55" w14:paraId="2D740A85" w14:textId="77777777" w:rsidTr="00D65E55">
        <w:tc>
          <w:tcPr>
            <w:tcW w:w="1210" w:type="dxa"/>
            <w:tcBorders>
              <w:top w:val="single" w:sz="8" w:space="0" w:color="000000"/>
              <w:left w:val="single" w:sz="8" w:space="0" w:color="000000"/>
              <w:bottom w:val="single" w:sz="6" w:space="0" w:color="000000"/>
              <w:right w:val="single" w:sz="8" w:space="0" w:color="000000"/>
            </w:tcBorders>
            <w:vAlign w:val="center"/>
          </w:tcPr>
          <w:p w14:paraId="6292406A" w14:textId="77777777" w:rsidR="00D65E55" w:rsidRDefault="00D65E55" w:rsidP="00D65E55">
            <w:pPr>
              <w:pStyle w:val="biaogecenter"/>
              <w:wordWrap w:val="0"/>
              <w:rPr>
                <w:rFonts w:hint="eastAsia"/>
              </w:rPr>
            </w:pPr>
            <w:r>
              <w:rPr>
                <w:rFonts w:hAnsi="Calibri"/>
                <w:color w:val="000000"/>
              </w:rPr>
              <w:t>10</w:t>
            </w:r>
          </w:p>
        </w:tc>
        <w:tc>
          <w:tcPr>
            <w:tcW w:w="3481" w:type="dxa"/>
            <w:tcBorders>
              <w:top w:val="single" w:sz="8" w:space="0" w:color="000000"/>
              <w:left w:val="single" w:sz="8" w:space="0" w:color="000000"/>
              <w:bottom w:val="single" w:sz="6" w:space="0" w:color="000000"/>
              <w:right w:val="single" w:sz="8" w:space="0" w:color="000000"/>
            </w:tcBorders>
            <w:vAlign w:val="center"/>
          </w:tcPr>
          <w:p w14:paraId="1FBE117B" w14:textId="77777777" w:rsidR="00D65E55" w:rsidRDefault="00D65E55" w:rsidP="00D65E55">
            <w:pPr>
              <w:pStyle w:val="biaogeleft"/>
              <w:wordWrap w:val="0"/>
              <w:rPr>
                <w:rFonts w:hint="eastAsia"/>
              </w:rPr>
            </w:pPr>
            <w:r>
              <w:rPr>
                <w:rFonts w:hAnsi="Calibri"/>
                <w:color w:val="000000"/>
              </w:rPr>
              <w:t>合计</w:t>
            </w:r>
          </w:p>
        </w:tc>
        <w:tc>
          <w:tcPr>
            <w:tcW w:w="2573" w:type="dxa"/>
            <w:tcBorders>
              <w:top w:val="single" w:sz="8" w:space="0" w:color="000000"/>
              <w:left w:val="single" w:sz="8" w:space="0" w:color="000000"/>
              <w:bottom w:val="single" w:sz="6" w:space="0" w:color="000000"/>
              <w:right w:val="single" w:sz="8" w:space="0" w:color="000000"/>
            </w:tcBorders>
            <w:vAlign w:val="center"/>
          </w:tcPr>
          <w:p w14:paraId="59B14F88" w14:textId="1495FFE4" w:rsidR="00D65E55" w:rsidRDefault="00D65E55" w:rsidP="00D65E55">
            <w:pPr>
              <w:pStyle w:val="biaogeright"/>
              <w:wordWrap w:val="0"/>
              <w:rPr>
                <w:rFonts w:hint="eastAsia"/>
              </w:rPr>
            </w:pPr>
            <w:r w:rsidRPr="00474410">
              <w:rPr>
                <w:rFonts w:hAnsi="Calibri"/>
                <w:color w:val="000000"/>
              </w:rPr>
              <w:t>100,950.96</w:t>
            </w:r>
          </w:p>
        </w:tc>
        <w:tc>
          <w:tcPr>
            <w:tcW w:w="1816" w:type="dxa"/>
            <w:tcBorders>
              <w:top w:val="single" w:sz="8" w:space="0" w:color="000000"/>
              <w:left w:val="single" w:sz="8" w:space="0" w:color="000000"/>
              <w:bottom w:val="single" w:sz="6" w:space="0" w:color="000000"/>
              <w:right w:val="single" w:sz="8" w:space="0" w:color="000000"/>
            </w:tcBorders>
            <w:vAlign w:val="center"/>
          </w:tcPr>
          <w:p w14:paraId="024508ED" w14:textId="598684D3" w:rsidR="00D65E55" w:rsidRDefault="00D65E55" w:rsidP="00D65E55">
            <w:pPr>
              <w:pStyle w:val="biaogeright"/>
              <w:wordWrap w:val="0"/>
              <w:rPr>
                <w:rFonts w:hint="eastAsia"/>
              </w:rPr>
            </w:pPr>
            <w:r w:rsidRPr="00474410">
              <w:rPr>
                <w:rFonts w:hAnsi="Calibri"/>
                <w:color w:val="000000"/>
              </w:rPr>
              <w:t>5.47</w:t>
            </w:r>
          </w:p>
        </w:tc>
      </w:tr>
    </w:tbl>
    <w:p w14:paraId="577D55ED" w14:textId="77777777" w:rsidR="00913A13" w:rsidRDefault="00913A13">
      <w:pPr>
        <w:pStyle w:val="neirong"/>
        <w:rPr>
          <w:rFonts w:hint="eastAsia"/>
        </w:rPr>
      </w:pPr>
    </w:p>
    <w:p w14:paraId="7E564E38" w14:textId="77777777" w:rsidR="00913A13" w:rsidRDefault="002F45B8">
      <w:pPr>
        <w:pStyle w:val="zhangjiep"/>
        <w:rPr>
          <w:rFonts w:asciiTheme="minorEastAsia" w:eastAsiaTheme="minorEastAsia" w:hAnsiTheme="minorEastAsia" w:cs="Times New Roman" w:hint="eastAsia"/>
          <w:bCs/>
          <w:kern w:val="2"/>
        </w:rPr>
      </w:pPr>
      <w:bookmarkStart w:id="225" w:name="_Toc101354068"/>
      <w:r>
        <w:rPr>
          <w:rFonts w:asciiTheme="minorEastAsia" w:eastAsiaTheme="minorEastAsia" w:hAnsiTheme="minorEastAsia" w:cs="Times New Roman"/>
          <w:bCs/>
          <w:kern w:val="2"/>
        </w:rPr>
        <w:t>5、</w:t>
      </w:r>
      <w:r>
        <w:rPr>
          <w:rFonts w:asciiTheme="minorEastAsia" w:eastAsiaTheme="minorEastAsia" w:hAnsiTheme="minorEastAsia" w:cs="Times New Roman" w:hint="eastAsia"/>
          <w:bCs/>
          <w:kern w:val="2"/>
        </w:rPr>
        <w:t>报告期末按公允价值占基金资产净值比例大小排序的前五名债券投资明细</w:t>
      </w:r>
      <w:bookmarkEnd w:id="225"/>
    </w:p>
    <w:tbl>
      <w:tblPr>
        <w:tblW w:w="9080" w:type="dxa"/>
        <w:tblInd w:w="108" w:type="dxa"/>
        <w:tblLook w:val="04A0" w:firstRow="1" w:lastRow="0" w:firstColumn="1" w:lastColumn="0" w:noHBand="0" w:noVBand="1"/>
      </w:tblPr>
      <w:tblGrid>
        <w:gridCol w:w="472"/>
        <w:gridCol w:w="1335"/>
        <w:gridCol w:w="1924"/>
        <w:gridCol w:w="1490"/>
        <w:gridCol w:w="2074"/>
        <w:gridCol w:w="1785"/>
      </w:tblGrid>
      <w:tr w:rsidR="00913A13" w14:paraId="6608C7EE" w14:textId="77777777" w:rsidTr="00D65E55">
        <w:tc>
          <w:tcPr>
            <w:tcW w:w="472" w:type="dxa"/>
            <w:tcBorders>
              <w:top w:val="single" w:sz="8" w:space="0" w:color="000000"/>
              <w:left w:val="single" w:sz="8" w:space="0" w:color="000000"/>
              <w:bottom w:val="single" w:sz="6" w:space="0" w:color="000000"/>
              <w:right w:val="single" w:sz="8" w:space="0" w:color="000000"/>
            </w:tcBorders>
            <w:vAlign w:val="center"/>
          </w:tcPr>
          <w:p w14:paraId="6F525BEC"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序号</w:t>
            </w:r>
          </w:p>
        </w:tc>
        <w:tc>
          <w:tcPr>
            <w:tcW w:w="1335" w:type="dxa"/>
            <w:tcBorders>
              <w:top w:val="single" w:sz="8" w:space="0" w:color="000000"/>
              <w:left w:val="single" w:sz="8" w:space="0" w:color="000000"/>
              <w:bottom w:val="single" w:sz="6" w:space="0" w:color="000000"/>
              <w:right w:val="single" w:sz="8" w:space="0" w:color="000000"/>
            </w:tcBorders>
            <w:vAlign w:val="center"/>
          </w:tcPr>
          <w:p w14:paraId="459D4E11"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债券代码</w:t>
            </w:r>
          </w:p>
        </w:tc>
        <w:tc>
          <w:tcPr>
            <w:tcW w:w="1924" w:type="dxa"/>
            <w:tcBorders>
              <w:top w:val="single" w:sz="8" w:space="0" w:color="000000"/>
              <w:left w:val="single" w:sz="8" w:space="0" w:color="000000"/>
              <w:bottom w:val="single" w:sz="6" w:space="0" w:color="000000"/>
              <w:right w:val="single" w:sz="8" w:space="0" w:color="000000"/>
            </w:tcBorders>
            <w:vAlign w:val="center"/>
          </w:tcPr>
          <w:p w14:paraId="3EC8C5C2"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债券名称</w:t>
            </w:r>
          </w:p>
        </w:tc>
        <w:tc>
          <w:tcPr>
            <w:tcW w:w="1490" w:type="dxa"/>
            <w:tcBorders>
              <w:top w:val="single" w:sz="8" w:space="0" w:color="000000"/>
              <w:left w:val="single" w:sz="8" w:space="0" w:color="000000"/>
              <w:bottom w:val="single" w:sz="6" w:space="0" w:color="000000"/>
              <w:right w:val="single" w:sz="8" w:space="0" w:color="000000"/>
            </w:tcBorders>
            <w:vAlign w:val="center"/>
          </w:tcPr>
          <w:p w14:paraId="37576650"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数量（张）</w:t>
            </w:r>
          </w:p>
        </w:tc>
        <w:tc>
          <w:tcPr>
            <w:tcW w:w="2074" w:type="dxa"/>
            <w:tcBorders>
              <w:top w:val="single" w:sz="8" w:space="0" w:color="000000"/>
              <w:left w:val="single" w:sz="8" w:space="0" w:color="000000"/>
              <w:bottom w:val="single" w:sz="6" w:space="0" w:color="000000"/>
              <w:right w:val="single" w:sz="8" w:space="0" w:color="000000"/>
            </w:tcBorders>
            <w:vAlign w:val="center"/>
          </w:tcPr>
          <w:p w14:paraId="2EFCE5CD"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公允价值</w:t>
            </w:r>
            <w:r>
              <w:rPr>
                <w:rFonts w:ascii="Times New Roman" w:eastAsia="宋体" w:hAnsi="Calibri" w:cs="Times New Roman"/>
                <w:color w:val="000000"/>
                <w:kern w:val="0"/>
                <w:sz w:val="24"/>
                <w:szCs w:val="24"/>
              </w:rPr>
              <w:t>(</w:t>
            </w:r>
            <w:r>
              <w:rPr>
                <w:rFonts w:ascii="Times New Roman" w:eastAsia="宋体" w:hAnsi="Calibri" w:cs="Times New Roman"/>
                <w:color w:val="000000"/>
                <w:kern w:val="0"/>
                <w:sz w:val="24"/>
                <w:szCs w:val="24"/>
              </w:rPr>
              <w:t>元</w:t>
            </w:r>
            <w:r>
              <w:rPr>
                <w:rFonts w:ascii="Times New Roman" w:eastAsia="宋体" w:hAnsi="Calibri" w:cs="Times New Roman"/>
                <w:color w:val="000000"/>
                <w:kern w:val="0"/>
                <w:sz w:val="24"/>
                <w:szCs w:val="24"/>
              </w:rPr>
              <w:t>)</w:t>
            </w:r>
          </w:p>
        </w:tc>
        <w:tc>
          <w:tcPr>
            <w:tcW w:w="1785" w:type="dxa"/>
            <w:tcBorders>
              <w:top w:val="single" w:sz="8" w:space="0" w:color="000000"/>
              <w:left w:val="single" w:sz="8" w:space="0" w:color="000000"/>
              <w:bottom w:val="single" w:sz="6" w:space="0" w:color="000000"/>
              <w:right w:val="single" w:sz="8" w:space="0" w:color="000000"/>
            </w:tcBorders>
            <w:vAlign w:val="center"/>
          </w:tcPr>
          <w:p w14:paraId="3708C20A" w14:textId="77777777" w:rsidR="00913A13" w:rsidRDefault="002F45B8">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占基金资产净值比例（％）</w:t>
            </w:r>
          </w:p>
        </w:tc>
      </w:tr>
      <w:tr w:rsidR="00D65E55" w14:paraId="6E9EBA0B" w14:textId="77777777" w:rsidTr="00D65E55">
        <w:tc>
          <w:tcPr>
            <w:tcW w:w="0" w:type="auto"/>
            <w:tcBorders>
              <w:top w:val="single" w:sz="8" w:space="0" w:color="000000"/>
              <w:left w:val="single" w:sz="8" w:space="0" w:color="000000"/>
              <w:bottom w:val="single" w:sz="6" w:space="0" w:color="000000"/>
              <w:right w:val="single" w:sz="8" w:space="0" w:color="000000"/>
            </w:tcBorders>
            <w:vAlign w:val="center"/>
          </w:tcPr>
          <w:p w14:paraId="79EAEE8B" w14:textId="77777777" w:rsidR="00D65E55" w:rsidRDefault="00D65E55" w:rsidP="00D65E55">
            <w:pPr>
              <w:widowControl/>
              <w:wordWrap w:val="0"/>
              <w:autoSpaceDE w:val="0"/>
              <w:autoSpaceDN w:val="0"/>
              <w:adjustRightInd w:val="0"/>
              <w:spacing w:before="29" w:line="288" w:lineRule="auto"/>
              <w:ind w:left="15"/>
              <w:jc w:val="center"/>
              <w:rPr>
                <w:rFonts w:ascii="Times New Roman" w:eastAsia="宋体" w:hAnsi="Times New Roman" w:cs="Times New Roman"/>
                <w:kern w:val="0"/>
                <w:sz w:val="24"/>
                <w:szCs w:val="24"/>
              </w:rPr>
            </w:pPr>
            <w:r>
              <w:rPr>
                <w:rFonts w:ascii="Times New Roman" w:eastAsia="宋体" w:hAnsi="Calibri" w:cs="Times New Roman"/>
                <w:color w:val="000000"/>
                <w:kern w:val="0"/>
                <w:sz w:val="24"/>
                <w:szCs w:val="24"/>
              </w:rPr>
              <w:t>1</w:t>
            </w:r>
          </w:p>
        </w:tc>
        <w:tc>
          <w:tcPr>
            <w:tcW w:w="1335" w:type="dxa"/>
            <w:tcBorders>
              <w:top w:val="single" w:sz="8" w:space="0" w:color="000000"/>
              <w:left w:val="single" w:sz="8" w:space="0" w:color="000000"/>
              <w:bottom w:val="single" w:sz="6" w:space="0" w:color="000000"/>
              <w:right w:val="single" w:sz="8" w:space="0" w:color="000000"/>
            </w:tcBorders>
            <w:vAlign w:val="center"/>
          </w:tcPr>
          <w:p w14:paraId="44CE38B7" w14:textId="18A278EF" w:rsidR="00D65E55" w:rsidRDefault="00D65E55" w:rsidP="00D65E55">
            <w:pPr>
              <w:widowControl/>
              <w:wordWrap w:val="0"/>
              <w:autoSpaceDE w:val="0"/>
              <w:autoSpaceDN w:val="0"/>
              <w:adjustRightInd w:val="0"/>
              <w:spacing w:before="29" w:line="288" w:lineRule="auto"/>
              <w:ind w:left="15"/>
              <w:jc w:val="left"/>
              <w:rPr>
                <w:rFonts w:ascii="Times New Roman" w:eastAsia="宋体" w:hAnsi="Times New Roman" w:cs="Times New Roman"/>
                <w:kern w:val="0"/>
                <w:sz w:val="24"/>
                <w:szCs w:val="24"/>
              </w:rPr>
            </w:pPr>
            <w:r w:rsidRPr="000B32F0">
              <w:rPr>
                <w:rFonts w:ascii="Times New Roman" w:eastAsia="宋体" w:hAnsi="Calibri" w:cs="Times New Roman"/>
                <w:color w:val="000000"/>
                <w:kern w:val="0"/>
                <w:sz w:val="24"/>
                <w:szCs w:val="24"/>
              </w:rPr>
              <w:t>019785</w:t>
            </w:r>
          </w:p>
        </w:tc>
        <w:tc>
          <w:tcPr>
            <w:tcW w:w="1924" w:type="dxa"/>
            <w:tcBorders>
              <w:top w:val="single" w:sz="8" w:space="0" w:color="000000"/>
              <w:left w:val="single" w:sz="8" w:space="0" w:color="000000"/>
              <w:bottom w:val="single" w:sz="6" w:space="0" w:color="000000"/>
              <w:right w:val="single" w:sz="8" w:space="0" w:color="000000"/>
            </w:tcBorders>
            <w:vAlign w:val="center"/>
          </w:tcPr>
          <w:p w14:paraId="3662A5D0" w14:textId="2D71CBB9" w:rsidR="00D65E55" w:rsidRDefault="00D65E55" w:rsidP="00D65E55">
            <w:pPr>
              <w:widowControl/>
              <w:wordWrap w:val="0"/>
              <w:autoSpaceDE w:val="0"/>
              <w:autoSpaceDN w:val="0"/>
              <w:adjustRightInd w:val="0"/>
              <w:spacing w:before="29" w:line="288" w:lineRule="auto"/>
              <w:ind w:left="15"/>
              <w:jc w:val="left"/>
              <w:rPr>
                <w:rFonts w:ascii="Times New Roman" w:eastAsia="宋体" w:hAnsi="Times New Roman" w:cs="Times New Roman"/>
                <w:kern w:val="0"/>
                <w:sz w:val="24"/>
                <w:szCs w:val="24"/>
              </w:rPr>
            </w:pPr>
            <w:r w:rsidRPr="000B32F0">
              <w:rPr>
                <w:rFonts w:ascii="Times New Roman" w:eastAsia="宋体" w:hAnsi="Calibri" w:cs="Times New Roman"/>
                <w:color w:val="000000"/>
                <w:kern w:val="0"/>
                <w:sz w:val="24"/>
                <w:szCs w:val="24"/>
              </w:rPr>
              <w:t>25</w:t>
            </w:r>
            <w:r w:rsidRPr="000B32F0">
              <w:rPr>
                <w:rFonts w:ascii="Times New Roman" w:eastAsia="宋体" w:hAnsi="Calibri" w:cs="Times New Roman" w:hint="eastAsia"/>
                <w:color w:val="000000"/>
                <w:kern w:val="0"/>
                <w:sz w:val="24"/>
                <w:szCs w:val="24"/>
              </w:rPr>
              <w:t>国债</w:t>
            </w:r>
            <w:r w:rsidRPr="000B32F0">
              <w:rPr>
                <w:rFonts w:ascii="Times New Roman" w:eastAsia="宋体" w:hAnsi="Calibri" w:cs="Times New Roman"/>
                <w:color w:val="000000"/>
                <w:kern w:val="0"/>
                <w:sz w:val="24"/>
                <w:szCs w:val="24"/>
              </w:rPr>
              <w:t>13</w:t>
            </w:r>
          </w:p>
        </w:tc>
        <w:tc>
          <w:tcPr>
            <w:tcW w:w="1490" w:type="dxa"/>
            <w:tcBorders>
              <w:top w:val="single" w:sz="8" w:space="0" w:color="000000"/>
              <w:left w:val="single" w:sz="8" w:space="0" w:color="000000"/>
              <w:bottom w:val="single" w:sz="6" w:space="0" w:color="000000"/>
              <w:right w:val="single" w:sz="8" w:space="0" w:color="000000"/>
            </w:tcBorders>
            <w:vAlign w:val="center"/>
          </w:tcPr>
          <w:p w14:paraId="017FF488" w14:textId="01A13AD3" w:rsidR="00D65E55" w:rsidRDefault="00D65E55" w:rsidP="00D65E55">
            <w:pPr>
              <w:widowControl/>
              <w:wordWrap w:val="0"/>
              <w:autoSpaceDE w:val="0"/>
              <w:autoSpaceDN w:val="0"/>
              <w:adjustRightInd w:val="0"/>
              <w:spacing w:before="29" w:line="288" w:lineRule="auto"/>
              <w:ind w:left="15"/>
              <w:jc w:val="right"/>
              <w:rPr>
                <w:rFonts w:ascii="Times New Roman" w:eastAsia="宋体" w:hAnsi="Times New Roman" w:cs="Times New Roman"/>
                <w:kern w:val="0"/>
                <w:sz w:val="24"/>
                <w:szCs w:val="24"/>
              </w:rPr>
            </w:pPr>
            <w:r w:rsidRPr="000B32F0">
              <w:rPr>
                <w:rFonts w:ascii="Times New Roman" w:eastAsia="宋体" w:hAnsi="Calibri" w:cs="Times New Roman"/>
                <w:color w:val="000000"/>
                <w:kern w:val="0"/>
                <w:sz w:val="24"/>
                <w:szCs w:val="24"/>
              </w:rPr>
              <w:t>1,000</w:t>
            </w:r>
          </w:p>
        </w:tc>
        <w:tc>
          <w:tcPr>
            <w:tcW w:w="2074" w:type="dxa"/>
            <w:tcBorders>
              <w:top w:val="single" w:sz="8" w:space="0" w:color="000000"/>
              <w:left w:val="single" w:sz="8" w:space="0" w:color="000000"/>
              <w:bottom w:val="single" w:sz="6" w:space="0" w:color="000000"/>
              <w:right w:val="single" w:sz="8" w:space="0" w:color="000000"/>
            </w:tcBorders>
            <w:vAlign w:val="center"/>
          </w:tcPr>
          <w:p w14:paraId="24D4C253" w14:textId="215A5BA0" w:rsidR="00D65E55" w:rsidRDefault="00D65E55" w:rsidP="00D65E55">
            <w:pPr>
              <w:widowControl/>
              <w:wordWrap w:val="0"/>
              <w:autoSpaceDE w:val="0"/>
              <w:autoSpaceDN w:val="0"/>
              <w:adjustRightInd w:val="0"/>
              <w:spacing w:before="29" w:line="288" w:lineRule="auto"/>
              <w:ind w:left="15"/>
              <w:jc w:val="right"/>
              <w:rPr>
                <w:rFonts w:ascii="Times New Roman" w:eastAsia="宋体" w:hAnsi="Times New Roman" w:cs="Times New Roman"/>
                <w:kern w:val="0"/>
                <w:sz w:val="24"/>
                <w:szCs w:val="24"/>
              </w:rPr>
            </w:pPr>
            <w:r w:rsidRPr="000B32F0">
              <w:rPr>
                <w:rFonts w:ascii="Times New Roman" w:eastAsia="宋体" w:hAnsi="Calibri" w:cs="Times New Roman"/>
                <w:color w:val="000000"/>
                <w:kern w:val="0"/>
                <w:sz w:val="24"/>
                <w:szCs w:val="24"/>
              </w:rPr>
              <w:t>100,950.96</w:t>
            </w:r>
          </w:p>
        </w:tc>
        <w:tc>
          <w:tcPr>
            <w:tcW w:w="0" w:type="auto"/>
            <w:tcBorders>
              <w:top w:val="single" w:sz="8" w:space="0" w:color="000000"/>
              <w:left w:val="single" w:sz="8" w:space="0" w:color="000000"/>
              <w:bottom w:val="single" w:sz="6" w:space="0" w:color="000000"/>
              <w:right w:val="single" w:sz="8" w:space="0" w:color="000000"/>
            </w:tcBorders>
            <w:vAlign w:val="center"/>
          </w:tcPr>
          <w:p w14:paraId="112FB77C" w14:textId="2279D658" w:rsidR="00D65E55" w:rsidRDefault="00D65E55" w:rsidP="00D65E55">
            <w:pPr>
              <w:widowControl/>
              <w:wordWrap w:val="0"/>
              <w:autoSpaceDE w:val="0"/>
              <w:autoSpaceDN w:val="0"/>
              <w:adjustRightInd w:val="0"/>
              <w:spacing w:before="29" w:line="288" w:lineRule="auto"/>
              <w:ind w:left="15"/>
              <w:jc w:val="right"/>
              <w:rPr>
                <w:rFonts w:ascii="Times New Roman" w:eastAsia="宋体" w:hAnsi="Times New Roman" w:cs="Times New Roman"/>
                <w:kern w:val="0"/>
                <w:sz w:val="24"/>
                <w:szCs w:val="24"/>
              </w:rPr>
            </w:pPr>
            <w:r w:rsidRPr="000B32F0">
              <w:rPr>
                <w:rFonts w:ascii="Times New Roman" w:eastAsia="宋体" w:hAnsi="Calibri" w:cs="Times New Roman"/>
                <w:color w:val="000000"/>
                <w:kern w:val="0"/>
                <w:sz w:val="24"/>
                <w:szCs w:val="24"/>
              </w:rPr>
              <w:t>5.47</w:t>
            </w:r>
          </w:p>
        </w:tc>
      </w:tr>
    </w:tbl>
    <w:p w14:paraId="392F8928" w14:textId="77777777" w:rsidR="00913A13" w:rsidRDefault="00913A13">
      <w:pPr>
        <w:pStyle w:val="neirong"/>
        <w:rPr>
          <w:rFonts w:hint="eastAsia"/>
        </w:rPr>
      </w:pPr>
    </w:p>
    <w:p w14:paraId="6FAD9F64" w14:textId="77777777" w:rsidR="00913A13" w:rsidRDefault="002F45B8">
      <w:pPr>
        <w:pStyle w:val="zhangjiep"/>
        <w:rPr>
          <w:rFonts w:asciiTheme="minorEastAsia" w:eastAsiaTheme="minorEastAsia" w:hAnsiTheme="minorEastAsia" w:cs="Times New Roman" w:hint="eastAsia"/>
          <w:bCs/>
          <w:kern w:val="2"/>
        </w:rPr>
      </w:pPr>
      <w:bookmarkStart w:id="226" w:name="_Toc101354069"/>
      <w:r>
        <w:rPr>
          <w:rFonts w:asciiTheme="minorEastAsia" w:eastAsiaTheme="minorEastAsia" w:hAnsiTheme="minorEastAsia" w:cs="Times New Roman"/>
          <w:bCs/>
          <w:kern w:val="2"/>
        </w:rPr>
        <w:t>6、</w:t>
      </w:r>
      <w:r>
        <w:rPr>
          <w:rFonts w:asciiTheme="minorEastAsia" w:eastAsiaTheme="minorEastAsia" w:hAnsiTheme="minorEastAsia" w:cs="Times New Roman" w:hint="eastAsia"/>
          <w:bCs/>
          <w:kern w:val="2"/>
        </w:rPr>
        <w:t>报告期末按公允价值占基金资产净值比例大小排序的前十名资产支持证券投资明细</w:t>
      </w:r>
      <w:bookmarkEnd w:id="226"/>
    </w:p>
    <w:p w14:paraId="72C8B3B0" w14:textId="77777777" w:rsidR="00913A13" w:rsidRDefault="002F45B8">
      <w:pPr>
        <w:pStyle w:val="neirong"/>
        <w:ind w:firstLineChars="200" w:firstLine="480"/>
        <w:rPr>
          <w:rFonts w:hint="eastAsia"/>
        </w:rPr>
      </w:pPr>
      <w:r>
        <w:rPr>
          <w:rFonts w:hint="eastAsia"/>
        </w:rPr>
        <w:t>本基金本报告期末未持有资产支持证券。</w:t>
      </w:r>
    </w:p>
    <w:p w14:paraId="18A26A97" w14:textId="77777777" w:rsidR="00913A13" w:rsidRDefault="00913A13">
      <w:pPr>
        <w:widowControl/>
        <w:jc w:val="left"/>
        <w:rPr>
          <w:rFonts w:ascii="宋体" w:eastAsia="宋体" w:hAnsi="宋体" w:cs="宋体" w:hint="eastAsia"/>
          <w:kern w:val="0"/>
          <w:sz w:val="24"/>
          <w:szCs w:val="24"/>
        </w:rPr>
      </w:pPr>
    </w:p>
    <w:p w14:paraId="29DFDBE1" w14:textId="77777777" w:rsidR="00913A13" w:rsidRDefault="002F45B8">
      <w:pPr>
        <w:pStyle w:val="zhangjiep"/>
        <w:rPr>
          <w:rFonts w:asciiTheme="minorEastAsia" w:eastAsiaTheme="minorEastAsia" w:hAnsiTheme="minorEastAsia" w:cs="Times New Roman" w:hint="eastAsia"/>
          <w:bCs/>
          <w:kern w:val="2"/>
        </w:rPr>
      </w:pPr>
      <w:bookmarkStart w:id="227" w:name="_Toc101354070"/>
      <w:r>
        <w:rPr>
          <w:rFonts w:asciiTheme="minorEastAsia" w:eastAsiaTheme="minorEastAsia" w:hAnsiTheme="minorEastAsia" w:cs="Times New Roman"/>
          <w:bCs/>
          <w:kern w:val="2"/>
        </w:rPr>
        <w:t>7、</w:t>
      </w:r>
      <w:r>
        <w:rPr>
          <w:rFonts w:asciiTheme="minorEastAsia" w:eastAsiaTheme="minorEastAsia" w:hAnsiTheme="minorEastAsia" w:cs="Times New Roman" w:hint="eastAsia"/>
          <w:bCs/>
          <w:kern w:val="2"/>
        </w:rPr>
        <w:t>报告期末按公允价值占基金资产净值比例大小排序的前五名贵金属投资明细</w:t>
      </w:r>
      <w:bookmarkEnd w:id="227"/>
    </w:p>
    <w:p w14:paraId="0C0302FC" w14:textId="77777777" w:rsidR="00913A13" w:rsidRDefault="002F45B8">
      <w:pPr>
        <w:pStyle w:val="neirong"/>
        <w:ind w:firstLineChars="200" w:firstLine="480"/>
        <w:rPr>
          <w:rFonts w:hint="eastAsia"/>
        </w:rPr>
      </w:pPr>
      <w:r>
        <w:rPr>
          <w:rFonts w:hint="eastAsia"/>
        </w:rPr>
        <w:t>本基金本报告期末未持有贵金属。</w:t>
      </w:r>
    </w:p>
    <w:p w14:paraId="6A963285" w14:textId="77777777" w:rsidR="00913A13" w:rsidRDefault="00913A13">
      <w:pPr>
        <w:widowControl/>
        <w:jc w:val="left"/>
        <w:rPr>
          <w:rFonts w:ascii="宋体" w:eastAsia="宋体" w:hAnsi="宋体" w:cs="宋体" w:hint="eastAsia"/>
          <w:kern w:val="0"/>
          <w:sz w:val="24"/>
          <w:szCs w:val="24"/>
        </w:rPr>
      </w:pPr>
    </w:p>
    <w:p w14:paraId="1F1D0244" w14:textId="77777777" w:rsidR="00913A13" w:rsidRDefault="002F45B8">
      <w:pPr>
        <w:pStyle w:val="zhangjiep"/>
        <w:rPr>
          <w:rFonts w:asciiTheme="minorEastAsia" w:eastAsiaTheme="minorEastAsia" w:hAnsiTheme="minorEastAsia" w:cs="Times New Roman" w:hint="eastAsia"/>
          <w:bCs/>
          <w:kern w:val="2"/>
        </w:rPr>
      </w:pPr>
      <w:bookmarkStart w:id="228" w:name="_Toc101354071"/>
      <w:r>
        <w:rPr>
          <w:rFonts w:asciiTheme="minorEastAsia" w:eastAsiaTheme="minorEastAsia" w:hAnsiTheme="minorEastAsia" w:cs="Times New Roman"/>
          <w:bCs/>
          <w:kern w:val="2"/>
        </w:rPr>
        <w:t>8、</w:t>
      </w:r>
      <w:r>
        <w:rPr>
          <w:rFonts w:asciiTheme="minorEastAsia" w:eastAsiaTheme="minorEastAsia" w:hAnsiTheme="minorEastAsia" w:cs="Times New Roman" w:hint="eastAsia"/>
          <w:bCs/>
          <w:kern w:val="2"/>
        </w:rPr>
        <w:t>报告期末按公允价值占基金资产净值比例大小排序的前五名权证投资明细</w:t>
      </w:r>
      <w:bookmarkEnd w:id="228"/>
    </w:p>
    <w:p w14:paraId="36ECBE66" w14:textId="77777777" w:rsidR="00913A13" w:rsidRDefault="002F45B8">
      <w:pPr>
        <w:pStyle w:val="neirong"/>
        <w:ind w:firstLineChars="200" w:firstLine="480"/>
        <w:rPr>
          <w:rFonts w:hint="eastAsia"/>
        </w:rPr>
      </w:pPr>
      <w:r>
        <w:rPr>
          <w:rFonts w:hint="eastAsia"/>
        </w:rPr>
        <w:t>本基金本报告期末未持有权证。</w:t>
      </w:r>
    </w:p>
    <w:p w14:paraId="335124C6" w14:textId="77777777" w:rsidR="00913A13" w:rsidRDefault="00913A13">
      <w:pPr>
        <w:widowControl/>
        <w:jc w:val="left"/>
        <w:rPr>
          <w:rFonts w:ascii="宋体" w:eastAsia="宋体" w:hAnsi="宋体" w:cs="宋体" w:hint="eastAsia"/>
          <w:kern w:val="0"/>
          <w:sz w:val="24"/>
          <w:szCs w:val="24"/>
        </w:rPr>
      </w:pPr>
    </w:p>
    <w:p w14:paraId="4AFC91FA" w14:textId="77777777" w:rsidR="00913A13" w:rsidRDefault="002F45B8">
      <w:pPr>
        <w:pStyle w:val="zhangjiep"/>
        <w:rPr>
          <w:rFonts w:asciiTheme="minorEastAsia" w:eastAsiaTheme="minorEastAsia" w:hAnsiTheme="minorEastAsia" w:cs="Times New Roman" w:hint="eastAsia"/>
          <w:bCs/>
          <w:kern w:val="2"/>
        </w:rPr>
      </w:pPr>
      <w:bookmarkStart w:id="229" w:name="_Toc101354072"/>
      <w:r>
        <w:rPr>
          <w:rFonts w:asciiTheme="minorEastAsia" w:eastAsiaTheme="minorEastAsia" w:hAnsiTheme="minorEastAsia" w:cs="Times New Roman"/>
          <w:bCs/>
          <w:kern w:val="2"/>
        </w:rPr>
        <w:t>9、</w:t>
      </w:r>
      <w:r>
        <w:rPr>
          <w:rFonts w:asciiTheme="minorEastAsia" w:eastAsiaTheme="minorEastAsia" w:hAnsiTheme="minorEastAsia" w:cs="Times New Roman" w:hint="eastAsia"/>
          <w:bCs/>
          <w:kern w:val="2"/>
        </w:rPr>
        <w:t>报告期末本基金投资的股指期货交易情况说明</w:t>
      </w:r>
      <w:bookmarkEnd w:id="229"/>
    </w:p>
    <w:p w14:paraId="5678F9B0"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1）</w:t>
      </w:r>
      <w:r>
        <w:rPr>
          <w:rFonts w:asciiTheme="minorEastAsia" w:eastAsiaTheme="minorEastAsia" w:hAnsiTheme="minorEastAsia" w:cs="Times New Roman" w:hint="eastAsia"/>
          <w:bCs/>
          <w:kern w:val="2"/>
        </w:rPr>
        <w:t>报告期末本基金投资的股指期货持仓和损益明细</w:t>
      </w:r>
    </w:p>
    <w:p w14:paraId="7A0FB4EB" w14:textId="77777777" w:rsidR="00913A13" w:rsidRDefault="002F45B8">
      <w:pPr>
        <w:pStyle w:val="neirong"/>
        <w:ind w:firstLineChars="200" w:firstLine="480"/>
        <w:rPr>
          <w:rFonts w:hint="eastAsia"/>
        </w:rPr>
      </w:pPr>
      <w:r>
        <w:rPr>
          <w:rFonts w:hint="eastAsia"/>
        </w:rPr>
        <w:t>本基金本报告期末未投资股指期货。</w:t>
      </w:r>
    </w:p>
    <w:p w14:paraId="479C8F5C" w14:textId="77777777" w:rsidR="00913A13" w:rsidRDefault="00913A13">
      <w:pPr>
        <w:widowControl/>
        <w:jc w:val="left"/>
        <w:rPr>
          <w:rFonts w:ascii="宋体" w:eastAsia="宋体" w:hAnsi="宋体" w:cs="宋体" w:hint="eastAsia"/>
          <w:kern w:val="0"/>
          <w:sz w:val="24"/>
          <w:szCs w:val="24"/>
        </w:rPr>
      </w:pPr>
    </w:p>
    <w:p w14:paraId="5C349D27"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2） 本基金投资股指期货的投资政策</w:t>
      </w:r>
    </w:p>
    <w:p w14:paraId="697DCE1D" w14:textId="77777777" w:rsidR="00913A13" w:rsidRDefault="002F45B8">
      <w:pPr>
        <w:pStyle w:val="neirong"/>
        <w:spacing w:before="0"/>
        <w:ind w:firstLineChars="200" w:firstLine="480"/>
        <w:rPr>
          <w:rFonts w:hint="eastAsia"/>
        </w:rPr>
      </w:pPr>
      <w:r>
        <w:rPr>
          <w:rFonts w:hint="eastAsia"/>
        </w:rPr>
        <w:t>本基金本报告期末未投资股指期货。</w:t>
      </w:r>
    </w:p>
    <w:p w14:paraId="1A590C6C" w14:textId="77777777" w:rsidR="00913A13" w:rsidRDefault="00913A13">
      <w:pPr>
        <w:widowControl/>
        <w:jc w:val="left"/>
        <w:rPr>
          <w:rFonts w:ascii="宋体" w:eastAsia="宋体" w:hAnsi="宋体" w:cs="宋体" w:hint="eastAsia"/>
          <w:kern w:val="0"/>
          <w:sz w:val="24"/>
          <w:szCs w:val="24"/>
        </w:rPr>
      </w:pPr>
    </w:p>
    <w:p w14:paraId="653E5590" w14:textId="77777777" w:rsidR="00913A13" w:rsidRDefault="002F45B8">
      <w:pPr>
        <w:pStyle w:val="zhangjiep"/>
        <w:rPr>
          <w:rFonts w:asciiTheme="minorEastAsia" w:eastAsiaTheme="minorEastAsia" w:hAnsiTheme="minorEastAsia" w:cs="Times New Roman" w:hint="eastAsia"/>
          <w:bCs/>
          <w:kern w:val="2"/>
        </w:rPr>
      </w:pPr>
      <w:bookmarkStart w:id="230" w:name="_Toc101354073"/>
      <w:r>
        <w:rPr>
          <w:rFonts w:asciiTheme="minorEastAsia" w:eastAsiaTheme="minorEastAsia" w:hAnsiTheme="minorEastAsia" w:cs="Times New Roman"/>
          <w:bCs/>
          <w:kern w:val="2"/>
        </w:rPr>
        <w:t>10、</w:t>
      </w:r>
      <w:r>
        <w:rPr>
          <w:rFonts w:asciiTheme="minorEastAsia" w:eastAsiaTheme="minorEastAsia" w:hAnsiTheme="minorEastAsia" w:cs="Times New Roman" w:hint="eastAsia"/>
          <w:bCs/>
          <w:kern w:val="2"/>
        </w:rPr>
        <w:t>报告期末本基金投资的国债期货交易情况说明</w:t>
      </w:r>
      <w:bookmarkEnd w:id="230"/>
    </w:p>
    <w:p w14:paraId="23655659"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1）</w:t>
      </w:r>
      <w:r>
        <w:rPr>
          <w:rFonts w:asciiTheme="minorEastAsia" w:eastAsiaTheme="minorEastAsia" w:hAnsiTheme="minorEastAsia" w:cs="Times New Roman" w:hint="eastAsia"/>
          <w:bCs/>
          <w:kern w:val="2"/>
        </w:rPr>
        <w:t>本期国债期货投资政策</w:t>
      </w:r>
    </w:p>
    <w:p w14:paraId="01AE506E" w14:textId="77777777" w:rsidR="00913A13" w:rsidRDefault="002F45B8">
      <w:pPr>
        <w:pStyle w:val="neirong"/>
        <w:spacing w:before="0"/>
        <w:ind w:firstLineChars="200" w:firstLine="480"/>
        <w:rPr>
          <w:rFonts w:hint="eastAsia"/>
        </w:rPr>
      </w:pPr>
      <w:r>
        <w:rPr>
          <w:rFonts w:hint="eastAsia"/>
        </w:rPr>
        <w:t xml:space="preserve">本基金本报告期末未投资国债期货。 </w:t>
      </w:r>
    </w:p>
    <w:p w14:paraId="17503300" w14:textId="77777777" w:rsidR="00913A13" w:rsidRDefault="00913A13">
      <w:pPr>
        <w:widowControl/>
        <w:jc w:val="left"/>
        <w:rPr>
          <w:rFonts w:asciiTheme="minorEastAsia" w:hAnsiTheme="minorEastAsia" w:cs="Times New Roman" w:hint="eastAsia"/>
          <w:bCs/>
          <w:sz w:val="24"/>
          <w:szCs w:val="24"/>
        </w:rPr>
      </w:pPr>
    </w:p>
    <w:p w14:paraId="7AC152D4"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2</w:t>
      </w: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 xml:space="preserve"> 报告期末本基金投资的国债期货持仓和损益明细</w:t>
      </w:r>
    </w:p>
    <w:p w14:paraId="659378F6" w14:textId="77777777" w:rsidR="00913A13" w:rsidRDefault="002F45B8">
      <w:pPr>
        <w:pStyle w:val="neirong"/>
        <w:ind w:firstLineChars="200" w:firstLine="480"/>
        <w:rPr>
          <w:rFonts w:hint="eastAsia"/>
        </w:rPr>
      </w:pPr>
      <w:r>
        <w:rPr>
          <w:rFonts w:hint="eastAsia"/>
        </w:rPr>
        <w:t>本基金本报告期末未投资国债期货。 </w:t>
      </w:r>
    </w:p>
    <w:p w14:paraId="65946F93" w14:textId="77777777" w:rsidR="00913A13" w:rsidRDefault="00913A13">
      <w:pPr>
        <w:widowControl/>
        <w:jc w:val="left"/>
        <w:rPr>
          <w:rFonts w:ascii="宋体" w:eastAsia="宋体" w:hAnsi="宋体" w:cs="宋体" w:hint="eastAsia"/>
          <w:kern w:val="0"/>
          <w:sz w:val="24"/>
          <w:szCs w:val="24"/>
        </w:rPr>
      </w:pPr>
    </w:p>
    <w:p w14:paraId="0A893E10"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3） 本期国债期货投资评价</w:t>
      </w:r>
    </w:p>
    <w:p w14:paraId="4E1E8F41" w14:textId="77777777" w:rsidR="00913A13" w:rsidRDefault="002F45B8">
      <w:pPr>
        <w:pStyle w:val="neirong"/>
        <w:spacing w:before="0"/>
        <w:ind w:firstLineChars="200" w:firstLine="480"/>
        <w:rPr>
          <w:rFonts w:hint="eastAsia"/>
        </w:rPr>
      </w:pPr>
      <w:r>
        <w:rPr>
          <w:rFonts w:hint="eastAsia"/>
        </w:rPr>
        <w:t xml:space="preserve">本基金本报告期末未投资国债期货。 </w:t>
      </w:r>
    </w:p>
    <w:p w14:paraId="056A873C" w14:textId="77777777" w:rsidR="00913A13" w:rsidRDefault="00913A13">
      <w:pPr>
        <w:widowControl/>
        <w:jc w:val="left"/>
        <w:rPr>
          <w:rFonts w:ascii="宋体" w:eastAsia="宋体" w:hAnsi="宋体" w:cs="宋体" w:hint="eastAsia"/>
          <w:kern w:val="0"/>
          <w:sz w:val="24"/>
          <w:szCs w:val="24"/>
        </w:rPr>
      </w:pPr>
    </w:p>
    <w:p w14:paraId="62D2BB5F" w14:textId="77777777" w:rsidR="00913A13" w:rsidRDefault="002F45B8">
      <w:pPr>
        <w:pStyle w:val="zhangjiep"/>
        <w:ind w:left="0"/>
        <w:rPr>
          <w:rFonts w:asciiTheme="minorEastAsia" w:eastAsiaTheme="minorEastAsia" w:hAnsiTheme="minorEastAsia" w:cs="Times New Roman" w:hint="eastAsia"/>
          <w:bCs/>
          <w:kern w:val="2"/>
        </w:rPr>
      </w:pPr>
      <w:bookmarkStart w:id="231" w:name="_Toc101354074"/>
      <w:r>
        <w:rPr>
          <w:rFonts w:asciiTheme="minorEastAsia" w:eastAsiaTheme="minorEastAsia" w:hAnsiTheme="minorEastAsia" w:cs="Times New Roman"/>
          <w:bCs/>
          <w:kern w:val="2"/>
        </w:rPr>
        <w:t>11、</w:t>
      </w:r>
      <w:r>
        <w:rPr>
          <w:rFonts w:asciiTheme="minorEastAsia" w:eastAsiaTheme="minorEastAsia" w:hAnsiTheme="minorEastAsia" w:cs="Times New Roman" w:hint="eastAsia"/>
          <w:bCs/>
          <w:kern w:val="2"/>
        </w:rPr>
        <w:t>投资组合报告附注</w:t>
      </w:r>
      <w:bookmarkEnd w:id="231"/>
      <w:r>
        <w:rPr>
          <w:rFonts w:asciiTheme="minorEastAsia" w:eastAsiaTheme="minorEastAsia" w:hAnsiTheme="minorEastAsia" w:cs="Times New Roman"/>
          <w:bCs/>
          <w:kern w:val="2"/>
        </w:rPr>
        <w:t xml:space="preserve"> </w:t>
      </w:r>
    </w:p>
    <w:p w14:paraId="0F5A4A4F"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1）</w:t>
      </w:r>
      <w:r>
        <w:rPr>
          <w:rFonts w:asciiTheme="minorEastAsia" w:eastAsiaTheme="minorEastAsia" w:hAnsiTheme="minorEastAsia" w:cs="Times New Roman" w:hint="eastAsia"/>
          <w:bCs/>
          <w:kern w:val="2"/>
        </w:rPr>
        <w:t>本基金投资的前十名证券的发行主体，本报告期没有出现被监管部门立案调查的情形，也没有出现在报告编制日前一年内受到公开谴责、处罚的情形。</w:t>
      </w:r>
    </w:p>
    <w:p w14:paraId="0456156C" w14:textId="77777777" w:rsidR="00913A13" w:rsidRDefault="00913A13">
      <w:pPr>
        <w:pStyle w:val="zhangjiep2"/>
        <w:ind w:firstLine="405"/>
        <w:rPr>
          <w:rFonts w:asciiTheme="minorEastAsia" w:eastAsiaTheme="minorEastAsia" w:hAnsiTheme="minorEastAsia" w:cs="Times New Roman" w:hint="eastAsia"/>
          <w:bCs/>
          <w:kern w:val="2"/>
        </w:rPr>
      </w:pPr>
    </w:p>
    <w:p w14:paraId="758086EE"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2） 本基金投资的前十名股票没有超出基金合同规定的备选股票库。</w:t>
      </w:r>
    </w:p>
    <w:p w14:paraId="5EC5493A" w14:textId="77777777" w:rsidR="00913A13" w:rsidRDefault="00913A13">
      <w:pPr>
        <w:pStyle w:val="zhangjiep2"/>
        <w:rPr>
          <w:rFonts w:asciiTheme="minorEastAsia" w:eastAsiaTheme="minorEastAsia" w:hAnsiTheme="minorEastAsia" w:cs="Times New Roman" w:hint="eastAsia"/>
          <w:bCs/>
          <w:kern w:val="2"/>
        </w:rPr>
      </w:pPr>
    </w:p>
    <w:p w14:paraId="51971E25"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3） 其他资产构成</w:t>
      </w:r>
    </w:p>
    <w:tbl>
      <w:tblPr>
        <w:tblW w:w="9045" w:type="dxa"/>
        <w:tblInd w:w="108" w:type="dxa"/>
        <w:tblLook w:val="04A0" w:firstRow="1" w:lastRow="0" w:firstColumn="1" w:lastColumn="0" w:noHBand="0" w:noVBand="1"/>
      </w:tblPr>
      <w:tblGrid>
        <w:gridCol w:w="1276"/>
        <w:gridCol w:w="3709"/>
        <w:gridCol w:w="4060"/>
      </w:tblGrid>
      <w:tr w:rsidR="00913A13" w14:paraId="390EE308"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D6C56BF" w14:textId="77777777" w:rsidR="00913A13" w:rsidRDefault="002F45B8">
            <w:pPr>
              <w:pStyle w:val="biaogecenter"/>
              <w:wordWrap w:val="0"/>
              <w:rPr>
                <w:rFonts w:hint="eastAsia"/>
              </w:rPr>
            </w:pPr>
            <w:r>
              <w:rPr>
                <w:rFonts w:hAnsi="等线" w:hint="eastAsia"/>
                <w:color w:val="000000"/>
              </w:rPr>
              <w:t>序号</w:t>
            </w:r>
          </w:p>
        </w:tc>
        <w:tc>
          <w:tcPr>
            <w:tcW w:w="3709" w:type="dxa"/>
            <w:tcBorders>
              <w:top w:val="single" w:sz="8" w:space="0" w:color="000000"/>
              <w:left w:val="single" w:sz="8" w:space="0" w:color="000000"/>
              <w:bottom w:val="single" w:sz="6" w:space="0" w:color="000000"/>
              <w:right w:val="single" w:sz="8" w:space="0" w:color="000000"/>
            </w:tcBorders>
            <w:vAlign w:val="center"/>
          </w:tcPr>
          <w:p w14:paraId="3048A70B" w14:textId="77777777" w:rsidR="00913A13" w:rsidRDefault="002F45B8">
            <w:pPr>
              <w:pStyle w:val="biaogecenter"/>
              <w:wordWrap w:val="0"/>
              <w:rPr>
                <w:rFonts w:hint="eastAsia"/>
              </w:rPr>
            </w:pPr>
            <w:r>
              <w:rPr>
                <w:rFonts w:hint="eastAsia"/>
              </w:rPr>
              <w:t>名称</w:t>
            </w:r>
          </w:p>
        </w:tc>
        <w:tc>
          <w:tcPr>
            <w:tcW w:w="4060" w:type="dxa"/>
            <w:tcBorders>
              <w:top w:val="single" w:sz="8" w:space="0" w:color="000000"/>
              <w:left w:val="single" w:sz="8" w:space="0" w:color="000000"/>
              <w:bottom w:val="single" w:sz="6" w:space="0" w:color="000000"/>
              <w:right w:val="single" w:sz="8" w:space="0" w:color="000000"/>
            </w:tcBorders>
            <w:vAlign w:val="center"/>
          </w:tcPr>
          <w:p w14:paraId="6E3D19AD" w14:textId="77777777" w:rsidR="00913A13" w:rsidRDefault="002F45B8">
            <w:pPr>
              <w:pStyle w:val="biaogecenter"/>
              <w:wordWrap w:val="0"/>
              <w:rPr>
                <w:rFonts w:hint="eastAsia"/>
              </w:rPr>
            </w:pPr>
            <w:r>
              <w:rPr>
                <w:rFonts w:hint="eastAsia"/>
              </w:rPr>
              <w:t>金额(元)</w:t>
            </w:r>
          </w:p>
        </w:tc>
      </w:tr>
      <w:tr w:rsidR="00D65E55" w14:paraId="0AB83BC1"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B287404" w14:textId="77777777" w:rsidR="00D65E55" w:rsidRDefault="00D65E55" w:rsidP="00D65E55">
            <w:pPr>
              <w:pStyle w:val="biaogecenter"/>
              <w:wordWrap w:val="0"/>
              <w:rPr>
                <w:rFonts w:hint="eastAsia"/>
              </w:rPr>
            </w:pPr>
            <w:r>
              <w:rPr>
                <w:rFonts w:hAnsi="等线" w:hint="eastAsia"/>
                <w:color w:val="000000"/>
              </w:rPr>
              <w:lastRenderedPageBreak/>
              <w:t>1</w:t>
            </w:r>
          </w:p>
        </w:tc>
        <w:tc>
          <w:tcPr>
            <w:tcW w:w="3709" w:type="dxa"/>
            <w:tcBorders>
              <w:top w:val="single" w:sz="8" w:space="0" w:color="000000"/>
              <w:left w:val="single" w:sz="8" w:space="0" w:color="000000"/>
              <w:bottom w:val="single" w:sz="6" w:space="0" w:color="000000"/>
              <w:right w:val="single" w:sz="8" w:space="0" w:color="000000"/>
            </w:tcBorders>
            <w:vAlign w:val="center"/>
          </w:tcPr>
          <w:p w14:paraId="29F76338" w14:textId="77777777" w:rsidR="00D65E55" w:rsidRDefault="00D65E55" w:rsidP="00D65E55">
            <w:pPr>
              <w:pStyle w:val="biaogeleft"/>
              <w:wordWrap w:val="0"/>
              <w:rPr>
                <w:rFonts w:hint="eastAsia"/>
              </w:rPr>
            </w:pPr>
            <w:r>
              <w:rPr>
                <w:rFonts w:hint="eastAsia"/>
              </w:rPr>
              <w:t>存出保证金</w:t>
            </w:r>
          </w:p>
        </w:tc>
        <w:tc>
          <w:tcPr>
            <w:tcW w:w="4060" w:type="dxa"/>
            <w:tcBorders>
              <w:top w:val="single" w:sz="8" w:space="0" w:color="000000"/>
              <w:left w:val="single" w:sz="8" w:space="0" w:color="000000"/>
              <w:bottom w:val="single" w:sz="6" w:space="0" w:color="000000"/>
              <w:right w:val="single" w:sz="8" w:space="0" w:color="000000"/>
            </w:tcBorders>
            <w:vAlign w:val="center"/>
          </w:tcPr>
          <w:p w14:paraId="12A623CD" w14:textId="3720A0B2" w:rsidR="00D65E55" w:rsidRDefault="00D65E55" w:rsidP="00D65E55">
            <w:pPr>
              <w:pStyle w:val="biaogeright"/>
              <w:wordWrap w:val="0"/>
              <w:rPr>
                <w:rFonts w:hint="eastAsia"/>
              </w:rPr>
            </w:pPr>
            <w:r w:rsidRPr="00474410">
              <w:rPr>
                <w:rFonts w:hAnsi="Calibri"/>
                <w:color w:val="000000"/>
              </w:rPr>
              <w:t>6,319.62</w:t>
            </w:r>
          </w:p>
        </w:tc>
      </w:tr>
      <w:tr w:rsidR="00D65E55" w14:paraId="288F1339"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58D90B24" w14:textId="77777777" w:rsidR="00D65E55" w:rsidRDefault="00D65E55" w:rsidP="00D65E55">
            <w:pPr>
              <w:pStyle w:val="biaogecenter"/>
              <w:wordWrap w:val="0"/>
              <w:rPr>
                <w:rFonts w:hint="eastAsia"/>
              </w:rPr>
            </w:pPr>
            <w:r>
              <w:rPr>
                <w:rFonts w:hAnsi="等线" w:hint="eastAsia"/>
                <w:color w:val="000000"/>
              </w:rPr>
              <w:t>2</w:t>
            </w:r>
          </w:p>
        </w:tc>
        <w:tc>
          <w:tcPr>
            <w:tcW w:w="3709" w:type="dxa"/>
            <w:tcBorders>
              <w:top w:val="single" w:sz="8" w:space="0" w:color="000000"/>
              <w:left w:val="single" w:sz="8" w:space="0" w:color="000000"/>
              <w:bottom w:val="single" w:sz="6" w:space="0" w:color="000000"/>
              <w:right w:val="single" w:sz="8" w:space="0" w:color="000000"/>
            </w:tcBorders>
            <w:vAlign w:val="center"/>
          </w:tcPr>
          <w:p w14:paraId="198D4E7B" w14:textId="77777777" w:rsidR="00D65E55" w:rsidRDefault="00D65E55" w:rsidP="00D65E55">
            <w:pPr>
              <w:pStyle w:val="biaogeleft"/>
              <w:wordWrap w:val="0"/>
              <w:rPr>
                <w:rFonts w:hint="eastAsia"/>
              </w:rPr>
            </w:pPr>
            <w:r>
              <w:rPr>
                <w:rFonts w:hint="eastAsia"/>
              </w:rPr>
              <w:t>应收证券清算款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5D087576" w14:textId="79C1A560" w:rsidR="00D65E55" w:rsidRDefault="00D65E55" w:rsidP="00D65E55">
            <w:pPr>
              <w:pStyle w:val="biaogeright"/>
              <w:wordWrap w:val="0"/>
              <w:rPr>
                <w:rFonts w:hint="eastAsia"/>
              </w:rPr>
            </w:pPr>
            <w:r w:rsidRPr="00474410">
              <w:rPr>
                <w:rFonts w:hAnsi="Calibri"/>
                <w:color w:val="000000"/>
              </w:rPr>
              <w:t>-</w:t>
            </w:r>
          </w:p>
        </w:tc>
      </w:tr>
      <w:tr w:rsidR="00D65E55" w14:paraId="1CEDE655"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3E14601" w14:textId="77777777" w:rsidR="00D65E55" w:rsidRDefault="00D65E55" w:rsidP="00D65E55">
            <w:pPr>
              <w:pStyle w:val="biaogecenter"/>
              <w:wordWrap w:val="0"/>
              <w:rPr>
                <w:rFonts w:hint="eastAsia"/>
              </w:rPr>
            </w:pPr>
            <w:r>
              <w:rPr>
                <w:rFonts w:hAnsi="等线" w:hint="eastAsia"/>
                <w:color w:val="000000"/>
              </w:rPr>
              <w:t>3</w:t>
            </w:r>
          </w:p>
        </w:tc>
        <w:tc>
          <w:tcPr>
            <w:tcW w:w="3709" w:type="dxa"/>
            <w:tcBorders>
              <w:top w:val="single" w:sz="8" w:space="0" w:color="000000"/>
              <w:left w:val="single" w:sz="8" w:space="0" w:color="000000"/>
              <w:bottom w:val="single" w:sz="6" w:space="0" w:color="000000"/>
              <w:right w:val="single" w:sz="8" w:space="0" w:color="000000"/>
            </w:tcBorders>
            <w:vAlign w:val="center"/>
          </w:tcPr>
          <w:p w14:paraId="4447551A" w14:textId="77777777" w:rsidR="00D65E55" w:rsidRDefault="00D65E55" w:rsidP="00D65E55">
            <w:pPr>
              <w:pStyle w:val="biaogeleft"/>
              <w:wordWrap w:val="0"/>
              <w:rPr>
                <w:rFonts w:hint="eastAsia"/>
              </w:rPr>
            </w:pPr>
            <w:r>
              <w:rPr>
                <w:rFonts w:hint="eastAsia"/>
              </w:rPr>
              <w:t>应收股利</w:t>
            </w:r>
          </w:p>
        </w:tc>
        <w:tc>
          <w:tcPr>
            <w:tcW w:w="4060" w:type="dxa"/>
            <w:tcBorders>
              <w:top w:val="single" w:sz="8" w:space="0" w:color="000000"/>
              <w:left w:val="single" w:sz="8" w:space="0" w:color="000000"/>
              <w:bottom w:val="single" w:sz="6" w:space="0" w:color="000000"/>
              <w:right w:val="single" w:sz="8" w:space="0" w:color="000000"/>
            </w:tcBorders>
            <w:vAlign w:val="center"/>
          </w:tcPr>
          <w:p w14:paraId="7F989DE2" w14:textId="14F2567A" w:rsidR="00D65E55" w:rsidRDefault="00D65E55" w:rsidP="00D65E55">
            <w:pPr>
              <w:pStyle w:val="biaogeright"/>
              <w:wordWrap w:val="0"/>
              <w:rPr>
                <w:rFonts w:hint="eastAsia"/>
              </w:rPr>
            </w:pPr>
            <w:r w:rsidRPr="00474410">
              <w:rPr>
                <w:rFonts w:hAnsi="Calibri"/>
                <w:color w:val="000000"/>
              </w:rPr>
              <w:t>-</w:t>
            </w:r>
          </w:p>
        </w:tc>
      </w:tr>
      <w:tr w:rsidR="00D65E55" w14:paraId="07D1F7BB"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6DAA0ED6" w14:textId="77777777" w:rsidR="00D65E55" w:rsidRDefault="00D65E55" w:rsidP="00D65E55">
            <w:pPr>
              <w:pStyle w:val="biaogecenter"/>
              <w:wordWrap w:val="0"/>
              <w:rPr>
                <w:rFonts w:hint="eastAsia"/>
              </w:rPr>
            </w:pPr>
            <w:r>
              <w:rPr>
                <w:rFonts w:hAnsi="等线" w:hint="eastAsia"/>
                <w:color w:val="000000"/>
              </w:rPr>
              <w:t>4</w:t>
            </w:r>
          </w:p>
        </w:tc>
        <w:tc>
          <w:tcPr>
            <w:tcW w:w="3709" w:type="dxa"/>
            <w:tcBorders>
              <w:top w:val="single" w:sz="8" w:space="0" w:color="000000"/>
              <w:left w:val="single" w:sz="8" w:space="0" w:color="000000"/>
              <w:bottom w:val="single" w:sz="6" w:space="0" w:color="000000"/>
              <w:right w:val="single" w:sz="8" w:space="0" w:color="000000"/>
            </w:tcBorders>
            <w:vAlign w:val="center"/>
          </w:tcPr>
          <w:p w14:paraId="30081E48" w14:textId="77777777" w:rsidR="00D65E55" w:rsidRDefault="00D65E55" w:rsidP="00D65E55">
            <w:pPr>
              <w:pStyle w:val="biaogeleft"/>
              <w:wordWrap w:val="0"/>
              <w:rPr>
                <w:rFonts w:hint="eastAsia"/>
              </w:rPr>
            </w:pPr>
            <w:r>
              <w:rPr>
                <w:rFonts w:hint="eastAsia"/>
              </w:rPr>
              <w:t>应收利息</w:t>
            </w:r>
          </w:p>
        </w:tc>
        <w:tc>
          <w:tcPr>
            <w:tcW w:w="4060" w:type="dxa"/>
            <w:tcBorders>
              <w:top w:val="single" w:sz="8" w:space="0" w:color="000000"/>
              <w:left w:val="single" w:sz="8" w:space="0" w:color="000000"/>
              <w:bottom w:val="single" w:sz="6" w:space="0" w:color="000000"/>
              <w:right w:val="single" w:sz="8" w:space="0" w:color="000000"/>
            </w:tcBorders>
            <w:vAlign w:val="center"/>
          </w:tcPr>
          <w:p w14:paraId="427E716B" w14:textId="2FEC50E0" w:rsidR="00D65E55" w:rsidRDefault="00D65E55" w:rsidP="00D65E55">
            <w:pPr>
              <w:pStyle w:val="biaogeright"/>
              <w:wordWrap w:val="0"/>
              <w:rPr>
                <w:rFonts w:hint="eastAsia"/>
              </w:rPr>
            </w:pPr>
            <w:r w:rsidRPr="00474410">
              <w:rPr>
                <w:rFonts w:hAnsi="Calibri"/>
                <w:color w:val="000000"/>
              </w:rPr>
              <w:t>-</w:t>
            </w:r>
          </w:p>
        </w:tc>
      </w:tr>
      <w:tr w:rsidR="00D65E55" w14:paraId="212540D8"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1D197CF4" w14:textId="77777777" w:rsidR="00D65E55" w:rsidRDefault="00D65E55" w:rsidP="00D65E55">
            <w:pPr>
              <w:pStyle w:val="biaogecenter"/>
              <w:wordWrap w:val="0"/>
              <w:rPr>
                <w:rFonts w:hint="eastAsia"/>
              </w:rPr>
            </w:pPr>
            <w:r>
              <w:rPr>
                <w:rFonts w:hAnsi="等线" w:hint="eastAsia"/>
                <w:color w:val="000000"/>
              </w:rPr>
              <w:t>5</w:t>
            </w:r>
          </w:p>
        </w:tc>
        <w:tc>
          <w:tcPr>
            <w:tcW w:w="3709" w:type="dxa"/>
            <w:tcBorders>
              <w:top w:val="single" w:sz="8" w:space="0" w:color="000000"/>
              <w:left w:val="single" w:sz="8" w:space="0" w:color="000000"/>
              <w:bottom w:val="single" w:sz="6" w:space="0" w:color="000000"/>
              <w:right w:val="single" w:sz="8" w:space="0" w:color="000000"/>
            </w:tcBorders>
            <w:vAlign w:val="center"/>
          </w:tcPr>
          <w:p w14:paraId="75DB6312" w14:textId="77777777" w:rsidR="00D65E55" w:rsidRDefault="00D65E55" w:rsidP="00D65E55">
            <w:pPr>
              <w:pStyle w:val="biaogeleft"/>
              <w:wordWrap w:val="0"/>
              <w:rPr>
                <w:rFonts w:hint="eastAsia"/>
              </w:rPr>
            </w:pPr>
            <w:r>
              <w:rPr>
                <w:rFonts w:hint="eastAsia"/>
              </w:rPr>
              <w:t>应收申购款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7C749FD9" w14:textId="17E770F4" w:rsidR="00D65E55" w:rsidRDefault="00D65E55" w:rsidP="00D65E55">
            <w:pPr>
              <w:pStyle w:val="biaogeright"/>
              <w:wordWrap w:val="0"/>
              <w:rPr>
                <w:rFonts w:hint="eastAsia"/>
              </w:rPr>
            </w:pPr>
            <w:r w:rsidRPr="00474410">
              <w:rPr>
                <w:rFonts w:hAnsi="Calibri"/>
                <w:color w:val="000000"/>
              </w:rPr>
              <w:t>58,122.45</w:t>
            </w:r>
          </w:p>
        </w:tc>
      </w:tr>
      <w:tr w:rsidR="00D65E55" w14:paraId="145B49E7"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2D355F6F" w14:textId="77777777" w:rsidR="00D65E55" w:rsidRDefault="00D65E55" w:rsidP="00D65E55">
            <w:pPr>
              <w:pStyle w:val="biaogecenter"/>
              <w:wordWrap w:val="0"/>
              <w:rPr>
                <w:rFonts w:hint="eastAsia"/>
              </w:rPr>
            </w:pPr>
            <w:r>
              <w:rPr>
                <w:rFonts w:hAnsi="等线" w:hint="eastAsia"/>
                <w:color w:val="000000"/>
              </w:rPr>
              <w:t>6</w:t>
            </w:r>
          </w:p>
        </w:tc>
        <w:tc>
          <w:tcPr>
            <w:tcW w:w="3709" w:type="dxa"/>
            <w:tcBorders>
              <w:top w:val="single" w:sz="8" w:space="0" w:color="000000"/>
              <w:left w:val="single" w:sz="8" w:space="0" w:color="000000"/>
              <w:bottom w:val="single" w:sz="6" w:space="0" w:color="000000"/>
              <w:right w:val="single" w:sz="8" w:space="0" w:color="000000"/>
            </w:tcBorders>
            <w:vAlign w:val="center"/>
          </w:tcPr>
          <w:p w14:paraId="739AEB4E" w14:textId="77777777" w:rsidR="00D65E55" w:rsidRDefault="00D65E55" w:rsidP="00D65E55">
            <w:pPr>
              <w:pStyle w:val="biaogeleft"/>
              <w:wordWrap w:val="0"/>
              <w:rPr>
                <w:rFonts w:hint="eastAsia"/>
              </w:rPr>
            </w:pPr>
            <w:r>
              <w:rPr>
                <w:rFonts w:hint="eastAsia"/>
              </w:rPr>
              <w:t>其他应收款</w:t>
            </w:r>
          </w:p>
        </w:tc>
        <w:tc>
          <w:tcPr>
            <w:tcW w:w="4060" w:type="dxa"/>
            <w:tcBorders>
              <w:top w:val="single" w:sz="8" w:space="0" w:color="000000"/>
              <w:left w:val="single" w:sz="8" w:space="0" w:color="000000"/>
              <w:bottom w:val="single" w:sz="6" w:space="0" w:color="000000"/>
              <w:right w:val="single" w:sz="8" w:space="0" w:color="000000"/>
            </w:tcBorders>
            <w:vAlign w:val="center"/>
          </w:tcPr>
          <w:p w14:paraId="19420234" w14:textId="24E4F05F" w:rsidR="00D65E55" w:rsidRDefault="00D65E55" w:rsidP="00D65E55">
            <w:pPr>
              <w:pStyle w:val="biaogeright"/>
              <w:wordWrap w:val="0"/>
              <w:rPr>
                <w:rFonts w:hint="eastAsia"/>
              </w:rPr>
            </w:pPr>
            <w:r w:rsidRPr="00474410">
              <w:rPr>
                <w:rFonts w:hAnsi="Calibri"/>
                <w:color w:val="000000"/>
              </w:rPr>
              <w:t>-</w:t>
            </w:r>
          </w:p>
        </w:tc>
      </w:tr>
      <w:tr w:rsidR="00D65E55" w14:paraId="0C4001CA"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D2EE190" w14:textId="77777777" w:rsidR="00D65E55" w:rsidRDefault="00D65E55" w:rsidP="00D65E55">
            <w:pPr>
              <w:pStyle w:val="biaogecenter"/>
              <w:wordWrap w:val="0"/>
              <w:rPr>
                <w:rFonts w:hint="eastAsia"/>
              </w:rPr>
            </w:pPr>
            <w:r>
              <w:rPr>
                <w:rFonts w:hAnsi="等线" w:hint="eastAsia"/>
                <w:color w:val="000000"/>
              </w:rPr>
              <w:t>7</w:t>
            </w:r>
          </w:p>
        </w:tc>
        <w:tc>
          <w:tcPr>
            <w:tcW w:w="3709" w:type="dxa"/>
            <w:tcBorders>
              <w:top w:val="single" w:sz="8" w:space="0" w:color="000000"/>
              <w:left w:val="single" w:sz="8" w:space="0" w:color="000000"/>
              <w:bottom w:val="single" w:sz="6" w:space="0" w:color="000000"/>
              <w:right w:val="single" w:sz="8" w:space="0" w:color="000000"/>
            </w:tcBorders>
            <w:vAlign w:val="center"/>
          </w:tcPr>
          <w:p w14:paraId="5A8FFF18" w14:textId="77777777" w:rsidR="00D65E55" w:rsidRDefault="00D65E55" w:rsidP="00D65E55">
            <w:pPr>
              <w:pStyle w:val="biaogeleft"/>
              <w:wordWrap w:val="0"/>
              <w:rPr>
                <w:rFonts w:hint="eastAsia"/>
              </w:rPr>
            </w:pPr>
            <w:r>
              <w:rPr>
                <w:rFonts w:hint="eastAsia"/>
              </w:rPr>
              <w:t>其他</w:t>
            </w:r>
          </w:p>
        </w:tc>
        <w:tc>
          <w:tcPr>
            <w:tcW w:w="4060" w:type="dxa"/>
            <w:tcBorders>
              <w:top w:val="single" w:sz="8" w:space="0" w:color="000000"/>
              <w:left w:val="single" w:sz="8" w:space="0" w:color="000000"/>
              <w:bottom w:val="single" w:sz="6" w:space="0" w:color="000000"/>
              <w:right w:val="single" w:sz="8" w:space="0" w:color="000000"/>
            </w:tcBorders>
            <w:vAlign w:val="center"/>
          </w:tcPr>
          <w:p w14:paraId="613A14E2" w14:textId="7DE63B08" w:rsidR="00D65E55" w:rsidRDefault="00D65E55" w:rsidP="00D65E55">
            <w:pPr>
              <w:pStyle w:val="biaogeright"/>
              <w:wordWrap w:val="0"/>
              <w:rPr>
                <w:rFonts w:hint="eastAsia"/>
              </w:rPr>
            </w:pPr>
            <w:r w:rsidRPr="00474410">
              <w:rPr>
                <w:rFonts w:hAnsi="Calibri"/>
                <w:color w:val="000000"/>
              </w:rPr>
              <w:t>-</w:t>
            </w:r>
          </w:p>
        </w:tc>
      </w:tr>
      <w:tr w:rsidR="00D65E55" w14:paraId="72909461" w14:textId="77777777">
        <w:tc>
          <w:tcPr>
            <w:tcW w:w="1276" w:type="dxa"/>
            <w:tcBorders>
              <w:top w:val="single" w:sz="8" w:space="0" w:color="000000"/>
              <w:left w:val="single" w:sz="8" w:space="0" w:color="000000"/>
              <w:bottom w:val="single" w:sz="6" w:space="0" w:color="000000"/>
              <w:right w:val="single" w:sz="8" w:space="0" w:color="000000"/>
            </w:tcBorders>
            <w:vAlign w:val="center"/>
          </w:tcPr>
          <w:p w14:paraId="0E915423" w14:textId="77777777" w:rsidR="00D65E55" w:rsidRDefault="00D65E55" w:rsidP="00D65E55">
            <w:pPr>
              <w:pStyle w:val="biaogecenter"/>
              <w:wordWrap w:val="0"/>
              <w:rPr>
                <w:rFonts w:hint="eastAsia"/>
              </w:rPr>
            </w:pPr>
            <w:r>
              <w:rPr>
                <w:rFonts w:hAnsi="等线" w:hint="eastAsia"/>
                <w:color w:val="000000"/>
              </w:rPr>
              <w:t>8</w:t>
            </w:r>
          </w:p>
        </w:tc>
        <w:tc>
          <w:tcPr>
            <w:tcW w:w="3709" w:type="dxa"/>
            <w:tcBorders>
              <w:top w:val="single" w:sz="8" w:space="0" w:color="000000"/>
              <w:left w:val="single" w:sz="8" w:space="0" w:color="000000"/>
              <w:bottom w:val="single" w:sz="6" w:space="0" w:color="000000"/>
              <w:right w:val="single" w:sz="8" w:space="0" w:color="000000"/>
            </w:tcBorders>
            <w:vAlign w:val="center"/>
          </w:tcPr>
          <w:p w14:paraId="78558D91" w14:textId="77777777" w:rsidR="00D65E55" w:rsidRDefault="00D65E55" w:rsidP="00D65E55">
            <w:pPr>
              <w:pStyle w:val="biaogeleft"/>
              <w:wordWrap w:val="0"/>
              <w:rPr>
                <w:rFonts w:hint="eastAsia"/>
              </w:rPr>
            </w:pPr>
            <w:r>
              <w:rPr>
                <w:rFonts w:hint="eastAsia"/>
              </w:rPr>
              <w:t>合计</w:t>
            </w:r>
          </w:p>
        </w:tc>
        <w:tc>
          <w:tcPr>
            <w:tcW w:w="4060" w:type="dxa"/>
            <w:tcBorders>
              <w:top w:val="single" w:sz="8" w:space="0" w:color="000000"/>
              <w:left w:val="single" w:sz="8" w:space="0" w:color="000000"/>
              <w:bottom w:val="single" w:sz="6" w:space="0" w:color="000000"/>
              <w:right w:val="single" w:sz="8" w:space="0" w:color="000000"/>
            </w:tcBorders>
            <w:vAlign w:val="center"/>
          </w:tcPr>
          <w:p w14:paraId="0524DF20" w14:textId="0473AFE6" w:rsidR="00D65E55" w:rsidRDefault="00D65E55" w:rsidP="00D65E55">
            <w:pPr>
              <w:pStyle w:val="biaogeright"/>
              <w:wordWrap w:val="0"/>
              <w:rPr>
                <w:rFonts w:hint="eastAsia"/>
              </w:rPr>
            </w:pPr>
            <w:r w:rsidRPr="00474410">
              <w:rPr>
                <w:rFonts w:hAnsi="Calibri"/>
                <w:color w:val="000000"/>
              </w:rPr>
              <w:t>64,442.07</w:t>
            </w:r>
          </w:p>
        </w:tc>
      </w:tr>
    </w:tbl>
    <w:p w14:paraId="2F995190" w14:textId="77777777" w:rsidR="00913A13" w:rsidRDefault="00913A13">
      <w:pPr>
        <w:widowControl/>
        <w:jc w:val="left"/>
        <w:rPr>
          <w:rFonts w:ascii="宋体" w:eastAsia="宋体" w:hAnsi="宋体" w:cs="宋体" w:hint="eastAsia"/>
          <w:kern w:val="0"/>
          <w:sz w:val="24"/>
          <w:szCs w:val="24"/>
        </w:rPr>
      </w:pPr>
    </w:p>
    <w:p w14:paraId="27DAD2C3"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4）</w:t>
      </w:r>
      <w:r>
        <w:rPr>
          <w:rFonts w:asciiTheme="minorEastAsia" w:eastAsiaTheme="minorEastAsia" w:hAnsiTheme="minorEastAsia" w:cs="Times New Roman" w:hint="eastAsia"/>
          <w:bCs/>
          <w:kern w:val="2"/>
        </w:rPr>
        <w:t>报告期末持有的处于转股期的可转换债券明细</w:t>
      </w:r>
    </w:p>
    <w:p w14:paraId="10D44754" w14:textId="77777777" w:rsidR="00913A13" w:rsidRDefault="002F45B8">
      <w:pPr>
        <w:pStyle w:val="neirong"/>
        <w:ind w:firstLineChars="200" w:firstLine="480"/>
        <w:rPr>
          <w:rFonts w:hint="eastAsia"/>
        </w:rPr>
      </w:pPr>
      <w:r>
        <w:rPr>
          <w:rFonts w:hint="eastAsia"/>
        </w:rPr>
        <w:t>本基金本报告期末未持有处于转股期的可转换债券。</w:t>
      </w:r>
    </w:p>
    <w:p w14:paraId="3AC115BE" w14:textId="77777777" w:rsidR="00913A13" w:rsidRDefault="00913A13">
      <w:pPr>
        <w:widowControl/>
        <w:jc w:val="left"/>
        <w:rPr>
          <w:rFonts w:ascii="宋体" w:eastAsia="宋体" w:hAnsi="宋体" w:cs="宋体" w:hint="eastAsia"/>
          <w:kern w:val="0"/>
          <w:sz w:val="24"/>
          <w:szCs w:val="24"/>
        </w:rPr>
      </w:pPr>
    </w:p>
    <w:p w14:paraId="1C6BE4A8"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5） 报告</w:t>
      </w:r>
      <w:r>
        <w:rPr>
          <w:rFonts w:asciiTheme="minorEastAsia" w:eastAsiaTheme="minorEastAsia" w:hAnsiTheme="minorEastAsia" w:cs="Times New Roman" w:hint="eastAsia"/>
          <w:bCs/>
          <w:kern w:val="2"/>
        </w:rPr>
        <w:t>期末前十名股票中存在流通受限情况的说明</w:t>
      </w:r>
    </w:p>
    <w:p w14:paraId="722FB135" w14:textId="77777777" w:rsidR="00913A13" w:rsidRDefault="002F45B8">
      <w:pPr>
        <w:pStyle w:val="neirong"/>
        <w:ind w:firstLineChars="200" w:firstLine="480"/>
        <w:rPr>
          <w:rFonts w:hint="eastAsia"/>
        </w:rPr>
      </w:pPr>
      <w:r>
        <w:rPr>
          <w:rFonts w:hint="eastAsia"/>
        </w:rPr>
        <w:t>本基金本报告期末前十名股票中不存在流通受限股票。</w:t>
      </w:r>
    </w:p>
    <w:p w14:paraId="2AAE3697" w14:textId="77777777" w:rsidR="00913A13" w:rsidRDefault="00913A13">
      <w:pPr>
        <w:widowControl/>
        <w:jc w:val="left"/>
        <w:rPr>
          <w:rFonts w:ascii="宋体" w:eastAsia="宋体" w:hAnsi="宋体" w:cs="宋体" w:hint="eastAsia"/>
          <w:kern w:val="0"/>
          <w:sz w:val="24"/>
          <w:szCs w:val="24"/>
        </w:rPr>
      </w:pPr>
    </w:p>
    <w:p w14:paraId="78710DE7"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hint="eastAsia"/>
          <w:bCs/>
          <w:kern w:val="2"/>
        </w:rPr>
        <w:t>（</w:t>
      </w:r>
      <w:r>
        <w:rPr>
          <w:rFonts w:asciiTheme="minorEastAsia" w:eastAsiaTheme="minorEastAsia" w:hAnsiTheme="minorEastAsia" w:cs="Times New Roman"/>
          <w:bCs/>
          <w:kern w:val="2"/>
        </w:rPr>
        <w:t>6）</w:t>
      </w:r>
      <w:r>
        <w:rPr>
          <w:rFonts w:asciiTheme="minorEastAsia" w:eastAsiaTheme="minorEastAsia" w:hAnsiTheme="minorEastAsia" w:cs="Times New Roman" w:hint="eastAsia"/>
          <w:bCs/>
          <w:kern w:val="2"/>
        </w:rPr>
        <w:t>投资组合报告附注的其他文字描述部分</w:t>
      </w:r>
    </w:p>
    <w:p w14:paraId="242F48F6" w14:textId="77777777" w:rsidR="00913A13" w:rsidRDefault="002F45B8">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由于四舍五入原因，分项之和与合计可能有尾差。</w:t>
      </w:r>
    </w:p>
    <w:p w14:paraId="450ECA87" w14:textId="77777777" w:rsidR="00913A13" w:rsidRDefault="00913A13">
      <w:pPr>
        <w:spacing w:line="360" w:lineRule="auto"/>
        <w:ind w:firstLineChars="200" w:firstLine="480"/>
        <w:rPr>
          <w:rFonts w:asciiTheme="minorEastAsia" w:hAnsiTheme="minorEastAsia" w:cs="Times New Roman" w:hint="eastAsia"/>
          <w:bCs/>
          <w:sz w:val="24"/>
          <w:szCs w:val="24"/>
        </w:rPr>
      </w:pPr>
    </w:p>
    <w:p w14:paraId="637C699E" w14:textId="77777777" w:rsidR="00913A13" w:rsidRDefault="002F45B8">
      <w:pPr>
        <w:spacing w:line="360" w:lineRule="auto"/>
        <w:ind w:firstLineChars="200" w:firstLine="482"/>
        <w:rPr>
          <w:rFonts w:ascii="宋体" w:hAnsi="宋体" w:cs="Arial" w:hint="eastAsia"/>
          <w:b/>
          <w:bCs/>
          <w:sz w:val="24"/>
        </w:rPr>
      </w:pPr>
      <w:r>
        <w:rPr>
          <w:rFonts w:ascii="宋体" w:hAnsi="宋体" w:hint="eastAsia"/>
          <w:b/>
          <w:sz w:val="24"/>
        </w:rPr>
        <w:t>十、</w:t>
      </w:r>
      <w:r>
        <w:rPr>
          <w:rFonts w:ascii="宋体" w:hAnsi="宋体" w:cs="Arial" w:hint="eastAsia"/>
          <w:b/>
          <w:bCs/>
          <w:sz w:val="24"/>
        </w:rPr>
        <w:t>基金净值表现</w:t>
      </w:r>
    </w:p>
    <w:p w14:paraId="36ECC4AA" w14:textId="77777777" w:rsidR="00913A13" w:rsidRDefault="002F45B8">
      <w:pPr>
        <w:spacing w:line="360" w:lineRule="auto"/>
        <w:ind w:firstLineChars="200" w:firstLine="480"/>
        <w:rPr>
          <w:rFonts w:asciiTheme="minorEastAsia" w:hAnsiTheme="minorEastAsia" w:cs="Times New Roman" w:hint="eastAsia"/>
          <w:bCs/>
          <w:sz w:val="24"/>
          <w:szCs w:val="24"/>
        </w:rPr>
      </w:pPr>
      <w:bookmarkStart w:id="232" w:name="_Toc416264546"/>
      <w:bookmarkStart w:id="233" w:name="_Toc68266297"/>
      <w:bookmarkStart w:id="234" w:name="_Toc123102458"/>
      <w:bookmarkStart w:id="235" w:name="_Toc352229757"/>
      <w:bookmarkStart w:id="236" w:name="_Toc2255"/>
      <w:bookmarkStart w:id="237" w:name="_Toc79392624"/>
      <w:bookmarkStart w:id="238" w:name="_Toc16789"/>
      <w:bookmarkStart w:id="239" w:name="_Toc26084"/>
      <w:bookmarkStart w:id="240" w:name="_Toc48649710"/>
      <w:bookmarkStart w:id="241" w:name="_Toc26152"/>
      <w:bookmarkStart w:id="242" w:name="_Toc3244"/>
      <w:bookmarkStart w:id="243" w:name="_Toc139991741"/>
      <w:bookmarkStart w:id="244" w:name="_Toc19520"/>
      <w:bookmarkStart w:id="245" w:name="_Toc123051457"/>
      <w:bookmarkStart w:id="246" w:name="_Toc141703891"/>
      <w:bookmarkStart w:id="247" w:name="_Toc98560357"/>
      <w:bookmarkStart w:id="248" w:name="_Toc31469"/>
      <w:bookmarkStart w:id="249" w:name="_Toc22674"/>
      <w:bookmarkStart w:id="250" w:name="_Toc123112239"/>
      <w:bookmarkStart w:id="251" w:name="_Toc26383"/>
      <w:bookmarkStart w:id="252" w:name="_Toc14725"/>
      <w:bookmarkStart w:id="253" w:name="_Toc21886"/>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Fonts w:asciiTheme="minorEastAsia" w:hAnsiTheme="minorEastAsia" w:cs="Times New Roman"/>
          <w:bCs/>
          <w:sz w:val="24"/>
          <w:szCs w:val="24"/>
        </w:rPr>
        <w:t>1</w:t>
      </w:r>
      <w:r>
        <w:rPr>
          <w:rFonts w:asciiTheme="minorEastAsia" w:hAnsiTheme="minorEastAsia" w:cs="Times New Roman" w:hint="eastAsia"/>
          <w:bCs/>
          <w:sz w:val="24"/>
          <w:szCs w:val="24"/>
        </w:rPr>
        <w:t>、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344187AC" w14:textId="77777777" w:rsidR="00913A13" w:rsidRDefault="002F45B8">
      <w:pPr>
        <w:spacing w:line="360" w:lineRule="auto"/>
        <w:rPr>
          <w:rFonts w:ascii="宋体" w:hAnsi="宋体" w:hint="eastAsia"/>
          <w:bCs/>
          <w:szCs w:val="21"/>
        </w:rPr>
      </w:pPr>
      <w:r>
        <w:rPr>
          <w:rFonts w:ascii="宋体" w:hAnsi="宋体" w:hint="eastAsia"/>
          <w:bCs/>
          <w:szCs w:val="21"/>
        </w:rPr>
        <w:t>（1）富荣福银混合A（</w:t>
      </w:r>
      <w:r>
        <w:rPr>
          <w:rFonts w:ascii="宋体" w:hAnsi="宋体" w:hint="eastAsia"/>
          <w:color w:val="000000"/>
          <w:kern w:val="0"/>
          <w:szCs w:val="21"/>
        </w:rPr>
        <w:t>基金代码：</w:t>
      </w:r>
      <w:r>
        <w:rPr>
          <w:rFonts w:ascii="宋体" w:hAnsi="宋体"/>
          <w:color w:val="000000"/>
          <w:kern w:val="0"/>
          <w:szCs w:val="21"/>
        </w:rPr>
        <w:t>012545</w:t>
      </w:r>
      <w:r>
        <w:rPr>
          <w:rFonts w:ascii="宋体" w:hAnsi="宋体" w:hint="eastAsia"/>
          <w:bCs/>
          <w:szCs w:val="21"/>
        </w:rPr>
        <w:t>）</w:t>
      </w:r>
    </w:p>
    <w:tbl>
      <w:tblPr>
        <w:tblW w:w="9948" w:type="dxa"/>
        <w:jc w:val="center"/>
        <w:tblLook w:val="04A0" w:firstRow="1" w:lastRow="0" w:firstColumn="1" w:lastColumn="0" w:noHBand="0" w:noVBand="1"/>
      </w:tblPr>
      <w:tblGrid>
        <w:gridCol w:w="1454"/>
        <w:gridCol w:w="1385"/>
        <w:gridCol w:w="1419"/>
        <w:gridCol w:w="1275"/>
        <w:gridCol w:w="1683"/>
        <w:gridCol w:w="1369"/>
        <w:gridCol w:w="1363"/>
      </w:tblGrid>
      <w:tr w:rsidR="00913A13" w14:paraId="59380972"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50FEAA20" w14:textId="77777777" w:rsidR="00913A13" w:rsidRDefault="002F45B8">
            <w:pPr>
              <w:pStyle w:val="biaogeleft"/>
              <w:wordWrap w:val="0"/>
              <w:rPr>
                <w:rFonts w:hint="eastAsia"/>
              </w:rPr>
            </w:pPr>
            <w:r>
              <w:rPr>
                <w:rFonts w:hint="eastAsia"/>
              </w:rPr>
              <w:t>阶段</w:t>
            </w:r>
          </w:p>
        </w:tc>
        <w:tc>
          <w:tcPr>
            <w:tcW w:w="696" w:type="pct"/>
            <w:tcBorders>
              <w:top w:val="single" w:sz="8" w:space="0" w:color="000000"/>
              <w:left w:val="single" w:sz="8" w:space="0" w:color="000000"/>
              <w:bottom w:val="single" w:sz="6" w:space="0" w:color="000000"/>
              <w:right w:val="single" w:sz="8" w:space="0" w:color="000000"/>
            </w:tcBorders>
            <w:vAlign w:val="center"/>
          </w:tcPr>
          <w:p w14:paraId="54D162E4" w14:textId="77777777" w:rsidR="00913A13" w:rsidRDefault="002F45B8">
            <w:pPr>
              <w:pStyle w:val="biaogecenter"/>
              <w:wordWrap w:val="0"/>
              <w:rPr>
                <w:rFonts w:hint="eastAsia"/>
              </w:rPr>
            </w:pPr>
            <w:r>
              <w:rPr>
                <w:rFonts w:hint="eastAsia"/>
              </w:rPr>
              <w:t>净值增长率①</w:t>
            </w:r>
          </w:p>
        </w:tc>
        <w:tc>
          <w:tcPr>
            <w:tcW w:w="713" w:type="pct"/>
            <w:tcBorders>
              <w:top w:val="single" w:sz="8" w:space="0" w:color="000000"/>
              <w:left w:val="single" w:sz="8" w:space="0" w:color="000000"/>
              <w:bottom w:val="single" w:sz="6" w:space="0" w:color="000000"/>
              <w:right w:val="single" w:sz="8" w:space="0" w:color="000000"/>
            </w:tcBorders>
            <w:vAlign w:val="center"/>
          </w:tcPr>
          <w:p w14:paraId="7FCBB9CA" w14:textId="77777777" w:rsidR="00913A13" w:rsidRDefault="002F45B8">
            <w:pPr>
              <w:pStyle w:val="biaogecenter"/>
              <w:wordWrap w:val="0"/>
              <w:rPr>
                <w:rFonts w:hint="eastAsia"/>
              </w:rPr>
            </w:pPr>
            <w:r>
              <w:rPr>
                <w:rFonts w:hint="eastAsia"/>
              </w:rPr>
              <w:t>净值增长率标准差②</w:t>
            </w:r>
          </w:p>
        </w:tc>
        <w:tc>
          <w:tcPr>
            <w:tcW w:w="641" w:type="pct"/>
            <w:tcBorders>
              <w:top w:val="single" w:sz="8" w:space="0" w:color="000000"/>
              <w:left w:val="single" w:sz="8" w:space="0" w:color="000000"/>
              <w:bottom w:val="single" w:sz="6" w:space="0" w:color="000000"/>
              <w:right w:val="single" w:sz="8" w:space="0" w:color="000000"/>
            </w:tcBorders>
            <w:vAlign w:val="center"/>
          </w:tcPr>
          <w:p w14:paraId="45A368FA" w14:textId="77777777" w:rsidR="00913A13" w:rsidRDefault="002F45B8">
            <w:pPr>
              <w:pStyle w:val="biaogecenter"/>
              <w:wordWrap w:val="0"/>
              <w:rPr>
                <w:rFonts w:hint="eastAsia"/>
              </w:rPr>
            </w:pPr>
            <w:r>
              <w:rPr>
                <w:rFonts w:hint="eastAsia"/>
              </w:rPr>
              <w:t>业绩比较基准收益率③</w:t>
            </w:r>
          </w:p>
        </w:tc>
        <w:tc>
          <w:tcPr>
            <w:tcW w:w="846" w:type="pct"/>
            <w:tcBorders>
              <w:top w:val="single" w:sz="8" w:space="0" w:color="000000"/>
              <w:left w:val="single" w:sz="8" w:space="0" w:color="000000"/>
              <w:bottom w:val="single" w:sz="6" w:space="0" w:color="000000"/>
              <w:right w:val="single" w:sz="8" w:space="0" w:color="000000"/>
            </w:tcBorders>
            <w:vAlign w:val="center"/>
          </w:tcPr>
          <w:p w14:paraId="28FF1C8F" w14:textId="77777777" w:rsidR="00913A13" w:rsidRDefault="002F45B8">
            <w:pPr>
              <w:pStyle w:val="biaogecenter"/>
              <w:wordWrap w:val="0"/>
              <w:rPr>
                <w:rFonts w:hint="eastAsia"/>
              </w:rPr>
            </w:pPr>
            <w:r>
              <w:rPr>
                <w:rFonts w:hint="eastAsia"/>
              </w:rPr>
              <w:t>业绩比较基准收益率标准差④</w:t>
            </w:r>
          </w:p>
        </w:tc>
        <w:tc>
          <w:tcPr>
            <w:tcW w:w="688" w:type="pct"/>
            <w:tcBorders>
              <w:top w:val="single" w:sz="8" w:space="0" w:color="000000"/>
              <w:left w:val="single" w:sz="8" w:space="0" w:color="000000"/>
              <w:bottom w:val="single" w:sz="6" w:space="0" w:color="000000"/>
              <w:right w:val="single" w:sz="8" w:space="0" w:color="000000"/>
            </w:tcBorders>
            <w:vAlign w:val="center"/>
          </w:tcPr>
          <w:p w14:paraId="5DF75657" w14:textId="77777777" w:rsidR="00913A13" w:rsidRDefault="002F45B8">
            <w:pPr>
              <w:pStyle w:val="biaogecenter"/>
              <w:wordWrap w:val="0"/>
              <w:rPr>
                <w:rFonts w:hint="eastAsia"/>
              </w:rPr>
            </w:pPr>
            <w:r>
              <w:rPr>
                <w:rFonts w:hint="eastAsia"/>
              </w:rPr>
              <w:t>①-③</w:t>
            </w:r>
          </w:p>
        </w:tc>
        <w:tc>
          <w:tcPr>
            <w:tcW w:w="685" w:type="pct"/>
            <w:tcBorders>
              <w:top w:val="single" w:sz="8" w:space="0" w:color="000000"/>
              <w:left w:val="single" w:sz="8" w:space="0" w:color="000000"/>
              <w:bottom w:val="single" w:sz="6" w:space="0" w:color="000000"/>
              <w:right w:val="single" w:sz="8" w:space="0" w:color="000000"/>
            </w:tcBorders>
            <w:vAlign w:val="center"/>
          </w:tcPr>
          <w:p w14:paraId="74B830E0" w14:textId="77777777" w:rsidR="00913A13" w:rsidRDefault="002F45B8">
            <w:pPr>
              <w:pStyle w:val="biaogecenter"/>
              <w:wordWrap w:val="0"/>
              <w:rPr>
                <w:rFonts w:hint="eastAsia"/>
              </w:rPr>
            </w:pPr>
            <w:r>
              <w:rPr>
                <w:rFonts w:hint="eastAsia"/>
              </w:rPr>
              <w:t>②-④</w:t>
            </w:r>
          </w:p>
        </w:tc>
      </w:tr>
      <w:tr w:rsidR="00913A13" w14:paraId="422CA304"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55CF2EDB" w14:textId="77777777" w:rsidR="00913A13" w:rsidRDefault="002F45B8">
            <w:pPr>
              <w:pStyle w:val="biaogeleft"/>
              <w:wordWrap w:val="0"/>
              <w:rPr>
                <w:rFonts w:hint="eastAsia"/>
              </w:rPr>
            </w:pPr>
            <w:r>
              <w:rPr>
                <w:rFonts w:hint="eastAsia"/>
                <w:color w:val="000000"/>
                <w:sz w:val="21"/>
                <w:szCs w:val="21"/>
              </w:rPr>
              <w:t>2021.06.18~2021.12.31</w:t>
            </w:r>
          </w:p>
        </w:tc>
        <w:tc>
          <w:tcPr>
            <w:tcW w:w="696" w:type="pct"/>
            <w:tcBorders>
              <w:top w:val="single" w:sz="8" w:space="0" w:color="000000"/>
              <w:left w:val="single" w:sz="8" w:space="0" w:color="000000"/>
              <w:bottom w:val="single" w:sz="6" w:space="0" w:color="000000"/>
              <w:right w:val="single" w:sz="8" w:space="0" w:color="000000"/>
            </w:tcBorders>
            <w:vAlign w:val="center"/>
          </w:tcPr>
          <w:p w14:paraId="08457C9A" w14:textId="77777777" w:rsidR="00913A13" w:rsidRDefault="002F45B8">
            <w:pPr>
              <w:pStyle w:val="biaogecenter"/>
              <w:wordWrap w:val="0"/>
              <w:rPr>
                <w:rFonts w:hint="eastAsia"/>
              </w:rPr>
            </w:pPr>
            <w:r>
              <w:rPr>
                <w:rFonts w:hint="eastAsia"/>
              </w:rPr>
              <w:t>-2.11%</w:t>
            </w:r>
          </w:p>
        </w:tc>
        <w:tc>
          <w:tcPr>
            <w:tcW w:w="713" w:type="pct"/>
            <w:tcBorders>
              <w:top w:val="single" w:sz="8" w:space="0" w:color="000000"/>
              <w:left w:val="single" w:sz="8" w:space="0" w:color="000000"/>
              <w:bottom w:val="single" w:sz="6" w:space="0" w:color="000000"/>
              <w:right w:val="single" w:sz="8" w:space="0" w:color="000000"/>
            </w:tcBorders>
            <w:vAlign w:val="center"/>
          </w:tcPr>
          <w:p w14:paraId="6CC9C8C7" w14:textId="77777777" w:rsidR="00913A13" w:rsidRDefault="002F45B8">
            <w:pPr>
              <w:pStyle w:val="biaogecenter"/>
              <w:wordWrap w:val="0"/>
              <w:rPr>
                <w:rFonts w:hint="eastAsia"/>
              </w:rPr>
            </w:pPr>
            <w:r>
              <w:rPr>
                <w:rFonts w:hint="eastAsia"/>
              </w:rPr>
              <w:t>1.13%</w:t>
            </w:r>
          </w:p>
        </w:tc>
        <w:tc>
          <w:tcPr>
            <w:tcW w:w="641" w:type="pct"/>
            <w:tcBorders>
              <w:top w:val="single" w:sz="8" w:space="0" w:color="000000"/>
              <w:left w:val="single" w:sz="8" w:space="0" w:color="000000"/>
              <w:bottom w:val="single" w:sz="6" w:space="0" w:color="000000"/>
              <w:right w:val="single" w:sz="8" w:space="0" w:color="000000"/>
            </w:tcBorders>
            <w:vAlign w:val="center"/>
          </w:tcPr>
          <w:p w14:paraId="14287A46" w14:textId="77777777" w:rsidR="00913A13" w:rsidRDefault="002F45B8">
            <w:pPr>
              <w:pStyle w:val="biaogecenter"/>
              <w:wordWrap w:val="0"/>
              <w:rPr>
                <w:rFonts w:hint="eastAsia"/>
              </w:rPr>
            </w:pPr>
            <w:r>
              <w:rPr>
                <w:rFonts w:hint="eastAsia"/>
              </w:rPr>
              <w:t>-1.61%</w:t>
            </w:r>
          </w:p>
        </w:tc>
        <w:tc>
          <w:tcPr>
            <w:tcW w:w="846" w:type="pct"/>
            <w:tcBorders>
              <w:top w:val="single" w:sz="8" w:space="0" w:color="000000"/>
              <w:left w:val="single" w:sz="8" w:space="0" w:color="000000"/>
              <w:bottom w:val="single" w:sz="6" w:space="0" w:color="000000"/>
              <w:right w:val="single" w:sz="8" w:space="0" w:color="000000"/>
            </w:tcBorders>
            <w:vAlign w:val="center"/>
          </w:tcPr>
          <w:p w14:paraId="6FE78C32" w14:textId="77777777" w:rsidR="00913A13" w:rsidRDefault="002F45B8">
            <w:pPr>
              <w:pStyle w:val="biaogecenter"/>
              <w:wordWrap w:val="0"/>
              <w:rPr>
                <w:rFonts w:hint="eastAsia"/>
              </w:rPr>
            </w:pPr>
            <w:r>
              <w:rPr>
                <w:rFonts w:hint="eastAsia"/>
              </w:rPr>
              <w:t>0.70%</w:t>
            </w:r>
          </w:p>
        </w:tc>
        <w:tc>
          <w:tcPr>
            <w:tcW w:w="688" w:type="pct"/>
            <w:tcBorders>
              <w:top w:val="single" w:sz="8" w:space="0" w:color="000000"/>
              <w:left w:val="single" w:sz="8" w:space="0" w:color="000000"/>
              <w:bottom w:val="single" w:sz="6" w:space="0" w:color="000000"/>
              <w:right w:val="single" w:sz="8" w:space="0" w:color="000000"/>
            </w:tcBorders>
            <w:vAlign w:val="center"/>
          </w:tcPr>
          <w:p w14:paraId="20FA3FEB" w14:textId="77777777" w:rsidR="00913A13" w:rsidRDefault="002F45B8">
            <w:pPr>
              <w:pStyle w:val="biaogecenter"/>
              <w:wordWrap w:val="0"/>
              <w:rPr>
                <w:rFonts w:hint="eastAsia"/>
              </w:rPr>
            </w:pPr>
            <w:r>
              <w:rPr>
                <w:rFonts w:hint="eastAsia"/>
              </w:rPr>
              <w:t>-0.50%</w:t>
            </w:r>
          </w:p>
        </w:tc>
        <w:tc>
          <w:tcPr>
            <w:tcW w:w="685" w:type="pct"/>
            <w:tcBorders>
              <w:top w:val="single" w:sz="8" w:space="0" w:color="000000"/>
              <w:left w:val="single" w:sz="8" w:space="0" w:color="000000"/>
              <w:bottom w:val="single" w:sz="6" w:space="0" w:color="000000"/>
              <w:right w:val="single" w:sz="8" w:space="0" w:color="000000"/>
            </w:tcBorders>
            <w:vAlign w:val="center"/>
          </w:tcPr>
          <w:p w14:paraId="3B72E79F" w14:textId="77777777" w:rsidR="00913A13" w:rsidRDefault="002F45B8">
            <w:pPr>
              <w:pStyle w:val="biaogecenter"/>
              <w:wordWrap w:val="0"/>
              <w:rPr>
                <w:rFonts w:hint="eastAsia"/>
              </w:rPr>
            </w:pPr>
            <w:r>
              <w:rPr>
                <w:rFonts w:hint="eastAsia"/>
              </w:rPr>
              <w:t>0.43%</w:t>
            </w:r>
          </w:p>
        </w:tc>
      </w:tr>
      <w:tr w:rsidR="00913A13" w14:paraId="24E694D6"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4576ABA4" w14:textId="77777777" w:rsidR="00913A13" w:rsidRDefault="002F45B8">
            <w:pPr>
              <w:pStyle w:val="biaogeleft"/>
              <w:wordWrap w:val="0"/>
              <w:rPr>
                <w:rFonts w:hint="eastAsia"/>
              </w:rPr>
            </w:pPr>
            <w:r>
              <w:rPr>
                <w:rFonts w:hint="eastAsia"/>
                <w:color w:val="000000"/>
                <w:sz w:val="21"/>
                <w:szCs w:val="21"/>
              </w:rPr>
              <w:t>2022.01.01~2022.12.31</w:t>
            </w:r>
          </w:p>
        </w:tc>
        <w:tc>
          <w:tcPr>
            <w:tcW w:w="696" w:type="pct"/>
            <w:tcBorders>
              <w:top w:val="single" w:sz="8" w:space="0" w:color="000000"/>
              <w:left w:val="single" w:sz="8" w:space="0" w:color="000000"/>
              <w:bottom w:val="single" w:sz="6" w:space="0" w:color="000000"/>
              <w:right w:val="single" w:sz="8" w:space="0" w:color="000000"/>
            </w:tcBorders>
            <w:vAlign w:val="center"/>
          </w:tcPr>
          <w:p w14:paraId="74A38E96" w14:textId="77777777" w:rsidR="00913A13" w:rsidRDefault="002F45B8">
            <w:pPr>
              <w:pStyle w:val="biaogecenter"/>
              <w:wordWrap w:val="0"/>
              <w:rPr>
                <w:rFonts w:hint="eastAsia"/>
              </w:rPr>
            </w:pPr>
            <w:r>
              <w:rPr>
                <w:rFonts w:hAnsi="等线"/>
                <w:color w:val="000000"/>
              </w:rPr>
              <w:t>-11.33%</w:t>
            </w:r>
          </w:p>
        </w:tc>
        <w:tc>
          <w:tcPr>
            <w:tcW w:w="713" w:type="pct"/>
            <w:tcBorders>
              <w:top w:val="single" w:sz="8" w:space="0" w:color="000000"/>
              <w:left w:val="single" w:sz="8" w:space="0" w:color="000000"/>
              <w:bottom w:val="single" w:sz="6" w:space="0" w:color="000000"/>
              <w:right w:val="single" w:sz="8" w:space="0" w:color="000000"/>
            </w:tcBorders>
            <w:vAlign w:val="center"/>
          </w:tcPr>
          <w:p w14:paraId="41A212CB" w14:textId="77777777" w:rsidR="00913A13" w:rsidRDefault="002F45B8">
            <w:pPr>
              <w:pStyle w:val="biaogecenter"/>
              <w:wordWrap w:val="0"/>
              <w:rPr>
                <w:rFonts w:hint="eastAsia"/>
              </w:rPr>
            </w:pPr>
            <w:r>
              <w:rPr>
                <w:rFonts w:hAnsi="等线"/>
                <w:color w:val="000000"/>
              </w:rPr>
              <w:t>1.28%</w:t>
            </w:r>
          </w:p>
        </w:tc>
        <w:tc>
          <w:tcPr>
            <w:tcW w:w="641" w:type="pct"/>
            <w:tcBorders>
              <w:top w:val="single" w:sz="8" w:space="0" w:color="000000"/>
              <w:left w:val="single" w:sz="8" w:space="0" w:color="000000"/>
              <w:bottom w:val="single" w:sz="6" w:space="0" w:color="000000"/>
              <w:right w:val="single" w:sz="8" w:space="0" w:color="000000"/>
            </w:tcBorders>
            <w:vAlign w:val="center"/>
          </w:tcPr>
          <w:p w14:paraId="01B7CACB" w14:textId="77777777" w:rsidR="00913A13" w:rsidRDefault="002F45B8">
            <w:pPr>
              <w:pStyle w:val="biaogecenter"/>
              <w:wordWrap w:val="0"/>
              <w:rPr>
                <w:rFonts w:hint="eastAsia"/>
              </w:rPr>
            </w:pPr>
            <w:r>
              <w:rPr>
                <w:rFonts w:hAnsi="等线"/>
                <w:color w:val="000000"/>
              </w:rPr>
              <w:t>-15.20%</w:t>
            </w:r>
          </w:p>
        </w:tc>
        <w:tc>
          <w:tcPr>
            <w:tcW w:w="846" w:type="pct"/>
            <w:tcBorders>
              <w:top w:val="single" w:sz="8" w:space="0" w:color="000000"/>
              <w:left w:val="single" w:sz="8" w:space="0" w:color="000000"/>
              <w:bottom w:val="single" w:sz="6" w:space="0" w:color="000000"/>
              <w:right w:val="single" w:sz="8" w:space="0" w:color="000000"/>
            </w:tcBorders>
            <w:vAlign w:val="center"/>
          </w:tcPr>
          <w:p w14:paraId="02EB8772" w14:textId="77777777" w:rsidR="00913A13" w:rsidRDefault="002F45B8">
            <w:pPr>
              <w:pStyle w:val="biaogecenter"/>
              <w:wordWrap w:val="0"/>
              <w:rPr>
                <w:rFonts w:hint="eastAsia"/>
              </w:rPr>
            </w:pPr>
            <w:r>
              <w:rPr>
                <w:rFonts w:hAnsi="等线"/>
                <w:color w:val="000000"/>
              </w:rPr>
              <w:t>0.90%</w:t>
            </w:r>
          </w:p>
        </w:tc>
        <w:tc>
          <w:tcPr>
            <w:tcW w:w="688" w:type="pct"/>
            <w:tcBorders>
              <w:top w:val="single" w:sz="8" w:space="0" w:color="000000"/>
              <w:left w:val="single" w:sz="8" w:space="0" w:color="000000"/>
              <w:bottom w:val="single" w:sz="6" w:space="0" w:color="000000"/>
              <w:right w:val="single" w:sz="8" w:space="0" w:color="000000"/>
            </w:tcBorders>
            <w:vAlign w:val="center"/>
          </w:tcPr>
          <w:p w14:paraId="20B7CEA6" w14:textId="77777777" w:rsidR="00913A13" w:rsidRDefault="002F45B8">
            <w:pPr>
              <w:pStyle w:val="biaogecenter"/>
              <w:wordWrap w:val="0"/>
              <w:rPr>
                <w:rFonts w:hint="eastAsia"/>
              </w:rPr>
            </w:pPr>
            <w:r>
              <w:rPr>
                <w:rFonts w:hAnsi="等线"/>
                <w:color w:val="000000"/>
              </w:rPr>
              <w:t>3.87%</w:t>
            </w:r>
          </w:p>
        </w:tc>
        <w:tc>
          <w:tcPr>
            <w:tcW w:w="685" w:type="pct"/>
            <w:tcBorders>
              <w:top w:val="single" w:sz="8" w:space="0" w:color="000000"/>
              <w:left w:val="single" w:sz="8" w:space="0" w:color="000000"/>
              <w:bottom w:val="single" w:sz="6" w:space="0" w:color="000000"/>
              <w:right w:val="single" w:sz="8" w:space="0" w:color="000000"/>
            </w:tcBorders>
            <w:vAlign w:val="center"/>
          </w:tcPr>
          <w:p w14:paraId="467F838D" w14:textId="77777777" w:rsidR="00913A13" w:rsidRDefault="002F45B8">
            <w:pPr>
              <w:pStyle w:val="biaogecenter"/>
              <w:wordWrap w:val="0"/>
              <w:rPr>
                <w:rFonts w:hint="eastAsia"/>
              </w:rPr>
            </w:pPr>
            <w:r>
              <w:rPr>
                <w:rFonts w:hAnsi="等线"/>
                <w:color w:val="000000"/>
              </w:rPr>
              <w:t>0.38%</w:t>
            </w:r>
          </w:p>
        </w:tc>
      </w:tr>
      <w:tr w:rsidR="00913A13" w14:paraId="6B475701"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3CE89CB3" w14:textId="77777777" w:rsidR="00913A13" w:rsidRDefault="002F45B8">
            <w:pPr>
              <w:pStyle w:val="biaogeleft"/>
              <w:wordWrap w:val="0"/>
              <w:rPr>
                <w:rFonts w:hint="eastAsia"/>
                <w:color w:val="000000"/>
                <w:sz w:val="21"/>
                <w:szCs w:val="21"/>
              </w:rPr>
            </w:pPr>
            <w:r>
              <w:rPr>
                <w:rFonts w:hint="eastAsia"/>
                <w:color w:val="000000"/>
                <w:sz w:val="21"/>
                <w:szCs w:val="21"/>
              </w:rPr>
              <w:t>2023.01.01~2023.12.31</w:t>
            </w:r>
          </w:p>
        </w:tc>
        <w:tc>
          <w:tcPr>
            <w:tcW w:w="696" w:type="pct"/>
            <w:tcBorders>
              <w:top w:val="single" w:sz="8" w:space="0" w:color="000000"/>
              <w:left w:val="single" w:sz="8" w:space="0" w:color="000000"/>
              <w:bottom w:val="single" w:sz="6" w:space="0" w:color="000000"/>
              <w:right w:val="single" w:sz="8" w:space="0" w:color="000000"/>
            </w:tcBorders>
            <w:vAlign w:val="center"/>
          </w:tcPr>
          <w:p w14:paraId="42D05964" w14:textId="77777777" w:rsidR="00913A13" w:rsidRDefault="002F45B8">
            <w:pPr>
              <w:pStyle w:val="biaogecenter"/>
              <w:wordWrap w:val="0"/>
              <w:rPr>
                <w:rFonts w:hAnsi="等线" w:hint="eastAsia"/>
                <w:color w:val="000000"/>
              </w:rPr>
            </w:pPr>
            <w:r>
              <w:rPr>
                <w:rFonts w:hAnsi="等线"/>
                <w:color w:val="000000"/>
              </w:rPr>
              <w:t>-14.05%</w:t>
            </w:r>
          </w:p>
        </w:tc>
        <w:tc>
          <w:tcPr>
            <w:tcW w:w="713" w:type="pct"/>
            <w:tcBorders>
              <w:top w:val="single" w:sz="8" w:space="0" w:color="000000"/>
              <w:left w:val="single" w:sz="8" w:space="0" w:color="000000"/>
              <w:bottom w:val="single" w:sz="6" w:space="0" w:color="000000"/>
              <w:right w:val="single" w:sz="8" w:space="0" w:color="000000"/>
            </w:tcBorders>
            <w:vAlign w:val="center"/>
          </w:tcPr>
          <w:p w14:paraId="4E022D6A" w14:textId="77777777" w:rsidR="00913A13" w:rsidRDefault="002F45B8">
            <w:pPr>
              <w:pStyle w:val="biaogecenter"/>
              <w:wordWrap w:val="0"/>
              <w:rPr>
                <w:rFonts w:hAnsi="等线" w:hint="eastAsia"/>
                <w:color w:val="000000"/>
              </w:rPr>
            </w:pPr>
            <w:r>
              <w:rPr>
                <w:rFonts w:hAnsi="等线"/>
                <w:color w:val="000000"/>
              </w:rPr>
              <w:t>0.93%</w:t>
            </w:r>
          </w:p>
        </w:tc>
        <w:tc>
          <w:tcPr>
            <w:tcW w:w="641" w:type="pct"/>
            <w:tcBorders>
              <w:top w:val="single" w:sz="8" w:space="0" w:color="000000"/>
              <w:left w:val="single" w:sz="8" w:space="0" w:color="000000"/>
              <w:bottom w:val="single" w:sz="6" w:space="0" w:color="000000"/>
              <w:right w:val="single" w:sz="8" w:space="0" w:color="000000"/>
            </w:tcBorders>
            <w:vAlign w:val="center"/>
          </w:tcPr>
          <w:p w14:paraId="44951E6A" w14:textId="77777777" w:rsidR="00913A13" w:rsidRDefault="002F45B8">
            <w:pPr>
              <w:pStyle w:val="biaogecenter"/>
              <w:wordWrap w:val="0"/>
              <w:rPr>
                <w:rFonts w:hAnsi="等线" w:hint="eastAsia"/>
                <w:color w:val="000000"/>
              </w:rPr>
            </w:pPr>
            <w:r>
              <w:rPr>
                <w:rFonts w:hAnsi="等线"/>
                <w:color w:val="000000"/>
              </w:rPr>
              <w:t>-8.01%</w:t>
            </w:r>
          </w:p>
        </w:tc>
        <w:tc>
          <w:tcPr>
            <w:tcW w:w="846" w:type="pct"/>
            <w:tcBorders>
              <w:top w:val="single" w:sz="8" w:space="0" w:color="000000"/>
              <w:left w:val="single" w:sz="8" w:space="0" w:color="000000"/>
              <w:bottom w:val="single" w:sz="6" w:space="0" w:color="000000"/>
              <w:right w:val="single" w:sz="8" w:space="0" w:color="000000"/>
            </w:tcBorders>
            <w:vAlign w:val="center"/>
          </w:tcPr>
          <w:p w14:paraId="27BC995B" w14:textId="77777777" w:rsidR="00913A13" w:rsidRDefault="002F45B8">
            <w:pPr>
              <w:pStyle w:val="biaogecenter"/>
              <w:wordWrap w:val="0"/>
              <w:rPr>
                <w:rFonts w:hAnsi="等线" w:hint="eastAsia"/>
                <w:color w:val="000000"/>
              </w:rPr>
            </w:pPr>
            <w:r>
              <w:rPr>
                <w:rFonts w:hAnsi="等线"/>
                <w:color w:val="000000"/>
              </w:rPr>
              <w:t>0.62%</w:t>
            </w:r>
          </w:p>
        </w:tc>
        <w:tc>
          <w:tcPr>
            <w:tcW w:w="688" w:type="pct"/>
            <w:tcBorders>
              <w:top w:val="single" w:sz="8" w:space="0" w:color="000000"/>
              <w:left w:val="single" w:sz="8" w:space="0" w:color="000000"/>
              <w:bottom w:val="single" w:sz="6" w:space="0" w:color="000000"/>
              <w:right w:val="single" w:sz="8" w:space="0" w:color="000000"/>
            </w:tcBorders>
            <w:vAlign w:val="center"/>
          </w:tcPr>
          <w:p w14:paraId="09541187" w14:textId="77777777" w:rsidR="00913A13" w:rsidRDefault="002F45B8">
            <w:pPr>
              <w:pStyle w:val="biaogecenter"/>
              <w:wordWrap w:val="0"/>
              <w:rPr>
                <w:rFonts w:hAnsi="等线" w:hint="eastAsia"/>
                <w:color w:val="000000"/>
              </w:rPr>
            </w:pPr>
            <w:r>
              <w:rPr>
                <w:rFonts w:hAnsi="等线"/>
                <w:color w:val="000000"/>
              </w:rPr>
              <w:t>-6.04%</w:t>
            </w:r>
          </w:p>
        </w:tc>
        <w:tc>
          <w:tcPr>
            <w:tcW w:w="685" w:type="pct"/>
            <w:tcBorders>
              <w:top w:val="single" w:sz="8" w:space="0" w:color="000000"/>
              <w:left w:val="single" w:sz="8" w:space="0" w:color="000000"/>
              <w:bottom w:val="single" w:sz="6" w:space="0" w:color="000000"/>
              <w:right w:val="single" w:sz="8" w:space="0" w:color="000000"/>
            </w:tcBorders>
            <w:vAlign w:val="center"/>
          </w:tcPr>
          <w:p w14:paraId="793116DF" w14:textId="77777777" w:rsidR="00913A13" w:rsidRDefault="002F45B8">
            <w:pPr>
              <w:pStyle w:val="biaogecenter"/>
              <w:wordWrap w:val="0"/>
              <w:rPr>
                <w:rFonts w:hAnsi="等线" w:hint="eastAsia"/>
                <w:color w:val="000000"/>
              </w:rPr>
            </w:pPr>
            <w:r>
              <w:rPr>
                <w:rFonts w:hAnsi="等线"/>
                <w:color w:val="000000"/>
              </w:rPr>
              <w:t>0.31%</w:t>
            </w:r>
          </w:p>
        </w:tc>
      </w:tr>
      <w:tr w:rsidR="00913A13" w14:paraId="3EBFF74C"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2AE1B415" w14:textId="77777777" w:rsidR="00913A13" w:rsidRDefault="002F45B8">
            <w:pPr>
              <w:pStyle w:val="biaogeleft"/>
              <w:wordWrap w:val="0"/>
              <w:rPr>
                <w:rFonts w:hint="eastAsia"/>
                <w:color w:val="000000"/>
                <w:sz w:val="21"/>
                <w:szCs w:val="21"/>
              </w:rPr>
            </w:pPr>
            <w:r>
              <w:rPr>
                <w:rFonts w:hint="eastAsia"/>
                <w:color w:val="000000"/>
                <w:sz w:val="21"/>
                <w:szCs w:val="21"/>
              </w:rPr>
              <w:t>2024.01.01~</w:t>
            </w:r>
            <w:r>
              <w:rPr>
                <w:rFonts w:hint="eastAsia"/>
                <w:color w:val="000000"/>
                <w:sz w:val="21"/>
                <w:szCs w:val="21"/>
              </w:rPr>
              <w:lastRenderedPageBreak/>
              <w:t>2024.12.31</w:t>
            </w:r>
          </w:p>
        </w:tc>
        <w:tc>
          <w:tcPr>
            <w:tcW w:w="696" w:type="pct"/>
            <w:tcBorders>
              <w:top w:val="single" w:sz="8" w:space="0" w:color="000000"/>
              <w:left w:val="single" w:sz="8" w:space="0" w:color="000000"/>
              <w:bottom w:val="single" w:sz="6" w:space="0" w:color="000000"/>
              <w:right w:val="single" w:sz="8" w:space="0" w:color="000000"/>
            </w:tcBorders>
            <w:vAlign w:val="center"/>
          </w:tcPr>
          <w:p w14:paraId="2FC640B4" w14:textId="77777777" w:rsidR="00913A13" w:rsidRDefault="002F45B8">
            <w:pPr>
              <w:pStyle w:val="biaogecenter"/>
              <w:wordWrap w:val="0"/>
              <w:rPr>
                <w:rFonts w:hAnsi="等线" w:hint="eastAsia"/>
                <w:color w:val="000000"/>
              </w:rPr>
            </w:pPr>
            <w:r>
              <w:rPr>
                <w:rFonts w:hAnsi="Calibri"/>
                <w:color w:val="000000"/>
              </w:rPr>
              <w:lastRenderedPageBreak/>
              <w:t>19.41%</w:t>
            </w:r>
          </w:p>
        </w:tc>
        <w:tc>
          <w:tcPr>
            <w:tcW w:w="713" w:type="pct"/>
            <w:tcBorders>
              <w:top w:val="single" w:sz="8" w:space="0" w:color="000000"/>
              <w:left w:val="single" w:sz="8" w:space="0" w:color="000000"/>
              <w:bottom w:val="single" w:sz="6" w:space="0" w:color="000000"/>
              <w:right w:val="single" w:sz="8" w:space="0" w:color="000000"/>
            </w:tcBorders>
            <w:vAlign w:val="center"/>
          </w:tcPr>
          <w:p w14:paraId="63AD0045" w14:textId="77777777" w:rsidR="00913A13" w:rsidRDefault="002F45B8">
            <w:pPr>
              <w:pStyle w:val="biaogecenter"/>
              <w:wordWrap w:val="0"/>
              <w:rPr>
                <w:rFonts w:hAnsi="等线" w:hint="eastAsia"/>
                <w:color w:val="000000"/>
              </w:rPr>
            </w:pPr>
            <w:r>
              <w:rPr>
                <w:rFonts w:hAnsi="Calibri"/>
                <w:color w:val="000000"/>
              </w:rPr>
              <w:t>1.37%</w:t>
            </w:r>
          </w:p>
        </w:tc>
        <w:tc>
          <w:tcPr>
            <w:tcW w:w="641" w:type="pct"/>
            <w:tcBorders>
              <w:top w:val="single" w:sz="8" w:space="0" w:color="000000"/>
              <w:left w:val="single" w:sz="8" w:space="0" w:color="000000"/>
              <w:bottom w:val="single" w:sz="6" w:space="0" w:color="000000"/>
              <w:right w:val="single" w:sz="8" w:space="0" w:color="000000"/>
            </w:tcBorders>
            <w:vAlign w:val="center"/>
          </w:tcPr>
          <w:p w14:paraId="7EF050D2" w14:textId="77777777" w:rsidR="00913A13" w:rsidRDefault="002F45B8">
            <w:pPr>
              <w:pStyle w:val="biaogecenter"/>
              <w:wordWrap w:val="0"/>
              <w:rPr>
                <w:rFonts w:hAnsi="等线" w:hint="eastAsia"/>
                <w:color w:val="000000"/>
              </w:rPr>
            </w:pPr>
            <w:r>
              <w:rPr>
                <w:rFonts w:hAnsi="Calibri"/>
                <w:color w:val="000000"/>
              </w:rPr>
              <w:t>8.07%</w:t>
            </w:r>
          </w:p>
        </w:tc>
        <w:tc>
          <w:tcPr>
            <w:tcW w:w="846" w:type="pct"/>
            <w:tcBorders>
              <w:top w:val="single" w:sz="8" w:space="0" w:color="000000"/>
              <w:left w:val="single" w:sz="8" w:space="0" w:color="000000"/>
              <w:bottom w:val="single" w:sz="6" w:space="0" w:color="000000"/>
              <w:right w:val="single" w:sz="8" w:space="0" w:color="000000"/>
            </w:tcBorders>
            <w:vAlign w:val="center"/>
          </w:tcPr>
          <w:p w14:paraId="64598EDC" w14:textId="77777777" w:rsidR="00913A13" w:rsidRDefault="002F45B8">
            <w:pPr>
              <w:pStyle w:val="biaogecenter"/>
              <w:wordWrap w:val="0"/>
              <w:rPr>
                <w:rFonts w:hAnsi="等线" w:hint="eastAsia"/>
                <w:color w:val="000000"/>
              </w:rPr>
            </w:pPr>
            <w:r>
              <w:rPr>
                <w:rFonts w:hAnsi="Calibri"/>
                <w:color w:val="000000"/>
              </w:rPr>
              <w:t>0.92%</w:t>
            </w:r>
          </w:p>
        </w:tc>
        <w:tc>
          <w:tcPr>
            <w:tcW w:w="688" w:type="pct"/>
            <w:tcBorders>
              <w:top w:val="single" w:sz="8" w:space="0" w:color="000000"/>
              <w:left w:val="single" w:sz="8" w:space="0" w:color="000000"/>
              <w:bottom w:val="single" w:sz="6" w:space="0" w:color="000000"/>
              <w:right w:val="single" w:sz="8" w:space="0" w:color="000000"/>
            </w:tcBorders>
            <w:vAlign w:val="center"/>
          </w:tcPr>
          <w:p w14:paraId="5ACA7074" w14:textId="77777777" w:rsidR="00913A13" w:rsidRDefault="002F45B8">
            <w:pPr>
              <w:pStyle w:val="biaogecenter"/>
              <w:wordWrap w:val="0"/>
              <w:rPr>
                <w:rFonts w:hAnsi="等线" w:hint="eastAsia"/>
                <w:color w:val="000000"/>
              </w:rPr>
            </w:pPr>
            <w:r>
              <w:rPr>
                <w:rFonts w:hAnsi="Calibri"/>
                <w:color w:val="000000"/>
              </w:rPr>
              <w:t>11.34%</w:t>
            </w:r>
          </w:p>
        </w:tc>
        <w:tc>
          <w:tcPr>
            <w:tcW w:w="685" w:type="pct"/>
            <w:tcBorders>
              <w:top w:val="single" w:sz="8" w:space="0" w:color="000000"/>
              <w:left w:val="single" w:sz="8" w:space="0" w:color="000000"/>
              <w:bottom w:val="single" w:sz="6" w:space="0" w:color="000000"/>
              <w:right w:val="single" w:sz="8" w:space="0" w:color="000000"/>
            </w:tcBorders>
            <w:vAlign w:val="center"/>
          </w:tcPr>
          <w:p w14:paraId="2348E683" w14:textId="77777777" w:rsidR="00913A13" w:rsidRDefault="002F45B8">
            <w:pPr>
              <w:pStyle w:val="biaogecenter"/>
              <w:wordWrap w:val="0"/>
              <w:rPr>
                <w:rFonts w:hAnsi="等线" w:hint="eastAsia"/>
                <w:color w:val="000000"/>
              </w:rPr>
            </w:pPr>
            <w:r>
              <w:rPr>
                <w:rFonts w:hAnsi="Calibri"/>
                <w:color w:val="000000"/>
              </w:rPr>
              <w:t>0.45%</w:t>
            </w:r>
          </w:p>
        </w:tc>
      </w:tr>
      <w:tr w:rsidR="00D65E55" w14:paraId="029CB8C5"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27AA56A9" w14:textId="19B6F833" w:rsidR="00D65E55" w:rsidRDefault="00D65E55" w:rsidP="00D65E55">
            <w:pPr>
              <w:pStyle w:val="biaogeleft"/>
              <w:wordWrap w:val="0"/>
              <w:rPr>
                <w:rFonts w:hint="eastAsia"/>
                <w:color w:val="000000"/>
                <w:sz w:val="21"/>
                <w:szCs w:val="21"/>
              </w:rPr>
            </w:pPr>
            <w:r>
              <w:rPr>
                <w:rFonts w:hint="eastAsia"/>
                <w:color w:val="000000"/>
                <w:sz w:val="21"/>
                <w:szCs w:val="21"/>
              </w:rPr>
              <w:t>2025.01.01~2025.12.31</w:t>
            </w:r>
          </w:p>
        </w:tc>
        <w:tc>
          <w:tcPr>
            <w:tcW w:w="696" w:type="pct"/>
            <w:tcBorders>
              <w:top w:val="single" w:sz="8" w:space="0" w:color="000000"/>
              <w:left w:val="single" w:sz="8" w:space="0" w:color="000000"/>
              <w:bottom w:val="single" w:sz="6" w:space="0" w:color="000000"/>
              <w:right w:val="single" w:sz="8" w:space="0" w:color="000000"/>
            </w:tcBorders>
            <w:vAlign w:val="center"/>
          </w:tcPr>
          <w:p w14:paraId="4CCB6730" w14:textId="1B5C892E" w:rsidR="00D65E55" w:rsidRDefault="00D65E55" w:rsidP="00D65E55">
            <w:pPr>
              <w:pStyle w:val="biaogecenter"/>
              <w:wordWrap w:val="0"/>
              <w:rPr>
                <w:rFonts w:hAnsi="Calibri"/>
                <w:color w:val="000000"/>
              </w:rPr>
            </w:pPr>
            <w:r>
              <w:rPr>
                <w:rFonts w:hAnsi="Calibri"/>
                <w:color w:val="000000"/>
              </w:rPr>
              <w:t>23.66%</w:t>
            </w:r>
          </w:p>
        </w:tc>
        <w:tc>
          <w:tcPr>
            <w:tcW w:w="713" w:type="pct"/>
            <w:tcBorders>
              <w:top w:val="single" w:sz="8" w:space="0" w:color="000000"/>
              <w:left w:val="single" w:sz="8" w:space="0" w:color="000000"/>
              <w:bottom w:val="single" w:sz="6" w:space="0" w:color="000000"/>
              <w:right w:val="single" w:sz="8" w:space="0" w:color="000000"/>
            </w:tcBorders>
            <w:vAlign w:val="center"/>
          </w:tcPr>
          <w:p w14:paraId="32427574" w14:textId="48077C95" w:rsidR="00D65E55" w:rsidRDefault="00D65E55" w:rsidP="00D65E55">
            <w:pPr>
              <w:pStyle w:val="biaogecenter"/>
              <w:wordWrap w:val="0"/>
              <w:rPr>
                <w:rFonts w:hAnsi="Calibri"/>
                <w:color w:val="000000"/>
              </w:rPr>
            </w:pPr>
            <w:r>
              <w:rPr>
                <w:rFonts w:hAnsi="Calibri"/>
                <w:color w:val="000000"/>
              </w:rPr>
              <w:t>1.66%</w:t>
            </w:r>
          </w:p>
        </w:tc>
        <w:tc>
          <w:tcPr>
            <w:tcW w:w="641" w:type="pct"/>
            <w:tcBorders>
              <w:top w:val="single" w:sz="8" w:space="0" w:color="000000"/>
              <w:left w:val="single" w:sz="8" w:space="0" w:color="000000"/>
              <w:bottom w:val="single" w:sz="6" w:space="0" w:color="000000"/>
              <w:right w:val="single" w:sz="8" w:space="0" w:color="000000"/>
            </w:tcBorders>
            <w:vAlign w:val="center"/>
          </w:tcPr>
          <w:p w14:paraId="3AA0B4E3" w14:textId="624335EC" w:rsidR="00D65E55" w:rsidRDefault="00D65E55" w:rsidP="00D65E55">
            <w:pPr>
              <w:pStyle w:val="biaogecenter"/>
              <w:wordWrap w:val="0"/>
              <w:rPr>
                <w:rFonts w:hAnsi="Calibri"/>
                <w:color w:val="000000"/>
              </w:rPr>
            </w:pPr>
            <w:r>
              <w:rPr>
                <w:rFonts w:hAnsi="Calibri"/>
                <w:color w:val="000000"/>
              </w:rPr>
              <w:t>11.81%</w:t>
            </w:r>
          </w:p>
        </w:tc>
        <w:tc>
          <w:tcPr>
            <w:tcW w:w="846" w:type="pct"/>
            <w:tcBorders>
              <w:top w:val="single" w:sz="8" w:space="0" w:color="000000"/>
              <w:left w:val="single" w:sz="8" w:space="0" w:color="000000"/>
              <w:bottom w:val="single" w:sz="6" w:space="0" w:color="000000"/>
              <w:right w:val="single" w:sz="8" w:space="0" w:color="000000"/>
            </w:tcBorders>
            <w:vAlign w:val="center"/>
          </w:tcPr>
          <w:p w14:paraId="424848D3" w14:textId="477877C0" w:rsidR="00D65E55" w:rsidRDefault="00D65E55" w:rsidP="00D65E55">
            <w:pPr>
              <w:pStyle w:val="biaogecenter"/>
              <w:wordWrap w:val="0"/>
              <w:rPr>
                <w:rFonts w:hAnsi="Calibri"/>
                <w:color w:val="000000"/>
              </w:rPr>
            </w:pPr>
            <w:r>
              <w:rPr>
                <w:rFonts w:hAnsi="Calibri"/>
                <w:color w:val="000000"/>
              </w:rPr>
              <w:t>0.66%</w:t>
            </w:r>
          </w:p>
        </w:tc>
        <w:tc>
          <w:tcPr>
            <w:tcW w:w="688" w:type="pct"/>
            <w:tcBorders>
              <w:top w:val="single" w:sz="8" w:space="0" w:color="000000"/>
              <w:left w:val="single" w:sz="8" w:space="0" w:color="000000"/>
              <w:bottom w:val="single" w:sz="6" w:space="0" w:color="000000"/>
              <w:right w:val="single" w:sz="8" w:space="0" w:color="000000"/>
            </w:tcBorders>
            <w:vAlign w:val="center"/>
          </w:tcPr>
          <w:p w14:paraId="6A1E90C1" w14:textId="7396D27E" w:rsidR="00D65E55" w:rsidRDefault="00D65E55" w:rsidP="00D65E55">
            <w:pPr>
              <w:pStyle w:val="biaogecenter"/>
              <w:wordWrap w:val="0"/>
              <w:rPr>
                <w:rFonts w:hAnsi="Calibri"/>
                <w:color w:val="000000"/>
              </w:rPr>
            </w:pPr>
            <w:r>
              <w:rPr>
                <w:rFonts w:hAnsi="Calibri"/>
                <w:color w:val="000000"/>
              </w:rPr>
              <w:t>11.85%</w:t>
            </w:r>
          </w:p>
        </w:tc>
        <w:tc>
          <w:tcPr>
            <w:tcW w:w="685" w:type="pct"/>
            <w:tcBorders>
              <w:top w:val="single" w:sz="8" w:space="0" w:color="000000"/>
              <w:left w:val="single" w:sz="8" w:space="0" w:color="000000"/>
              <w:bottom w:val="single" w:sz="6" w:space="0" w:color="000000"/>
              <w:right w:val="single" w:sz="8" w:space="0" w:color="000000"/>
            </w:tcBorders>
            <w:vAlign w:val="center"/>
          </w:tcPr>
          <w:p w14:paraId="31A42E9B" w14:textId="7C16327E" w:rsidR="00D65E55" w:rsidRDefault="00D65E55" w:rsidP="00D65E55">
            <w:pPr>
              <w:pStyle w:val="biaogecenter"/>
              <w:wordWrap w:val="0"/>
              <w:rPr>
                <w:rFonts w:hAnsi="Calibri"/>
                <w:color w:val="000000"/>
              </w:rPr>
            </w:pPr>
            <w:r>
              <w:rPr>
                <w:rFonts w:hAnsi="Calibri"/>
                <w:color w:val="000000"/>
              </w:rPr>
              <w:t>1.00%</w:t>
            </w:r>
          </w:p>
        </w:tc>
      </w:tr>
      <w:tr w:rsidR="00D65E55" w14:paraId="7E324787" w14:textId="77777777">
        <w:trPr>
          <w:jc w:val="center"/>
        </w:trPr>
        <w:tc>
          <w:tcPr>
            <w:tcW w:w="731" w:type="pct"/>
            <w:tcBorders>
              <w:top w:val="single" w:sz="8" w:space="0" w:color="000000"/>
              <w:left w:val="single" w:sz="8" w:space="0" w:color="000000"/>
              <w:bottom w:val="single" w:sz="6" w:space="0" w:color="000000"/>
              <w:right w:val="single" w:sz="8" w:space="0" w:color="000000"/>
            </w:tcBorders>
            <w:vAlign w:val="center"/>
          </w:tcPr>
          <w:p w14:paraId="657EF1ED" w14:textId="652FC61F" w:rsidR="00D65E55" w:rsidRDefault="00D65E55" w:rsidP="00D65E55">
            <w:pPr>
              <w:pStyle w:val="biaogeleft"/>
              <w:wordWrap w:val="0"/>
              <w:rPr>
                <w:rFonts w:hint="eastAsia"/>
              </w:rPr>
            </w:pPr>
            <w:r>
              <w:rPr>
                <w:rFonts w:hint="eastAsia"/>
              </w:rPr>
              <w:t>自基金合同生效起至今</w:t>
            </w:r>
          </w:p>
        </w:tc>
        <w:tc>
          <w:tcPr>
            <w:tcW w:w="696" w:type="pct"/>
            <w:tcBorders>
              <w:top w:val="single" w:sz="8" w:space="0" w:color="000000"/>
              <w:left w:val="single" w:sz="8" w:space="0" w:color="000000"/>
              <w:bottom w:val="single" w:sz="6" w:space="0" w:color="000000"/>
              <w:right w:val="single" w:sz="8" w:space="0" w:color="000000"/>
            </w:tcBorders>
            <w:vAlign w:val="center"/>
          </w:tcPr>
          <w:p w14:paraId="521410B3" w14:textId="74D07C9C" w:rsidR="00D65E55" w:rsidRDefault="00D65E55" w:rsidP="00D65E55">
            <w:pPr>
              <w:pStyle w:val="biaogecenter"/>
              <w:wordWrap w:val="0"/>
              <w:rPr>
                <w:rFonts w:hint="eastAsia"/>
              </w:rPr>
            </w:pPr>
            <w:r>
              <w:rPr>
                <w:rFonts w:hAnsi="Calibri"/>
                <w:color w:val="000000"/>
              </w:rPr>
              <w:t>11.72%</w:t>
            </w:r>
          </w:p>
        </w:tc>
        <w:tc>
          <w:tcPr>
            <w:tcW w:w="713" w:type="pct"/>
            <w:tcBorders>
              <w:top w:val="single" w:sz="8" w:space="0" w:color="000000"/>
              <w:left w:val="single" w:sz="8" w:space="0" w:color="000000"/>
              <w:bottom w:val="single" w:sz="6" w:space="0" w:color="000000"/>
              <w:right w:val="single" w:sz="8" w:space="0" w:color="000000"/>
            </w:tcBorders>
            <w:vAlign w:val="center"/>
          </w:tcPr>
          <w:p w14:paraId="66D189AD" w14:textId="7D495558" w:rsidR="00D65E55" w:rsidRDefault="00D65E55" w:rsidP="00D65E55">
            <w:pPr>
              <w:pStyle w:val="biaogecenter"/>
              <w:wordWrap w:val="0"/>
              <w:rPr>
                <w:rFonts w:hint="eastAsia"/>
              </w:rPr>
            </w:pPr>
            <w:r>
              <w:rPr>
                <w:rFonts w:hAnsi="Calibri"/>
                <w:color w:val="000000"/>
              </w:rPr>
              <w:t>1.41%</w:t>
            </w:r>
          </w:p>
        </w:tc>
        <w:tc>
          <w:tcPr>
            <w:tcW w:w="641" w:type="pct"/>
            <w:tcBorders>
              <w:top w:val="single" w:sz="8" w:space="0" w:color="000000"/>
              <w:left w:val="single" w:sz="8" w:space="0" w:color="000000"/>
              <w:bottom w:val="single" w:sz="6" w:space="0" w:color="000000"/>
              <w:right w:val="single" w:sz="8" w:space="0" w:color="000000"/>
            </w:tcBorders>
            <w:vAlign w:val="center"/>
          </w:tcPr>
          <w:p w14:paraId="0F9BAC35" w14:textId="015C07BC" w:rsidR="00D65E55" w:rsidRDefault="00D65E55" w:rsidP="00D65E55">
            <w:pPr>
              <w:pStyle w:val="biaogecenter"/>
              <w:wordWrap w:val="0"/>
              <w:rPr>
                <w:rFonts w:hint="eastAsia"/>
              </w:rPr>
            </w:pPr>
            <w:r>
              <w:rPr>
                <w:rFonts w:hAnsi="Calibri"/>
                <w:color w:val="000000"/>
              </w:rPr>
              <w:t>-5.55%</w:t>
            </w:r>
          </w:p>
        </w:tc>
        <w:tc>
          <w:tcPr>
            <w:tcW w:w="846" w:type="pct"/>
            <w:tcBorders>
              <w:top w:val="single" w:sz="8" w:space="0" w:color="000000"/>
              <w:left w:val="single" w:sz="8" w:space="0" w:color="000000"/>
              <w:bottom w:val="single" w:sz="6" w:space="0" w:color="000000"/>
              <w:right w:val="single" w:sz="8" w:space="0" w:color="000000"/>
            </w:tcBorders>
            <w:vAlign w:val="center"/>
          </w:tcPr>
          <w:p w14:paraId="622A387B" w14:textId="42A16707" w:rsidR="00D65E55" w:rsidRDefault="00D65E55" w:rsidP="00D65E55">
            <w:pPr>
              <w:pStyle w:val="biaogecenter"/>
              <w:wordWrap w:val="0"/>
              <w:rPr>
                <w:rFonts w:hint="eastAsia"/>
              </w:rPr>
            </w:pPr>
            <w:r>
              <w:rPr>
                <w:rFonts w:hAnsi="Calibri"/>
                <w:color w:val="000000"/>
              </w:rPr>
              <w:t>0.77%</w:t>
            </w:r>
          </w:p>
        </w:tc>
        <w:tc>
          <w:tcPr>
            <w:tcW w:w="688" w:type="pct"/>
            <w:tcBorders>
              <w:top w:val="single" w:sz="8" w:space="0" w:color="000000"/>
              <w:left w:val="single" w:sz="8" w:space="0" w:color="000000"/>
              <w:bottom w:val="single" w:sz="6" w:space="0" w:color="000000"/>
              <w:right w:val="single" w:sz="8" w:space="0" w:color="000000"/>
            </w:tcBorders>
            <w:vAlign w:val="center"/>
          </w:tcPr>
          <w:p w14:paraId="08C5AE9D" w14:textId="44FA4612" w:rsidR="00D65E55" w:rsidRDefault="00D65E55" w:rsidP="00D65E55">
            <w:pPr>
              <w:pStyle w:val="biaogecenter"/>
              <w:wordWrap w:val="0"/>
              <w:rPr>
                <w:rFonts w:hint="eastAsia"/>
              </w:rPr>
            </w:pPr>
            <w:r>
              <w:rPr>
                <w:rFonts w:hAnsi="Calibri"/>
                <w:color w:val="000000"/>
              </w:rPr>
              <w:t>17.27%</w:t>
            </w:r>
          </w:p>
        </w:tc>
        <w:tc>
          <w:tcPr>
            <w:tcW w:w="685" w:type="pct"/>
            <w:tcBorders>
              <w:top w:val="single" w:sz="8" w:space="0" w:color="000000"/>
              <w:left w:val="single" w:sz="8" w:space="0" w:color="000000"/>
              <w:bottom w:val="single" w:sz="6" w:space="0" w:color="000000"/>
              <w:right w:val="single" w:sz="8" w:space="0" w:color="000000"/>
            </w:tcBorders>
            <w:vAlign w:val="center"/>
          </w:tcPr>
          <w:p w14:paraId="22C86E0A" w14:textId="505EED44" w:rsidR="00D65E55" w:rsidRDefault="00D65E55" w:rsidP="00D65E55">
            <w:pPr>
              <w:pStyle w:val="biaogecenter"/>
              <w:wordWrap w:val="0"/>
              <w:rPr>
                <w:rFonts w:hint="eastAsia"/>
              </w:rPr>
            </w:pPr>
            <w:r>
              <w:rPr>
                <w:rFonts w:hAnsi="Calibri"/>
                <w:color w:val="000000"/>
              </w:rPr>
              <w:t>0.64%</w:t>
            </w:r>
          </w:p>
        </w:tc>
      </w:tr>
    </w:tbl>
    <w:p w14:paraId="69EEF456" w14:textId="77777777" w:rsidR="00913A13" w:rsidRDefault="00913A13">
      <w:pPr>
        <w:spacing w:line="360" w:lineRule="auto"/>
        <w:rPr>
          <w:rFonts w:ascii="宋体" w:hAnsi="宋体" w:hint="eastAsia"/>
          <w:bCs/>
          <w:szCs w:val="21"/>
        </w:rPr>
      </w:pPr>
    </w:p>
    <w:p w14:paraId="0F206F79" w14:textId="77777777" w:rsidR="00913A13" w:rsidRDefault="002F45B8">
      <w:pPr>
        <w:spacing w:line="360" w:lineRule="auto"/>
        <w:rPr>
          <w:rFonts w:ascii="宋体" w:hAnsi="宋体" w:hint="eastAsia"/>
          <w:bCs/>
          <w:szCs w:val="21"/>
        </w:rPr>
      </w:pPr>
      <w:r>
        <w:rPr>
          <w:rFonts w:ascii="宋体" w:hAnsi="宋体" w:hint="eastAsia"/>
          <w:bCs/>
          <w:szCs w:val="21"/>
        </w:rPr>
        <w:t>（2）</w:t>
      </w:r>
      <w:r>
        <w:rPr>
          <w:rFonts w:hint="eastAsia"/>
        </w:rPr>
        <w:t>富荣福银混合</w:t>
      </w:r>
      <w:r>
        <w:rPr>
          <w:rFonts w:hint="eastAsia"/>
        </w:rPr>
        <w:t>C</w:t>
      </w:r>
      <w:r>
        <w:rPr>
          <w:rFonts w:ascii="宋体" w:hAnsi="宋体" w:hint="eastAsia"/>
          <w:bCs/>
          <w:szCs w:val="21"/>
        </w:rPr>
        <w:t>（</w:t>
      </w:r>
      <w:r>
        <w:rPr>
          <w:rFonts w:ascii="宋体" w:hAnsi="宋体" w:hint="eastAsia"/>
          <w:color w:val="000000"/>
          <w:kern w:val="0"/>
          <w:szCs w:val="21"/>
        </w:rPr>
        <w:t>基金代码：</w:t>
      </w:r>
      <w:r>
        <w:rPr>
          <w:rFonts w:ascii="宋体" w:hAnsi="宋体"/>
          <w:color w:val="000000"/>
          <w:kern w:val="0"/>
          <w:szCs w:val="21"/>
        </w:rPr>
        <w:t>012546</w:t>
      </w:r>
      <w:r>
        <w:rPr>
          <w:rFonts w:ascii="宋体" w:hAnsi="宋体" w:hint="eastAsia"/>
          <w:bCs/>
          <w:szCs w:val="21"/>
        </w:rPr>
        <w:t>）</w:t>
      </w:r>
    </w:p>
    <w:tbl>
      <w:tblPr>
        <w:tblW w:w="9948" w:type="dxa"/>
        <w:jc w:val="center"/>
        <w:tblLook w:val="04A0" w:firstRow="1" w:lastRow="0" w:firstColumn="1" w:lastColumn="0" w:noHBand="0" w:noVBand="1"/>
      </w:tblPr>
      <w:tblGrid>
        <w:gridCol w:w="1408"/>
        <w:gridCol w:w="1431"/>
        <w:gridCol w:w="1419"/>
        <w:gridCol w:w="1275"/>
        <w:gridCol w:w="1683"/>
        <w:gridCol w:w="1369"/>
        <w:gridCol w:w="1363"/>
      </w:tblGrid>
      <w:tr w:rsidR="00913A13" w14:paraId="544AE3D0"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6A611B78" w14:textId="77777777" w:rsidR="00913A13" w:rsidRDefault="002F45B8">
            <w:pPr>
              <w:pStyle w:val="biaogeleft"/>
              <w:wordWrap w:val="0"/>
              <w:rPr>
                <w:rFonts w:hint="eastAsia"/>
              </w:rPr>
            </w:pPr>
            <w:r>
              <w:rPr>
                <w:rFonts w:hint="eastAsia"/>
              </w:rPr>
              <w:t>阶段</w:t>
            </w:r>
          </w:p>
        </w:tc>
        <w:tc>
          <w:tcPr>
            <w:tcW w:w="719" w:type="pct"/>
            <w:tcBorders>
              <w:top w:val="single" w:sz="8" w:space="0" w:color="000000"/>
              <w:left w:val="single" w:sz="8" w:space="0" w:color="000000"/>
              <w:bottom w:val="single" w:sz="6" w:space="0" w:color="000000"/>
              <w:right w:val="single" w:sz="8" w:space="0" w:color="000000"/>
            </w:tcBorders>
            <w:vAlign w:val="center"/>
          </w:tcPr>
          <w:p w14:paraId="2A67B25F" w14:textId="77777777" w:rsidR="00913A13" w:rsidRDefault="002F45B8">
            <w:pPr>
              <w:pStyle w:val="biaogecenter"/>
              <w:wordWrap w:val="0"/>
              <w:rPr>
                <w:rFonts w:hint="eastAsia"/>
              </w:rPr>
            </w:pPr>
            <w:r>
              <w:rPr>
                <w:rFonts w:hint="eastAsia"/>
              </w:rPr>
              <w:t>净值增长率①</w:t>
            </w:r>
          </w:p>
        </w:tc>
        <w:tc>
          <w:tcPr>
            <w:tcW w:w="713" w:type="pct"/>
            <w:tcBorders>
              <w:top w:val="single" w:sz="8" w:space="0" w:color="000000"/>
              <w:left w:val="single" w:sz="8" w:space="0" w:color="000000"/>
              <w:bottom w:val="single" w:sz="6" w:space="0" w:color="000000"/>
              <w:right w:val="single" w:sz="8" w:space="0" w:color="000000"/>
            </w:tcBorders>
            <w:vAlign w:val="center"/>
          </w:tcPr>
          <w:p w14:paraId="6732AFF0" w14:textId="77777777" w:rsidR="00913A13" w:rsidRDefault="002F45B8">
            <w:pPr>
              <w:pStyle w:val="biaogecenter"/>
              <w:wordWrap w:val="0"/>
              <w:rPr>
                <w:rFonts w:hint="eastAsia"/>
              </w:rPr>
            </w:pPr>
            <w:r>
              <w:rPr>
                <w:rFonts w:hint="eastAsia"/>
              </w:rPr>
              <w:t>净值增长率标准差②</w:t>
            </w:r>
          </w:p>
        </w:tc>
        <w:tc>
          <w:tcPr>
            <w:tcW w:w="641" w:type="pct"/>
            <w:tcBorders>
              <w:top w:val="single" w:sz="8" w:space="0" w:color="000000"/>
              <w:left w:val="single" w:sz="8" w:space="0" w:color="000000"/>
              <w:bottom w:val="single" w:sz="6" w:space="0" w:color="000000"/>
              <w:right w:val="single" w:sz="8" w:space="0" w:color="000000"/>
            </w:tcBorders>
            <w:vAlign w:val="center"/>
          </w:tcPr>
          <w:p w14:paraId="1E948AB1" w14:textId="77777777" w:rsidR="00913A13" w:rsidRDefault="002F45B8">
            <w:pPr>
              <w:pStyle w:val="biaogecenter"/>
              <w:wordWrap w:val="0"/>
              <w:rPr>
                <w:rFonts w:hint="eastAsia"/>
              </w:rPr>
            </w:pPr>
            <w:r>
              <w:rPr>
                <w:rFonts w:hint="eastAsia"/>
              </w:rPr>
              <w:t>业绩比较基准收益率③</w:t>
            </w:r>
          </w:p>
        </w:tc>
        <w:tc>
          <w:tcPr>
            <w:tcW w:w="846" w:type="pct"/>
            <w:tcBorders>
              <w:top w:val="single" w:sz="8" w:space="0" w:color="000000"/>
              <w:left w:val="single" w:sz="8" w:space="0" w:color="000000"/>
              <w:bottom w:val="single" w:sz="6" w:space="0" w:color="000000"/>
              <w:right w:val="single" w:sz="8" w:space="0" w:color="000000"/>
            </w:tcBorders>
            <w:vAlign w:val="center"/>
          </w:tcPr>
          <w:p w14:paraId="43996F7C" w14:textId="77777777" w:rsidR="00913A13" w:rsidRDefault="002F45B8">
            <w:pPr>
              <w:pStyle w:val="biaogecenter"/>
              <w:wordWrap w:val="0"/>
              <w:rPr>
                <w:rFonts w:hint="eastAsia"/>
              </w:rPr>
            </w:pPr>
            <w:r>
              <w:rPr>
                <w:rFonts w:hint="eastAsia"/>
              </w:rPr>
              <w:t>业绩比较基准收益率标准差④</w:t>
            </w:r>
          </w:p>
        </w:tc>
        <w:tc>
          <w:tcPr>
            <w:tcW w:w="688" w:type="pct"/>
            <w:tcBorders>
              <w:top w:val="single" w:sz="8" w:space="0" w:color="000000"/>
              <w:left w:val="single" w:sz="8" w:space="0" w:color="000000"/>
              <w:bottom w:val="single" w:sz="6" w:space="0" w:color="000000"/>
              <w:right w:val="single" w:sz="8" w:space="0" w:color="000000"/>
            </w:tcBorders>
            <w:vAlign w:val="center"/>
          </w:tcPr>
          <w:p w14:paraId="7056B0F3" w14:textId="77777777" w:rsidR="00913A13" w:rsidRDefault="002F45B8">
            <w:pPr>
              <w:pStyle w:val="biaogecenter"/>
              <w:wordWrap w:val="0"/>
              <w:rPr>
                <w:rFonts w:hint="eastAsia"/>
              </w:rPr>
            </w:pPr>
            <w:r>
              <w:rPr>
                <w:rFonts w:hint="eastAsia"/>
              </w:rPr>
              <w:t>①-③</w:t>
            </w:r>
          </w:p>
        </w:tc>
        <w:tc>
          <w:tcPr>
            <w:tcW w:w="685" w:type="pct"/>
            <w:tcBorders>
              <w:top w:val="single" w:sz="8" w:space="0" w:color="000000"/>
              <w:left w:val="single" w:sz="8" w:space="0" w:color="000000"/>
              <w:bottom w:val="single" w:sz="6" w:space="0" w:color="000000"/>
              <w:right w:val="single" w:sz="8" w:space="0" w:color="000000"/>
            </w:tcBorders>
            <w:vAlign w:val="center"/>
          </w:tcPr>
          <w:p w14:paraId="48CF505D" w14:textId="77777777" w:rsidR="00913A13" w:rsidRDefault="002F45B8">
            <w:pPr>
              <w:pStyle w:val="biaogecenter"/>
              <w:wordWrap w:val="0"/>
              <w:rPr>
                <w:rFonts w:hint="eastAsia"/>
              </w:rPr>
            </w:pPr>
            <w:r>
              <w:rPr>
                <w:rFonts w:hint="eastAsia"/>
              </w:rPr>
              <w:t>②-④</w:t>
            </w:r>
          </w:p>
        </w:tc>
      </w:tr>
      <w:tr w:rsidR="00913A13" w14:paraId="12B6B68F"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58128F35" w14:textId="77777777" w:rsidR="00913A13" w:rsidRDefault="002F45B8">
            <w:pPr>
              <w:pStyle w:val="biaogeleft"/>
              <w:wordWrap w:val="0"/>
              <w:rPr>
                <w:rFonts w:hint="eastAsia"/>
              </w:rPr>
            </w:pPr>
            <w:r>
              <w:rPr>
                <w:rFonts w:hint="eastAsia"/>
                <w:color w:val="000000"/>
                <w:sz w:val="21"/>
                <w:szCs w:val="21"/>
              </w:rPr>
              <w:t>2021.06.18~2021.12.31</w:t>
            </w:r>
          </w:p>
        </w:tc>
        <w:tc>
          <w:tcPr>
            <w:tcW w:w="719" w:type="pct"/>
            <w:tcBorders>
              <w:top w:val="single" w:sz="8" w:space="0" w:color="000000"/>
              <w:left w:val="single" w:sz="8" w:space="0" w:color="000000"/>
              <w:bottom w:val="single" w:sz="6" w:space="0" w:color="000000"/>
              <w:right w:val="single" w:sz="8" w:space="0" w:color="000000"/>
            </w:tcBorders>
            <w:vAlign w:val="center"/>
          </w:tcPr>
          <w:p w14:paraId="5B0CCCA1" w14:textId="77777777" w:rsidR="00913A13" w:rsidRDefault="002F45B8">
            <w:pPr>
              <w:pStyle w:val="biaogecenter"/>
              <w:wordWrap w:val="0"/>
              <w:rPr>
                <w:rFonts w:hint="eastAsia"/>
              </w:rPr>
            </w:pPr>
            <w:r>
              <w:rPr>
                <w:rFonts w:hint="eastAsia"/>
              </w:rPr>
              <w:t>-2.32%</w:t>
            </w:r>
          </w:p>
        </w:tc>
        <w:tc>
          <w:tcPr>
            <w:tcW w:w="713" w:type="pct"/>
            <w:tcBorders>
              <w:top w:val="single" w:sz="8" w:space="0" w:color="000000"/>
              <w:left w:val="single" w:sz="8" w:space="0" w:color="000000"/>
              <w:bottom w:val="single" w:sz="6" w:space="0" w:color="000000"/>
              <w:right w:val="single" w:sz="8" w:space="0" w:color="000000"/>
            </w:tcBorders>
            <w:vAlign w:val="center"/>
          </w:tcPr>
          <w:p w14:paraId="1513174E" w14:textId="77777777" w:rsidR="00913A13" w:rsidRDefault="002F45B8">
            <w:pPr>
              <w:pStyle w:val="biaogecenter"/>
              <w:wordWrap w:val="0"/>
              <w:rPr>
                <w:rFonts w:hint="eastAsia"/>
              </w:rPr>
            </w:pPr>
            <w:r>
              <w:rPr>
                <w:rFonts w:hint="eastAsia"/>
              </w:rPr>
              <w:t>1.13%</w:t>
            </w:r>
          </w:p>
        </w:tc>
        <w:tc>
          <w:tcPr>
            <w:tcW w:w="641" w:type="pct"/>
            <w:tcBorders>
              <w:top w:val="single" w:sz="8" w:space="0" w:color="000000"/>
              <w:left w:val="single" w:sz="8" w:space="0" w:color="000000"/>
              <w:bottom w:val="single" w:sz="6" w:space="0" w:color="000000"/>
              <w:right w:val="single" w:sz="8" w:space="0" w:color="000000"/>
            </w:tcBorders>
            <w:vAlign w:val="center"/>
          </w:tcPr>
          <w:p w14:paraId="1871C482" w14:textId="77777777" w:rsidR="00913A13" w:rsidRDefault="002F45B8">
            <w:pPr>
              <w:pStyle w:val="biaogecenter"/>
              <w:wordWrap w:val="0"/>
              <w:rPr>
                <w:rFonts w:hint="eastAsia"/>
              </w:rPr>
            </w:pPr>
            <w:r>
              <w:rPr>
                <w:rFonts w:hint="eastAsia"/>
              </w:rPr>
              <w:t>-1.61%</w:t>
            </w:r>
          </w:p>
        </w:tc>
        <w:tc>
          <w:tcPr>
            <w:tcW w:w="846" w:type="pct"/>
            <w:tcBorders>
              <w:top w:val="single" w:sz="8" w:space="0" w:color="000000"/>
              <w:left w:val="single" w:sz="8" w:space="0" w:color="000000"/>
              <w:bottom w:val="single" w:sz="6" w:space="0" w:color="000000"/>
              <w:right w:val="single" w:sz="8" w:space="0" w:color="000000"/>
            </w:tcBorders>
            <w:vAlign w:val="center"/>
          </w:tcPr>
          <w:p w14:paraId="5F8C7967" w14:textId="77777777" w:rsidR="00913A13" w:rsidRDefault="002F45B8">
            <w:pPr>
              <w:pStyle w:val="biaogecenter"/>
              <w:wordWrap w:val="0"/>
              <w:rPr>
                <w:rFonts w:hint="eastAsia"/>
              </w:rPr>
            </w:pPr>
            <w:r>
              <w:rPr>
                <w:rFonts w:hint="eastAsia"/>
              </w:rPr>
              <w:t>0.70%</w:t>
            </w:r>
          </w:p>
        </w:tc>
        <w:tc>
          <w:tcPr>
            <w:tcW w:w="688" w:type="pct"/>
            <w:tcBorders>
              <w:top w:val="single" w:sz="8" w:space="0" w:color="000000"/>
              <w:left w:val="single" w:sz="8" w:space="0" w:color="000000"/>
              <w:bottom w:val="single" w:sz="6" w:space="0" w:color="000000"/>
              <w:right w:val="single" w:sz="8" w:space="0" w:color="000000"/>
            </w:tcBorders>
            <w:vAlign w:val="center"/>
          </w:tcPr>
          <w:p w14:paraId="2B1A5DE1" w14:textId="77777777" w:rsidR="00913A13" w:rsidRDefault="002F45B8">
            <w:pPr>
              <w:pStyle w:val="biaogecenter"/>
              <w:wordWrap w:val="0"/>
              <w:rPr>
                <w:rFonts w:hint="eastAsia"/>
              </w:rPr>
            </w:pPr>
            <w:r>
              <w:rPr>
                <w:rFonts w:hint="eastAsia"/>
              </w:rPr>
              <w:t>-0.71%</w:t>
            </w:r>
          </w:p>
        </w:tc>
        <w:tc>
          <w:tcPr>
            <w:tcW w:w="685" w:type="pct"/>
            <w:tcBorders>
              <w:top w:val="single" w:sz="8" w:space="0" w:color="000000"/>
              <w:left w:val="single" w:sz="8" w:space="0" w:color="000000"/>
              <w:bottom w:val="single" w:sz="6" w:space="0" w:color="000000"/>
              <w:right w:val="single" w:sz="8" w:space="0" w:color="000000"/>
            </w:tcBorders>
            <w:vAlign w:val="center"/>
          </w:tcPr>
          <w:p w14:paraId="2D904513" w14:textId="77777777" w:rsidR="00913A13" w:rsidRDefault="002F45B8">
            <w:pPr>
              <w:pStyle w:val="biaogecenter"/>
              <w:wordWrap w:val="0"/>
              <w:rPr>
                <w:rFonts w:hint="eastAsia"/>
              </w:rPr>
            </w:pPr>
            <w:r>
              <w:rPr>
                <w:rFonts w:hint="eastAsia"/>
              </w:rPr>
              <w:t>0.43%</w:t>
            </w:r>
          </w:p>
        </w:tc>
      </w:tr>
      <w:tr w:rsidR="00913A13" w14:paraId="3AA64285"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06863876" w14:textId="77777777" w:rsidR="00913A13" w:rsidRDefault="002F45B8">
            <w:pPr>
              <w:pStyle w:val="biaogeleft"/>
              <w:wordWrap w:val="0"/>
              <w:rPr>
                <w:rFonts w:hint="eastAsia"/>
              </w:rPr>
            </w:pPr>
            <w:r>
              <w:rPr>
                <w:rFonts w:hint="eastAsia"/>
                <w:color w:val="000000"/>
                <w:sz w:val="21"/>
                <w:szCs w:val="21"/>
              </w:rPr>
              <w:t>2022.01.01~2022.12.31</w:t>
            </w:r>
          </w:p>
        </w:tc>
        <w:tc>
          <w:tcPr>
            <w:tcW w:w="719" w:type="pct"/>
            <w:tcBorders>
              <w:top w:val="single" w:sz="8" w:space="0" w:color="000000"/>
              <w:left w:val="single" w:sz="8" w:space="0" w:color="000000"/>
              <w:bottom w:val="single" w:sz="6" w:space="0" w:color="000000"/>
              <w:right w:val="single" w:sz="8" w:space="0" w:color="000000"/>
            </w:tcBorders>
            <w:vAlign w:val="center"/>
          </w:tcPr>
          <w:p w14:paraId="6630B64B" w14:textId="77777777" w:rsidR="00913A13" w:rsidRDefault="002F45B8">
            <w:pPr>
              <w:pStyle w:val="biaogecenter"/>
              <w:wordWrap w:val="0"/>
              <w:rPr>
                <w:rFonts w:hint="eastAsia"/>
              </w:rPr>
            </w:pPr>
            <w:r>
              <w:rPr>
                <w:rFonts w:hAnsi="等线"/>
                <w:color w:val="000000"/>
              </w:rPr>
              <w:t>-11.68%</w:t>
            </w:r>
          </w:p>
        </w:tc>
        <w:tc>
          <w:tcPr>
            <w:tcW w:w="713" w:type="pct"/>
            <w:tcBorders>
              <w:top w:val="single" w:sz="8" w:space="0" w:color="000000"/>
              <w:left w:val="single" w:sz="8" w:space="0" w:color="000000"/>
              <w:bottom w:val="single" w:sz="6" w:space="0" w:color="000000"/>
              <w:right w:val="single" w:sz="8" w:space="0" w:color="000000"/>
            </w:tcBorders>
            <w:vAlign w:val="center"/>
          </w:tcPr>
          <w:p w14:paraId="75CE5A9F" w14:textId="77777777" w:rsidR="00913A13" w:rsidRDefault="002F45B8">
            <w:pPr>
              <w:pStyle w:val="biaogecenter"/>
              <w:wordWrap w:val="0"/>
              <w:rPr>
                <w:rFonts w:hint="eastAsia"/>
              </w:rPr>
            </w:pPr>
            <w:r>
              <w:rPr>
                <w:rFonts w:hAnsi="等线"/>
                <w:color w:val="000000"/>
              </w:rPr>
              <w:t>1.28%</w:t>
            </w:r>
          </w:p>
        </w:tc>
        <w:tc>
          <w:tcPr>
            <w:tcW w:w="641" w:type="pct"/>
            <w:tcBorders>
              <w:top w:val="single" w:sz="8" w:space="0" w:color="000000"/>
              <w:left w:val="single" w:sz="8" w:space="0" w:color="000000"/>
              <w:bottom w:val="single" w:sz="6" w:space="0" w:color="000000"/>
              <w:right w:val="single" w:sz="8" w:space="0" w:color="000000"/>
            </w:tcBorders>
            <w:vAlign w:val="center"/>
          </w:tcPr>
          <w:p w14:paraId="08777DE0" w14:textId="77777777" w:rsidR="00913A13" w:rsidRDefault="002F45B8">
            <w:pPr>
              <w:pStyle w:val="biaogecenter"/>
              <w:wordWrap w:val="0"/>
              <w:rPr>
                <w:rFonts w:hint="eastAsia"/>
              </w:rPr>
            </w:pPr>
            <w:r>
              <w:rPr>
                <w:rFonts w:hAnsi="等线"/>
                <w:color w:val="000000"/>
              </w:rPr>
              <w:t>-15.20%</w:t>
            </w:r>
          </w:p>
        </w:tc>
        <w:tc>
          <w:tcPr>
            <w:tcW w:w="846" w:type="pct"/>
            <w:tcBorders>
              <w:top w:val="single" w:sz="8" w:space="0" w:color="000000"/>
              <w:left w:val="single" w:sz="8" w:space="0" w:color="000000"/>
              <w:bottom w:val="single" w:sz="6" w:space="0" w:color="000000"/>
              <w:right w:val="single" w:sz="8" w:space="0" w:color="000000"/>
            </w:tcBorders>
            <w:vAlign w:val="center"/>
          </w:tcPr>
          <w:p w14:paraId="6B24B471" w14:textId="77777777" w:rsidR="00913A13" w:rsidRDefault="002F45B8">
            <w:pPr>
              <w:pStyle w:val="biaogecenter"/>
              <w:wordWrap w:val="0"/>
              <w:rPr>
                <w:rFonts w:hint="eastAsia"/>
              </w:rPr>
            </w:pPr>
            <w:r>
              <w:rPr>
                <w:rFonts w:hAnsi="等线"/>
                <w:color w:val="000000"/>
              </w:rPr>
              <w:t>0.90%</w:t>
            </w:r>
          </w:p>
        </w:tc>
        <w:tc>
          <w:tcPr>
            <w:tcW w:w="688" w:type="pct"/>
            <w:tcBorders>
              <w:top w:val="single" w:sz="8" w:space="0" w:color="000000"/>
              <w:left w:val="single" w:sz="8" w:space="0" w:color="000000"/>
              <w:bottom w:val="single" w:sz="6" w:space="0" w:color="000000"/>
              <w:right w:val="single" w:sz="8" w:space="0" w:color="000000"/>
            </w:tcBorders>
            <w:vAlign w:val="center"/>
          </w:tcPr>
          <w:p w14:paraId="7A2B4A7C" w14:textId="77777777" w:rsidR="00913A13" w:rsidRDefault="002F45B8">
            <w:pPr>
              <w:pStyle w:val="biaogecenter"/>
              <w:wordWrap w:val="0"/>
              <w:rPr>
                <w:rFonts w:hint="eastAsia"/>
              </w:rPr>
            </w:pPr>
            <w:r>
              <w:rPr>
                <w:rFonts w:hAnsi="等线"/>
                <w:color w:val="000000"/>
              </w:rPr>
              <w:t>3.52%</w:t>
            </w:r>
          </w:p>
        </w:tc>
        <w:tc>
          <w:tcPr>
            <w:tcW w:w="685" w:type="pct"/>
            <w:tcBorders>
              <w:top w:val="single" w:sz="8" w:space="0" w:color="000000"/>
              <w:left w:val="single" w:sz="8" w:space="0" w:color="000000"/>
              <w:bottom w:val="single" w:sz="6" w:space="0" w:color="000000"/>
              <w:right w:val="single" w:sz="8" w:space="0" w:color="000000"/>
            </w:tcBorders>
            <w:vAlign w:val="center"/>
          </w:tcPr>
          <w:p w14:paraId="69D56590" w14:textId="77777777" w:rsidR="00913A13" w:rsidRDefault="002F45B8">
            <w:pPr>
              <w:pStyle w:val="biaogecenter"/>
              <w:wordWrap w:val="0"/>
              <w:rPr>
                <w:rFonts w:hint="eastAsia"/>
              </w:rPr>
            </w:pPr>
            <w:r>
              <w:rPr>
                <w:rFonts w:hAnsi="等线"/>
                <w:color w:val="000000"/>
              </w:rPr>
              <w:t>0.38%</w:t>
            </w:r>
          </w:p>
        </w:tc>
      </w:tr>
      <w:tr w:rsidR="00913A13" w14:paraId="73A3F486"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1752AFCD" w14:textId="77777777" w:rsidR="00913A13" w:rsidRDefault="002F45B8">
            <w:pPr>
              <w:pStyle w:val="biaogeleft"/>
              <w:wordWrap w:val="0"/>
              <w:rPr>
                <w:rFonts w:hint="eastAsia"/>
                <w:color w:val="000000"/>
                <w:sz w:val="21"/>
                <w:szCs w:val="21"/>
              </w:rPr>
            </w:pPr>
            <w:r>
              <w:rPr>
                <w:rFonts w:hint="eastAsia"/>
                <w:color w:val="000000"/>
                <w:sz w:val="21"/>
                <w:szCs w:val="21"/>
              </w:rPr>
              <w:t>2023.01.01~2023.12.31</w:t>
            </w:r>
          </w:p>
        </w:tc>
        <w:tc>
          <w:tcPr>
            <w:tcW w:w="719" w:type="pct"/>
            <w:tcBorders>
              <w:top w:val="single" w:sz="8" w:space="0" w:color="000000"/>
              <w:left w:val="single" w:sz="8" w:space="0" w:color="000000"/>
              <w:bottom w:val="single" w:sz="6" w:space="0" w:color="000000"/>
              <w:right w:val="single" w:sz="8" w:space="0" w:color="000000"/>
            </w:tcBorders>
            <w:vAlign w:val="center"/>
          </w:tcPr>
          <w:p w14:paraId="5A2F09E3" w14:textId="77777777" w:rsidR="00913A13" w:rsidRDefault="002F45B8">
            <w:pPr>
              <w:pStyle w:val="biaogecenter"/>
              <w:wordWrap w:val="0"/>
              <w:rPr>
                <w:rFonts w:hAnsi="等线" w:hint="eastAsia"/>
                <w:color w:val="000000"/>
              </w:rPr>
            </w:pPr>
            <w:r>
              <w:rPr>
                <w:rFonts w:hAnsi="等线"/>
                <w:color w:val="000000"/>
              </w:rPr>
              <w:t>-14.40%</w:t>
            </w:r>
          </w:p>
        </w:tc>
        <w:tc>
          <w:tcPr>
            <w:tcW w:w="713" w:type="pct"/>
            <w:tcBorders>
              <w:top w:val="single" w:sz="8" w:space="0" w:color="000000"/>
              <w:left w:val="single" w:sz="8" w:space="0" w:color="000000"/>
              <w:bottom w:val="single" w:sz="6" w:space="0" w:color="000000"/>
              <w:right w:val="single" w:sz="8" w:space="0" w:color="000000"/>
            </w:tcBorders>
            <w:vAlign w:val="center"/>
          </w:tcPr>
          <w:p w14:paraId="599B2F11" w14:textId="77777777" w:rsidR="00913A13" w:rsidRDefault="002F45B8">
            <w:pPr>
              <w:pStyle w:val="biaogecenter"/>
              <w:wordWrap w:val="0"/>
              <w:rPr>
                <w:rFonts w:hAnsi="等线" w:hint="eastAsia"/>
                <w:color w:val="000000"/>
              </w:rPr>
            </w:pPr>
            <w:r>
              <w:rPr>
                <w:rFonts w:hAnsi="等线"/>
                <w:color w:val="000000"/>
              </w:rPr>
              <w:t>0.93%</w:t>
            </w:r>
          </w:p>
        </w:tc>
        <w:tc>
          <w:tcPr>
            <w:tcW w:w="641" w:type="pct"/>
            <w:tcBorders>
              <w:top w:val="single" w:sz="8" w:space="0" w:color="000000"/>
              <w:left w:val="single" w:sz="8" w:space="0" w:color="000000"/>
              <w:bottom w:val="single" w:sz="6" w:space="0" w:color="000000"/>
              <w:right w:val="single" w:sz="8" w:space="0" w:color="000000"/>
            </w:tcBorders>
            <w:vAlign w:val="center"/>
          </w:tcPr>
          <w:p w14:paraId="316984B4" w14:textId="77777777" w:rsidR="00913A13" w:rsidRDefault="002F45B8">
            <w:pPr>
              <w:pStyle w:val="biaogecenter"/>
              <w:wordWrap w:val="0"/>
              <w:rPr>
                <w:rFonts w:hAnsi="等线" w:hint="eastAsia"/>
                <w:color w:val="000000"/>
              </w:rPr>
            </w:pPr>
            <w:r>
              <w:rPr>
                <w:rFonts w:hAnsi="等线"/>
                <w:color w:val="000000"/>
              </w:rPr>
              <w:t>-8.01%</w:t>
            </w:r>
          </w:p>
        </w:tc>
        <w:tc>
          <w:tcPr>
            <w:tcW w:w="846" w:type="pct"/>
            <w:tcBorders>
              <w:top w:val="single" w:sz="8" w:space="0" w:color="000000"/>
              <w:left w:val="single" w:sz="8" w:space="0" w:color="000000"/>
              <w:bottom w:val="single" w:sz="6" w:space="0" w:color="000000"/>
              <w:right w:val="single" w:sz="8" w:space="0" w:color="000000"/>
            </w:tcBorders>
            <w:vAlign w:val="center"/>
          </w:tcPr>
          <w:p w14:paraId="3814CBF3" w14:textId="77777777" w:rsidR="00913A13" w:rsidRDefault="002F45B8">
            <w:pPr>
              <w:pStyle w:val="biaogecenter"/>
              <w:wordWrap w:val="0"/>
              <w:rPr>
                <w:rFonts w:hAnsi="等线" w:hint="eastAsia"/>
                <w:color w:val="000000"/>
              </w:rPr>
            </w:pPr>
            <w:r>
              <w:rPr>
                <w:rFonts w:hAnsi="等线"/>
                <w:color w:val="000000"/>
              </w:rPr>
              <w:t>0.62%</w:t>
            </w:r>
          </w:p>
        </w:tc>
        <w:tc>
          <w:tcPr>
            <w:tcW w:w="688" w:type="pct"/>
            <w:tcBorders>
              <w:top w:val="single" w:sz="8" w:space="0" w:color="000000"/>
              <w:left w:val="single" w:sz="8" w:space="0" w:color="000000"/>
              <w:bottom w:val="single" w:sz="6" w:space="0" w:color="000000"/>
              <w:right w:val="single" w:sz="8" w:space="0" w:color="000000"/>
            </w:tcBorders>
            <w:vAlign w:val="center"/>
          </w:tcPr>
          <w:p w14:paraId="10E10BF6" w14:textId="77777777" w:rsidR="00913A13" w:rsidRDefault="002F45B8">
            <w:pPr>
              <w:pStyle w:val="biaogecenter"/>
              <w:wordWrap w:val="0"/>
              <w:rPr>
                <w:rFonts w:hAnsi="等线" w:hint="eastAsia"/>
                <w:color w:val="000000"/>
              </w:rPr>
            </w:pPr>
            <w:r>
              <w:rPr>
                <w:rFonts w:hAnsi="等线"/>
                <w:color w:val="000000"/>
              </w:rPr>
              <w:t>-6.39%</w:t>
            </w:r>
          </w:p>
        </w:tc>
        <w:tc>
          <w:tcPr>
            <w:tcW w:w="685" w:type="pct"/>
            <w:tcBorders>
              <w:top w:val="single" w:sz="8" w:space="0" w:color="000000"/>
              <w:left w:val="single" w:sz="8" w:space="0" w:color="000000"/>
              <w:bottom w:val="single" w:sz="6" w:space="0" w:color="000000"/>
              <w:right w:val="single" w:sz="8" w:space="0" w:color="000000"/>
            </w:tcBorders>
            <w:vAlign w:val="center"/>
          </w:tcPr>
          <w:p w14:paraId="24949850" w14:textId="77777777" w:rsidR="00913A13" w:rsidRDefault="002F45B8">
            <w:pPr>
              <w:pStyle w:val="biaogecenter"/>
              <w:wordWrap w:val="0"/>
              <w:rPr>
                <w:rFonts w:hAnsi="等线" w:hint="eastAsia"/>
                <w:color w:val="000000"/>
              </w:rPr>
            </w:pPr>
            <w:r>
              <w:rPr>
                <w:rFonts w:hAnsi="等线"/>
                <w:color w:val="000000"/>
              </w:rPr>
              <w:t>0.31%</w:t>
            </w:r>
          </w:p>
        </w:tc>
      </w:tr>
      <w:tr w:rsidR="00913A13" w14:paraId="7AEDD614"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73E8B31C" w14:textId="77777777" w:rsidR="00913A13" w:rsidRDefault="002F45B8">
            <w:pPr>
              <w:pStyle w:val="biaogeleft"/>
              <w:wordWrap w:val="0"/>
              <w:rPr>
                <w:rFonts w:hint="eastAsia"/>
                <w:color w:val="000000"/>
                <w:sz w:val="21"/>
                <w:szCs w:val="21"/>
              </w:rPr>
            </w:pPr>
            <w:r>
              <w:rPr>
                <w:rFonts w:hint="eastAsia"/>
                <w:color w:val="000000"/>
                <w:sz w:val="21"/>
                <w:szCs w:val="21"/>
              </w:rPr>
              <w:t>2024.01.01~2024.12.31</w:t>
            </w:r>
          </w:p>
        </w:tc>
        <w:tc>
          <w:tcPr>
            <w:tcW w:w="719" w:type="pct"/>
            <w:tcBorders>
              <w:top w:val="single" w:sz="8" w:space="0" w:color="000000"/>
              <w:left w:val="single" w:sz="8" w:space="0" w:color="000000"/>
              <w:bottom w:val="single" w:sz="6" w:space="0" w:color="000000"/>
              <w:right w:val="single" w:sz="8" w:space="0" w:color="000000"/>
            </w:tcBorders>
            <w:vAlign w:val="center"/>
          </w:tcPr>
          <w:p w14:paraId="412C31E2" w14:textId="77777777" w:rsidR="00913A13" w:rsidRDefault="002F45B8">
            <w:pPr>
              <w:pStyle w:val="biaogecenter"/>
              <w:wordWrap w:val="0"/>
              <w:rPr>
                <w:rFonts w:hAnsi="等线" w:hint="eastAsia"/>
                <w:color w:val="000000"/>
              </w:rPr>
            </w:pPr>
            <w:r>
              <w:rPr>
                <w:rFonts w:hAnsi="Calibri"/>
                <w:color w:val="000000"/>
              </w:rPr>
              <w:t>18.95%</w:t>
            </w:r>
          </w:p>
        </w:tc>
        <w:tc>
          <w:tcPr>
            <w:tcW w:w="713" w:type="pct"/>
            <w:tcBorders>
              <w:top w:val="single" w:sz="8" w:space="0" w:color="000000"/>
              <w:left w:val="single" w:sz="8" w:space="0" w:color="000000"/>
              <w:bottom w:val="single" w:sz="6" w:space="0" w:color="000000"/>
              <w:right w:val="single" w:sz="8" w:space="0" w:color="000000"/>
            </w:tcBorders>
            <w:vAlign w:val="center"/>
          </w:tcPr>
          <w:p w14:paraId="5782768E" w14:textId="77777777" w:rsidR="00913A13" w:rsidRDefault="002F45B8">
            <w:pPr>
              <w:pStyle w:val="biaogecenter"/>
              <w:wordWrap w:val="0"/>
              <w:rPr>
                <w:rFonts w:hAnsi="等线" w:hint="eastAsia"/>
                <w:color w:val="000000"/>
              </w:rPr>
            </w:pPr>
            <w:r>
              <w:rPr>
                <w:rFonts w:hAnsi="Calibri"/>
                <w:color w:val="000000"/>
              </w:rPr>
              <w:t>1.37%</w:t>
            </w:r>
          </w:p>
        </w:tc>
        <w:tc>
          <w:tcPr>
            <w:tcW w:w="641" w:type="pct"/>
            <w:tcBorders>
              <w:top w:val="single" w:sz="8" w:space="0" w:color="000000"/>
              <w:left w:val="single" w:sz="8" w:space="0" w:color="000000"/>
              <w:bottom w:val="single" w:sz="6" w:space="0" w:color="000000"/>
              <w:right w:val="single" w:sz="8" w:space="0" w:color="000000"/>
            </w:tcBorders>
            <w:vAlign w:val="center"/>
          </w:tcPr>
          <w:p w14:paraId="430AFC0E" w14:textId="77777777" w:rsidR="00913A13" w:rsidRDefault="002F45B8">
            <w:pPr>
              <w:pStyle w:val="biaogecenter"/>
              <w:wordWrap w:val="0"/>
              <w:rPr>
                <w:rFonts w:hAnsi="等线" w:hint="eastAsia"/>
                <w:color w:val="000000"/>
              </w:rPr>
            </w:pPr>
            <w:r>
              <w:rPr>
                <w:rFonts w:hAnsi="Calibri"/>
                <w:color w:val="000000"/>
              </w:rPr>
              <w:t>8.07%</w:t>
            </w:r>
          </w:p>
        </w:tc>
        <w:tc>
          <w:tcPr>
            <w:tcW w:w="846" w:type="pct"/>
            <w:tcBorders>
              <w:top w:val="single" w:sz="8" w:space="0" w:color="000000"/>
              <w:left w:val="single" w:sz="8" w:space="0" w:color="000000"/>
              <w:bottom w:val="single" w:sz="6" w:space="0" w:color="000000"/>
              <w:right w:val="single" w:sz="8" w:space="0" w:color="000000"/>
            </w:tcBorders>
            <w:vAlign w:val="center"/>
          </w:tcPr>
          <w:p w14:paraId="17747018" w14:textId="77777777" w:rsidR="00913A13" w:rsidRDefault="002F45B8">
            <w:pPr>
              <w:pStyle w:val="biaogecenter"/>
              <w:wordWrap w:val="0"/>
              <w:rPr>
                <w:rFonts w:hAnsi="等线" w:hint="eastAsia"/>
                <w:color w:val="000000"/>
              </w:rPr>
            </w:pPr>
            <w:r>
              <w:rPr>
                <w:rFonts w:hAnsi="Calibri"/>
                <w:color w:val="000000"/>
              </w:rPr>
              <w:t>0.92%</w:t>
            </w:r>
          </w:p>
        </w:tc>
        <w:tc>
          <w:tcPr>
            <w:tcW w:w="688" w:type="pct"/>
            <w:tcBorders>
              <w:top w:val="single" w:sz="8" w:space="0" w:color="000000"/>
              <w:left w:val="single" w:sz="8" w:space="0" w:color="000000"/>
              <w:bottom w:val="single" w:sz="6" w:space="0" w:color="000000"/>
              <w:right w:val="single" w:sz="8" w:space="0" w:color="000000"/>
            </w:tcBorders>
            <w:vAlign w:val="center"/>
          </w:tcPr>
          <w:p w14:paraId="68FCF560" w14:textId="77777777" w:rsidR="00913A13" w:rsidRDefault="002F45B8">
            <w:pPr>
              <w:pStyle w:val="biaogecenter"/>
              <w:wordWrap w:val="0"/>
              <w:rPr>
                <w:rFonts w:hAnsi="等线" w:hint="eastAsia"/>
                <w:color w:val="000000"/>
              </w:rPr>
            </w:pPr>
            <w:r>
              <w:rPr>
                <w:rFonts w:hAnsi="Calibri"/>
                <w:color w:val="000000"/>
              </w:rPr>
              <w:t>10.88%</w:t>
            </w:r>
          </w:p>
        </w:tc>
        <w:tc>
          <w:tcPr>
            <w:tcW w:w="685" w:type="pct"/>
            <w:tcBorders>
              <w:top w:val="single" w:sz="8" w:space="0" w:color="000000"/>
              <w:left w:val="single" w:sz="8" w:space="0" w:color="000000"/>
              <w:bottom w:val="single" w:sz="6" w:space="0" w:color="000000"/>
              <w:right w:val="single" w:sz="8" w:space="0" w:color="000000"/>
            </w:tcBorders>
            <w:vAlign w:val="center"/>
          </w:tcPr>
          <w:p w14:paraId="4B5E479B" w14:textId="77777777" w:rsidR="00913A13" w:rsidRDefault="002F45B8">
            <w:pPr>
              <w:pStyle w:val="biaogecenter"/>
              <w:wordWrap w:val="0"/>
              <w:rPr>
                <w:rFonts w:hAnsi="等线" w:hint="eastAsia"/>
                <w:color w:val="000000"/>
              </w:rPr>
            </w:pPr>
            <w:r>
              <w:rPr>
                <w:rFonts w:hAnsi="Calibri"/>
                <w:color w:val="000000"/>
              </w:rPr>
              <w:t>0.45%</w:t>
            </w:r>
          </w:p>
        </w:tc>
      </w:tr>
      <w:tr w:rsidR="00D65E55" w14:paraId="64454513"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0DE22A51" w14:textId="6AABD513" w:rsidR="00D65E55" w:rsidRDefault="00D65E55" w:rsidP="00D65E55">
            <w:pPr>
              <w:pStyle w:val="biaogeleft"/>
              <w:wordWrap w:val="0"/>
              <w:rPr>
                <w:rFonts w:hint="eastAsia"/>
                <w:color w:val="000000"/>
                <w:sz w:val="21"/>
                <w:szCs w:val="21"/>
              </w:rPr>
            </w:pPr>
            <w:r>
              <w:rPr>
                <w:rFonts w:hint="eastAsia"/>
                <w:color w:val="000000"/>
                <w:sz w:val="21"/>
                <w:szCs w:val="21"/>
              </w:rPr>
              <w:t>2025.01.01~2025.12.31</w:t>
            </w:r>
          </w:p>
        </w:tc>
        <w:tc>
          <w:tcPr>
            <w:tcW w:w="719" w:type="pct"/>
            <w:tcBorders>
              <w:top w:val="single" w:sz="8" w:space="0" w:color="000000"/>
              <w:left w:val="single" w:sz="8" w:space="0" w:color="000000"/>
              <w:bottom w:val="single" w:sz="6" w:space="0" w:color="000000"/>
              <w:right w:val="single" w:sz="8" w:space="0" w:color="000000"/>
            </w:tcBorders>
            <w:vAlign w:val="center"/>
          </w:tcPr>
          <w:p w14:paraId="387E2797" w14:textId="5D1A23D9" w:rsidR="00D65E55" w:rsidRDefault="00D65E55" w:rsidP="00D65E55">
            <w:pPr>
              <w:pStyle w:val="biaogecenter"/>
              <w:wordWrap w:val="0"/>
              <w:rPr>
                <w:rFonts w:hAnsi="Calibri"/>
                <w:color w:val="000000"/>
              </w:rPr>
            </w:pPr>
            <w:r w:rsidRPr="00DF4DCB">
              <w:rPr>
                <w:rFonts w:hAnsi="Calibri"/>
                <w:color w:val="000000"/>
              </w:rPr>
              <w:t>23.16%</w:t>
            </w:r>
          </w:p>
        </w:tc>
        <w:tc>
          <w:tcPr>
            <w:tcW w:w="713" w:type="pct"/>
            <w:tcBorders>
              <w:top w:val="single" w:sz="8" w:space="0" w:color="000000"/>
              <w:left w:val="single" w:sz="8" w:space="0" w:color="000000"/>
              <w:bottom w:val="single" w:sz="6" w:space="0" w:color="000000"/>
              <w:right w:val="single" w:sz="8" w:space="0" w:color="000000"/>
            </w:tcBorders>
            <w:vAlign w:val="center"/>
          </w:tcPr>
          <w:p w14:paraId="5AC18E3E" w14:textId="4EDE35E4" w:rsidR="00D65E55" w:rsidRDefault="00D65E55" w:rsidP="00D65E55">
            <w:pPr>
              <w:pStyle w:val="biaogecenter"/>
              <w:wordWrap w:val="0"/>
              <w:rPr>
                <w:rFonts w:hAnsi="Calibri"/>
                <w:color w:val="000000"/>
              </w:rPr>
            </w:pPr>
            <w:r w:rsidRPr="00DF4DCB">
              <w:rPr>
                <w:rFonts w:hAnsi="Calibri"/>
                <w:color w:val="000000"/>
              </w:rPr>
              <w:t>1.66%</w:t>
            </w:r>
          </w:p>
        </w:tc>
        <w:tc>
          <w:tcPr>
            <w:tcW w:w="641" w:type="pct"/>
            <w:tcBorders>
              <w:top w:val="single" w:sz="8" w:space="0" w:color="000000"/>
              <w:left w:val="single" w:sz="8" w:space="0" w:color="000000"/>
              <w:bottom w:val="single" w:sz="6" w:space="0" w:color="000000"/>
              <w:right w:val="single" w:sz="8" w:space="0" w:color="000000"/>
            </w:tcBorders>
            <w:vAlign w:val="center"/>
          </w:tcPr>
          <w:p w14:paraId="4E7AB7D0" w14:textId="3DC6418C" w:rsidR="00D65E55" w:rsidRDefault="00D65E55" w:rsidP="00D65E55">
            <w:pPr>
              <w:pStyle w:val="biaogecenter"/>
              <w:wordWrap w:val="0"/>
              <w:rPr>
                <w:rFonts w:hAnsi="Calibri"/>
                <w:color w:val="000000"/>
              </w:rPr>
            </w:pPr>
            <w:r w:rsidRPr="00DF4DCB">
              <w:rPr>
                <w:rFonts w:hAnsi="Calibri"/>
                <w:color w:val="000000"/>
              </w:rPr>
              <w:t>11.81%</w:t>
            </w:r>
          </w:p>
        </w:tc>
        <w:tc>
          <w:tcPr>
            <w:tcW w:w="846" w:type="pct"/>
            <w:tcBorders>
              <w:top w:val="single" w:sz="8" w:space="0" w:color="000000"/>
              <w:left w:val="single" w:sz="8" w:space="0" w:color="000000"/>
              <w:bottom w:val="single" w:sz="6" w:space="0" w:color="000000"/>
              <w:right w:val="single" w:sz="8" w:space="0" w:color="000000"/>
            </w:tcBorders>
            <w:vAlign w:val="center"/>
          </w:tcPr>
          <w:p w14:paraId="54EA97DA" w14:textId="79CD69E7" w:rsidR="00D65E55" w:rsidRDefault="00D65E55" w:rsidP="00D65E55">
            <w:pPr>
              <w:pStyle w:val="biaogecenter"/>
              <w:wordWrap w:val="0"/>
              <w:rPr>
                <w:rFonts w:hAnsi="Calibri"/>
                <w:color w:val="000000"/>
              </w:rPr>
            </w:pPr>
            <w:r w:rsidRPr="00DF4DCB">
              <w:rPr>
                <w:rFonts w:hAnsi="Calibri"/>
                <w:color w:val="000000"/>
              </w:rPr>
              <w:t>0.66%</w:t>
            </w:r>
          </w:p>
        </w:tc>
        <w:tc>
          <w:tcPr>
            <w:tcW w:w="688" w:type="pct"/>
            <w:tcBorders>
              <w:top w:val="single" w:sz="8" w:space="0" w:color="000000"/>
              <w:left w:val="single" w:sz="8" w:space="0" w:color="000000"/>
              <w:bottom w:val="single" w:sz="6" w:space="0" w:color="000000"/>
              <w:right w:val="single" w:sz="8" w:space="0" w:color="000000"/>
            </w:tcBorders>
            <w:vAlign w:val="center"/>
          </w:tcPr>
          <w:p w14:paraId="46D0789C" w14:textId="5864BF26" w:rsidR="00D65E55" w:rsidRDefault="00D65E55" w:rsidP="00D65E55">
            <w:pPr>
              <w:pStyle w:val="biaogecenter"/>
              <w:wordWrap w:val="0"/>
              <w:rPr>
                <w:rFonts w:hAnsi="Calibri"/>
                <w:color w:val="000000"/>
              </w:rPr>
            </w:pPr>
            <w:r w:rsidRPr="00DF4DCB">
              <w:rPr>
                <w:rFonts w:hAnsi="Calibri"/>
                <w:color w:val="000000"/>
              </w:rPr>
              <w:t>11.35%</w:t>
            </w:r>
          </w:p>
        </w:tc>
        <w:tc>
          <w:tcPr>
            <w:tcW w:w="685" w:type="pct"/>
            <w:tcBorders>
              <w:top w:val="single" w:sz="8" w:space="0" w:color="000000"/>
              <w:left w:val="single" w:sz="8" w:space="0" w:color="000000"/>
              <w:bottom w:val="single" w:sz="6" w:space="0" w:color="000000"/>
              <w:right w:val="single" w:sz="8" w:space="0" w:color="000000"/>
            </w:tcBorders>
            <w:vAlign w:val="center"/>
          </w:tcPr>
          <w:p w14:paraId="46AFE086" w14:textId="2C05F4F0" w:rsidR="00D65E55" w:rsidRDefault="00D65E55" w:rsidP="00D65E55">
            <w:pPr>
              <w:pStyle w:val="biaogecenter"/>
              <w:wordWrap w:val="0"/>
              <w:rPr>
                <w:rFonts w:hAnsi="Calibri"/>
                <w:color w:val="000000"/>
              </w:rPr>
            </w:pPr>
            <w:r w:rsidRPr="00DF4DCB">
              <w:rPr>
                <w:rFonts w:hAnsi="Calibri"/>
                <w:color w:val="000000"/>
              </w:rPr>
              <w:t>1.00%</w:t>
            </w:r>
          </w:p>
        </w:tc>
      </w:tr>
      <w:tr w:rsidR="00D65E55" w14:paraId="17512DD1" w14:textId="77777777">
        <w:trPr>
          <w:jc w:val="center"/>
        </w:trPr>
        <w:tc>
          <w:tcPr>
            <w:tcW w:w="708" w:type="pct"/>
            <w:tcBorders>
              <w:top w:val="single" w:sz="8" w:space="0" w:color="000000"/>
              <w:left w:val="single" w:sz="8" w:space="0" w:color="000000"/>
              <w:bottom w:val="single" w:sz="6" w:space="0" w:color="000000"/>
              <w:right w:val="single" w:sz="8" w:space="0" w:color="000000"/>
            </w:tcBorders>
            <w:vAlign w:val="center"/>
          </w:tcPr>
          <w:p w14:paraId="113AB621" w14:textId="64C1238A" w:rsidR="00D65E55" w:rsidRDefault="00D65E55" w:rsidP="00D65E55">
            <w:pPr>
              <w:pStyle w:val="biaogeleft"/>
              <w:wordWrap w:val="0"/>
              <w:rPr>
                <w:rFonts w:hint="eastAsia"/>
              </w:rPr>
            </w:pPr>
            <w:r>
              <w:rPr>
                <w:rFonts w:hint="eastAsia"/>
              </w:rPr>
              <w:t>自基金合同生效起至今</w:t>
            </w:r>
          </w:p>
        </w:tc>
        <w:tc>
          <w:tcPr>
            <w:tcW w:w="719" w:type="pct"/>
            <w:tcBorders>
              <w:top w:val="single" w:sz="8" w:space="0" w:color="000000"/>
              <w:left w:val="single" w:sz="8" w:space="0" w:color="000000"/>
              <w:bottom w:val="single" w:sz="6" w:space="0" w:color="000000"/>
              <w:right w:val="single" w:sz="8" w:space="0" w:color="000000"/>
            </w:tcBorders>
            <w:vAlign w:val="center"/>
          </w:tcPr>
          <w:p w14:paraId="1469C304" w14:textId="607D5D2B" w:rsidR="00D65E55" w:rsidRDefault="00D65E55" w:rsidP="00D65E55">
            <w:pPr>
              <w:pStyle w:val="biaogecenter"/>
              <w:wordWrap w:val="0"/>
              <w:rPr>
                <w:rFonts w:hint="eastAsia"/>
              </w:rPr>
            </w:pPr>
            <w:r>
              <w:rPr>
                <w:rFonts w:hAnsi="Calibri"/>
                <w:color w:val="000000"/>
              </w:rPr>
              <w:t>9.61%</w:t>
            </w:r>
          </w:p>
        </w:tc>
        <w:tc>
          <w:tcPr>
            <w:tcW w:w="713" w:type="pct"/>
            <w:tcBorders>
              <w:top w:val="single" w:sz="8" w:space="0" w:color="000000"/>
              <w:left w:val="single" w:sz="8" w:space="0" w:color="000000"/>
              <w:bottom w:val="single" w:sz="6" w:space="0" w:color="000000"/>
              <w:right w:val="single" w:sz="8" w:space="0" w:color="000000"/>
            </w:tcBorders>
            <w:vAlign w:val="center"/>
          </w:tcPr>
          <w:p w14:paraId="386B3EAE" w14:textId="446C1403" w:rsidR="00D65E55" w:rsidRDefault="00D65E55" w:rsidP="00D65E55">
            <w:pPr>
              <w:pStyle w:val="biaogecenter"/>
              <w:wordWrap w:val="0"/>
              <w:rPr>
                <w:rFonts w:hint="eastAsia"/>
              </w:rPr>
            </w:pPr>
            <w:r>
              <w:rPr>
                <w:rFonts w:hAnsi="Calibri"/>
                <w:color w:val="000000"/>
              </w:rPr>
              <w:t>1.41%</w:t>
            </w:r>
          </w:p>
        </w:tc>
        <w:tc>
          <w:tcPr>
            <w:tcW w:w="641" w:type="pct"/>
            <w:tcBorders>
              <w:top w:val="single" w:sz="8" w:space="0" w:color="000000"/>
              <w:left w:val="single" w:sz="8" w:space="0" w:color="000000"/>
              <w:bottom w:val="single" w:sz="6" w:space="0" w:color="000000"/>
              <w:right w:val="single" w:sz="8" w:space="0" w:color="000000"/>
            </w:tcBorders>
            <w:vAlign w:val="center"/>
          </w:tcPr>
          <w:p w14:paraId="055064F8" w14:textId="01488552" w:rsidR="00D65E55" w:rsidRDefault="00D65E55" w:rsidP="00D65E55">
            <w:pPr>
              <w:pStyle w:val="biaogecenter"/>
              <w:wordWrap w:val="0"/>
              <w:rPr>
                <w:rFonts w:hint="eastAsia"/>
              </w:rPr>
            </w:pPr>
            <w:r>
              <w:rPr>
                <w:rFonts w:hAnsi="Calibri"/>
                <w:color w:val="000000"/>
              </w:rPr>
              <w:t>-5.55%</w:t>
            </w:r>
          </w:p>
        </w:tc>
        <w:tc>
          <w:tcPr>
            <w:tcW w:w="846" w:type="pct"/>
            <w:tcBorders>
              <w:top w:val="single" w:sz="8" w:space="0" w:color="000000"/>
              <w:left w:val="single" w:sz="8" w:space="0" w:color="000000"/>
              <w:bottom w:val="single" w:sz="6" w:space="0" w:color="000000"/>
              <w:right w:val="single" w:sz="8" w:space="0" w:color="000000"/>
            </w:tcBorders>
            <w:vAlign w:val="center"/>
          </w:tcPr>
          <w:p w14:paraId="783E23B4" w14:textId="562F402D" w:rsidR="00D65E55" w:rsidRDefault="00D65E55" w:rsidP="00D65E55">
            <w:pPr>
              <w:pStyle w:val="biaogecenter"/>
              <w:wordWrap w:val="0"/>
              <w:rPr>
                <w:rFonts w:hint="eastAsia"/>
              </w:rPr>
            </w:pPr>
            <w:r>
              <w:rPr>
                <w:rFonts w:hAnsi="Calibri"/>
                <w:color w:val="000000"/>
              </w:rPr>
              <w:t>0.77%</w:t>
            </w:r>
          </w:p>
        </w:tc>
        <w:tc>
          <w:tcPr>
            <w:tcW w:w="688" w:type="pct"/>
            <w:tcBorders>
              <w:top w:val="single" w:sz="8" w:space="0" w:color="000000"/>
              <w:left w:val="single" w:sz="8" w:space="0" w:color="000000"/>
              <w:bottom w:val="single" w:sz="6" w:space="0" w:color="000000"/>
              <w:right w:val="single" w:sz="8" w:space="0" w:color="000000"/>
            </w:tcBorders>
            <w:vAlign w:val="center"/>
          </w:tcPr>
          <w:p w14:paraId="02ECB7A4" w14:textId="6DBDF0B0" w:rsidR="00D65E55" w:rsidRDefault="00D65E55" w:rsidP="00D65E55">
            <w:pPr>
              <w:pStyle w:val="biaogecenter"/>
              <w:wordWrap w:val="0"/>
              <w:rPr>
                <w:rFonts w:hint="eastAsia"/>
              </w:rPr>
            </w:pPr>
            <w:r>
              <w:rPr>
                <w:rFonts w:hAnsi="Calibri"/>
                <w:color w:val="000000"/>
              </w:rPr>
              <w:t>15.16%</w:t>
            </w:r>
          </w:p>
        </w:tc>
        <w:tc>
          <w:tcPr>
            <w:tcW w:w="685" w:type="pct"/>
            <w:tcBorders>
              <w:top w:val="single" w:sz="8" w:space="0" w:color="000000"/>
              <w:left w:val="single" w:sz="8" w:space="0" w:color="000000"/>
              <w:bottom w:val="single" w:sz="6" w:space="0" w:color="000000"/>
              <w:right w:val="single" w:sz="8" w:space="0" w:color="000000"/>
            </w:tcBorders>
            <w:vAlign w:val="center"/>
          </w:tcPr>
          <w:p w14:paraId="4E4DBCCF" w14:textId="2AC77C49" w:rsidR="00D65E55" w:rsidRDefault="00D65E55" w:rsidP="00D65E55">
            <w:pPr>
              <w:pStyle w:val="biaogecenter"/>
              <w:wordWrap w:val="0"/>
              <w:rPr>
                <w:rFonts w:hint="eastAsia"/>
              </w:rPr>
            </w:pPr>
            <w:r>
              <w:rPr>
                <w:rFonts w:hAnsi="Calibri"/>
                <w:color w:val="000000"/>
              </w:rPr>
              <w:t>0.64%</w:t>
            </w:r>
          </w:p>
        </w:tc>
      </w:tr>
    </w:tbl>
    <w:p w14:paraId="1130D697" w14:textId="29927942" w:rsidR="008728F3" w:rsidRDefault="002F45B8" w:rsidP="00E44E30">
      <w:pPr>
        <w:widowControl/>
        <w:ind w:firstLine="420"/>
        <w:jc w:val="left"/>
        <w:rPr>
          <w:rFonts w:ascii="宋体" w:eastAsia="宋体" w:hAnsi="宋体" w:cs="宋体" w:hint="eastAsia"/>
          <w:kern w:val="0"/>
          <w:sz w:val="24"/>
          <w:szCs w:val="24"/>
        </w:rPr>
      </w:pPr>
      <w:r>
        <w:rPr>
          <w:rFonts w:ascii="宋体" w:eastAsia="宋体" w:hAnsi="宋体" w:cs="宋体" w:hint="eastAsia"/>
          <w:kern w:val="0"/>
          <w:sz w:val="24"/>
          <w:szCs w:val="24"/>
        </w:rPr>
        <w:t>注：</w:t>
      </w:r>
      <w:r w:rsidR="008728F3" w:rsidRPr="008728F3">
        <w:rPr>
          <w:rFonts w:ascii="宋体" w:eastAsia="宋体" w:hAnsi="宋体" w:cs="宋体" w:hint="eastAsia"/>
          <w:kern w:val="0"/>
          <w:sz w:val="24"/>
          <w:szCs w:val="24"/>
        </w:rPr>
        <w:t>自2026年9月21日起，本基金业绩比较基准由“</w:t>
      </w:r>
      <w:r w:rsidR="008728F3">
        <w:rPr>
          <w:rFonts w:ascii="宋体" w:eastAsia="宋体" w:hAnsi="宋体" w:cs="宋体" w:hint="eastAsia"/>
          <w:kern w:val="0"/>
          <w:sz w:val="24"/>
          <w:szCs w:val="24"/>
        </w:rPr>
        <w:t>沪深300指数收益率×70%+中债综合指数收益率×30%</w:t>
      </w:r>
      <w:r w:rsidR="008728F3" w:rsidRPr="008728F3">
        <w:rPr>
          <w:rFonts w:ascii="宋体" w:eastAsia="宋体" w:hAnsi="宋体" w:cs="宋体" w:hint="eastAsia"/>
          <w:kern w:val="0"/>
          <w:sz w:val="24"/>
          <w:szCs w:val="24"/>
        </w:rPr>
        <w:t>”调整为“中证800指数收益率*85%+中债-综合全价(1-3年)指数收益率*15%”。</w:t>
      </w:r>
    </w:p>
    <w:p w14:paraId="20576286" w14:textId="54F52CCE" w:rsidR="00913A13" w:rsidRDefault="00913A13">
      <w:pPr>
        <w:widowControl/>
        <w:jc w:val="left"/>
        <w:rPr>
          <w:rFonts w:ascii="宋体" w:eastAsia="宋体" w:hAnsi="宋体" w:cs="宋体" w:hint="eastAsia"/>
          <w:kern w:val="0"/>
          <w:sz w:val="24"/>
          <w:szCs w:val="24"/>
        </w:rPr>
      </w:pPr>
    </w:p>
    <w:p w14:paraId="536B7FFA" w14:textId="77777777" w:rsidR="00913A13" w:rsidRDefault="002F45B8">
      <w:pPr>
        <w:pStyle w:val="zhangjiep2"/>
        <w:rPr>
          <w:rFonts w:asciiTheme="minorEastAsia" w:eastAsiaTheme="minorEastAsia" w:hAnsiTheme="minorEastAsia" w:cs="Times New Roman" w:hint="eastAsia"/>
          <w:bCs/>
          <w:kern w:val="2"/>
        </w:rPr>
      </w:pPr>
      <w:r>
        <w:rPr>
          <w:rFonts w:asciiTheme="minorEastAsia" w:eastAsiaTheme="minorEastAsia" w:hAnsiTheme="minorEastAsia" w:cs="Times New Roman"/>
          <w:bCs/>
          <w:kern w:val="2"/>
        </w:rPr>
        <w:t>2、</w:t>
      </w:r>
      <w:r>
        <w:rPr>
          <w:rFonts w:asciiTheme="minorEastAsia" w:eastAsiaTheme="minorEastAsia" w:hAnsiTheme="minorEastAsia" w:cs="Times New Roman" w:hint="eastAsia"/>
          <w:bCs/>
          <w:kern w:val="2"/>
        </w:rPr>
        <w:t>自基金合同生效以来基金累计净值增长率变动及其与同期业绩比较基准收益率变动的比较</w:t>
      </w:r>
    </w:p>
    <w:p w14:paraId="531844F9" w14:textId="41F7C92C" w:rsidR="00913A13" w:rsidRDefault="00D65E55">
      <w:pPr>
        <w:pStyle w:val="zhangjiep2"/>
        <w:rPr>
          <w:rFonts w:hint="eastAsia"/>
        </w:rPr>
      </w:pPr>
      <w:r>
        <w:rPr>
          <w:rFonts w:hAnsi="Calibri"/>
          <w:noProof/>
          <w:color w:val="000000"/>
        </w:rPr>
        <w:lastRenderedPageBreak/>
        <w:drawing>
          <wp:inline distT="0" distB="0" distL="0" distR="0" wp14:anchorId="5D0E8918" wp14:editId="6371083B">
            <wp:extent cx="5429885" cy="3524885"/>
            <wp:effectExtent l="0" t="0" r="0" b="0"/>
            <wp:docPr id="5" name="图片 5" descr="说明: D:\GZ\Bin\Bin\MOD\TMP\CN_51130000_012545_FB030010_2026000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Bin\MOD\TMP\CN_51130000_012545_FB030010_20260003_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29885" cy="3524885"/>
                    </a:xfrm>
                    <a:prstGeom prst="rect">
                      <a:avLst/>
                    </a:prstGeom>
                    <a:noFill/>
                    <a:ln>
                      <a:noFill/>
                    </a:ln>
                  </pic:spPr>
                </pic:pic>
              </a:graphicData>
            </a:graphic>
          </wp:inline>
        </w:drawing>
      </w:r>
    </w:p>
    <w:p w14:paraId="58DC7ACD" w14:textId="59ED6FDB" w:rsidR="00913A13" w:rsidRDefault="00D65E55">
      <w:pPr>
        <w:pStyle w:val="zhangjiep2"/>
        <w:rPr>
          <w:rFonts w:hint="eastAsia"/>
        </w:rPr>
      </w:pPr>
      <w:r>
        <w:rPr>
          <w:rFonts w:hAnsi="Calibri"/>
          <w:noProof/>
          <w:color w:val="000000"/>
        </w:rPr>
        <w:drawing>
          <wp:inline distT="0" distB="0" distL="0" distR="0" wp14:anchorId="5457BEF8" wp14:editId="12FF1B9E">
            <wp:extent cx="5429885" cy="3524885"/>
            <wp:effectExtent l="0" t="0" r="0" b="0"/>
            <wp:docPr id="6" name="图片 6" descr="说明: D:\GZ\Bin\Bin\MOD\TMP\CN_51130000_012545_FB030010_2026000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Bin\MOD\TMP\CN_51130000_012545_FB030010_20260003_3.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9885" cy="3524885"/>
                    </a:xfrm>
                    <a:prstGeom prst="rect">
                      <a:avLst/>
                    </a:prstGeom>
                    <a:noFill/>
                    <a:ln>
                      <a:noFill/>
                    </a:ln>
                  </pic:spPr>
                </pic:pic>
              </a:graphicData>
            </a:graphic>
          </wp:inline>
        </w:drawing>
      </w:r>
    </w:p>
    <w:p w14:paraId="5E1976BB" w14:textId="77777777" w:rsidR="00913A13" w:rsidRDefault="002F45B8">
      <w:pPr>
        <w:pStyle w:val="biaogeleft"/>
        <w:rPr>
          <w:rFonts w:hint="eastAsia"/>
          <w:sz w:val="30"/>
          <w:szCs w:val="30"/>
        </w:rPr>
      </w:pPr>
      <w:r>
        <w:rPr>
          <w:sz w:val="30"/>
          <w:szCs w:val="30"/>
        </w:rPr>
        <w:br w:type="page"/>
      </w:r>
    </w:p>
    <w:p w14:paraId="11ECC6C4" w14:textId="77777777" w:rsidR="00913A13" w:rsidRDefault="002F45B8">
      <w:pPr>
        <w:pStyle w:val="1"/>
        <w:jc w:val="center"/>
        <w:rPr>
          <w:sz w:val="30"/>
          <w:szCs w:val="30"/>
        </w:rPr>
      </w:pPr>
      <w:bookmarkStart w:id="254" w:name="_Toc136963810"/>
      <w:r>
        <w:rPr>
          <w:rFonts w:hint="eastAsia"/>
          <w:sz w:val="30"/>
          <w:szCs w:val="30"/>
        </w:rPr>
        <w:lastRenderedPageBreak/>
        <w:t>第十部分</w:t>
      </w:r>
      <w:r>
        <w:rPr>
          <w:sz w:val="30"/>
          <w:szCs w:val="30"/>
        </w:rPr>
        <w:t xml:space="preserve">  </w:t>
      </w:r>
      <w:r>
        <w:rPr>
          <w:rFonts w:hint="eastAsia"/>
          <w:sz w:val="30"/>
          <w:szCs w:val="30"/>
        </w:rPr>
        <w:t>基金的财产</w:t>
      </w:r>
      <w:bookmarkEnd w:id="232"/>
      <w:bookmarkEnd w:id="233"/>
      <w:bookmarkEnd w:id="254"/>
    </w:p>
    <w:p w14:paraId="43921715" w14:textId="77777777" w:rsidR="00913A13" w:rsidRDefault="002F45B8">
      <w:pPr>
        <w:autoSpaceDE w:val="0"/>
        <w:autoSpaceDN w:val="0"/>
        <w:spacing w:line="360" w:lineRule="auto"/>
        <w:ind w:firstLineChars="200" w:firstLine="480"/>
        <w:textAlignment w:val="bottom"/>
        <w:rPr>
          <w:bCs/>
          <w:sz w:val="24"/>
        </w:rPr>
      </w:pPr>
      <w:bookmarkStart w:id="255" w:name="_Toc214873600"/>
      <w:bookmarkStart w:id="256" w:name="_Toc263092319"/>
      <w:bookmarkStart w:id="257" w:name="_Toc416264547"/>
      <w:bookmarkStart w:id="258" w:name="_Toc22538"/>
      <w:bookmarkStart w:id="259" w:name="_Toc13343"/>
      <w:bookmarkStart w:id="260" w:name="_Toc5477"/>
      <w:bookmarkStart w:id="261" w:name="_Toc801"/>
      <w:bookmarkStart w:id="262" w:name="_Toc2981"/>
      <w:bookmarkStart w:id="263" w:name="_Toc578"/>
      <w:bookmarkStart w:id="264" w:name="_Toc21917"/>
      <w:bookmarkStart w:id="265" w:name="_Toc16437"/>
      <w:bookmarkStart w:id="266" w:name="_Toc11351"/>
      <w:bookmarkStart w:id="267" w:name="_Toc3872"/>
      <w:bookmarkStart w:id="268" w:name="_Toc352229758"/>
      <w:bookmarkStart w:id="269" w:name="_Toc11395"/>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Fonts w:hint="eastAsia"/>
          <w:bCs/>
          <w:sz w:val="24"/>
        </w:rPr>
        <w:t>一、基金资产总值</w:t>
      </w:r>
    </w:p>
    <w:p w14:paraId="568C5E3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基金资产总值是指基金拥有的各类有价证券、银行存款本息、基金应收款项及其他资产的价值总和。</w:t>
      </w:r>
    </w:p>
    <w:p w14:paraId="620738C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二、基金资产净值</w:t>
      </w:r>
    </w:p>
    <w:p w14:paraId="4A1ADBA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基金资产净值是指基金资产总值减去基金负债后的价值。</w:t>
      </w:r>
    </w:p>
    <w:p w14:paraId="03686A1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三、基金财产的账户</w:t>
      </w:r>
    </w:p>
    <w:p w14:paraId="57BA831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2944E76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四、基金财产的保管和处分</w:t>
      </w:r>
    </w:p>
    <w:p w14:paraId="536EE5B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财产独立于基金管理人、基金托管人和基金销售机构的财产，并由基金托管人保管。基金管理人、基金托管人、基金份额登记机构和基金销售机构以其自有的财产承担其自身的法律责任，其债权人不得对本基金财产行使请求冻结、扣押或其他权利。除依法律法规和《基金合同》的规定处分外，基金财产不得被处分。</w:t>
      </w:r>
    </w:p>
    <w:p w14:paraId="606E676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0681CBCA" w14:textId="77777777" w:rsidR="00913A13" w:rsidRDefault="002F45B8">
      <w:pPr>
        <w:widowControl/>
        <w:jc w:val="left"/>
        <w:rPr>
          <w:bCs/>
          <w:sz w:val="24"/>
        </w:rPr>
      </w:pPr>
      <w:r>
        <w:rPr>
          <w:bCs/>
          <w:sz w:val="24"/>
        </w:rPr>
        <w:br w:type="page"/>
      </w:r>
    </w:p>
    <w:p w14:paraId="3C73B10A" w14:textId="77777777" w:rsidR="00913A13" w:rsidRDefault="002F45B8">
      <w:pPr>
        <w:pStyle w:val="1"/>
        <w:jc w:val="center"/>
        <w:rPr>
          <w:sz w:val="30"/>
          <w:szCs w:val="30"/>
        </w:rPr>
      </w:pPr>
      <w:bookmarkStart w:id="270" w:name="_Toc136963811"/>
      <w:bookmarkStart w:id="271" w:name="_Toc68266298"/>
      <w:r>
        <w:rPr>
          <w:rFonts w:hint="eastAsia"/>
          <w:sz w:val="30"/>
          <w:szCs w:val="30"/>
        </w:rPr>
        <w:lastRenderedPageBreak/>
        <w:t>第十一部分</w:t>
      </w:r>
      <w:r>
        <w:rPr>
          <w:sz w:val="30"/>
          <w:szCs w:val="30"/>
        </w:rPr>
        <w:t xml:space="preserve">  </w:t>
      </w:r>
      <w:r>
        <w:rPr>
          <w:rFonts w:hint="eastAsia"/>
          <w:sz w:val="30"/>
          <w:szCs w:val="30"/>
        </w:rPr>
        <w:t>基金资产的估值</w:t>
      </w:r>
      <w:bookmarkEnd w:id="255"/>
      <w:bookmarkEnd w:id="256"/>
      <w:bookmarkEnd w:id="257"/>
      <w:bookmarkEnd w:id="270"/>
      <w:bookmarkEnd w:id="271"/>
    </w:p>
    <w:p w14:paraId="3D5BB05D"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一、估值日</w:t>
      </w:r>
    </w:p>
    <w:p w14:paraId="0189B09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本基金的估值日为本基金相关的证券、期货交易场所的交易日以及国家法律法规规定需要对外披露基金净值的非交易日。</w:t>
      </w:r>
    </w:p>
    <w:p w14:paraId="1A473073"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二、估值对象</w:t>
      </w:r>
    </w:p>
    <w:p w14:paraId="381A5EB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基金所拥有的股票、存托凭证、股指期货合约、国债期货合约、债券和银行存款本息、资产支持证券、应收款项、其它投资、股票期权合约等资产及负债。</w:t>
      </w:r>
    </w:p>
    <w:p w14:paraId="66B0FEB1"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三、估值原则</w:t>
      </w:r>
    </w:p>
    <w:p w14:paraId="2F27AAD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基金管理人在确定相关金融资产和金融负债的公允价值时，应符合《企业会计准则》、监管部门有关规定。</w:t>
      </w:r>
    </w:p>
    <w:p w14:paraId="1FD29C9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6DCEA24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B33571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BA06E6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（三）如经济环境发生重大变化或证券发行人发生影响证券价格的重大事件，使潜在估值调整对前一估值日的基金资产净值的影响在</w:t>
      </w:r>
      <w:r>
        <w:rPr>
          <w:bCs/>
          <w:sz w:val="24"/>
        </w:rPr>
        <w:t>0.25%</w:t>
      </w:r>
      <w:r>
        <w:rPr>
          <w:rFonts w:hint="eastAsia"/>
          <w:bCs/>
          <w:sz w:val="24"/>
        </w:rPr>
        <w:t>以上的，应对估值进行调整并确定公允价值。</w:t>
      </w:r>
    </w:p>
    <w:p w14:paraId="04B88B50"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四、估值方法</w:t>
      </w:r>
    </w:p>
    <w:p w14:paraId="36C53589"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、证券交易所上市的有价证券的估值</w:t>
      </w:r>
    </w:p>
    <w:p w14:paraId="46A38875" w14:textId="77777777" w:rsidR="00913A13" w:rsidRDefault="002F45B8">
      <w:pPr>
        <w:autoSpaceDE w:val="0"/>
        <w:autoSpaceDN w:val="0"/>
        <w:spacing w:line="360" w:lineRule="auto"/>
        <w:ind w:firstLineChars="200" w:firstLine="480"/>
        <w:textAlignment w:val="bottom"/>
        <w:rPr>
          <w:bCs/>
          <w:sz w:val="24"/>
        </w:rPr>
      </w:pPr>
      <w:r>
        <w:rPr>
          <w:rFonts w:hint="eastAsia"/>
          <w:bCs/>
          <w:sz w:val="24"/>
        </w:rPr>
        <w:lastRenderedPageBreak/>
        <w:t>（</w:t>
      </w:r>
      <w:r>
        <w:rPr>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AB6D97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23C2098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3</w:t>
      </w:r>
      <w:r>
        <w:rPr>
          <w:rFonts w:hint="eastAsia"/>
          <w:bCs/>
          <w:sz w:val="24"/>
        </w:rPr>
        <w:t>）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65F3F1E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4</w:t>
      </w:r>
      <w:r>
        <w:rPr>
          <w:rFonts w:hint="eastAsia"/>
          <w:bCs/>
          <w:sz w:val="24"/>
        </w:rPr>
        <w:t>）交易所上市交易的可转换债券以每日收盘价作为估值全价；</w:t>
      </w:r>
    </w:p>
    <w:p w14:paraId="5A93384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5</w:t>
      </w:r>
      <w:r>
        <w:rPr>
          <w:rFonts w:hint="eastAsia"/>
          <w:bCs/>
          <w:sz w:val="24"/>
        </w:rPr>
        <w:t>）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5CE2D91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6</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05AEB394"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、处于未上市期间的有价证券应区分如下情况处理：</w:t>
      </w:r>
    </w:p>
    <w:p w14:paraId="1A2BEA0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1</w:t>
      </w:r>
      <w:r>
        <w:rPr>
          <w:rFonts w:hint="eastAsia"/>
          <w:bCs/>
          <w:sz w:val="24"/>
        </w:rPr>
        <w:t>）送股、转增股、配股和公开增发的新股，按估值日在证券交易所挂牌的同一股票的估值方法估值；该日无交易的，以最近一日的市价（收盘价）估值；</w:t>
      </w:r>
    </w:p>
    <w:p w14:paraId="21BE611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）首次公开发行未上市的股票、债券，采用估值技术确定公允价值，在估值技术难以可靠计量公允价值的情况下，按成本估值；</w:t>
      </w:r>
    </w:p>
    <w:p w14:paraId="1F9F98EF" w14:textId="77777777" w:rsidR="00913A13" w:rsidRDefault="002F45B8">
      <w:pPr>
        <w:autoSpaceDE w:val="0"/>
        <w:autoSpaceDN w:val="0"/>
        <w:spacing w:line="360" w:lineRule="auto"/>
        <w:ind w:firstLineChars="200" w:firstLine="480"/>
        <w:textAlignment w:val="bottom"/>
        <w:rPr>
          <w:bCs/>
          <w:sz w:val="24"/>
        </w:rPr>
      </w:pPr>
      <w:r>
        <w:rPr>
          <w:rFonts w:hint="eastAsia"/>
          <w:bCs/>
          <w:sz w:val="24"/>
        </w:rPr>
        <w:lastRenderedPageBreak/>
        <w:t>（</w:t>
      </w:r>
      <w:r>
        <w:rPr>
          <w:bCs/>
          <w:sz w:val="24"/>
        </w:rPr>
        <w:t>3</w:t>
      </w:r>
      <w:r>
        <w:rPr>
          <w:rFonts w:hint="eastAsia"/>
          <w:bCs/>
          <w:sz w:val="24"/>
        </w:rPr>
        <w:t>）流通受限的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48BAB9AD"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、全国银行间债券市场交易的债券、资产支持证券等固定收益品种，以第三方估值机构提供的价格数据估值。</w:t>
      </w:r>
    </w:p>
    <w:p w14:paraId="3E720C2C"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、同一证券同时在两个或两个以上市场交易的，按证券所处的市场分别估值。</w:t>
      </w:r>
    </w:p>
    <w:p w14:paraId="3849C429"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、本基金投资国债期货合约、股指期货合约、股票期权合约，一般以估值当日结算价进行估值，估值当日无结算价的，且最近交易日后经济环境未发生重大变化的，采用最近交易日结算价估值。</w:t>
      </w:r>
    </w:p>
    <w:p w14:paraId="00F71A03" w14:textId="77777777" w:rsidR="00913A13" w:rsidRDefault="002F45B8">
      <w:pPr>
        <w:autoSpaceDE w:val="0"/>
        <w:autoSpaceDN w:val="0"/>
        <w:spacing w:line="360" w:lineRule="auto"/>
        <w:ind w:firstLineChars="200" w:firstLine="480"/>
        <w:textAlignment w:val="bottom"/>
        <w:rPr>
          <w:bCs/>
          <w:sz w:val="24"/>
        </w:rPr>
      </w:pPr>
      <w:r>
        <w:rPr>
          <w:bCs/>
          <w:sz w:val="24"/>
        </w:rPr>
        <w:t>6</w:t>
      </w:r>
      <w:r>
        <w:rPr>
          <w:rFonts w:hint="eastAsia"/>
          <w:bCs/>
          <w:sz w:val="24"/>
        </w:rPr>
        <w:t>、本基金投资存托凭证的估值核算，依照境内上市交易的股票执行。</w:t>
      </w:r>
    </w:p>
    <w:p w14:paraId="22AD92A6" w14:textId="77777777" w:rsidR="00913A13" w:rsidRDefault="002F45B8">
      <w:pPr>
        <w:autoSpaceDE w:val="0"/>
        <w:autoSpaceDN w:val="0"/>
        <w:spacing w:line="360" w:lineRule="auto"/>
        <w:ind w:firstLineChars="200" w:firstLine="480"/>
        <w:textAlignment w:val="bottom"/>
        <w:rPr>
          <w:bCs/>
          <w:sz w:val="24"/>
        </w:rPr>
      </w:pPr>
      <w:r>
        <w:rPr>
          <w:bCs/>
          <w:sz w:val="24"/>
        </w:rPr>
        <w:t>7</w:t>
      </w:r>
      <w:r>
        <w:rPr>
          <w:rFonts w:hint="eastAsia"/>
          <w:bCs/>
          <w:sz w:val="24"/>
        </w:rPr>
        <w:t>、其他资产按法律法规或监管机构有关规定进行估值。</w:t>
      </w:r>
    </w:p>
    <w:p w14:paraId="77DFAE90" w14:textId="77777777" w:rsidR="00913A13" w:rsidRDefault="002F45B8">
      <w:pPr>
        <w:autoSpaceDE w:val="0"/>
        <w:autoSpaceDN w:val="0"/>
        <w:spacing w:line="360" w:lineRule="auto"/>
        <w:ind w:firstLineChars="200" w:firstLine="480"/>
        <w:textAlignment w:val="bottom"/>
        <w:rPr>
          <w:bCs/>
          <w:sz w:val="24"/>
        </w:rPr>
      </w:pPr>
      <w:r>
        <w:rPr>
          <w:bCs/>
          <w:sz w:val="24"/>
        </w:rPr>
        <w:t>8</w:t>
      </w:r>
      <w:r>
        <w:rPr>
          <w:rFonts w:hint="eastAsia"/>
          <w:bCs/>
          <w:sz w:val="24"/>
        </w:rPr>
        <w:t>、如有确凿证据表明按上述方法进行估值不能客观反映其公允价值的，基金管理人可根据具体情况与基金托管人商定后，按最能反映公允价值的方法估值。</w:t>
      </w:r>
    </w:p>
    <w:p w14:paraId="5B38C1DC" w14:textId="77777777" w:rsidR="00913A13" w:rsidRDefault="002F45B8">
      <w:pPr>
        <w:autoSpaceDE w:val="0"/>
        <w:autoSpaceDN w:val="0"/>
        <w:spacing w:line="360" w:lineRule="auto"/>
        <w:ind w:firstLineChars="200" w:firstLine="480"/>
        <w:textAlignment w:val="bottom"/>
        <w:rPr>
          <w:bCs/>
          <w:sz w:val="24"/>
        </w:rPr>
      </w:pPr>
      <w:r>
        <w:rPr>
          <w:bCs/>
          <w:sz w:val="24"/>
        </w:rPr>
        <w:t>9</w:t>
      </w:r>
      <w:r>
        <w:rPr>
          <w:rFonts w:hint="eastAsia"/>
          <w:bCs/>
          <w:sz w:val="24"/>
        </w:rPr>
        <w:t>、当本基金发生大额申购或赎回情形时，基金管理人可以对本基金采用摆动定价机制，以确保基金估值的公平性。</w:t>
      </w:r>
    </w:p>
    <w:p w14:paraId="2B71FA9A" w14:textId="77777777" w:rsidR="00913A13" w:rsidRDefault="002F45B8">
      <w:pPr>
        <w:autoSpaceDE w:val="0"/>
        <w:autoSpaceDN w:val="0"/>
        <w:spacing w:line="360" w:lineRule="auto"/>
        <w:ind w:firstLineChars="200" w:firstLine="480"/>
        <w:textAlignment w:val="bottom"/>
        <w:rPr>
          <w:bCs/>
          <w:sz w:val="24"/>
        </w:rPr>
      </w:pPr>
      <w:r>
        <w:rPr>
          <w:bCs/>
          <w:sz w:val="24"/>
        </w:rPr>
        <w:t>10</w:t>
      </w:r>
      <w:r>
        <w:rPr>
          <w:rFonts w:hint="eastAsia"/>
          <w:bCs/>
          <w:sz w:val="24"/>
        </w:rPr>
        <w:t>、相关法律法规以及监管部门有强制规定的，从其规定。如有新增事项，按国家最新规定估值。</w:t>
      </w:r>
    </w:p>
    <w:p w14:paraId="4EA7AC1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118155B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根据有关法律法规，基金资产净值计算和基金会计核算的义务由基金管理人承担，基金托管人承担复核责任。本基金的基金会计主责任方由基金管理人担任，因此，就与本基金有关的会计问题，如经相关各方在平等基础上充分讨论后，仍无法达成一致的意见，按照基金管理人对基金净值信息的计算结果对外予以公布，由此给基金份额持有人和基金造成的损失以及因该交易日基金资产净值计算顺延错误而引起的损失，由基金管理人负责赔付。</w:t>
      </w:r>
    </w:p>
    <w:p w14:paraId="29C1BD73"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五、估值程序</w:t>
      </w:r>
    </w:p>
    <w:p w14:paraId="088D9D34"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、各类基金份额净值是按照每个工作日闭市后，该类基金资产净值除以当日</w:t>
      </w:r>
      <w:r>
        <w:rPr>
          <w:rFonts w:hint="eastAsia"/>
          <w:bCs/>
          <w:sz w:val="24"/>
        </w:rPr>
        <w:lastRenderedPageBreak/>
        <w:t>该类基金份额的余额数量计算，精确到</w:t>
      </w:r>
      <w:r>
        <w:rPr>
          <w:bCs/>
          <w:sz w:val="24"/>
        </w:rPr>
        <w:t>0.0001</w:t>
      </w:r>
      <w:r>
        <w:rPr>
          <w:rFonts w:hint="eastAsia"/>
          <w:bCs/>
          <w:sz w:val="24"/>
        </w:rPr>
        <w:t>元，小数点后第</w:t>
      </w:r>
      <w:r>
        <w:rPr>
          <w:bCs/>
          <w:sz w:val="24"/>
        </w:rPr>
        <w:t>5</w:t>
      </w:r>
      <w:r>
        <w:rPr>
          <w:rFonts w:hint="eastAsia"/>
          <w:bCs/>
          <w:sz w:val="24"/>
        </w:rPr>
        <w:t>位四舍五入，由此产生的收益或损失由基金财产承担。基金管理人可以设立大额赎回情形下的净值精度应急调整机制。国家另有规定的，从其规定。</w:t>
      </w:r>
    </w:p>
    <w:p w14:paraId="3BD47EC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基金管理人每个工作日计算基金资产净值及各类基金份额净值，经基金托管人复核，并按规定公告。</w:t>
      </w:r>
    </w:p>
    <w:p w14:paraId="620F61B1"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按规定对外公布。</w:t>
      </w:r>
    </w:p>
    <w:p w14:paraId="0323AA42"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六、估值错误的处理</w:t>
      </w:r>
    </w:p>
    <w:p w14:paraId="0A47491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基金管理人和基金托管人将采取必要、适当、合理的措施确保基金资产估值的准确性、及时性。当任一类基金份额净值小数点后</w:t>
      </w:r>
      <w:r>
        <w:rPr>
          <w:bCs/>
          <w:sz w:val="24"/>
        </w:rPr>
        <w:t>4</w:t>
      </w:r>
      <w:r>
        <w:rPr>
          <w:rFonts w:hint="eastAsia"/>
          <w:bCs/>
          <w:sz w:val="24"/>
        </w:rPr>
        <w:t>位以内</w:t>
      </w:r>
      <w:r>
        <w:rPr>
          <w:bCs/>
          <w:sz w:val="24"/>
        </w:rPr>
        <w:t>(</w:t>
      </w:r>
      <w:r>
        <w:rPr>
          <w:rFonts w:hint="eastAsia"/>
          <w:bCs/>
          <w:sz w:val="24"/>
        </w:rPr>
        <w:t>含第</w:t>
      </w:r>
      <w:r>
        <w:rPr>
          <w:bCs/>
          <w:sz w:val="24"/>
        </w:rPr>
        <w:t>4</w:t>
      </w:r>
      <w:r>
        <w:rPr>
          <w:rFonts w:hint="eastAsia"/>
          <w:bCs/>
          <w:sz w:val="24"/>
        </w:rPr>
        <w:t>位</w:t>
      </w:r>
      <w:r>
        <w:rPr>
          <w:bCs/>
          <w:sz w:val="24"/>
        </w:rPr>
        <w:t>)</w:t>
      </w:r>
      <w:r>
        <w:rPr>
          <w:rFonts w:hint="eastAsia"/>
          <w:bCs/>
          <w:sz w:val="24"/>
        </w:rPr>
        <w:t>发生估值错误时，视为该类基金份额净值错误。</w:t>
      </w:r>
    </w:p>
    <w:p w14:paraId="6BCCE50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基金合同的当事人应按照以下约定处理：</w:t>
      </w:r>
    </w:p>
    <w:p w14:paraId="2E7A57C8"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、估值错误类型</w:t>
      </w:r>
    </w:p>
    <w:p w14:paraId="26866B19"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运作过程中，如果由于基金管理人或基金托管人、或登记机构、或证券经纪机构、或销售机构、或投资人自身的过错造成估值错误，导致其他当事人遭受损失的，过错的责任人应当对由于该估值错误遭受损失当事人</w:t>
      </w:r>
      <w:r>
        <w:rPr>
          <w:bCs/>
          <w:sz w:val="24"/>
        </w:rPr>
        <w:t>(</w:t>
      </w:r>
      <w:r>
        <w:rPr>
          <w:rFonts w:hint="eastAsia"/>
          <w:bCs/>
          <w:sz w:val="24"/>
        </w:rPr>
        <w:t>“受损方”</w:t>
      </w:r>
      <w:r>
        <w:rPr>
          <w:bCs/>
          <w:sz w:val="24"/>
        </w:rPr>
        <w:t>)</w:t>
      </w:r>
      <w:r>
        <w:rPr>
          <w:rFonts w:hint="eastAsia"/>
          <w:bCs/>
          <w:sz w:val="24"/>
        </w:rPr>
        <w:t>的直接损失按下述“估值错误处理原则”给予赔偿，承担赔偿责任。</w:t>
      </w:r>
    </w:p>
    <w:p w14:paraId="0DC776F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上述估值错误的主要类型包括但不限于：资料申报差错、数据传输差错、数据计算差错、系统故障差错、下达指令差错等。</w:t>
      </w:r>
    </w:p>
    <w:p w14:paraId="382B0C17"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、估值错误处理原则</w:t>
      </w:r>
    </w:p>
    <w:p w14:paraId="667B909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2D66E09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）估值错误的责任方对有关当事人的直接损失负责，不对间接损失负责，</w:t>
      </w:r>
      <w:r>
        <w:rPr>
          <w:rFonts w:hint="eastAsia"/>
          <w:bCs/>
          <w:sz w:val="24"/>
        </w:rPr>
        <w:lastRenderedPageBreak/>
        <w:t>并且仅对估值错误的有关直接当事人负责，不对第三方负责。</w:t>
      </w:r>
    </w:p>
    <w:p w14:paraId="5EC23A9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3</w:t>
      </w:r>
      <w:r>
        <w:rPr>
          <w:rFonts w:hint="eastAsia"/>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rFonts w:hint="eastAsia"/>
          <w:bCs/>
          <w:sz w:val="24"/>
        </w:rPr>
        <w:t>“受损方”</w:t>
      </w:r>
      <w:r>
        <w:rPr>
          <w:bCs/>
          <w:sz w:val="24"/>
        </w:rPr>
        <w:t>)</w:t>
      </w:r>
      <w:r>
        <w:rPr>
          <w:rFonts w:hint="eastAsia"/>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C4DE4B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4</w:t>
      </w:r>
      <w:r>
        <w:rPr>
          <w:rFonts w:hint="eastAsia"/>
          <w:bCs/>
          <w:sz w:val="24"/>
        </w:rPr>
        <w:t>）估值错误调整采用尽量恢复至假设未发生估值错误的正确情形的方式。</w:t>
      </w:r>
    </w:p>
    <w:p w14:paraId="334BBC49"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、估值错误处理程序</w:t>
      </w:r>
    </w:p>
    <w:p w14:paraId="7B830FC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估值错误被发现后，有关的当事人应当及时进行处理，处理的程序如下：</w:t>
      </w:r>
    </w:p>
    <w:p w14:paraId="6E00A479"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1</w:t>
      </w:r>
      <w:r>
        <w:rPr>
          <w:rFonts w:hint="eastAsia"/>
          <w:bCs/>
          <w:sz w:val="24"/>
        </w:rPr>
        <w:t>）查明估值错误发生的原因，列明所有的当事人，并根据估值错误发生的原因确定估值错误的责任方；</w:t>
      </w:r>
    </w:p>
    <w:p w14:paraId="29B2A0E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）根据估值错误处理原则或当事人协商的方法对因估值错误造成的损失进行评估；</w:t>
      </w:r>
    </w:p>
    <w:p w14:paraId="44D2B95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3</w:t>
      </w:r>
      <w:r>
        <w:rPr>
          <w:rFonts w:hint="eastAsia"/>
          <w:bCs/>
          <w:sz w:val="24"/>
        </w:rPr>
        <w:t>）根据估值错误处理原则或当事人协商的方法由估值错误的责任方进行更正和赔偿损失；</w:t>
      </w:r>
    </w:p>
    <w:p w14:paraId="631E3EF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4</w:t>
      </w:r>
      <w:r>
        <w:rPr>
          <w:rFonts w:hint="eastAsia"/>
          <w:bCs/>
          <w:sz w:val="24"/>
        </w:rPr>
        <w:t>）根据估值错误处理的方法，需要修改基金份额登记机构交易数据的，由基金份额登记机构进行更正，并就估值错误的更正向有关当事人进行确认。</w:t>
      </w:r>
    </w:p>
    <w:p w14:paraId="1A6342B5"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、基金份额净值估值错误处理的方法如下：</w:t>
      </w:r>
    </w:p>
    <w:p w14:paraId="6D02E89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1</w:t>
      </w:r>
      <w:r>
        <w:rPr>
          <w:rFonts w:hint="eastAsia"/>
          <w:bCs/>
          <w:sz w:val="24"/>
        </w:rPr>
        <w:t>）基金份额净值计算出现错误时，基金管理人应当立即予以纠正，通报基金托管人，并采取合理的措施防止损失进一步扩大。</w:t>
      </w:r>
    </w:p>
    <w:p w14:paraId="23A152E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）错误偏差达到某类基金份额净值的</w:t>
      </w:r>
      <w:r>
        <w:rPr>
          <w:bCs/>
          <w:sz w:val="24"/>
        </w:rPr>
        <w:t>0.25%</w:t>
      </w:r>
      <w:r>
        <w:rPr>
          <w:rFonts w:hint="eastAsia"/>
          <w:bCs/>
          <w:sz w:val="24"/>
        </w:rPr>
        <w:t>时，基金管理人应当通报基金托管人并报中国证监会备案；错误偏差达到某类基金份额净值的</w:t>
      </w:r>
      <w:r>
        <w:rPr>
          <w:bCs/>
          <w:sz w:val="24"/>
        </w:rPr>
        <w:t>0.5%</w:t>
      </w:r>
      <w:r>
        <w:rPr>
          <w:rFonts w:hint="eastAsia"/>
          <w:bCs/>
          <w:sz w:val="24"/>
        </w:rPr>
        <w:t>时，基金管理人应当公告，并报中国证监会备案。</w:t>
      </w:r>
    </w:p>
    <w:p w14:paraId="7EF6395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3</w:t>
      </w:r>
      <w:r>
        <w:rPr>
          <w:rFonts w:hint="eastAsia"/>
          <w:bCs/>
          <w:sz w:val="24"/>
        </w:rPr>
        <w:t>）前述内容如法律法规或监管机关另有规定的，从其规定处理。</w:t>
      </w:r>
    </w:p>
    <w:p w14:paraId="47038FA2"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七、暂停估值的情形</w:t>
      </w:r>
    </w:p>
    <w:p w14:paraId="6EAA1496"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、基金投资所涉及的证券、期货交易市场遇法定节假日或因其他原因暂停营业时；</w:t>
      </w:r>
    </w:p>
    <w:p w14:paraId="0DE4BD6D" w14:textId="77777777" w:rsidR="00913A13" w:rsidRDefault="002F45B8">
      <w:pPr>
        <w:autoSpaceDE w:val="0"/>
        <w:autoSpaceDN w:val="0"/>
        <w:spacing w:line="360" w:lineRule="auto"/>
        <w:ind w:firstLineChars="200" w:firstLine="480"/>
        <w:textAlignment w:val="bottom"/>
        <w:rPr>
          <w:bCs/>
          <w:sz w:val="24"/>
        </w:rPr>
      </w:pPr>
      <w:r>
        <w:rPr>
          <w:bCs/>
          <w:sz w:val="24"/>
        </w:rPr>
        <w:lastRenderedPageBreak/>
        <w:t>2</w:t>
      </w:r>
      <w:r>
        <w:rPr>
          <w:rFonts w:hint="eastAsia"/>
          <w:bCs/>
          <w:sz w:val="24"/>
        </w:rPr>
        <w:t>、因不可抗力或其他情形致使基金管理人、基金托管人无法准确评估基金资产价值时；</w:t>
      </w:r>
    </w:p>
    <w:p w14:paraId="1B43A6B0"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、当特定资产占前一估值日基金资产净值</w:t>
      </w:r>
      <w:r>
        <w:rPr>
          <w:bCs/>
          <w:sz w:val="24"/>
        </w:rPr>
        <w:t>50%</w:t>
      </w:r>
      <w:r>
        <w:rPr>
          <w:rFonts w:hint="eastAsia"/>
          <w:bCs/>
          <w:sz w:val="24"/>
        </w:rPr>
        <w:t>以上的，经与基金托管人协商确认后，基金管理人应当暂停基金估值；</w:t>
      </w:r>
    </w:p>
    <w:p w14:paraId="0D5E683C"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、法律法规、中国证监会和基金合同认定的其它情形。</w:t>
      </w:r>
    </w:p>
    <w:p w14:paraId="79D18568"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八、基金净值的确认</w:t>
      </w:r>
    </w:p>
    <w:p w14:paraId="75F7EF2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资产净值和各类基金份额净值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按规定对基金净值予以公布。</w:t>
      </w:r>
    </w:p>
    <w:p w14:paraId="439E751F"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九、特殊情形的处理</w:t>
      </w:r>
    </w:p>
    <w:p w14:paraId="31000AE4"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、基金管理人、基金托管人按估值方法的第</w:t>
      </w:r>
      <w:r>
        <w:rPr>
          <w:bCs/>
          <w:sz w:val="24"/>
        </w:rPr>
        <w:t>8</w:t>
      </w:r>
      <w:r>
        <w:rPr>
          <w:rFonts w:hint="eastAsia"/>
          <w:bCs/>
          <w:sz w:val="24"/>
        </w:rPr>
        <w:t>项进行估值时，所造成的误差不作为基金资产估值错误处理。</w:t>
      </w:r>
    </w:p>
    <w:p w14:paraId="69AEA47E"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由于不可抗力原因，或由于证券、期货交易所、证券经纪机构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6BE9638B" w14:textId="77777777" w:rsidR="00913A13" w:rsidRDefault="002F45B8">
      <w:pPr>
        <w:autoSpaceDE w:val="0"/>
        <w:autoSpaceDN w:val="0"/>
        <w:spacing w:line="360" w:lineRule="auto"/>
        <w:ind w:firstLineChars="200" w:firstLine="482"/>
        <w:textAlignment w:val="bottom"/>
        <w:rPr>
          <w:b/>
          <w:bCs/>
          <w:sz w:val="24"/>
        </w:rPr>
      </w:pPr>
      <w:r>
        <w:rPr>
          <w:rFonts w:hint="eastAsia"/>
          <w:b/>
          <w:bCs/>
          <w:sz w:val="24"/>
        </w:rPr>
        <w:t>十、实施侧袋机制期间的基金资产估值</w:t>
      </w:r>
    </w:p>
    <w:p w14:paraId="739CA94E"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本基金实施侧袋机制的，应根据本部分的约定对主袋账户资产进行估值并披露主袋账户的基金净值信息，暂停披露侧袋账户的基金净值信息。</w:t>
      </w:r>
    </w:p>
    <w:p w14:paraId="5C17FF0F" w14:textId="77777777" w:rsidR="00913A13" w:rsidRDefault="002F45B8">
      <w:pPr>
        <w:widowControl/>
        <w:jc w:val="left"/>
        <w:rPr>
          <w:bCs/>
          <w:sz w:val="24"/>
        </w:rPr>
      </w:pPr>
      <w:r>
        <w:rPr>
          <w:bCs/>
          <w:sz w:val="24"/>
        </w:rPr>
        <w:br w:type="page"/>
      </w:r>
    </w:p>
    <w:p w14:paraId="1FA0C7AE" w14:textId="77777777" w:rsidR="00913A13" w:rsidRDefault="002F45B8">
      <w:pPr>
        <w:pStyle w:val="1"/>
        <w:jc w:val="center"/>
        <w:rPr>
          <w:sz w:val="30"/>
          <w:szCs w:val="30"/>
        </w:rPr>
      </w:pPr>
      <w:bookmarkStart w:id="272" w:name="_Toc68266299"/>
      <w:bookmarkStart w:id="273" w:name="_Toc416264548"/>
      <w:bookmarkStart w:id="274" w:name="_Toc136963812"/>
      <w:bookmarkStart w:id="275" w:name="_Toc263092320"/>
      <w:bookmarkEnd w:id="258"/>
      <w:bookmarkEnd w:id="259"/>
      <w:bookmarkEnd w:id="260"/>
      <w:bookmarkEnd w:id="261"/>
      <w:bookmarkEnd w:id="262"/>
      <w:bookmarkEnd w:id="263"/>
      <w:bookmarkEnd w:id="264"/>
      <w:bookmarkEnd w:id="265"/>
      <w:bookmarkEnd w:id="266"/>
      <w:bookmarkEnd w:id="267"/>
      <w:bookmarkEnd w:id="268"/>
      <w:bookmarkEnd w:id="269"/>
      <w:r>
        <w:rPr>
          <w:rFonts w:hint="eastAsia"/>
          <w:sz w:val="30"/>
          <w:szCs w:val="30"/>
        </w:rPr>
        <w:lastRenderedPageBreak/>
        <w:t>第十二部分</w:t>
      </w:r>
      <w:r>
        <w:rPr>
          <w:sz w:val="30"/>
          <w:szCs w:val="30"/>
        </w:rPr>
        <w:t xml:space="preserve">  </w:t>
      </w:r>
      <w:r>
        <w:rPr>
          <w:rFonts w:hint="eastAsia"/>
          <w:sz w:val="30"/>
          <w:szCs w:val="30"/>
        </w:rPr>
        <w:t>基金的收益分配</w:t>
      </w:r>
      <w:bookmarkEnd w:id="272"/>
      <w:bookmarkEnd w:id="273"/>
      <w:bookmarkEnd w:id="274"/>
      <w:bookmarkEnd w:id="275"/>
    </w:p>
    <w:p w14:paraId="761920E5" w14:textId="77777777" w:rsidR="00913A13" w:rsidRDefault="002F45B8">
      <w:pPr>
        <w:autoSpaceDE w:val="0"/>
        <w:autoSpaceDN w:val="0"/>
        <w:spacing w:line="360" w:lineRule="auto"/>
        <w:ind w:firstLineChars="200" w:firstLine="480"/>
        <w:textAlignment w:val="bottom"/>
        <w:rPr>
          <w:bCs/>
          <w:sz w:val="24"/>
        </w:rPr>
      </w:pPr>
      <w:bookmarkStart w:id="276" w:name="_Toc147463128"/>
      <w:bookmarkStart w:id="277" w:name="_Toc12357181"/>
      <w:bookmarkStart w:id="278" w:name="_Toc263092321"/>
      <w:bookmarkStart w:id="279" w:name="_Toc214873602"/>
      <w:bookmarkStart w:id="280" w:name="_Toc21073401"/>
      <w:bookmarkStart w:id="281" w:name="_Toc416264549"/>
      <w:bookmarkStart w:id="282" w:name="_Toc19714"/>
      <w:bookmarkStart w:id="283" w:name="_Toc7802"/>
      <w:bookmarkStart w:id="284" w:name="_Toc27832"/>
      <w:bookmarkStart w:id="285" w:name="_Toc871"/>
      <w:bookmarkStart w:id="286" w:name="_Toc2623"/>
      <w:bookmarkStart w:id="287" w:name="_Toc31917"/>
      <w:bookmarkStart w:id="288" w:name="_Toc139991744"/>
      <w:bookmarkStart w:id="289" w:name="_Toc17782"/>
      <w:bookmarkStart w:id="290" w:name="_Toc352229760"/>
      <w:bookmarkStart w:id="291" w:name="_Toc141703894"/>
      <w:r>
        <w:rPr>
          <w:rFonts w:hint="eastAsia"/>
          <w:bCs/>
          <w:sz w:val="24"/>
        </w:rPr>
        <w:t>一、基金利润的构成</w:t>
      </w:r>
    </w:p>
    <w:p w14:paraId="3D0FE45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基金利润指基金利息收入、投资收益、公允价值变动收益和其他收入扣除相关费用后的余额，基金已实现收益指基金利润减去公允价值变动收益后的余额。</w:t>
      </w:r>
    </w:p>
    <w:p w14:paraId="25B857F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二、基金可供分配利润</w:t>
      </w:r>
    </w:p>
    <w:p w14:paraId="2C128D1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基金可供分配利润指截至收益分配基准日基金未分配利润与未分配利润中已实现收益的孰低数。</w:t>
      </w:r>
    </w:p>
    <w:p w14:paraId="5EBAC12E"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三、基金收益分配原则</w:t>
      </w:r>
    </w:p>
    <w:p w14:paraId="3D91F327"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、在符合有关基金分红条件的前提下，本基金管理人可以根据实际情况进行收益分配，具体分配方案以公告为准，若《基金合同》生效不满</w:t>
      </w:r>
      <w:r>
        <w:rPr>
          <w:bCs/>
          <w:sz w:val="24"/>
        </w:rPr>
        <w:t>3</w:t>
      </w:r>
      <w:r>
        <w:rPr>
          <w:rFonts w:hint="eastAsia"/>
          <w:bCs/>
          <w:sz w:val="24"/>
        </w:rPr>
        <w:t>个月可不进行收益分配；</w:t>
      </w:r>
    </w:p>
    <w:p w14:paraId="2329F929"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、本基金收益分配方式分两种：现金分红与红利再投资，投资者可选择现金红利或将现金红利自动转为该类别基金份额进行再投资；若投资者不选择，本基金默认的收益分配方式是现金分红；基金份额持有人可对</w:t>
      </w:r>
      <w:r>
        <w:rPr>
          <w:bCs/>
          <w:sz w:val="24"/>
        </w:rPr>
        <w:t xml:space="preserve">A </w:t>
      </w:r>
      <w:r>
        <w:rPr>
          <w:rFonts w:hint="eastAsia"/>
          <w:bCs/>
          <w:sz w:val="24"/>
        </w:rPr>
        <w:t>类和</w:t>
      </w:r>
      <w:r>
        <w:rPr>
          <w:bCs/>
          <w:sz w:val="24"/>
        </w:rPr>
        <w:t>C</w:t>
      </w:r>
      <w:r>
        <w:rPr>
          <w:rFonts w:hint="eastAsia"/>
          <w:bCs/>
          <w:sz w:val="24"/>
        </w:rPr>
        <w:t>类基金份额分别选择不同的分红方式；同一投资人持有的同一类别的基金份额只能选择一种分红方式，如投资人在不同销售机构选择的分红方式不同，则基金份额登记机构将以投资人最后一次选择的分红方式为准；</w:t>
      </w:r>
    </w:p>
    <w:p w14:paraId="1C485324"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、基金收益分配后各类基金份额净值不能低于面值，即基金收益分配基准日的各类基金份额净值减去每单位该类别基金份额收益分配金额后不能低于面值；</w:t>
      </w:r>
    </w:p>
    <w:p w14:paraId="1DAA5D3A"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、由于本基金</w:t>
      </w:r>
      <w:r>
        <w:rPr>
          <w:bCs/>
          <w:sz w:val="24"/>
        </w:rPr>
        <w:t xml:space="preserve">A </w:t>
      </w:r>
      <w:r>
        <w:rPr>
          <w:rFonts w:hint="eastAsia"/>
          <w:bCs/>
          <w:sz w:val="24"/>
        </w:rPr>
        <w:t>类基金份额不收取销售服务费，</w:t>
      </w:r>
      <w:r>
        <w:rPr>
          <w:bCs/>
          <w:sz w:val="24"/>
        </w:rPr>
        <w:t xml:space="preserve">C </w:t>
      </w:r>
      <w:r>
        <w:rPr>
          <w:rFonts w:hint="eastAsia"/>
          <w:bCs/>
          <w:sz w:val="24"/>
        </w:rPr>
        <w:t>类基金份额收取销售服务费，各基金份额类别对应的可分配收益将有所不同，本基金同一基金份额类别内的每一基金份额享有同等分配权；</w:t>
      </w:r>
    </w:p>
    <w:p w14:paraId="2BC7490C"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、法律法规或监管机关另有规定的，从其规定。</w:t>
      </w:r>
    </w:p>
    <w:p w14:paraId="174A1612" w14:textId="77777777" w:rsidR="00913A13" w:rsidRDefault="002F45B8">
      <w:pPr>
        <w:spacing w:line="360" w:lineRule="auto"/>
        <w:ind w:firstLineChars="225" w:firstLine="540"/>
        <w:rPr>
          <w:bCs/>
          <w:sz w:val="24"/>
        </w:rPr>
      </w:pPr>
      <w:r>
        <w:rPr>
          <w:rFonts w:hint="eastAsia"/>
          <w:bCs/>
          <w:sz w:val="24"/>
        </w:rPr>
        <w:t>在法律法规、基金合同的约定的范围内以及对基金份额持有人利益无实质不利影响的前提下，基金管理人可对基金收益分配原则进行调整，不需召开基金份额持有人大会。</w:t>
      </w:r>
    </w:p>
    <w:p w14:paraId="103D79A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四、收益分配方案</w:t>
      </w:r>
    </w:p>
    <w:p w14:paraId="217179C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基金收益分配方案中应载明截止收益分配基准日的可供分配利润、基金收益分配对象、分配时间、分配数额及比例、分配方式等内容。</w:t>
      </w:r>
    </w:p>
    <w:p w14:paraId="1958926B" w14:textId="77777777" w:rsidR="00913A13" w:rsidRDefault="002F45B8">
      <w:pPr>
        <w:autoSpaceDE w:val="0"/>
        <w:autoSpaceDN w:val="0"/>
        <w:spacing w:line="360" w:lineRule="auto"/>
        <w:ind w:firstLineChars="200" w:firstLine="480"/>
        <w:textAlignment w:val="bottom"/>
        <w:rPr>
          <w:bCs/>
          <w:sz w:val="24"/>
        </w:rPr>
      </w:pPr>
      <w:r>
        <w:rPr>
          <w:rFonts w:hint="eastAsia"/>
          <w:bCs/>
          <w:sz w:val="24"/>
        </w:rPr>
        <w:lastRenderedPageBreak/>
        <w:t>五、收益分配方案的确定、公告与实施</w:t>
      </w:r>
    </w:p>
    <w:p w14:paraId="75F5DA4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本基金收益分配方案由基金管理人拟定，并由基金托管人复核，依照《信息披露办法》的有关规定在规定媒介公告。</w:t>
      </w:r>
    </w:p>
    <w:p w14:paraId="73C3B39A"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六、基金收益分配中发生的费用</w:t>
      </w:r>
    </w:p>
    <w:p w14:paraId="35CE04A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该类别基金份额。红利再投资的计算方法，依照《业务规则》执行。</w:t>
      </w:r>
    </w:p>
    <w:p w14:paraId="3B95F95A"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七、实施侧袋机制期间的收益分配</w:t>
      </w:r>
    </w:p>
    <w:p w14:paraId="038BB463"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本基金实施侧袋机制的，侧袋账户不进行收益分配。</w:t>
      </w:r>
    </w:p>
    <w:p w14:paraId="2193E068" w14:textId="77777777" w:rsidR="00913A13" w:rsidRDefault="00913A13">
      <w:pPr>
        <w:autoSpaceDE w:val="0"/>
        <w:autoSpaceDN w:val="0"/>
        <w:spacing w:line="360" w:lineRule="auto"/>
        <w:ind w:firstLineChars="200" w:firstLine="480"/>
        <w:textAlignment w:val="bottom"/>
        <w:rPr>
          <w:bCs/>
          <w:sz w:val="24"/>
        </w:rPr>
      </w:pPr>
    </w:p>
    <w:p w14:paraId="4114B03A" w14:textId="77777777" w:rsidR="00913A13" w:rsidRDefault="002F45B8">
      <w:pPr>
        <w:widowControl/>
        <w:jc w:val="left"/>
        <w:rPr>
          <w:bCs/>
          <w:sz w:val="24"/>
        </w:rPr>
      </w:pPr>
      <w:r>
        <w:rPr>
          <w:bCs/>
          <w:sz w:val="24"/>
        </w:rPr>
        <w:br w:type="page"/>
      </w:r>
    </w:p>
    <w:p w14:paraId="51B96E9F" w14:textId="77777777" w:rsidR="00913A13" w:rsidRDefault="002F45B8">
      <w:pPr>
        <w:pStyle w:val="1"/>
        <w:jc w:val="center"/>
        <w:rPr>
          <w:sz w:val="30"/>
          <w:szCs w:val="30"/>
        </w:rPr>
      </w:pPr>
      <w:bookmarkStart w:id="292" w:name="_Toc68266300"/>
      <w:bookmarkStart w:id="293" w:name="_Toc136963813"/>
      <w:r>
        <w:rPr>
          <w:rFonts w:hint="eastAsia"/>
          <w:sz w:val="30"/>
          <w:szCs w:val="30"/>
        </w:rPr>
        <w:lastRenderedPageBreak/>
        <w:t>第十三部分</w:t>
      </w:r>
      <w:r>
        <w:rPr>
          <w:sz w:val="30"/>
          <w:szCs w:val="30"/>
        </w:rPr>
        <w:t xml:space="preserve">  </w:t>
      </w:r>
      <w:r>
        <w:rPr>
          <w:rFonts w:hint="eastAsia"/>
          <w:sz w:val="30"/>
          <w:szCs w:val="30"/>
        </w:rPr>
        <w:t>基金费用与税收</w:t>
      </w:r>
      <w:bookmarkEnd w:id="276"/>
      <w:bookmarkEnd w:id="277"/>
      <w:bookmarkEnd w:id="278"/>
      <w:bookmarkEnd w:id="279"/>
      <w:bookmarkEnd w:id="280"/>
      <w:bookmarkEnd w:id="281"/>
      <w:bookmarkEnd w:id="292"/>
      <w:bookmarkEnd w:id="293"/>
    </w:p>
    <w:p w14:paraId="51D5A386" w14:textId="77777777" w:rsidR="00913A13" w:rsidRDefault="002F45B8">
      <w:pPr>
        <w:autoSpaceDE w:val="0"/>
        <w:autoSpaceDN w:val="0"/>
        <w:spacing w:line="360" w:lineRule="auto"/>
        <w:ind w:firstLineChars="200" w:firstLine="480"/>
        <w:textAlignment w:val="bottom"/>
        <w:rPr>
          <w:bCs/>
          <w:sz w:val="24"/>
        </w:rPr>
      </w:pPr>
      <w:bookmarkStart w:id="294" w:name="_Toc416264550"/>
      <w:bookmarkStart w:id="295" w:name="_Toc263092322"/>
      <w:bookmarkStart w:id="296" w:name="_Toc214873603"/>
      <w:bookmarkStart w:id="297" w:name="_Toc19752"/>
      <w:bookmarkStart w:id="298" w:name="_Toc139991745"/>
      <w:bookmarkStart w:id="299" w:name="_Toc12105"/>
      <w:bookmarkStart w:id="300" w:name="_Toc141703895"/>
      <w:bookmarkStart w:id="301" w:name="_Toc352229761"/>
      <w:bookmarkStart w:id="302" w:name="_Toc32227"/>
      <w:bookmarkStart w:id="303" w:name="_Toc6493"/>
      <w:bookmarkStart w:id="304" w:name="_Toc32041"/>
      <w:bookmarkStart w:id="305" w:name="_Toc32046"/>
      <w:bookmarkStart w:id="306" w:name="_Toc3365"/>
      <w:bookmarkStart w:id="307" w:name="_Toc19706"/>
      <w:bookmarkStart w:id="308" w:name="_Toc24601"/>
      <w:bookmarkStart w:id="309" w:name="_Toc13987"/>
      <w:bookmarkStart w:id="310" w:name="_Toc15779"/>
      <w:bookmarkEnd w:id="282"/>
      <w:bookmarkEnd w:id="283"/>
      <w:bookmarkEnd w:id="284"/>
      <w:bookmarkEnd w:id="285"/>
      <w:bookmarkEnd w:id="286"/>
      <w:bookmarkEnd w:id="287"/>
      <w:bookmarkEnd w:id="288"/>
      <w:bookmarkEnd w:id="289"/>
      <w:bookmarkEnd w:id="290"/>
      <w:bookmarkEnd w:id="291"/>
      <w:r>
        <w:rPr>
          <w:rFonts w:hint="eastAsia"/>
          <w:bCs/>
          <w:sz w:val="24"/>
        </w:rPr>
        <w:t>一、基金费用的种类</w:t>
      </w:r>
    </w:p>
    <w:p w14:paraId="0BEF3CC0"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、基金管理人的管理费；</w:t>
      </w:r>
    </w:p>
    <w:p w14:paraId="73FA48E5"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、基金托管人的托管费；</w:t>
      </w:r>
    </w:p>
    <w:p w14:paraId="63CB6D67"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w:t>
      </w:r>
      <w:r>
        <w:rPr>
          <w:bCs/>
          <w:sz w:val="24"/>
        </w:rPr>
        <w:t>C</w:t>
      </w:r>
      <w:r>
        <w:rPr>
          <w:rFonts w:hint="eastAsia"/>
          <w:bCs/>
          <w:sz w:val="24"/>
        </w:rPr>
        <w:t>类基金份额的销售服务费；</w:t>
      </w:r>
    </w:p>
    <w:p w14:paraId="0E30FE22"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、除法律法规、中国证监会另有规定外，《基金合同》生效后与基金相关的信息披露费用；</w:t>
      </w:r>
    </w:p>
    <w:p w14:paraId="08921F8B"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、《基金合同》生效后与基金相关的会计师费、律师费、诉讼费和仲裁费；</w:t>
      </w:r>
    </w:p>
    <w:p w14:paraId="68D0CC05" w14:textId="77777777" w:rsidR="00913A13" w:rsidRDefault="002F45B8">
      <w:pPr>
        <w:autoSpaceDE w:val="0"/>
        <w:autoSpaceDN w:val="0"/>
        <w:spacing w:line="360" w:lineRule="auto"/>
        <w:ind w:firstLineChars="200" w:firstLine="480"/>
        <w:textAlignment w:val="bottom"/>
        <w:rPr>
          <w:bCs/>
          <w:sz w:val="24"/>
        </w:rPr>
      </w:pPr>
      <w:r>
        <w:rPr>
          <w:bCs/>
          <w:sz w:val="24"/>
        </w:rPr>
        <w:t>6</w:t>
      </w:r>
      <w:r>
        <w:rPr>
          <w:rFonts w:hint="eastAsia"/>
          <w:bCs/>
          <w:sz w:val="24"/>
        </w:rPr>
        <w:t>、基金份额持有人大会费用；</w:t>
      </w:r>
    </w:p>
    <w:p w14:paraId="2D2FC252" w14:textId="77777777" w:rsidR="00913A13" w:rsidRDefault="002F45B8">
      <w:pPr>
        <w:autoSpaceDE w:val="0"/>
        <w:autoSpaceDN w:val="0"/>
        <w:spacing w:line="360" w:lineRule="auto"/>
        <w:ind w:firstLineChars="200" w:firstLine="480"/>
        <w:textAlignment w:val="bottom"/>
        <w:rPr>
          <w:bCs/>
          <w:sz w:val="24"/>
        </w:rPr>
      </w:pPr>
      <w:r>
        <w:rPr>
          <w:bCs/>
          <w:sz w:val="24"/>
        </w:rPr>
        <w:t>7</w:t>
      </w:r>
      <w:r>
        <w:rPr>
          <w:rFonts w:hint="eastAsia"/>
          <w:bCs/>
          <w:sz w:val="24"/>
        </w:rPr>
        <w:t>、基金的证券、期货、期权交易费用；</w:t>
      </w:r>
    </w:p>
    <w:p w14:paraId="1C3E89D9" w14:textId="77777777" w:rsidR="00913A13" w:rsidRDefault="002F45B8">
      <w:pPr>
        <w:autoSpaceDE w:val="0"/>
        <w:autoSpaceDN w:val="0"/>
        <w:spacing w:line="360" w:lineRule="auto"/>
        <w:ind w:firstLineChars="200" w:firstLine="480"/>
        <w:textAlignment w:val="bottom"/>
        <w:rPr>
          <w:bCs/>
          <w:sz w:val="24"/>
        </w:rPr>
      </w:pPr>
      <w:r>
        <w:rPr>
          <w:bCs/>
          <w:sz w:val="24"/>
        </w:rPr>
        <w:t>8</w:t>
      </w:r>
      <w:r>
        <w:rPr>
          <w:rFonts w:hint="eastAsia"/>
          <w:bCs/>
          <w:sz w:val="24"/>
        </w:rPr>
        <w:t>、基金的银行汇划费用；</w:t>
      </w:r>
    </w:p>
    <w:p w14:paraId="263B1D4E" w14:textId="77777777" w:rsidR="00913A13" w:rsidRDefault="002F45B8">
      <w:pPr>
        <w:autoSpaceDE w:val="0"/>
        <w:autoSpaceDN w:val="0"/>
        <w:spacing w:line="360" w:lineRule="auto"/>
        <w:ind w:firstLineChars="200" w:firstLine="480"/>
        <w:textAlignment w:val="bottom"/>
        <w:rPr>
          <w:bCs/>
          <w:sz w:val="24"/>
        </w:rPr>
      </w:pPr>
      <w:r>
        <w:rPr>
          <w:bCs/>
          <w:sz w:val="24"/>
        </w:rPr>
        <w:t>9</w:t>
      </w:r>
      <w:r>
        <w:rPr>
          <w:rFonts w:hint="eastAsia"/>
          <w:bCs/>
          <w:sz w:val="24"/>
        </w:rPr>
        <w:t>、基金的相关账户的开户及维护费用；</w:t>
      </w:r>
    </w:p>
    <w:p w14:paraId="44DFFA26" w14:textId="77777777" w:rsidR="00913A13" w:rsidRDefault="002F45B8">
      <w:pPr>
        <w:autoSpaceDE w:val="0"/>
        <w:autoSpaceDN w:val="0"/>
        <w:spacing w:line="360" w:lineRule="auto"/>
        <w:ind w:firstLineChars="200" w:firstLine="480"/>
        <w:textAlignment w:val="bottom"/>
        <w:rPr>
          <w:bCs/>
          <w:sz w:val="24"/>
        </w:rPr>
      </w:pPr>
      <w:r>
        <w:rPr>
          <w:bCs/>
          <w:sz w:val="24"/>
        </w:rPr>
        <w:t>10</w:t>
      </w:r>
      <w:r>
        <w:rPr>
          <w:rFonts w:hint="eastAsia"/>
          <w:bCs/>
          <w:sz w:val="24"/>
        </w:rPr>
        <w:t>、按照国家有关规定和《基金合同》约定，可以在基金财产中列支的其他费用。</w:t>
      </w:r>
    </w:p>
    <w:p w14:paraId="5F8C623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二、基金费用计提方法、计提标准和支付方式</w:t>
      </w:r>
    </w:p>
    <w:p w14:paraId="27A0ACBA"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、基金管理人的管理费</w:t>
      </w:r>
      <w:r>
        <w:rPr>
          <w:bCs/>
          <w:sz w:val="24"/>
        </w:rPr>
        <w:t xml:space="preserve"> </w:t>
      </w:r>
    </w:p>
    <w:p w14:paraId="5A0F1FC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本基金的管理费按前一日基金资产净值的</w:t>
      </w:r>
      <w:r>
        <w:rPr>
          <w:bCs/>
          <w:sz w:val="24"/>
        </w:rPr>
        <w:t>0.6%</w:t>
      </w:r>
      <w:r>
        <w:rPr>
          <w:rFonts w:hint="eastAsia"/>
          <w:bCs/>
          <w:sz w:val="24"/>
        </w:rPr>
        <w:t>的年费率计提。管理费的计算方法如下：</w:t>
      </w:r>
    </w:p>
    <w:p w14:paraId="11421432"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w:t>
      </w:r>
      <w:r>
        <w:rPr>
          <w:bCs/>
          <w:sz w:val="24"/>
        </w:rPr>
        <w:t>E</w:t>
      </w:r>
      <w:r>
        <w:rPr>
          <w:rFonts w:hint="eastAsia"/>
          <w:bCs/>
          <w:sz w:val="24"/>
        </w:rPr>
        <w:t>×</w:t>
      </w:r>
      <w:r>
        <w:rPr>
          <w:bCs/>
          <w:sz w:val="24"/>
        </w:rPr>
        <w:t>0.6%</w:t>
      </w:r>
      <w:r>
        <w:rPr>
          <w:rFonts w:hint="eastAsia"/>
          <w:bCs/>
          <w:sz w:val="24"/>
        </w:rPr>
        <w:t>÷当年天数</w:t>
      </w:r>
    </w:p>
    <w:p w14:paraId="2F0D76EA"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为每日应计提的基金管理费</w:t>
      </w:r>
    </w:p>
    <w:p w14:paraId="3297C40D" w14:textId="77777777" w:rsidR="00913A13" w:rsidRDefault="002F45B8">
      <w:pPr>
        <w:autoSpaceDE w:val="0"/>
        <w:autoSpaceDN w:val="0"/>
        <w:spacing w:line="360" w:lineRule="auto"/>
        <w:ind w:firstLineChars="200" w:firstLine="480"/>
        <w:textAlignment w:val="bottom"/>
        <w:rPr>
          <w:bCs/>
          <w:sz w:val="24"/>
        </w:rPr>
      </w:pPr>
      <w:r>
        <w:rPr>
          <w:bCs/>
          <w:sz w:val="24"/>
        </w:rPr>
        <w:t>E</w:t>
      </w:r>
      <w:r>
        <w:rPr>
          <w:rFonts w:hint="eastAsia"/>
          <w:bCs/>
          <w:sz w:val="24"/>
        </w:rPr>
        <w:t>为前一日的基金资产净值</w:t>
      </w:r>
    </w:p>
    <w:p w14:paraId="034906C9"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基金管理费每日计提，逐日累计至每月月末，按月支付。由基金管理人授权基金托管人于次月第</w:t>
      </w:r>
      <w:r>
        <w:rPr>
          <w:bCs/>
          <w:sz w:val="24"/>
        </w:rPr>
        <w:t>5</w:t>
      </w:r>
      <w:r>
        <w:rPr>
          <w:rFonts w:hint="eastAsia"/>
          <w:bCs/>
          <w:sz w:val="24"/>
        </w:rPr>
        <w:t>个工作日自动从基金资产中一次性支付给基金管理人。若遇法定节假日、休息日或不可抗力致使无法按时支付的，</w:t>
      </w:r>
      <w:r>
        <w:rPr>
          <w:rFonts w:ascii="宋体" w:hAnsi="宋体" w:hint="eastAsia"/>
          <w:color w:val="000000"/>
          <w:kern w:val="0"/>
          <w:sz w:val="24"/>
        </w:rPr>
        <w:t>顺延至最近可支付日支付</w:t>
      </w:r>
      <w:r>
        <w:rPr>
          <w:rFonts w:ascii="宋体" w:hAnsi="宋体" w:hint="eastAsia"/>
          <w:kern w:val="0"/>
          <w:sz w:val="24"/>
        </w:rPr>
        <w:t>。</w:t>
      </w:r>
    </w:p>
    <w:p w14:paraId="2395FB41"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、基金托管人的托管费</w:t>
      </w:r>
    </w:p>
    <w:p w14:paraId="4BD4A2D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本基金的托管费按前一日基金资产净值的</w:t>
      </w:r>
      <w:r>
        <w:rPr>
          <w:bCs/>
          <w:sz w:val="24"/>
        </w:rPr>
        <w:t>0.20%</w:t>
      </w:r>
      <w:r>
        <w:rPr>
          <w:rFonts w:hint="eastAsia"/>
          <w:bCs/>
          <w:sz w:val="24"/>
        </w:rPr>
        <w:t>的年费率计提。托管费的计算方法如下：</w:t>
      </w:r>
    </w:p>
    <w:p w14:paraId="3778D63F"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14:paraId="31C0002F"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为每日应计提的基金托管费</w:t>
      </w:r>
    </w:p>
    <w:p w14:paraId="2DD3E7FD" w14:textId="77777777" w:rsidR="00913A13" w:rsidRDefault="002F45B8">
      <w:pPr>
        <w:autoSpaceDE w:val="0"/>
        <w:autoSpaceDN w:val="0"/>
        <w:spacing w:line="360" w:lineRule="auto"/>
        <w:ind w:firstLineChars="200" w:firstLine="480"/>
        <w:textAlignment w:val="bottom"/>
        <w:rPr>
          <w:bCs/>
          <w:sz w:val="24"/>
        </w:rPr>
      </w:pPr>
      <w:r>
        <w:rPr>
          <w:bCs/>
          <w:sz w:val="24"/>
        </w:rPr>
        <w:lastRenderedPageBreak/>
        <w:t>E</w:t>
      </w:r>
      <w:r>
        <w:rPr>
          <w:rFonts w:hint="eastAsia"/>
          <w:bCs/>
          <w:sz w:val="24"/>
        </w:rPr>
        <w:t>为前一日的基金资产净值</w:t>
      </w:r>
    </w:p>
    <w:p w14:paraId="3577916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基金托管费每日计提，逐日累计至每月月末，按月支付。由基金管理人授权基金托管人于次月第</w:t>
      </w:r>
      <w:r>
        <w:rPr>
          <w:bCs/>
          <w:sz w:val="24"/>
        </w:rPr>
        <w:t>5</w:t>
      </w:r>
      <w:r>
        <w:rPr>
          <w:rFonts w:hint="eastAsia"/>
          <w:bCs/>
          <w:sz w:val="24"/>
        </w:rPr>
        <w:t>个工作日自动从基金资产中一次性支付给基金托管人。若遇法定节假日、休息日或不可抗力致使无法按时支付的，</w:t>
      </w:r>
      <w:r>
        <w:rPr>
          <w:rFonts w:ascii="宋体" w:hAnsi="宋体" w:hint="eastAsia"/>
          <w:color w:val="000000"/>
          <w:kern w:val="0"/>
          <w:sz w:val="24"/>
        </w:rPr>
        <w:t>顺延至最近可支付日支付</w:t>
      </w:r>
      <w:r>
        <w:rPr>
          <w:rFonts w:ascii="宋体" w:hAnsi="宋体" w:hint="eastAsia"/>
          <w:kern w:val="0"/>
          <w:sz w:val="24"/>
        </w:rPr>
        <w:t>。</w:t>
      </w:r>
    </w:p>
    <w:p w14:paraId="4711001E"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w:t>
      </w:r>
      <w:r>
        <w:rPr>
          <w:bCs/>
          <w:sz w:val="24"/>
        </w:rPr>
        <w:t>C</w:t>
      </w:r>
      <w:r>
        <w:rPr>
          <w:rFonts w:hint="eastAsia"/>
          <w:bCs/>
          <w:sz w:val="24"/>
        </w:rPr>
        <w:t>类基金份额的销售服务费</w:t>
      </w:r>
    </w:p>
    <w:p w14:paraId="723E5C7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类基金份额的销售服务费年费率为</w:t>
      </w:r>
      <w:r>
        <w:rPr>
          <w:bCs/>
          <w:sz w:val="24"/>
        </w:rPr>
        <w:t xml:space="preserve">0.40% </w:t>
      </w:r>
      <w:r>
        <w:rPr>
          <w:rFonts w:hint="eastAsia"/>
          <w:bCs/>
          <w:sz w:val="24"/>
        </w:rPr>
        <w:t>。销售服务费的计算方法如下：</w:t>
      </w:r>
    </w:p>
    <w:p w14:paraId="5D6ED5DD"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w:t>
      </w:r>
      <w:r>
        <w:rPr>
          <w:bCs/>
          <w:sz w:val="24"/>
        </w:rPr>
        <w:t>E</w:t>
      </w:r>
      <w:r>
        <w:rPr>
          <w:rFonts w:hint="eastAsia"/>
          <w:bCs/>
          <w:sz w:val="24"/>
        </w:rPr>
        <w:t>×</w:t>
      </w:r>
      <w:r>
        <w:rPr>
          <w:bCs/>
          <w:sz w:val="24"/>
        </w:rPr>
        <w:t xml:space="preserve">0.40% </w:t>
      </w:r>
      <w:r>
        <w:rPr>
          <w:rFonts w:hint="eastAsia"/>
          <w:bCs/>
          <w:sz w:val="24"/>
        </w:rPr>
        <w:t>÷当年天数</w:t>
      </w:r>
    </w:p>
    <w:p w14:paraId="000F70CE" w14:textId="77777777" w:rsidR="00913A13" w:rsidRDefault="002F45B8">
      <w:pPr>
        <w:autoSpaceDE w:val="0"/>
        <w:autoSpaceDN w:val="0"/>
        <w:spacing w:line="360" w:lineRule="auto"/>
        <w:ind w:firstLineChars="200" w:firstLine="480"/>
        <w:textAlignment w:val="bottom"/>
        <w:rPr>
          <w:bCs/>
          <w:sz w:val="24"/>
        </w:rPr>
      </w:pPr>
      <w:r>
        <w:rPr>
          <w:bCs/>
          <w:sz w:val="24"/>
        </w:rPr>
        <w:t>H</w:t>
      </w:r>
      <w:r>
        <w:rPr>
          <w:rFonts w:hint="eastAsia"/>
          <w:bCs/>
          <w:sz w:val="24"/>
        </w:rPr>
        <w:t>为</w:t>
      </w:r>
      <w:r>
        <w:rPr>
          <w:bCs/>
          <w:sz w:val="24"/>
        </w:rPr>
        <w:t>C</w:t>
      </w:r>
      <w:r>
        <w:rPr>
          <w:rFonts w:hint="eastAsia"/>
          <w:bCs/>
          <w:sz w:val="24"/>
        </w:rPr>
        <w:t>类基金份额每日应计提的销售服务费</w:t>
      </w:r>
    </w:p>
    <w:p w14:paraId="6B67496D" w14:textId="77777777" w:rsidR="00913A13" w:rsidRDefault="002F45B8">
      <w:pPr>
        <w:autoSpaceDE w:val="0"/>
        <w:autoSpaceDN w:val="0"/>
        <w:spacing w:line="360" w:lineRule="auto"/>
        <w:ind w:firstLineChars="200" w:firstLine="480"/>
        <w:textAlignment w:val="bottom"/>
        <w:rPr>
          <w:bCs/>
          <w:sz w:val="24"/>
        </w:rPr>
      </w:pPr>
      <w:r>
        <w:rPr>
          <w:bCs/>
          <w:sz w:val="24"/>
        </w:rPr>
        <w:t>E</w:t>
      </w:r>
      <w:r>
        <w:rPr>
          <w:rFonts w:hint="eastAsia"/>
          <w:bCs/>
          <w:sz w:val="24"/>
        </w:rPr>
        <w:t>为前一日</w:t>
      </w:r>
      <w:r>
        <w:rPr>
          <w:bCs/>
          <w:sz w:val="24"/>
        </w:rPr>
        <w:t>C</w:t>
      </w:r>
      <w:r>
        <w:rPr>
          <w:rFonts w:hint="eastAsia"/>
          <w:bCs/>
          <w:sz w:val="24"/>
        </w:rPr>
        <w:t>类基金份额的基金资产净值</w:t>
      </w:r>
    </w:p>
    <w:p w14:paraId="7478DC72" w14:textId="77777777" w:rsidR="00913A13" w:rsidRDefault="002F45B8">
      <w:pPr>
        <w:autoSpaceDE w:val="0"/>
        <w:autoSpaceDN w:val="0"/>
        <w:spacing w:line="360" w:lineRule="auto"/>
        <w:ind w:firstLineChars="200" w:firstLine="480"/>
        <w:textAlignment w:val="bottom"/>
        <w:rPr>
          <w:bCs/>
          <w:sz w:val="24"/>
        </w:rPr>
      </w:pPr>
      <w:r>
        <w:rPr>
          <w:bCs/>
          <w:sz w:val="24"/>
        </w:rPr>
        <w:t>C</w:t>
      </w:r>
      <w:r>
        <w:rPr>
          <w:rFonts w:hint="eastAsia"/>
          <w:bCs/>
          <w:sz w:val="24"/>
        </w:rPr>
        <w:t>类基金份额的销售服务费每日计提，逐日累计至每月月末，按月支付。由基金管理人授权基金托管人于次月第</w:t>
      </w:r>
      <w:r>
        <w:rPr>
          <w:bCs/>
          <w:sz w:val="24"/>
        </w:rPr>
        <w:t>5</w:t>
      </w:r>
      <w:r>
        <w:rPr>
          <w:rFonts w:hint="eastAsia"/>
          <w:bCs/>
          <w:sz w:val="24"/>
        </w:rPr>
        <w:t>个工作日自动从基金资产中一次性支付给登记机构，由登记机构分别支付给销售机构。若遇法定节假日、休息日或不可抗力致使无法按时支付的，支付日期顺延。</w:t>
      </w:r>
    </w:p>
    <w:p w14:paraId="5BAE070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上述“一、基金费用的种类”中第</w:t>
      </w:r>
      <w:r>
        <w:rPr>
          <w:bCs/>
          <w:sz w:val="24"/>
        </w:rPr>
        <w:t>4</w:t>
      </w:r>
      <w:r>
        <w:rPr>
          <w:rFonts w:hint="eastAsia"/>
          <w:bCs/>
          <w:sz w:val="24"/>
        </w:rPr>
        <w:t>－</w:t>
      </w:r>
      <w:r>
        <w:rPr>
          <w:bCs/>
          <w:sz w:val="24"/>
        </w:rPr>
        <w:t>10</w:t>
      </w:r>
      <w:r>
        <w:rPr>
          <w:rFonts w:hint="eastAsia"/>
          <w:bCs/>
          <w:sz w:val="24"/>
        </w:rPr>
        <w:t>项费用，根据有关法规及相应协议规定，按费用实际支出金额列入当期费用，由基金托管人根据基金管理人指令并参照行业惯例从基金财产中支付。</w:t>
      </w:r>
    </w:p>
    <w:p w14:paraId="3E4FD2D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三、不列入基金费用的项目</w:t>
      </w:r>
    </w:p>
    <w:p w14:paraId="17581FEE"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下列费用不列入基金费用：</w:t>
      </w:r>
    </w:p>
    <w:p w14:paraId="2ACDAC2D"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、基金管理人和基金托管人因未履行或未完全履行义务导致的费用支出或基金财产的损失；</w:t>
      </w:r>
    </w:p>
    <w:p w14:paraId="2F531576"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、基金管理人和基金托管人处理与基金运作无关的事项发生的费用；</w:t>
      </w:r>
    </w:p>
    <w:p w14:paraId="216B24EA"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、《基金合同》生效前的相关费用；</w:t>
      </w:r>
    </w:p>
    <w:p w14:paraId="2673DEB4"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、其他根据相关法律法规及中国证监会的有关规定不得列入基金费用的项目。</w:t>
      </w:r>
    </w:p>
    <w:p w14:paraId="463373FC" w14:textId="77777777" w:rsidR="00913A13" w:rsidRDefault="002F45B8">
      <w:pPr>
        <w:spacing w:line="360" w:lineRule="auto"/>
        <w:ind w:firstLineChars="200" w:firstLine="480"/>
        <w:rPr>
          <w:bCs/>
          <w:sz w:val="24"/>
        </w:rPr>
      </w:pPr>
      <w:r>
        <w:rPr>
          <w:rFonts w:hint="eastAsia"/>
          <w:bCs/>
          <w:sz w:val="24"/>
        </w:rPr>
        <w:t>四、实施侧袋机制期间的基金费用</w:t>
      </w:r>
    </w:p>
    <w:p w14:paraId="3EF56729" w14:textId="77777777" w:rsidR="00913A13" w:rsidRDefault="002F45B8">
      <w:pPr>
        <w:spacing w:line="360" w:lineRule="auto"/>
        <w:ind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其他费用详见招募说明书“侧袋机制”部分或相关公告的规定。</w:t>
      </w:r>
    </w:p>
    <w:p w14:paraId="678356D9"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五、基金税收</w:t>
      </w:r>
    </w:p>
    <w:p w14:paraId="34A7C38F" w14:textId="77777777" w:rsidR="00913A13" w:rsidRDefault="002F45B8">
      <w:pPr>
        <w:autoSpaceDE w:val="0"/>
        <w:autoSpaceDN w:val="0"/>
        <w:spacing w:line="360" w:lineRule="auto"/>
        <w:ind w:firstLineChars="200" w:firstLine="480"/>
        <w:textAlignment w:val="bottom"/>
        <w:rPr>
          <w:bCs/>
          <w:sz w:val="24"/>
        </w:rPr>
      </w:pPr>
      <w:r>
        <w:rPr>
          <w:rFonts w:hint="eastAsia"/>
          <w:bCs/>
          <w:sz w:val="24"/>
        </w:rPr>
        <w:lastRenderedPageBreak/>
        <w:t>本基金运作过程中涉及的各纳税主体，其纳税义务按国家税收法律、法规执行。</w:t>
      </w:r>
    </w:p>
    <w:p w14:paraId="2306210A"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基金财产投资的相关税收，由基金份额持有人承担，基金管理人或者其他扣缴义务人按照国家有关税收征收的规定代扣代缴。</w:t>
      </w:r>
    </w:p>
    <w:p w14:paraId="3D2E392D" w14:textId="77777777" w:rsidR="00913A13" w:rsidRDefault="00913A13">
      <w:pPr>
        <w:autoSpaceDE w:val="0"/>
        <w:autoSpaceDN w:val="0"/>
        <w:spacing w:line="360" w:lineRule="auto"/>
        <w:ind w:firstLineChars="200" w:firstLine="480"/>
        <w:textAlignment w:val="bottom"/>
        <w:rPr>
          <w:bCs/>
          <w:sz w:val="24"/>
        </w:rPr>
      </w:pPr>
    </w:p>
    <w:p w14:paraId="31544432" w14:textId="77777777" w:rsidR="00913A13" w:rsidRDefault="002F45B8">
      <w:pPr>
        <w:widowControl/>
        <w:jc w:val="left"/>
        <w:rPr>
          <w:bCs/>
          <w:sz w:val="24"/>
        </w:rPr>
      </w:pPr>
      <w:r>
        <w:rPr>
          <w:bCs/>
          <w:sz w:val="24"/>
        </w:rPr>
        <w:br w:type="page"/>
      </w:r>
    </w:p>
    <w:p w14:paraId="08C90BA2" w14:textId="77777777" w:rsidR="00913A13" w:rsidRDefault="002F45B8">
      <w:pPr>
        <w:pStyle w:val="1"/>
        <w:jc w:val="center"/>
        <w:rPr>
          <w:sz w:val="30"/>
          <w:szCs w:val="30"/>
        </w:rPr>
      </w:pPr>
      <w:bookmarkStart w:id="311" w:name="_Toc136963814"/>
      <w:bookmarkStart w:id="312" w:name="_Toc68266301"/>
      <w:r>
        <w:rPr>
          <w:rFonts w:hint="eastAsia"/>
          <w:sz w:val="30"/>
          <w:szCs w:val="30"/>
        </w:rPr>
        <w:lastRenderedPageBreak/>
        <w:t>第十四部分</w:t>
      </w:r>
      <w:r>
        <w:rPr>
          <w:sz w:val="30"/>
          <w:szCs w:val="30"/>
        </w:rPr>
        <w:t xml:space="preserve">  </w:t>
      </w:r>
      <w:r>
        <w:rPr>
          <w:rFonts w:hint="eastAsia"/>
          <w:sz w:val="30"/>
          <w:szCs w:val="30"/>
        </w:rPr>
        <w:t>基金的会计与审计</w:t>
      </w:r>
      <w:bookmarkEnd w:id="294"/>
      <w:bookmarkEnd w:id="295"/>
      <w:bookmarkEnd w:id="296"/>
      <w:bookmarkEnd w:id="311"/>
      <w:bookmarkEnd w:id="312"/>
    </w:p>
    <w:p w14:paraId="23CFF4A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一、基金会计政策</w:t>
      </w:r>
    </w:p>
    <w:p w14:paraId="7BEAA534"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、基金管理人为本基金的基金会计责任方；</w:t>
      </w:r>
    </w:p>
    <w:p w14:paraId="73D0AE9A"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、基金的会计年度为公历年度的</w:t>
      </w:r>
      <w:r>
        <w:rPr>
          <w:bCs/>
          <w:sz w:val="24"/>
        </w:rPr>
        <w:t>1</w:t>
      </w:r>
      <w:r>
        <w:rPr>
          <w:rFonts w:hint="eastAsia"/>
          <w:bCs/>
          <w:sz w:val="24"/>
        </w:rPr>
        <w:t>月</w:t>
      </w:r>
      <w:r>
        <w:rPr>
          <w:bCs/>
          <w:sz w:val="24"/>
        </w:rPr>
        <w:t>1</w:t>
      </w:r>
      <w:r>
        <w:rPr>
          <w:rFonts w:hint="eastAsia"/>
          <w:bCs/>
          <w:sz w:val="24"/>
        </w:rPr>
        <w:t>日至</w:t>
      </w:r>
      <w:r>
        <w:rPr>
          <w:bCs/>
          <w:sz w:val="24"/>
        </w:rPr>
        <w:t>12</w:t>
      </w:r>
      <w:r>
        <w:rPr>
          <w:rFonts w:hint="eastAsia"/>
          <w:bCs/>
          <w:sz w:val="24"/>
        </w:rPr>
        <w:t>月</w:t>
      </w:r>
      <w:r>
        <w:rPr>
          <w:bCs/>
          <w:sz w:val="24"/>
        </w:rPr>
        <w:t>31</w:t>
      </w:r>
      <w:r>
        <w:rPr>
          <w:rFonts w:hint="eastAsia"/>
          <w:bCs/>
          <w:sz w:val="24"/>
        </w:rPr>
        <w:t>日；基金首次募集的会计年度按如下原则：如果《基金合同》生效少于</w:t>
      </w:r>
      <w:r>
        <w:rPr>
          <w:bCs/>
          <w:sz w:val="24"/>
        </w:rPr>
        <w:t>2</w:t>
      </w:r>
      <w:r>
        <w:rPr>
          <w:rFonts w:hint="eastAsia"/>
          <w:bCs/>
          <w:sz w:val="24"/>
        </w:rPr>
        <w:t>个月，可以并入下一个会计年度披露；</w:t>
      </w:r>
    </w:p>
    <w:p w14:paraId="27C74DBF"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、基金核算以人民币为记账本位币，以人民币元为记账单位；</w:t>
      </w:r>
    </w:p>
    <w:p w14:paraId="23FE5F59"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、会计制度执行国家有关会计制度；</w:t>
      </w:r>
    </w:p>
    <w:p w14:paraId="709C8D54"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、本基金独立建账、独立核算；</w:t>
      </w:r>
    </w:p>
    <w:p w14:paraId="40E6D1F7" w14:textId="77777777" w:rsidR="00913A13" w:rsidRDefault="002F45B8">
      <w:pPr>
        <w:autoSpaceDE w:val="0"/>
        <w:autoSpaceDN w:val="0"/>
        <w:spacing w:line="360" w:lineRule="auto"/>
        <w:ind w:firstLineChars="200" w:firstLine="480"/>
        <w:textAlignment w:val="bottom"/>
        <w:rPr>
          <w:bCs/>
          <w:sz w:val="24"/>
        </w:rPr>
      </w:pPr>
      <w:r>
        <w:rPr>
          <w:bCs/>
          <w:sz w:val="24"/>
        </w:rPr>
        <w:t>6</w:t>
      </w:r>
      <w:r>
        <w:rPr>
          <w:rFonts w:hint="eastAsia"/>
          <w:bCs/>
          <w:sz w:val="24"/>
        </w:rPr>
        <w:t>、基金管理人及基金托管人各自保留完整的会计账目、凭证并进行日常的会计核算，按照有关规定编制基金会计报表；</w:t>
      </w:r>
    </w:p>
    <w:p w14:paraId="7211D3B5" w14:textId="77777777" w:rsidR="00913A13" w:rsidRDefault="002F45B8">
      <w:pPr>
        <w:autoSpaceDE w:val="0"/>
        <w:autoSpaceDN w:val="0"/>
        <w:spacing w:line="360" w:lineRule="auto"/>
        <w:ind w:firstLineChars="200" w:firstLine="480"/>
        <w:textAlignment w:val="bottom"/>
        <w:rPr>
          <w:bCs/>
          <w:sz w:val="24"/>
        </w:rPr>
      </w:pPr>
      <w:r>
        <w:rPr>
          <w:bCs/>
          <w:sz w:val="24"/>
        </w:rPr>
        <w:t>7</w:t>
      </w:r>
      <w:r>
        <w:rPr>
          <w:rFonts w:hint="eastAsia"/>
          <w:bCs/>
          <w:sz w:val="24"/>
        </w:rPr>
        <w:t>、基金托管人每月与基金管理人就基金的会计核算、报表编制等进行核对并以书面方式确认。</w:t>
      </w:r>
    </w:p>
    <w:p w14:paraId="30F3C4E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二、基金的年度审计</w:t>
      </w:r>
    </w:p>
    <w:p w14:paraId="12D6DA2C"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、基金管理人聘请与基金管理人、基金托管人相互独立的符合《中华人民共和国证券法》规定的会计师事务所及其注册会计师对本基金的年度财务报表进行审计。</w:t>
      </w:r>
    </w:p>
    <w:p w14:paraId="577C7930"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、会计师事务所更换经办注册会计师，应事先征得基金管理人同意。</w:t>
      </w:r>
    </w:p>
    <w:p w14:paraId="5D4210E9"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、基金管理人认为有充足理由更换会计师事务所，须通报基金托管人。更换会计师事务所需依照《信息披露办法》的有关规定在规定媒介公告。</w:t>
      </w:r>
    </w:p>
    <w:p w14:paraId="4A8F98C1" w14:textId="77777777" w:rsidR="00913A13" w:rsidRDefault="002F45B8">
      <w:pPr>
        <w:widowControl/>
        <w:jc w:val="left"/>
        <w:rPr>
          <w:bCs/>
          <w:sz w:val="24"/>
        </w:rPr>
      </w:pPr>
      <w:r>
        <w:rPr>
          <w:bCs/>
          <w:sz w:val="24"/>
        </w:rPr>
        <w:br w:type="page"/>
      </w:r>
    </w:p>
    <w:p w14:paraId="01E4035A" w14:textId="77777777" w:rsidR="00913A13" w:rsidRDefault="002F45B8">
      <w:pPr>
        <w:pStyle w:val="1"/>
        <w:jc w:val="center"/>
        <w:rPr>
          <w:sz w:val="30"/>
          <w:szCs w:val="30"/>
        </w:rPr>
      </w:pPr>
      <w:bookmarkStart w:id="313" w:name="_Toc136963815"/>
      <w:bookmarkStart w:id="314" w:name="_Toc416264551"/>
      <w:bookmarkStart w:id="315" w:name="_Toc214873604"/>
      <w:bookmarkStart w:id="316" w:name="_Toc68266302"/>
      <w:bookmarkStart w:id="317" w:name="_Toc79978642"/>
      <w:bookmarkStart w:id="318" w:name="_Toc263092323"/>
      <w:bookmarkStart w:id="319" w:name="_Toc128310499"/>
      <w:bookmarkStart w:id="320" w:name="_Toc92662707"/>
      <w:bookmarkStart w:id="321" w:name="_Toc25883"/>
      <w:bookmarkStart w:id="322" w:name="_Toc15525"/>
      <w:bookmarkStart w:id="323" w:name="_Toc19558"/>
      <w:bookmarkStart w:id="324" w:name="_Toc22552"/>
      <w:bookmarkStart w:id="325" w:name="_Toc15351"/>
      <w:bookmarkStart w:id="326" w:name="_Toc3656"/>
      <w:bookmarkStart w:id="327" w:name="_Toc93226149"/>
      <w:bookmarkStart w:id="328" w:name="_Toc12761"/>
      <w:bookmarkStart w:id="329" w:name="_Toc20052"/>
      <w:bookmarkStart w:id="330" w:name="_Toc21829"/>
      <w:bookmarkStart w:id="331" w:name="_Toc352229762"/>
      <w:bookmarkStart w:id="332" w:name="_Toc139991746"/>
      <w:bookmarkStart w:id="333" w:name="_Toc178"/>
      <w:bookmarkStart w:id="334" w:name="_Toc1617"/>
      <w:bookmarkStart w:id="335" w:name="_Toc1417038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Fonts w:hint="eastAsia"/>
          <w:sz w:val="30"/>
          <w:szCs w:val="30"/>
        </w:rPr>
        <w:lastRenderedPageBreak/>
        <w:t>第十五部分</w:t>
      </w:r>
      <w:r>
        <w:rPr>
          <w:sz w:val="30"/>
          <w:szCs w:val="30"/>
        </w:rPr>
        <w:t xml:space="preserve">  </w:t>
      </w:r>
      <w:r>
        <w:rPr>
          <w:rFonts w:hint="eastAsia"/>
          <w:sz w:val="30"/>
          <w:szCs w:val="30"/>
        </w:rPr>
        <w:t>基金的信息披露</w:t>
      </w:r>
      <w:bookmarkEnd w:id="313"/>
      <w:bookmarkEnd w:id="314"/>
      <w:bookmarkEnd w:id="315"/>
      <w:bookmarkEnd w:id="316"/>
      <w:bookmarkEnd w:id="317"/>
      <w:bookmarkEnd w:id="318"/>
    </w:p>
    <w:p w14:paraId="2361420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一、本基金的信息披露应符合《基金法》、《运作办法》、《流动性风险管理规定》、《信息披露办法》、《基金合同》及其他有关规定。相关法律法规关于信息披露的规定发生变化时，本基金从其最新规定。</w:t>
      </w:r>
    </w:p>
    <w:p w14:paraId="652DDD9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二、信息披露义务人</w:t>
      </w:r>
    </w:p>
    <w:p w14:paraId="2B9A76F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本基金信息披露义务人包括基金管理人、基金托管人、召集基金份额持有人大会的基金份额持有人等法律、行政法规和中国证监会规定的自然人、法人和非法人组织。</w:t>
      </w:r>
    </w:p>
    <w:p w14:paraId="5FD2D9C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36F90D9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0B8B4E7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三、本基金信息披露义务人承诺公开披露的基金信息，不得有下列行为：</w:t>
      </w:r>
    </w:p>
    <w:p w14:paraId="7A4D372A"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、虚假记载、误导性陈述或者重大遗漏；</w:t>
      </w:r>
    </w:p>
    <w:p w14:paraId="7F4A3898"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、对证券投资业绩进行预测；</w:t>
      </w:r>
    </w:p>
    <w:p w14:paraId="5D6A269D"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、违规承诺收益或者承担损失；</w:t>
      </w:r>
    </w:p>
    <w:p w14:paraId="4C583791"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、诋毁其他基金管理人、基金托管人或者基金销售机构；</w:t>
      </w:r>
    </w:p>
    <w:p w14:paraId="6F588A0B"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、登载任何自然人、法人和非法人组织的祝贺性、恭维性或推荐性的文字；</w:t>
      </w:r>
    </w:p>
    <w:p w14:paraId="32B4B611" w14:textId="77777777" w:rsidR="00913A13" w:rsidRDefault="002F45B8">
      <w:pPr>
        <w:autoSpaceDE w:val="0"/>
        <w:autoSpaceDN w:val="0"/>
        <w:spacing w:line="360" w:lineRule="auto"/>
        <w:ind w:firstLineChars="200" w:firstLine="480"/>
        <w:textAlignment w:val="bottom"/>
        <w:rPr>
          <w:bCs/>
          <w:sz w:val="24"/>
        </w:rPr>
      </w:pPr>
      <w:r>
        <w:rPr>
          <w:bCs/>
          <w:sz w:val="24"/>
        </w:rPr>
        <w:t>6</w:t>
      </w:r>
      <w:r>
        <w:rPr>
          <w:rFonts w:hint="eastAsia"/>
          <w:bCs/>
          <w:sz w:val="24"/>
        </w:rPr>
        <w:t>、中国证监会禁止的其他行为。</w:t>
      </w:r>
    </w:p>
    <w:p w14:paraId="59B97D9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四、本基金公开披露的信息应采用中文文本。同时采用外文文本的，基金信息披露义务人应保证不同文本的内容一致。不同文本之间发生歧义的，以中文文本为准。</w:t>
      </w:r>
    </w:p>
    <w:p w14:paraId="3C132A3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本基金公开披露的信息采用阿拉伯数字；除特别说明外，货币单位为人民币元。</w:t>
      </w:r>
    </w:p>
    <w:p w14:paraId="4648956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五、公开披露的基金信息</w:t>
      </w:r>
    </w:p>
    <w:p w14:paraId="6998FE3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公开披露的基金信息包括：</w:t>
      </w:r>
    </w:p>
    <w:p w14:paraId="2D5E583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（一）基金招募说明书、《基金合同》、基金托管协议、基金产品资料概要</w:t>
      </w:r>
    </w:p>
    <w:p w14:paraId="176BA2C2"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、《基金合同》是界定《基金合同》当事人的各项权利、义务关系，明确基金</w:t>
      </w:r>
      <w:r>
        <w:rPr>
          <w:rFonts w:hint="eastAsia"/>
          <w:bCs/>
          <w:sz w:val="24"/>
        </w:rPr>
        <w:lastRenderedPageBreak/>
        <w:t>份额持有人大会召开的规则及具体程序，说明基金产品的特性等涉及基金投资者重大利益的事项的法律文件。</w:t>
      </w:r>
    </w:p>
    <w:p w14:paraId="174F9F5B"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64A12658"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、基金托管协议是界定基金托管人和基金管理人在基金财产保管及基金运作监督等活动中的权利、义务关系的法律文件。</w:t>
      </w:r>
    </w:p>
    <w:p w14:paraId="1548F854"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B6B79B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募集申请经中国证监会注册后，基金管理人在基金份额发售的三日前，将基金份额发售公告、基金招募说明书提示性公告、《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552A55F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（二）基金份额发售公告</w:t>
      </w:r>
    </w:p>
    <w:p w14:paraId="543022A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基金管理人应当就基金份额发售的具体事宜编制基金份额发售公告，并在披露招募说明书的当日登载于规定媒介上。</w:t>
      </w:r>
    </w:p>
    <w:p w14:paraId="55ADE5D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（三）《基金合同》生效公告</w:t>
      </w:r>
    </w:p>
    <w:p w14:paraId="0B57310A"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基金管理人应当在收到中国证监会确认文件的次日在规定媒介上登载《基金合同》生效公告。</w:t>
      </w:r>
    </w:p>
    <w:p w14:paraId="2B010E7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（四）基金净值信息</w:t>
      </w:r>
    </w:p>
    <w:p w14:paraId="6295EB0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《基金合同》生效后，在开始办理基金份额申购或者赎回前，基金管理人应当</w:t>
      </w:r>
      <w:r>
        <w:rPr>
          <w:rFonts w:hint="eastAsia"/>
          <w:bCs/>
          <w:sz w:val="24"/>
        </w:rPr>
        <w:lastRenderedPageBreak/>
        <w:t>至少每周在规定网站披露一次各类基金份额净值和各类基金份额累计净值。</w:t>
      </w:r>
    </w:p>
    <w:p w14:paraId="2C65B9DE"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在开始办理基金份额申购或者赎回后，基金管理人应当在不晚于每个开放日的次日，通过规定网站、基金销售机构网站或营业网点披露开放日的各类基金份额净值和各类基金份额累计净值。</w:t>
      </w:r>
    </w:p>
    <w:p w14:paraId="5598431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基金管理人应在不晚于半年度和年度最后一日的次日，在规定网站披露半年度和年度最后一日的各类基金份额净值和各类基金份额累计净值。</w:t>
      </w:r>
    </w:p>
    <w:p w14:paraId="4D52306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（五）基金份额申购、赎回价格</w:t>
      </w:r>
    </w:p>
    <w:p w14:paraId="6517CCF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5D1EE8A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（六）基金定期报告，包括基金年度报告、基金中期报告和基金季度报告</w:t>
      </w:r>
    </w:p>
    <w:p w14:paraId="05CF84F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052BCF3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基金管理人应当在上半年结束之日起两个月内，编制完成基金中期报告，将中期报告登载在规定网站上，并将中期报告提示性公告登载在规定报刊上。</w:t>
      </w:r>
    </w:p>
    <w:p w14:paraId="7CB95DA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基金管理人应当在每个季度结束之日起</w:t>
      </w:r>
      <w:r>
        <w:rPr>
          <w:bCs/>
          <w:sz w:val="24"/>
        </w:rPr>
        <w:t>15</w:t>
      </w:r>
      <w:r>
        <w:rPr>
          <w:rFonts w:hint="eastAsia"/>
          <w:bCs/>
          <w:sz w:val="24"/>
        </w:rPr>
        <w:t>个工作日内，编制完成基金季度报告，将季度报告登载在规定网站上，并将季度报告提示性公告登载在规定报刊上。</w:t>
      </w:r>
    </w:p>
    <w:p w14:paraId="6E49AB7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《基金合同》生效不足</w:t>
      </w:r>
      <w:r>
        <w:rPr>
          <w:bCs/>
          <w:sz w:val="24"/>
        </w:rPr>
        <w:t>2</w:t>
      </w:r>
      <w:r>
        <w:rPr>
          <w:rFonts w:hint="eastAsia"/>
          <w:bCs/>
          <w:sz w:val="24"/>
        </w:rPr>
        <w:t>个月的，基金管理人可以不编制当期季度报告、中期报告或者年度报告。</w:t>
      </w:r>
    </w:p>
    <w:p w14:paraId="1B45286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如报告期内出现单一投资者持有基金份额达到或超过基金总份额</w:t>
      </w:r>
      <w:r>
        <w:rPr>
          <w:bCs/>
          <w:sz w:val="24"/>
        </w:rPr>
        <w:t>20%</w:t>
      </w:r>
      <w:r>
        <w:rPr>
          <w:rFonts w:hint="eastAsia"/>
          <w:bCs/>
          <w:sz w:val="24"/>
        </w:rPr>
        <w:t>的情形，为保障其他投资者的权益，基金管理人至少应当在基金定期报告“影响投资者决策的其他重要信息”项下披露该投资者的类别、报告期末持有份额及占比、报告期内持有份额变化情况及本基金的特有风险，中国证监会认定的特殊情形除外。</w:t>
      </w:r>
    </w:p>
    <w:p w14:paraId="472B448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基金管理人应当在基金年度报告和中期报告中披露基金组合资产情况及其流动性风险分析等。</w:t>
      </w:r>
    </w:p>
    <w:p w14:paraId="61F1558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（七）临时报告</w:t>
      </w:r>
    </w:p>
    <w:p w14:paraId="026AC50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本基金发生重大事件，有关信息披露义务人应当依照《信息披露办法》的有关</w:t>
      </w:r>
      <w:r>
        <w:rPr>
          <w:rFonts w:hint="eastAsia"/>
          <w:bCs/>
          <w:sz w:val="24"/>
        </w:rPr>
        <w:lastRenderedPageBreak/>
        <w:t>规定编制临时报告书，并登载在规定报刊和规定网站上。</w:t>
      </w:r>
    </w:p>
    <w:p w14:paraId="5515851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前款所称重大事件，是指可能对基金份额持有人权益或者基金份额的价格产生重大影响的下列事件：</w:t>
      </w:r>
    </w:p>
    <w:p w14:paraId="359FC49C"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、基金份额持有人大会的召开及决定的事项；</w:t>
      </w:r>
    </w:p>
    <w:p w14:paraId="4D466BD0"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、基金合同终止、基金清算；</w:t>
      </w:r>
    </w:p>
    <w:p w14:paraId="21A2EDEB"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、转换基金运作方式、基金合并；</w:t>
      </w:r>
    </w:p>
    <w:p w14:paraId="028E24AB"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、更换基金管理人、基金托管人、基金份额登记机构，基金改聘会计师事务所；</w:t>
      </w:r>
    </w:p>
    <w:p w14:paraId="222174DC" w14:textId="77777777" w:rsidR="00913A13" w:rsidRDefault="002F45B8">
      <w:pPr>
        <w:autoSpaceDE w:val="0"/>
        <w:autoSpaceDN w:val="0"/>
        <w:spacing w:line="360" w:lineRule="auto"/>
        <w:ind w:firstLineChars="200" w:firstLine="480"/>
        <w:textAlignment w:val="bottom"/>
        <w:rPr>
          <w:bCs/>
          <w:sz w:val="24"/>
        </w:rPr>
      </w:pPr>
      <w:r>
        <w:rPr>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788CF35D" w14:textId="77777777" w:rsidR="00913A13" w:rsidRDefault="002F45B8">
      <w:pPr>
        <w:autoSpaceDE w:val="0"/>
        <w:autoSpaceDN w:val="0"/>
        <w:spacing w:line="360" w:lineRule="auto"/>
        <w:ind w:firstLineChars="200" w:firstLine="480"/>
        <w:textAlignment w:val="bottom"/>
        <w:rPr>
          <w:bCs/>
          <w:sz w:val="24"/>
        </w:rPr>
      </w:pPr>
      <w:r>
        <w:rPr>
          <w:bCs/>
          <w:sz w:val="24"/>
        </w:rPr>
        <w:t>6</w:t>
      </w:r>
      <w:r>
        <w:rPr>
          <w:rFonts w:hint="eastAsia"/>
          <w:bCs/>
          <w:sz w:val="24"/>
        </w:rPr>
        <w:t>、基金管理人、基金托管人的法定名称、住所发生变更；</w:t>
      </w:r>
    </w:p>
    <w:p w14:paraId="526126A7" w14:textId="77777777" w:rsidR="00913A13" w:rsidRDefault="002F45B8">
      <w:pPr>
        <w:autoSpaceDE w:val="0"/>
        <w:autoSpaceDN w:val="0"/>
        <w:spacing w:line="360" w:lineRule="auto"/>
        <w:ind w:firstLineChars="200" w:firstLine="480"/>
        <w:textAlignment w:val="bottom"/>
        <w:rPr>
          <w:bCs/>
          <w:sz w:val="24"/>
        </w:rPr>
      </w:pPr>
      <w:r>
        <w:rPr>
          <w:bCs/>
          <w:sz w:val="24"/>
        </w:rPr>
        <w:t>7</w:t>
      </w:r>
      <w:r>
        <w:rPr>
          <w:rFonts w:hint="eastAsia"/>
          <w:bCs/>
          <w:sz w:val="24"/>
        </w:rPr>
        <w:t>、基金管理人变更持有百分之五以上股权的股东、基金管理人的实际控制人变更；</w:t>
      </w:r>
    </w:p>
    <w:p w14:paraId="7414B5D9" w14:textId="77777777" w:rsidR="00913A13" w:rsidRDefault="002F45B8">
      <w:pPr>
        <w:autoSpaceDE w:val="0"/>
        <w:autoSpaceDN w:val="0"/>
        <w:spacing w:line="360" w:lineRule="auto"/>
        <w:ind w:firstLineChars="200" w:firstLine="480"/>
        <w:textAlignment w:val="bottom"/>
        <w:rPr>
          <w:bCs/>
          <w:sz w:val="24"/>
        </w:rPr>
      </w:pPr>
      <w:r>
        <w:rPr>
          <w:bCs/>
          <w:sz w:val="24"/>
        </w:rPr>
        <w:t>8</w:t>
      </w:r>
      <w:r>
        <w:rPr>
          <w:rFonts w:hint="eastAsia"/>
          <w:bCs/>
          <w:sz w:val="24"/>
        </w:rPr>
        <w:t>、基金募集期延长或提前结束募集；</w:t>
      </w:r>
    </w:p>
    <w:p w14:paraId="59913639" w14:textId="77777777" w:rsidR="00913A13" w:rsidRDefault="002F45B8">
      <w:pPr>
        <w:autoSpaceDE w:val="0"/>
        <w:autoSpaceDN w:val="0"/>
        <w:spacing w:line="360" w:lineRule="auto"/>
        <w:ind w:firstLineChars="200" w:firstLine="480"/>
        <w:textAlignment w:val="bottom"/>
        <w:rPr>
          <w:bCs/>
          <w:sz w:val="24"/>
        </w:rPr>
      </w:pPr>
      <w:r>
        <w:rPr>
          <w:bCs/>
          <w:sz w:val="24"/>
        </w:rPr>
        <w:t>9</w:t>
      </w:r>
      <w:r>
        <w:rPr>
          <w:rFonts w:hint="eastAsia"/>
          <w:bCs/>
          <w:sz w:val="24"/>
        </w:rPr>
        <w:t>、基金管理人高级管理人员、基金经理和基金托管人专门基金托管部门负责人发生变动；</w:t>
      </w:r>
    </w:p>
    <w:p w14:paraId="32DA143B" w14:textId="77777777" w:rsidR="00913A13" w:rsidRDefault="002F45B8">
      <w:pPr>
        <w:autoSpaceDE w:val="0"/>
        <w:autoSpaceDN w:val="0"/>
        <w:spacing w:line="360" w:lineRule="auto"/>
        <w:ind w:firstLineChars="200" w:firstLine="480"/>
        <w:textAlignment w:val="bottom"/>
        <w:rPr>
          <w:bCs/>
          <w:sz w:val="24"/>
        </w:rPr>
      </w:pPr>
      <w:r>
        <w:rPr>
          <w:bCs/>
          <w:sz w:val="24"/>
        </w:rPr>
        <w:t>10</w:t>
      </w:r>
      <w:r>
        <w:rPr>
          <w:rFonts w:hint="eastAsia"/>
          <w:bCs/>
          <w:sz w:val="24"/>
        </w:rPr>
        <w:t>、基金管理人的董事在最近</w:t>
      </w:r>
      <w:r>
        <w:rPr>
          <w:bCs/>
          <w:sz w:val="24"/>
        </w:rPr>
        <w:t>12</w:t>
      </w:r>
      <w:r>
        <w:rPr>
          <w:rFonts w:hint="eastAsia"/>
          <w:bCs/>
          <w:sz w:val="24"/>
        </w:rPr>
        <w:t>个月内变更超过百分之五十，基金管理人、基金托管人专门基金托管部门的主要业务人员在最近</w:t>
      </w:r>
      <w:r>
        <w:rPr>
          <w:bCs/>
          <w:sz w:val="24"/>
        </w:rPr>
        <w:t>12</w:t>
      </w:r>
      <w:r>
        <w:rPr>
          <w:rFonts w:hint="eastAsia"/>
          <w:bCs/>
          <w:sz w:val="24"/>
        </w:rPr>
        <w:t>个月内变动超过百分之三十；</w:t>
      </w:r>
    </w:p>
    <w:p w14:paraId="7346E802" w14:textId="77777777" w:rsidR="00913A13" w:rsidRDefault="002F45B8">
      <w:pPr>
        <w:autoSpaceDE w:val="0"/>
        <w:autoSpaceDN w:val="0"/>
        <w:spacing w:line="360" w:lineRule="auto"/>
        <w:ind w:firstLineChars="200" w:firstLine="480"/>
        <w:textAlignment w:val="bottom"/>
        <w:rPr>
          <w:bCs/>
          <w:sz w:val="24"/>
        </w:rPr>
      </w:pPr>
      <w:r>
        <w:rPr>
          <w:bCs/>
          <w:sz w:val="24"/>
        </w:rPr>
        <w:t>11</w:t>
      </w:r>
      <w:r>
        <w:rPr>
          <w:rFonts w:hint="eastAsia"/>
          <w:bCs/>
          <w:sz w:val="24"/>
        </w:rPr>
        <w:t>、涉及基金财产、基金管理业务、基金托管业务的诉讼或仲裁；</w:t>
      </w:r>
    </w:p>
    <w:p w14:paraId="023F86FF" w14:textId="77777777" w:rsidR="00913A13" w:rsidRDefault="002F45B8">
      <w:pPr>
        <w:autoSpaceDE w:val="0"/>
        <w:autoSpaceDN w:val="0"/>
        <w:spacing w:line="360" w:lineRule="auto"/>
        <w:ind w:firstLineChars="200" w:firstLine="480"/>
        <w:textAlignment w:val="bottom"/>
        <w:rPr>
          <w:bCs/>
          <w:sz w:val="24"/>
        </w:rPr>
      </w:pPr>
      <w:r>
        <w:rPr>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A2A9843" w14:textId="77777777" w:rsidR="00913A13" w:rsidRDefault="002F45B8">
      <w:pPr>
        <w:autoSpaceDE w:val="0"/>
        <w:autoSpaceDN w:val="0"/>
        <w:spacing w:line="360" w:lineRule="auto"/>
        <w:ind w:firstLineChars="200" w:firstLine="480"/>
        <w:textAlignment w:val="bottom"/>
        <w:rPr>
          <w:bCs/>
          <w:sz w:val="24"/>
        </w:rPr>
      </w:pPr>
      <w:r>
        <w:rPr>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2F2021F4" w14:textId="77777777" w:rsidR="00913A13" w:rsidRDefault="002F45B8">
      <w:pPr>
        <w:autoSpaceDE w:val="0"/>
        <w:autoSpaceDN w:val="0"/>
        <w:spacing w:line="360" w:lineRule="auto"/>
        <w:ind w:firstLineChars="200" w:firstLine="480"/>
        <w:textAlignment w:val="bottom"/>
        <w:rPr>
          <w:bCs/>
          <w:sz w:val="24"/>
        </w:rPr>
      </w:pPr>
      <w:r>
        <w:rPr>
          <w:bCs/>
          <w:sz w:val="24"/>
        </w:rPr>
        <w:t>14</w:t>
      </w:r>
      <w:r>
        <w:rPr>
          <w:rFonts w:hint="eastAsia"/>
          <w:bCs/>
          <w:sz w:val="24"/>
        </w:rPr>
        <w:t>、基金收益分配事项；</w:t>
      </w:r>
    </w:p>
    <w:p w14:paraId="7EC34F6D" w14:textId="77777777" w:rsidR="00913A13" w:rsidRDefault="002F45B8">
      <w:pPr>
        <w:autoSpaceDE w:val="0"/>
        <w:autoSpaceDN w:val="0"/>
        <w:spacing w:line="360" w:lineRule="auto"/>
        <w:ind w:firstLineChars="200" w:firstLine="480"/>
        <w:textAlignment w:val="bottom"/>
        <w:rPr>
          <w:bCs/>
          <w:sz w:val="24"/>
        </w:rPr>
      </w:pPr>
      <w:r>
        <w:rPr>
          <w:bCs/>
          <w:sz w:val="24"/>
        </w:rPr>
        <w:t>15</w:t>
      </w:r>
      <w:r>
        <w:rPr>
          <w:rFonts w:hint="eastAsia"/>
          <w:bCs/>
          <w:sz w:val="24"/>
        </w:rPr>
        <w:t>、管理费、托管费、销售服务费、申购费、赎回费等费用计提标准、计提方式和费率发生变更；</w:t>
      </w:r>
    </w:p>
    <w:p w14:paraId="25CAF4DF" w14:textId="77777777" w:rsidR="00913A13" w:rsidRDefault="002F45B8">
      <w:pPr>
        <w:autoSpaceDE w:val="0"/>
        <w:autoSpaceDN w:val="0"/>
        <w:spacing w:line="360" w:lineRule="auto"/>
        <w:ind w:firstLineChars="200" w:firstLine="480"/>
        <w:textAlignment w:val="bottom"/>
        <w:rPr>
          <w:bCs/>
          <w:sz w:val="24"/>
        </w:rPr>
      </w:pPr>
      <w:r>
        <w:rPr>
          <w:bCs/>
          <w:sz w:val="24"/>
        </w:rPr>
        <w:t>16</w:t>
      </w:r>
      <w:r>
        <w:rPr>
          <w:rFonts w:hint="eastAsia"/>
          <w:bCs/>
          <w:sz w:val="24"/>
        </w:rPr>
        <w:t>、某一类基金份额净值计价错误达该类基金份额净值百分之零点五；</w:t>
      </w:r>
    </w:p>
    <w:p w14:paraId="7620D49E" w14:textId="77777777" w:rsidR="00913A13" w:rsidRDefault="002F45B8">
      <w:pPr>
        <w:autoSpaceDE w:val="0"/>
        <w:autoSpaceDN w:val="0"/>
        <w:spacing w:line="360" w:lineRule="auto"/>
        <w:ind w:firstLineChars="200" w:firstLine="480"/>
        <w:textAlignment w:val="bottom"/>
        <w:rPr>
          <w:bCs/>
          <w:sz w:val="24"/>
        </w:rPr>
      </w:pPr>
      <w:r>
        <w:rPr>
          <w:bCs/>
          <w:sz w:val="24"/>
        </w:rPr>
        <w:lastRenderedPageBreak/>
        <w:t>17</w:t>
      </w:r>
      <w:r>
        <w:rPr>
          <w:rFonts w:hint="eastAsia"/>
          <w:bCs/>
          <w:sz w:val="24"/>
        </w:rPr>
        <w:t>、本基金开始办理申购、赎回；</w:t>
      </w:r>
    </w:p>
    <w:p w14:paraId="6489A7C9" w14:textId="77777777" w:rsidR="00913A13" w:rsidRDefault="002F45B8">
      <w:pPr>
        <w:autoSpaceDE w:val="0"/>
        <w:autoSpaceDN w:val="0"/>
        <w:spacing w:line="360" w:lineRule="auto"/>
        <w:ind w:firstLineChars="200" w:firstLine="480"/>
        <w:textAlignment w:val="bottom"/>
        <w:rPr>
          <w:bCs/>
          <w:sz w:val="24"/>
        </w:rPr>
      </w:pPr>
      <w:r>
        <w:rPr>
          <w:bCs/>
          <w:sz w:val="24"/>
        </w:rPr>
        <w:t>18</w:t>
      </w:r>
      <w:r>
        <w:rPr>
          <w:rFonts w:hint="eastAsia"/>
          <w:bCs/>
          <w:sz w:val="24"/>
        </w:rPr>
        <w:t>、本基金发生巨额赎回并延期办理；</w:t>
      </w:r>
    </w:p>
    <w:p w14:paraId="0FF6A390" w14:textId="77777777" w:rsidR="00913A13" w:rsidRDefault="002F45B8">
      <w:pPr>
        <w:autoSpaceDE w:val="0"/>
        <w:autoSpaceDN w:val="0"/>
        <w:spacing w:line="360" w:lineRule="auto"/>
        <w:ind w:firstLineChars="200" w:firstLine="480"/>
        <w:textAlignment w:val="bottom"/>
        <w:rPr>
          <w:bCs/>
          <w:sz w:val="24"/>
        </w:rPr>
      </w:pPr>
      <w:r>
        <w:rPr>
          <w:bCs/>
          <w:sz w:val="24"/>
        </w:rPr>
        <w:t>19</w:t>
      </w:r>
      <w:r>
        <w:rPr>
          <w:rFonts w:hint="eastAsia"/>
          <w:bCs/>
          <w:sz w:val="24"/>
        </w:rPr>
        <w:t>、本基金连续发生巨额赎回并暂停接受赎回申请或延缓支付赎回款项；</w:t>
      </w:r>
    </w:p>
    <w:p w14:paraId="03ED811D" w14:textId="77777777" w:rsidR="00913A13" w:rsidRDefault="002F45B8">
      <w:pPr>
        <w:autoSpaceDE w:val="0"/>
        <w:autoSpaceDN w:val="0"/>
        <w:spacing w:line="360" w:lineRule="auto"/>
        <w:ind w:firstLineChars="200" w:firstLine="480"/>
        <w:textAlignment w:val="bottom"/>
        <w:rPr>
          <w:bCs/>
          <w:sz w:val="24"/>
        </w:rPr>
      </w:pPr>
      <w:r>
        <w:rPr>
          <w:bCs/>
          <w:sz w:val="24"/>
        </w:rPr>
        <w:t>20</w:t>
      </w:r>
      <w:r>
        <w:rPr>
          <w:rFonts w:hint="eastAsia"/>
          <w:bCs/>
          <w:sz w:val="24"/>
        </w:rPr>
        <w:t>、本基金暂停接受申购、赎回申请或重新接受申购、赎回申请；</w:t>
      </w:r>
    </w:p>
    <w:p w14:paraId="497EF90C" w14:textId="77777777" w:rsidR="00913A13" w:rsidRDefault="002F45B8">
      <w:pPr>
        <w:autoSpaceDE w:val="0"/>
        <w:autoSpaceDN w:val="0"/>
        <w:spacing w:line="360" w:lineRule="auto"/>
        <w:ind w:firstLineChars="200" w:firstLine="480"/>
        <w:textAlignment w:val="bottom"/>
        <w:rPr>
          <w:bCs/>
          <w:sz w:val="24"/>
        </w:rPr>
      </w:pPr>
      <w:r>
        <w:rPr>
          <w:bCs/>
          <w:sz w:val="24"/>
        </w:rPr>
        <w:t>21</w:t>
      </w:r>
      <w:r>
        <w:rPr>
          <w:rFonts w:hint="eastAsia"/>
          <w:bCs/>
          <w:sz w:val="24"/>
        </w:rPr>
        <w:t>、在发生涉及基金申购、赎回事项调整或潜在影响投资者赎回等重大事项时；</w:t>
      </w:r>
    </w:p>
    <w:p w14:paraId="27250E16" w14:textId="77777777" w:rsidR="00913A13" w:rsidRDefault="002F45B8">
      <w:pPr>
        <w:autoSpaceDE w:val="0"/>
        <w:autoSpaceDN w:val="0"/>
        <w:spacing w:line="360" w:lineRule="auto"/>
        <w:ind w:firstLineChars="200" w:firstLine="480"/>
        <w:textAlignment w:val="bottom"/>
        <w:rPr>
          <w:bCs/>
          <w:sz w:val="24"/>
        </w:rPr>
      </w:pPr>
      <w:r>
        <w:rPr>
          <w:bCs/>
          <w:sz w:val="24"/>
        </w:rPr>
        <w:t>22</w:t>
      </w:r>
      <w:r>
        <w:rPr>
          <w:rFonts w:hint="eastAsia"/>
          <w:bCs/>
          <w:sz w:val="24"/>
        </w:rPr>
        <w:t>、基金管理人采用摆动定价机制进行估值；</w:t>
      </w:r>
    </w:p>
    <w:p w14:paraId="539A3BD5" w14:textId="77777777" w:rsidR="00913A13" w:rsidRDefault="002F45B8">
      <w:pPr>
        <w:autoSpaceDE w:val="0"/>
        <w:autoSpaceDN w:val="0"/>
        <w:spacing w:line="360" w:lineRule="auto"/>
        <w:ind w:firstLineChars="200" w:firstLine="480"/>
        <w:textAlignment w:val="bottom"/>
        <w:rPr>
          <w:bCs/>
          <w:sz w:val="24"/>
        </w:rPr>
      </w:pPr>
      <w:r>
        <w:rPr>
          <w:bCs/>
          <w:sz w:val="24"/>
        </w:rPr>
        <w:t>23</w:t>
      </w:r>
      <w:r>
        <w:rPr>
          <w:rFonts w:hint="eastAsia"/>
          <w:bCs/>
          <w:sz w:val="24"/>
        </w:rPr>
        <w:t>、调整基金份额类别设置；</w:t>
      </w:r>
    </w:p>
    <w:p w14:paraId="5EF62C0D" w14:textId="77777777" w:rsidR="00913A13" w:rsidRDefault="002F45B8">
      <w:pPr>
        <w:autoSpaceDE w:val="0"/>
        <w:autoSpaceDN w:val="0"/>
        <w:spacing w:line="360" w:lineRule="auto"/>
        <w:ind w:firstLineChars="200" w:firstLine="480"/>
        <w:textAlignment w:val="bottom"/>
        <w:rPr>
          <w:bCs/>
          <w:sz w:val="24"/>
        </w:rPr>
      </w:pPr>
      <w:r>
        <w:rPr>
          <w:bCs/>
          <w:sz w:val="24"/>
        </w:rPr>
        <w:t>24</w:t>
      </w:r>
      <w:r>
        <w:rPr>
          <w:rFonts w:hint="eastAsia"/>
          <w:bCs/>
          <w:sz w:val="24"/>
        </w:rPr>
        <w:t>、基金信息披露义务人认为可能对基金份额持有人权益或者基金份额的价格产生重大影响的其他事项或中国证监会规定的其他事项。</w:t>
      </w:r>
    </w:p>
    <w:p w14:paraId="2504C81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（八）澄清公告</w:t>
      </w:r>
    </w:p>
    <w:p w14:paraId="437DCEC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4C71DA9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（九）基金份额持有人大会决议</w:t>
      </w:r>
    </w:p>
    <w:p w14:paraId="46DBC53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基金份额持有人大会决定的事项，应当依法报中国证监会备案，并予以公告。</w:t>
      </w:r>
    </w:p>
    <w:p w14:paraId="7828F00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（十）清算报告</w:t>
      </w:r>
    </w:p>
    <w:p w14:paraId="558DD0E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基金终止运作的，基金管理人应当依法组织基金财产清算小组对基金财产进行清算并作出清算报告。基金财产清算小组应当将清算报告登载在规定网站上，并将清算报告提示性公告登载在规定报刊上。</w:t>
      </w:r>
    </w:p>
    <w:p w14:paraId="3C931D62"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（十一）实施侧袋机制期间的信息披露</w:t>
      </w:r>
    </w:p>
    <w:p w14:paraId="72DB03A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本基金实施侧袋机制的，相关信息披露义务人应当根据法律法规、基金合同和招募说明书的规定进行信息披露，详见招募说明书的规定。</w:t>
      </w:r>
    </w:p>
    <w:p w14:paraId="5729043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（十二）基金投资股指期货的相关公告</w:t>
      </w:r>
    </w:p>
    <w:p w14:paraId="5B92F83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w:t>
      </w:r>
    </w:p>
    <w:p w14:paraId="304907B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（十三）基金投资国债期货的相关公告</w:t>
      </w:r>
    </w:p>
    <w:p w14:paraId="7CBA822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基金管理人应当在季度报告、中期报告、年度报告等定期报告和招募说明书（更</w:t>
      </w:r>
      <w:r>
        <w:rPr>
          <w:rFonts w:hint="eastAsia"/>
          <w:bCs/>
          <w:sz w:val="24"/>
        </w:rPr>
        <w:lastRenderedPageBreak/>
        <w:t>新）等文件中披露国债期货交易情况，包括投资政策、持仓情况、损益情况、风险指标等，并充分揭示国债期货交易对本基金总体风险的影响以及是否符合既定的投资政策和投资目标。</w:t>
      </w:r>
    </w:p>
    <w:p w14:paraId="1A1FD74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（十四）基金投资股票期权的相关公告</w:t>
      </w:r>
    </w:p>
    <w:p w14:paraId="52919E5F" w14:textId="77777777" w:rsidR="00913A13" w:rsidRDefault="002F45B8">
      <w:pPr>
        <w:spacing w:line="360" w:lineRule="auto"/>
        <w:ind w:firstLineChars="200" w:firstLine="480"/>
        <w:rPr>
          <w:bCs/>
          <w:sz w:val="24"/>
        </w:rPr>
      </w:pPr>
      <w:r>
        <w:rPr>
          <w:rFonts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37758079" w14:textId="77777777" w:rsidR="00913A13" w:rsidRDefault="002F45B8">
      <w:pPr>
        <w:spacing w:line="360" w:lineRule="auto"/>
        <w:ind w:firstLineChars="200" w:firstLine="480"/>
        <w:rPr>
          <w:bCs/>
          <w:sz w:val="24"/>
        </w:rPr>
      </w:pPr>
      <w:r>
        <w:rPr>
          <w:rFonts w:hint="eastAsia"/>
          <w:bCs/>
          <w:sz w:val="24"/>
        </w:rPr>
        <w:t>（十五）基金投资资产支持证券的信息披露</w:t>
      </w:r>
    </w:p>
    <w:p w14:paraId="31CE7341"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bCs/>
          <w:sz w:val="24"/>
        </w:rPr>
        <w:t>10</w:t>
      </w:r>
      <w:r>
        <w:rPr>
          <w:rFonts w:hint="eastAsia"/>
          <w:bCs/>
          <w:sz w:val="24"/>
        </w:rPr>
        <w:t>名资产支持证券明细。</w:t>
      </w:r>
    </w:p>
    <w:p w14:paraId="5828618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（十六）基金投资非公开发行股票的信息披露</w:t>
      </w:r>
    </w:p>
    <w:p w14:paraId="2032348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基金管理人在本基金投资非公开发行股票后两个交易日内，在中国证监会规定媒介披露所投资非公开发行股票的名称、数量、总成本、账面价值，以及总成本和账面价值占基金资产净值的比例、锁定期等信息。</w:t>
      </w:r>
    </w:p>
    <w:p w14:paraId="41154F7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（十七）中国证监会规定的其他信息。</w:t>
      </w:r>
    </w:p>
    <w:p w14:paraId="69968C2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六、信息披露事务管理</w:t>
      </w:r>
    </w:p>
    <w:p w14:paraId="4F8C958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基金管理人、基金托管人应当建立健全信息披露管理制度，指定专门部门及高级管理人员负责管理信息披露事务。</w:t>
      </w:r>
    </w:p>
    <w:p w14:paraId="5F514D8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基金信息披露义务人公开披露基金信息，应当符合中国证监会相关基金信息披露内容与格式准则等法规的规定。</w:t>
      </w:r>
    </w:p>
    <w:p w14:paraId="4D1947E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托管人应当按照相关法律法规、行政法规、中国证监会的规定和《基金合同》的约定，对基金管理人编制的基金资产净值、各类基金份额净值、基金份额申购赎回价格、基金定期报告、更新的招募说明书、基金产品资料概要、基金清算报告等公开披露的相关基金信息进行复核、审查，并向基金管理人进行书面或电子确认。</w:t>
      </w:r>
    </w:p>
    <w:p w14:paraId="5DE86AC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基金管理人、基金托管人应当在规定报刊中选择一家报刊披露本基金信息。基</w:t>
      </w:r>
      <w:r>
        <w:rPr>
          <w:rFonts w:hint="eastAsia"/>
          <w:bCs/>
          <w:sz w:val="24"/>
        </w:rPr>
        <w:lastRenderedPageBreak/>
        <w:t>金管理人、基金托管人应当向中国证监会基金电子披露网站报送拟披露的基金信息，并保证相关报送信息的真实、准确、完整、及时。</w:t>
      </w:r>
    </w:p>
    <w:p w14:paraId="3854D917"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2A1912C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EF365A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为基金信息披露义务人公开披露的基金信息出具审计报告、法律意见书的专业机构，应当制作工作底稿，并将相关档案至少保存到《基金合同》终止后</w:t>
      </w:r>
      <w:r>
        <w:rPr>
          <w:bCs/>
          <w:sz w:val="24"/>
        </w:rPr>
        <w:t>10</w:t>
      </w:r>
      <w:r>
        <w:rPr>
          <w:rFonts w:hint="eastAsia"/>
          <w:bCs/>
          <w:sz w:val="24"/>
        </w:rPr>
        <w:t>年。</w:t>
      </w:r>
    </w:p>
    <w:p w14:paraId="7A901C1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七、信息披露文件的存放与查阅</w:t>
      </w:r>
    </w:p>
    <w:p w14:paraId="0593CAA6"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依法必须披露的信息发布后，基金管理人、基金托管人应当按照相关法律法规规定将信息置备于公司住所，供社会公众查阅、复制。</w:t>
      </w:r>
    </w:p>
    <w:p w14:paraId="11D1FFAD"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八、暂停或延迟信息披露的情形</w:t>
      </w:r>
    </w:p>
    <w:p w14:paraId="404A3A42"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、不可抗力；</w:t>
      </w:r>
    </w:p>
    <w:p w14:paraId="7AA9C878" w14:textId="77777777" w:rsidR="00913A13" w:rsidRDefault="002F45B8">
      <w:pPr>
        <w:spacing w:line="360" w:lineRule="auto"/>
        <w:ind w:firstLineChars="200" w:firstLine="480"/>
        <w:rPr>
          <w:bCs/>
          <w:sz w:val="24"/>
        </w:rPr>
      </w:pPr>
      <w:r>
        <w:rPr>
          <w:bCs/>
          <w:sz w:val="24"/>
        </w:rPr>
        <w:t>2</w:t>
      </w:r>
      <w:r>
        <w:rPr>
          <w:rFonts w:hint="eastAsia"/>
          <w:bCs/>
          <w:sz w:val="24"/>
        </w:rPr>
        <w:t>、发生暂停估值的情形；</w:t>
      </w:r>
    </w:p>
    <w:p w14:paraId="5E7CA345"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、法律法规、中国证监会规定或基金合同认定的其他情形。</w:t>
      </w:r>
    </w:p>
    <w:p w14:paraId="6E907BA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九、本基金信息披露事项以法律法规规定及本章节约定的内容为准。</w:t>
      </w:r>
    </w:p>
    <w:p w14:paraId="37E5DED0" w14:textId="77777777" w:rsidR="00913A13" w:rsidRDefault="00913A13">
      <w:pPr>
        <w:autoSpaceDE w:val="0"/>
        <w:autoSpaceDN w:val="0"/>
        <w:spacing w:line="360" w:lineRule="auto"/>
        <w:ind w:firstLineChars="200" w:firstLine="480"/>
        <w:textAlignment w:val="bottom"/>
        <w:rPr>
          <w:bCs/>
          <w:sz w:val="24"/>
        </w:rPr>
      </w:pPr>
    </w:p>
    <w:p w14:paraId="08A19D52" w14:textId="77777777" w:rsidR="00913A13" w:rsidRDefault="002F45B8">
      <w:pPr>
        <w:pStyle w:val="1"/>
        <w:spacing w:before="240" w:after="240"/>
        <w:jc w:val="center"/>
        <w:rPr>
          <w:rFonts w:cs="Arial"/>
          <w:b w:val="0"/>
          <w:sz w:val="30"/>
          <w:szCs w:val="30"/>
        </w:rPr>
      </w:pPr>
      <w:r>
        <w:rPr>
          <w:bCs/>
        </w:rPr>
        <w:br w:type="page"/>
      </w:r>
      <w:bookmarkStart w:id="336" w:name="_Toc49433828"/>
      <w:bookmarkStart w:id="337" w:name="_Toc16224"/>
      <w:bookmarkStart w:id="338" w:name="_Toc136963816"/>
      <w:bookmarkStart w:id="339" w:name="_Toc63866832"/>
      <w:bookmarkStart w:id="340" w:name="_Toc68266303"/>
      <w:r>
        <w:rPr>
          <w:rFonts w:cs="Arial" w:hint="eastAsia"/>
          <w:sz w:val="30"/>
          <w:szCs w:val="30"/>
        </w:rPr>
        <w:lastRenderedPageBreak/>
        <w:t>第十六部分 侧袋机制</w:t>
      </w:r>
      <w:bookmarkEnd w:id="336"/>
      <w:bookmarkEnd w:id="337"/>
      <w:bookmarkEnd w:id="338"/>
      <w:bookmarkEnd w:id="339"/>
      <w:bookmarkEnd w:id="340"/>
    </w:p>
    <w:p w14:paraId="3B1CF867"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一、侧袋机制的实施条件</w:t>
      </w:r>
    </w:p>
    <w:p w14:paraId="6172684C"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7D18267D"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基金管理人应当在启用侧袋机制后及时发布临时公告，并及时聘请侧袋机制启用日发表意见且符合《中华人民共和国证券法》规定的会计师事务所进行审计并披露专项审计意见。</w:t>
      </w:r>
    </w:p>
    <w:p w14:paraId="2289856B"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二、实施侧袋机制期间基金份额的申购与赎回</w:t>
      </w:r>
    </w:p>
    <w:p w14:paraId="10D02507"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1</w:t>
      </w:r>
      <w:r>
        <w:rPr>
          <w:rFonts w:cs="Arial" w:hint="eastAsia"/>
          <w:color w:val="000000"/>
          <w:sz w:val="24"/>
        </w:rPr>
        <w:t>、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1C293824"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2</w:t>
      </w:r>
      <w:r>
        <w:rPr>
          <w:rFonts w:cs="Arial" w:hint="eastAsia"/>
          <w:color w:val="000000"/>
          <w:sz w:val="24"/>
        </w:rPr>
        <w:t>、实施侧袋机制期间，基金管理人应对侧袋账户份额实行独立管理，主袋账户沿用原基金代码，侧袋账户使用独立的基金代码。基金管理人不办理侧袋账户份额的申购、赎回和转换；同时，基金管理人按照基金合同和招募说明书的约定办理主袋账户份额的赎回，并根据主袋账户运作情况确定是否暂停申购，具体事项届时将由基金管理人在相关公告中规定。</w:t>
      </w:r>
    </w:p>
    <w:p w14:paraId="745B7233"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3</w:t>
      </w:r>
      <w:r>
        <w:rPr>
          <w:rFonts w:cs="Arial" w:hint="eastAsia"/>
          <w:color w:val="000000"/>
          <w:sz w:val="24"/>
        </w:rPr>
        <w:t>、基金管理人应按照主袋账户的份额净值办理主袋账户份额的申购和赎回。本招募说明书“基金份额的申购与赎回”部分的申购、赎回规定适用于主袋账户份额。巨额赎回按照单个开放日内主袋账户份额净赎回申请超过前一开放日的主袋账户总份额的</w:t>
      </w:r>
      <w:r>
        <w:rPr>
          <w:rFonts w:cs="Arial"/>
          <w:color w:val="000000"/>
          <w:sz w:val="24"/>
        </w:rPr>
        <w:t>10%</w:t>
      </w:r>
      <w:r>
        <w:rPr>
          <w:rFonts w:cs="Arial" w:hint="eastAsia"/>
          <w:color w:val="000000"/>
          <w:sz w:val="24"/>
        </w:rPr>
        <w:t>认定。</w:t>
      </w:r>
    </w:p>
    <w:p w14:paraId="73390669"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三、实施侧袋机制期间的基金投资及业绩</w:t>
      </w:r>
    </w:p>
    <w:p w14:paraId="6DB7DBF5"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14:paraId="417E42E9"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基金管理人原则上应当在侧袋机制启用后</w:t>
      </w:r>
      <w:r>
        <w:rPr>
          <w:rFonts w:cs="Arial"/>
          <w:color w:val="000000"/>
          <w:sz w:val="24"/>
        </w:rPr>
        <w:t>20</w:t>
      </w:r>
      <w:r>
        <w:rPr>
          <w:rFonts w:cs="Arial" w:hint="eastAsia"/>
          <w:color w:val="000000"/>
          <w:sz w:val="24"/>
        </w:rPr>
        <w:t>个交易日内完成对主袋账户投资</w:t>
      </w:r>
      <w:r>
        <w:rPr>
          <w:rFonts w:cs="Arial" w:hint="eastAsia"/>
          <w:color w:val="000000"/>
          <w:sz w:val="24"/>
        </w:rPr>
        <w:lastRenderedPageBreak/>
        <w:t>组合的调整，因资产流动性受限等中国证监会规定的情形除外。</w:t>
      </w:r>
    </w:p>
    <w:p w14:paraId="23D9B6B1"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基金管理人不得在侧袋账户中进行除特定资产处置变现以外的其他投资操作。</w:t>
      </w:r>
    </w:p>
    <w:p w14:paraId="72427A2A"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侧袋机制实施期间，基金管理人、基金服务机构在计算基金业绩相关指标时仅考虑主袋账户资产，分割侧袋账户资产导致的基金净资产减少在计算基金业绩相关指标时按投资损失处理。基金管理人、基金服务机构在展示基金业绩时，应当就前述情况进行充分的解释说明，避免引起投资者误解。</w:t>
      </w:r>
    </w:p>
    <w:p w14:paraId="7B55A39A"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四、实施侧袋机制期间的基金估值与会计核算</w:t>
      </w:r>
    </w:p>
    <w:p w14:paraId="1F723F03"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本基金实施侧袋机制的，基金管理人和基金托管人应对主袋账户资产进行估值并披露主袋账户的基金净值信息，暂停披露侧袋账户的基金净值信息。侧袋机制实施期间，基金管理人应对侧袋账户单独设置账套，实行独立核算。如果本基金同时存在多个侧袋账户，不同侧袋账户应分开进行核算。侧袋账户的会计核算应符合《企业会计准则》的相关要求。</w:t>
      </w:r>
    </w:p>
    <w:p w14:paraId="7CE81780"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五、实施侧袋机制期间的基金费用</w:t>
      </w:r>
    </w:p>
    <w:p w14:paraId="6EDA794A"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本基金实施侧袋机制的，主袋账户的管理费和托管费按主袋账户基金资产净值作为基数计提；主袋账户的</w:t>
      </w:r>
      <w:r>
        <w:rPr>
          <w:rFonts w:cs="Arial"/>
          <w:color w:val="000000"/>
          <w:sz w:val="24"/>
        </w:rPr>
        <w:t>C</w:t>
      </w:r>
      <w:r>
        <w:rPr>
          <w:rFonts w:cs="Arial" w:hint="eastAsia"/>
          <w:color w:val="000000"/>
          <w:sz w:val="24"/>
        </w:rPr>
        <w:t>类基金份额的销售服务费仍按主袋账户</w:t>
      </w:r>
      <w:r>
        <w:rPr>
          <w:rFonts w:cs="Arial"/>
          <w:color w:val="000000"/>
          <w:sz w:val="24"/>
        </w:rPr>
        <w:t>C</w:t>
      </w:r>
      <w:r>
        <w:rPr>
          <w:rFonts w:cs="Arial" w:hint="eastAsia"/>
          <w:color w:val="000000"/>
          <w:sz w:val="24"/>
        </w:rPr>
        <w:t>类基金份额的基金资产净值作为基数计提。与侧袋账户有关的费用可从侧袋账户中列支，但应待侧袋账户资产变现后方可列支，有关费用可酌情收取或减免，但不得收取管理费，其他费用详见相关公告的规定。因启用侧袋机制产生的咨询、审计费用等由基金管理人承担。</w:t>
      </w:r>
    </w:p>
    <w:p w14:paraId="4E6C0C62"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六、侧袋账户中特定资产的处置变现和支付</w:t>
      </w:r>
    </w:p>
    <w:p w14:paraId="2223F939"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14:paraId="591CCF94"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415452BB"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侧袋账户资产全部完成变现并终止侧袋机制后，基金管理人应及时聘请符合《中华人民共和国证券法》规定的会计师事务所进行审计并披露专项审计意见。</w:t>
      </w:r>
    </w:p>
    <w:p w14:paraId="5AF6B456"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lastRenderedPageBreak/>
        <w:t>侧袋账户资产完全清算后，基金管理人应注销侧袋账户。</w:t>
      </w:r>
    </w:p>
    <w:p w14:paraId="4571305E"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七、侧袋机制的信息披露</w:t>
      </w:r>
    </w:p>
    <w:p w14:paraId="225959EC"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1</w:t>
      </w:r>
      <w:r>
        <w:rPr>
          <w:rFonts w:cs="Arial" w:hint="eastAsia"/>
          <w:color w:val="000000"/>
          <w:sz w:val="24"/>
        </w:rPr>
        <w:t>、临时公告</w:t>
      </w:r>
    </w:p>
    <w:p w14:paraId="58DB690E"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在启用侧袋机制、处置特定资产、终止侧袋机制以及发生其他可能对投资者利益产生重大影响的事项后基金管理人应及时发布临时公告。</w:t>
      </w:r>
    </w:p>
    <w:p w14:paraId="745A325F"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2</w:t>
      </w:r>
      <w:r>
        <w:rPr>
          <w:rFonts w:cs="Arial" w:hint="eastAsia"/>
          <w:color w:val="000000"/>
          <w:sz w:val="24"/>
        </w:rPr>
        <w:t>、基金净值信息</w:t>
      </w:r>
    </w:p>
    <w:p w14:paraId="434B631E"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基金管理人应按照招募说明书“基金的信息披露”部分规定的基金净值信息披露方式和频率披露主袋账户份额的基金份额净值和基金份额累计净值。实施侧袋机制期间，本基金暂停披露侧袋账户的基金净值信息。</w:t>
      </w:r>
    </w:p>
    <w:p w14:paraId="3E26526F" w14:textId="77777777" w:rsidR="00913A13" w:rsidRDefault="002F45B8">
      <w:pPr>
        <w:autoSpaceDE w:val="0"/>
        <w:autoSpaceDN w:val="0"/>
        <w:adjustRightInd w:val="0"/>
        <w:spacing w:line="360" w:lineRule="auto"/>
        <w:ind w:firstLineChars="200" w:firstLine="480"/>
        <w:rPr>
          <w:rFonts w:cs="Arial"/>
          <w:color w:val="000000"/>
          <w:sz w:val="24"/>
        </w:rPr>
      </w:pPr>
      <w:r>
        <w:rPr>
          <w:rFonts w:cs="Arial"/>
          <w:color w:val="000000"/>
          <w:sz w:val="24"/>
        </w:rPr>
        <w:t>3</w:t>
      </w:r>
      <w:r>
        <w:rPr>
          <w:rFonts w:cs="Arial" w:hint="eastAsia"/>
          <w:color w:val="000000"/>
          <w:sz w:val="24"/>
        </w:rPr>
        <w:t>、定期报告</w:t>
      </w:r>
    </w:p>
    <w:p w14:paraId="5F3552AD"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侧袋机制实施期间，基金管理人应当在基金定期报告中披露报告期内侧袋账户相关信息，基金定期报告中的基金会计报表仅需针对主袋账户进行编制。侧袋账户相关信息在定期报告中单独进行披露。会计师事务所对基金年度报告进行审计时，应对报告期内基金侧袋机制运行相关的会计核算和年度报告披露，执行适当程序并发表审计意见。</w:t>
      </w:r>
    </w:p>
    <w:p w14:paraId="1BB19556" w14:textId="77777777" w:rsidR="00913A13" w:rsidRDefault="002F45B8">
      <w:pPr>
        <w:autoSpaceDE w:val="0"/>
        <w:autoSpaceDN w:val="0"/>
        <w:adjustRightInd w:val="0"/>
        <w:spacing w:line="360" w:lineRule="auto"/>
        <w:ind w:firstLineChars="200" w:firstLine="480"/>
        <w:rPr>
          <w:rFonts w:cs="Arial"/>
          <w:color w:val="000000"/>
          <w:sz w:val="24"/>
        </w:rPr>
      </w:pPr>
      <w:r>
        <w:rPr>
          <w:rFonts w:cs="Arial" w:hint="eastAsia"/>
          <w:color w:val="000000"/>
          <w:sz w:val="24"/>
        </w:rPr>
        <w:t>八、本部分关于侧袋机制的相关规定，凡是直接引用法律法规或监管规则的部分，如将来法律法规或监管规则修改导致相关内容被取消或变更的，或将来法律法规或监管规则针对侧袋机制的内容有进一步规定的，基金管理人经与基金托管人协商一致并履行适当程序后，在对基金份额持有人利益无实质性不利影响的前提下，可直接对本部分内容进行修改和调整，无需召开基金份额持有人大会审议。</w:t>
      </w:r>
    </w:p>
    <w:p w14:paraId="06BAB998" w14:textId="77777777" w:rsidR="00913A13" w:rsidRDefault="00913A13">
      <w:pPr>
        <w:autoSpaceDE w:val="0"/>
        <w:autoSpaceDN w:val="0"/>
        <w:adjustRightInd w:val="0"/>
        <w:spacing w:line="360" w:lineRule="auto"/>
        <w:ind w:firstLineChars="200" w:firstLine="480"/>
        <w:rPr>
          <w:rFonts w:cs="Arial"/>
          <w:color w:val="000000"/>
          <w:sz w:val="24"/>
        </w:rPr>
        <w:sectPr w:rsidR="00913A13">
          <w:headerReference w:type="even" r:id="rId44"/>
          <w:headerReference w:type="default" r:id="rId45"/>
          <w:footerReference w:type="default" r:id="rId46"/>
          <w:headerReference w:type="first" r:id="rId47"/>
          <w:footerReference w:type="first" r:id="rId48"/>
          <w:pgSz w:w="11907" w:h="16840"/>
          <w:pgMar w:top="1440" w:right="1559" w:bottom="1440" w:left="1797" w:header="907" w:footer="964" w:gutter="0"/>
          <w:pgNumType w:chapStyle="1"/>
          <w:cols w:space="425"/>
          <w:docGrid w:type="lines" w:linePitch="312"/>
        </w:sectPr>
      </w:pPr>
    </w:p>
    <w:p w14:paraId="446EBC48" w14:textId="77777777" w:rsidR="00913A13" w:rsidRDefault="00913A13">
      <w:pPr>
        <w:widowControl/>
        <w:jc w:val="left"/>
        <w:rPr>
          <w:bCs/>
          <w:sz w:val="24"/>
        </w:rPr>
      </w:pPr>
    </w:p>
    <w:p w14:paraId="6739FB9B" w14:textId="77777777" w:rsidR="00913A13" w:rsidRDefault="002F45B8">
      <w:pPr>
        <w:pStyle w:val="1"/>
        <w:jc w:val="center"/>
        <w:rPr>
          <w:sz w:val="30"/>
          <w:szCs w:val="30"/>
        </w:rPr>
      </w:pPr>
      <w:bookmarkStart w:id="341" w:name="_Toc136963817"/>
      <w:bookmarkStart w:id="342" w:name="_Toc68266304"/>
      <w:bookmarkStart w:id="343" w:name="_Toc21073398"/>
      <w:bookmarkStart w:id="344" w:name="_Toc263092324"/>
      <w:bookmarkStart w:id="345" w:name="_Toc147463125"/>
      <w:bookmarkStart w:id="346" w:name="_Toc12357178"/>
      <w:bookmarkStart w:id="347" w:name="_Toc214873605"/>
      <w:bookmarkStart w:id="348" w:name="_Toc416264552"/>
      <w:bookmarkStart w:id="349" w:name="_Toc92662708"/>
      <w:bookmarkStart w:id="350" w:name="_Toc93226150"/>
      <w:bookmarkStart w:id="351" w:name="_Toc128310500"/>
      <w:bookmarkStart w:id="352" w:name="_Toc141703897"/>
      <w:bookmarkStart w:id="353" w:name="_Toc23859"/>
      <w:bookmarkStart w:id="354" w:name="_Toc29695"/>
      <w:bookmarkStart w:id="355" w:name="_Toc28961"/>
      <w:bookmarkStart w:id="356" w:name="_Toc18007"/>
      <w:bookmarkStart w:id="357" w:name="_Toc13255"/>
      <w:bookmarkStart w:id="358" w:name="_Toc31736"/>
      <w:bookmarkStart w:id="359" w:name="_Toc10894"/>
      <w:bookmarkStart w:id="360" w:name="_Toc1043"/>
      <w:bookmarkStart w:id="361" w:name="_Toc139991747"/>
      <w:bookmarkStart w:id="362" w:name="_Toc17499"/>
      <w:bookmarkStart w:id="363" w:name="_Toc352229763"/>
      <w:bookmarkStart w:id="364" w:name="_Toc21206"/>
      <w:bookmarkStart w:id="365" w:name="_Toc18747"/>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Fonts w:hint="eastAsia"/>
          <w:sz w:val="30"/>
          <w:szCs w:val="30"/>
        </w:rPr>
        <w:t>第十七部分</w:t>
      </w:r>
      <w:r>
        <w:rPr>
          <w:sz w:val="30"/>
          <w:szCs w:val="30"/>
        </w:rPr>
        <w:t xml:space="preserve">  </w:t>
      </w:r>
      <w:r>
        <w:rPr>
          <w:rFonts w:hint="eastAsia"/>
          <w:sz w:val="30"/>
          <w:szCs w:val="30"/>
        </w:rPr>
        <w:t>风险揭示</w:t>
      </w:r>
      <w:bookmarkEnd w:id="341"/>
      <w:bookmarkEnd w:id="342"/>
      <w:bookmarkEnd w:id="343"/>
      <w:bookmarkEnd w:id="344"/>
      <w:bookmarkEnd w:id="345"/>
      <w:bookmarkEnd w:id="346"/>
      <w:bookmarkEnd w:id="347"/>
      <w:bookmarkEnd w:id="348"/>
    </w:p>
    <w:p w14:paraId="36766744"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Times New Roman" w:hint="eastAsia"/>
          <w:sz w:val="24"/>
          <w:szCs w:val="24"/>
        </w:rPr>
        <w:t>一、投资于本基金的主要风险</w:t>
      </w:r>
    </w:p>
    <w:p w14:paraId="77645C23"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602FB302"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20F33D27"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2E7DCA73"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2ACC69FB"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7F0A919B"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5380D5D4"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1097FCDC"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31CC4B68"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05759333"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0A9CCAC5"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3C1BA6BB"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1）拟投资市场、行业及资产的流动性风险评估</w:t>
      </w:r>
    </w:p>
    <w:p w14:paraId="0BD8327F"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存托凭证、债券和货币市场工具等），同时本基金基于分散投资的原则在行业和个券方面未有高集中度的特征，综合评估在正常市场环境下本基金的流动性风险适中。</w:t>
      </w:r>
    </w:p>
    <w:p w14:paraId="0015EE75"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w:t>
      </w:r>
      <w:r>
        <w:rPr>
          <w:rFonts w:asciiTheme="minorEastAsia" w:hAnsiTheme="minorEastAsia" w:cs="Arial"/>
          <w:bCs/>
          <w:sz w:val="24"/>
          <w:szCs w:val="24"/>
        </w:rPr>
        <w:t xml:space="preserve">2）巨额赎回情形下的流动性风险管理措施 </w:t>
      </w:r>
    </w:p>
    <w:p w14:paraId="6469BA72"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47228D3E"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3）实施备用的流动性风险管理工具的情形、程序及对投资者的潜在影响</w:t>
      </w:r>
    </w:p>
    <w:p w14:paraId="1391653C"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4BE55CE1" w14:textId="77777777" w:rsidR="00913A13" w:rsidRDefault="002F45B8">
      <w:pPr>
        <w:adjustRightInd w:val="0"/>
        <w:snapToGrid w:val="0"/>
        <w:spacing w:line="360" w:lineRule="auto"/>
        <w:ind w:firstLineChars="200" w:firstLine="480"/>
        <w:rPr>
          <w:rFonts w:ascii="宋体" w:hAnsi="宋体" w:cs="Arial" w:hint="eastAsia"/>
          <w:kern w:val="0"/>
          <w:sz w:val="24"/>
          <w:szCs w:val="24"/>
        </w:rPr>
      </w:pPr>
      <w:r>
        <w:rPr>
          <w:rFonts w:ascii="宋体" w:hAnsi="宋体" w:cs="Arial" w:hint="eastAsia"/>
          <w:kern w:val="0"/>
          <w:sz w:val="24"/>
          <w:szCs w:val="24"/>
        </w:rPr>
        <w:t>（</w:t>
      </w:r>
      <w:r>
        <w:rPr>
          <w:rFonts w:ascii="宋体" w:hAnsi="宋体" w:cs="Arial"/>
          <w:kern w:val="0"/>
          <w:sz w:val="24"/>
          <w:szCs w:val="24"/>
        </w:rPr>
        <w:t>4）实施</w:t>
      </w:r>
      <w:r>
        <w:rPr>
          <w:rFonts w:ascii="宋体" w:hAnsi="宋体" w:cs="Arial" w:hint="eastAsia"/>
          <w:kern w:val="0"/>
          <w:sz w:val="24"/>
          <w:szCs w:val="24"/>
        </w:rPr>
        <w:t>侧袋机制对投资者的影响</w:t>
      </w:r>
    </w:p>
    <w:p w14:paraId="3928F26A" w14:textId="77777777" w:rsidR="00913A13" w:rsidRDefault="002F45B8">
      <w:pPr>
        <w:adjustRightInd w:val="0"/>
        <w:snapToGrid w:val="0"/>
        <w:spacing w:line="360" w:lineRule="auto"/>
        <w:ind w:firstLineChars="200" w:firstLine="480"/>
        <w:rPr>
          <w:rFonts w:ascii="宋体" w:hAnsi="宋体" w:cs="Arial" w:hint="eastAsia"/>
          <w:kern w:val="0"/>
          <w:sz w:val="24"/>
          <w:szCs w:val="24"/>
        </w:rPr>
      </w:pPr>
      <w:r>
        <w:rPr>
          <w:rFonts w:ascii="宋体" w:hAnsi="宋体" w:cs="Arial" w:hint="eastAsia"/>
          <w:kern w:val="0"/>
          <w:sz w:val="24"/>
          <w:szCs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仅主袋账户份额按规定开放赎回，因此启用侧袋机制时持有基金份额的持有人将在启用侧袋机制后同时拥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72E89BB4" w14:textId="77777777" w:rsidR="00913A13" w:rsidRDefault="002F45B8">
      <w:pPr>
        <w:adjustRightInd w:val="0"/>
        <w:snapToGrid w:val="0"/>
        <w:spacing w:line="360" w:lineRule="auto"/>
        <w:ind w:firstLineChars="200" w:firstLine="480"/>
        <w:rPr>
          <w:rFonts w:ascii="宋体" w:hAnsi="宋体" w:cs="Arial" w:hint="eastAsia"/>
          <w:kern w:val="0"/>
          <w:sz w:val="24"/>
          <w:szCs w:val="24"/>
        </w:rPr>
      </w:pPr>
      <w:r>
        <w:rPr>
          <w:rFonts w:ascii="宋体" w:hAnsi="宋体" w:cs="Arial" w:hint="eastAsia"/>
          <w:kern w:val="0"/>
          <w:sz w:val="24"/>
          <w:szCs w:val="24"/>
        </w:rPr>
        <w:t>实施侧袋机制期间，基金管理人计算各项投资运作指标和基金业绩指标时以主袋账户资产为基准，不反映侧袋账户特定资产的真实价值及变化情况。本基金不披露侧袋账户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14:paraId="60AA485E" w14:textId="77777777" w:rsidR="00913A13" w:rsidRDefault="002F45B8">
      <w:pPr>
        <w:adjustRightInd w:val="0"/>
        <w:snapToGrid w:val="0"/>
        <w:spacing w:line="360" w:lineRule="auto"/>
        <w:ind w:firstLineChars="200" w:firstLine="480"/>
        <w:rPr>
          <w:rFonts w:ascii="宋体" w:hAnsi="宋体" w:cs="Arial" w:hint="eastAsia"/>
          <w:kern w:val="0"/>
          <w:sz w:val="24"/>
          <w:szCs w:val="24"/>
        </w:rPr>
      </w:pPr>
      <w:r>
        <w:rPr>
          <w:rFonts w:ascii="宋体" w:hAnsi="宋体" w:cs="Arial" w:hint="eastAsia"/>
          <w:kern w:val="0"/>
          <w:sz w:val="24"/>
          <w:szCs w:val="24"/>
        </w:rPr>
        <w:t>基金管理人将根据主袋账户运作情况合理确定申购政策，因此实施侧袋机制</w:t>
      </w:r>
      <w:r>
        <w:rPr>
          <w:rFonts w:ascii="宋体" w:hAnsi="宋体" w:cs="Arial" w:hint="eastAsia"/>
          <w:kern w:val="0"/>
          <w:sz w:val="24"/>
          <w:szCs w:val="24"/>
        </w:rPr>
        <w:lastRenderedPageBreak/>
        <w:t>后主袋账户份额存在暂停申购的可能。</w:t>
      </w:r>
    </w:p>
    <w:p w14:paraId="7FA72146"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49B4868C"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2D9A761D"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19B1F46E"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5AFAD4C9"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、合规风险</w:t>
      </w:r>
    </w:p>
    <w:p w14:paraId="63C1FF08"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合规风险指基金管理或运作过程中，违反国家法律、法规的规定，或者违反《基金合同》有关规定的风险。</w:t>
      </w:r>
    </w:p>
    <w:p w14:paraId="2461B1D8"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二、投资于本基金的特有风险</w:t>
      </w:r>
    </w:p>
    <w:p w14:paraId="52F08070"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值特性突出的上市公司股票，这种对股票的评估具有一定的主观性，将在个股投资决策中给基金带来一定的不确定性，因而存在个股选择风险。</w:t>
      </w:r>
    </w:p>
    <w:p w14:paraId="6F7C21C6"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、股指期货、国债期货等金融衍生品投资风险</w:t>
      </w:r>
    </w:p>
    <w:p w14:paraId="0828A803"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衍生品需承受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1AC230F7"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26DD3E36"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lastRenderedPageBreak/>
        <w:t>3</w:t>
      </w:r>
      <w:r>
        <w:rPr>
          <w:rFonts w:asciiTheme="minorEastAsia" w:hAnsiTheme="minorEastAsia" w:cs="Arial" w:hint="eastAsia"/>
          <w:bCs/>
          <w:sz w:val="24"/>
          <w:szCs w:val="24"/>
        </w:rPr>
        <w:t>、资产支持证券投资风险</w:t>
      </w:r>
    </w:p>
    <w:p w14:paraId="10A8663A"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w:t>
      </w:r>
      <w:r>
        <w:rPr>
          <w:rFonts w:asciiTheme="minorEastAsia" w:hAnsiTheme="minorEastAsia" w:cs="Arial"/>
          <w:bCs/>
          <w:sz w:val="24"/>
          <w:szCs w:val="24"/>
        </w:rPr>
        <w:t>ABS）或资产支持票据（ABN）是一种债券性质的金融工具，其向投资者支付的本息来自于基础资产</w:t>
      </w:r>
      <w:r>
        <w:rPr>
          <w:rFonts w:asciiTheme="minorEastAsia" w:hAnsiTheme="minorEastAsia" w:cs="Arial" w:hint="eastAsia"/>
          <w:bCs/>
          <w:sz w:val="24"/>
          <w:szCs w:val="24"/>
        </w:rPr>
        <w:t>池产生的现金流或剩余权益。与股票和一般债券不同，资产支持证券不是对某一经营实体的利益要求权，而是对基础资产池所产生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276672EC"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、股票期权投资风险</w:t>
      </w:r>
    </w:p>
    <w:p w14:paraId="205395E3"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本基金可投资于股票期权，投资股票期权主要存在市场风险、流动性风险、保证金风险、信用风险、操作风险等风险，极端情况下会给投资组合带来较大损失。</w:t>
      </w:r>
    </w:p>
    <w:p w14:paraId="41A9EA40"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、存托凭证投资风险</w:t>
      </w:r>
    </w:p>
    <w:p w14:paraId="2E8C695A"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续能力和盈利能力等经营风险，存托凭证持有人与境外基础证券发行人的股东在法律地位、享有权利等方面存在差异可能引发的风险；存托协议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5BB25BD7"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三、其他风险</w:t>
      </w:r>
    </w:p>
    <w:p w14:paraId="647A1F25"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3C09B8B1"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5BFF2781"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lastRenderedPageBreak/>
        <w:t>2</w:t>
      </w:r>
      <w:r>
        <w:rPr>
          <w:rFonts w:asciiTheme="minorEastAsia" w:hAnsiTheme="minorEastAsia" w:cs="Arial" w:hint="eastAsia"/>
          <w:bCs/>
          <w:sz w:val="24"/>
          <w:szCs w:val="24"/>
        </w:rPr>
        <w:t>、法律风险</w:t>
      </w:r>
    </w:p>
    <w:p w14:paraId="669B6B75"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73766169"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1F83E74B" w14:textId="77777777" w:rsidR="00913A13" w:rsidRDefault="002F45B8">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超出基金管理人自身直接控制能力之外的风险，可能导致基金或者基金份额持有人利益受损。</w:t>
      </w:r>
    </w:p>
    <w:p w14:paraId="224CDC53" w14:textId="77777777" w:rsidR="00913A13" w:rsidRDefault="00913A13">
      <w:pPr>
        <w:widowControl/>
        <w:spacing w:line="360" w:lineRule="auto"/>
        <w:jc w:val="left"/>
        <w:rPr>
          <w:rFonts w:asciiTheme="minorEastAsia" w:hAnsiTheme="minorEastAsia" w:cs="Times New Roman" w:hint="eastAsia"/>
          <w:b/>
          <w:bCs/>
          <w:kern w:val="44"/>
          <w:sz w:val="24"/>
          <w:szCs w:val="24"/>
        </w:rPr>
        <w:sectPr w:rsidR="00913A13">
          <w:headerReference w:type="even" r:id="rId49"/>
          <w:headerReference w:type="default" r:id="rId50"/>
          <w:footerReference w:type="default" r:id="rId51"/>
          <w:headerReference w:type="first" r:id="rId52"/>
          <w:pgSz w:w="11906" w:h="16838"/>
          <w:pgMar w:top="1440" w:right="1800" w:bottom="1440" w:left="1800" w:header="851" w:footer="992" w:gutter="0"/>
          <w:pgNumType w:chapStyle="1"/>
          <w:cols w:space="720"/>
          <w:docGrid w:type="lines" w:linePitch="312"/>
        </w:sectPr>
      </w:pPr>
    </w:p>
    <w:p w14:paraId="79AD18D7" w14:textId="77777777" w:rsidR="00913A13" w:rsidRDefault="002F45B8">
      <w:pPr>
        <w:pStyle w:val="1"/>
        <w:ind w:firstLine="600"/>
        <w:jc w:val="center"/>
      </w:pPr>
      <w:bookmarkStart w:id="366" w:name="_Toc68266305"/>
      <w:bookmarkStart w:id="367" w:name="_Toc136963818"/>
      <w:r>
        <w:rPr>
          <w:rFonts w:hint="eastAsia"/>
          <w:sz w:val="30"/>
          <w:szCs w:val="30"/>
        </w:rPr>
        <w:lastRenderedPageBreak/>
        <w:t>第十八部分</w:t>
      </w:r>
      <w:r>
        <w:rPr>
          <w:sz w:val="30"/>
          <w:szCs w:val="30"/>
        </w:rPr>
        <w:t xml:space="preserve">  </w:t>
      </w:r>
      <w:bookmarkEnd w:id="349"/>
      <w:bookmarkEnd w:id="350"/>
      <w:r>
        <w:rPr>
          <w:rFonts w:hint="eastAsia"/>
          <w:sz w:val="30"/>
          <w:szCs w:val="30"/>
        </w:rPr>
        <w:t>基金合同的变更、终止与基金财产的清算</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009EF542" w14:textId="77777777" w:rsidR="00913A13" w:rsidRDefault="002F45B8">
      <w:pPr>
        <w:autoSpaceDE w:val="0"/>
        <w:autoSpaceDN w:val="0"/>
        <w:spacing w:line="360" w:lineRule="auto"/>
        <w:ind w:firstLineChars="200" w:firstLine="480"/>
        <w:textAlignment w:val="bottom"/>
        <w:rPr>
          <w:bCs/>
          <w:sz w:val="24"/>
        </w:rPr>
      </w:pPr>
      <w:bookmarkStart w:id="368" w:name="_Toc79392639"/>
      <w:bookmarkStart w:id="369" w:name="_Toc141703898"/>
      <w:bookmarkStart w:id="370" w:name="_Toc3056"/>
      <w:bookmarkStart w:id="371" w:name="_Toc139991748"/>
      <w:bookmarkStart w:id="372" w:name="_Toc92662709"/>
      <w:bookmarkStart w:id="373" w:name="_Toc352229764"/>
      <w:bookmarkStart w:id="374" w:name="_Toc31866"/>
      <w:bookmarkStart w:id="375" w:name="_Toc21351"/>
      <w:bookmarkStart w:id="376" w:name="_Toc29289"/>
      <w:bookmarkStart w:id="377" w:name="_Toc1173"/>
      <w:bookmarkStart w:id="378" w:name="_Toc93226151"/>
      <w:bookmarkStart w:id="379" w:name="_Toc12028"/>
      <w:bookmarkStart w:id="380" w:name="_Toc193"/>
      <w:bookmarkStart w:id="381" w:name="_Toc1421"/>
      <w:bookmarkStart w:id="382" w:name="_Toc128310501"/>
      <w:bookmarkStart w:id="383" w:name="_Toc11049"/>
      <w:bookmarkStart w:id="384" w:name="_Toc8512"/>
      <w:bookmarkStart w:id="385" w:name="_Toc11802"/>
      <w:r>
        <w:rPr>
          <w:rFonts w:hint="eastAsia"/>
          <w:bCs/>
          <w:sz w:val="24"/>
        </w:rPr>
        <w:t>一、《基金合同》的变更</w:t>
      </w:r>
      <w:bookmarkEnd w:id="368"/>
    </w:p>
    <w:p w14:paraId="6D338FE8"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6E24BA8E" w14:textId="77777777" w:rsidR="00913A13" w:rsidRDefault="002F45B8">
      <w:pPr>
        <w:autoSpaceDE w:val="0"/>
        <w:autoSpaceDN w:val="0"/>
        <w:spacing w:line="360" w:lineRule="auto"/>
        <w:ind w:firstLineChars="200" w:firstLine="480"/>
        <w:textAlignment w:val="bottom"/>
        <w:rPr>
          <w:bCs/>
          <w:sz w:val="24"/>
        </w:rPr>
      </w:pPr>
      <w:r>
        <w:rPr>
          <w:bCs/>
          <w:sz w:val="24"/>
        </w:rPr>
        <w:t xml:space="preserve"> 2</w:t>
      </w:r>
      <w:r>
        <w:rPr>
          <w:rFonts w:hint="eastAsia"/>
          <w:bCs/>
          <w:sz w:val="24"/>
        </w:rPr>
        <w:t>、关于《基金合同》变更的基金份额持有人大会决议自表决通过之日起生效，并自决议生效后依照《信息披露办法》的有关规定在规定媒介公告。</w:t>
      </w:r>
    </w:p>
    <w:p w14:paraId="1215C7F5"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二、《基金合同》的终止事由</w:t>
      </w:r>
    </w:p>
    <w:p w14:paraId="68A4CAE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有下列情形之一的，经履行相关程序后，《基金合同》应当终止：</w:t>
      </w:r>
    </w:p>
    <w:p w14:paraId="15091C5F"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、基金份额持有人大会决定终止的；</w:t>
      </w:r>
    </w:p>
    <w:p w14:paraId="1992262E"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、基金管理人、基金托管人职责终止，在</w:t>
      </w:r>
      <w:r>
        <w:rPr>
          <w:bCs/>
          <w:sz w:val="24"/>
        </w:rPr>
        <w:t>6</w:t>
      </w:r>
      <w:r>
        <w:rPr>
          <w:rFonts w:hint="eastAsia"/>
          <w:bCs/>
          <w:sz w:val="24"/>
        </w:rPr>
        <w:t>个月内没有新基金管理人、新基金托管人承接的；</w:t>
      </w:r>
    </w:p>
    <w:p w14:paraId="16CF78FF"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、《基金合同》约定的其他情形；</w:t>
      </w:r>
    </w:p>
    <w:p w14:paraId="306190A6"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、相关法律法规和中国证监会规定的其他情况。</w:t>
      </w:r>
    </w:p>
    <w:p w14:paraId="29F70B1F"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三、基金财产的清算</w:t>
      </w:r>
    </w:p>
    <w:p w14:paraId="05725D70" w14:textId="77777777" w:rsidR="00913A13" w:rsidRDefault="002F45B8">
      <w:pPr>
        <w:autoSpaceDE w:val="0"/>
        <w:autoSpaceDN w:val="0"/>
        <w:spacing w:line="360" w:lineRule="auto"/>
        <w:ind w:firstLineChars="200" w:firstLine="480"/>
        <w:textAlignment w:val="bottom"/>
        <w:rPr>
          <w:bCs/>
          <w:sz w:val="24"/>
        </w:rPr>
      </w:pPr>
      <w:r>
        <w:rPr>
          <w:bCs/>
          <w:sz w:val="24"/>
        </w:rPr>
        <w:t>1</w:t>
      </w:r>
      <w:r>
        <w:rPr>
          <w:rFonts w:hint="eastAsia"/>
          <w:bCs/>
          <w:sz w:val="24"/>
        </w:rPr>
        <w:t>、基金财产清算小组：自出现《基金合同》终止事由之日起</w:t>
      </w:r>
      <w:r>
        <w:rPr>
          <w:bCs/>
          <w:sz w:val="24"/>
        </w:rPr>
        <w:t>30</w:t>
      </w:r>
      <w:r>
        <w:rPr>
          <w:rFonts w:hint="eastAsia"/>
          <w:bCs/>
          <w:sz w:val="24"/>
        </w:rPr>
        <w:t>个工作日内成立清算小组，基金管理人或临时基金管理人组织基金财产清算小组并在中国证监会的监督下进行基金清算。</w:t>
      </w:r>
    </w:p>
    <w:p w14:paraId="0F773582" w14:textId="77777777" w:rsidR="00913A13" w:rsidRDefault="002F45B8">
      <w:pPr>
        <w:autoSpaceDE w:val="0"/>
        <w:autoSpaceDN w:val="0"/>
        <w:spacing w:line="360" w:lineRule="auto"/>
        <w:ind w:firstLineChars="200" w:firstLine="480"/>
        <w:textAlignment w:val="bottom"/>
        <w:rPr>
          <w:bCs/>
          <w:sz w:val="24"/>
        </w:rPr>
      </w:pPr>
      <w:r>
        <w:rPr>
          <w:bCs/>
          <w:sz w:val="24"/>
        </w:rPr>
        <w:t>2</w:t>
      </w:r>
      <w:r>
        <w:rPr>
          <w:rFonts w:hint="eastAsia"/>
          <w:bCs/>
          <w:sz w:val="24"/>
        </w:rPr>
        <w:t>、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6B4C68F5" w14:textId="77777777" w:rsidR="00913A13" w:rsidRDefault="002F45B8">
      <w:pPr>
        <w:autoSpaceDE w:val="0"/>
        <w:autoSpaceDN w:val="0"/>
        <w:spacing w:line="360" w:lineRule="auto"/>
        <w:ind w:firstLineChars="200" w:firstLine="480"/>
        <w:textAlignment w:val="bottom"/>
        <w:rPr>
          <w:bCs/>
          <w:sz w:val="24"/>
        </w:rPr>
      </w:pPr>
      <w:r>
        <w:rPr>
          <w:bCs/>
          <w:sz w:val="24"/>
        </w:rPr>
        <w:t>3</w:t>
      </w:r>
      <w:r>
        <w:rPr>
          <w:rFonts w:hint="eastAsia"/>
          <w:bCs/>
          <w:sz w:val="24"/>
        </w:rPr>
        <w:t>、基金财产清算小组职责：基金财产清算小组负责基金财产的保管、清理、估价、变现和分配。基金财产清算小组可以依法进行必要的民事活动。</w:t>
      </w:r>
    </w:p>
    <w:p w14:paraId="6D6369B3" w14:textId="77777777" w:rsidR="00913A13" w:rsidRDefault="002F45B8">
      <w:pPr>
        <w:autoSpaceDE w:val="0"/>
        <w:autoSpaceDN w:val="0"/>
        <w:spacing w:line="360" w:lineRule="auto"/>
        <w:ind w:firstLineChars="200" w:firstLine="480"/>
        <w:textAlignment w:val="bottom"/>
        <w:rPr>
          <w:bCs/>
          <w:sz w:val="24"/>
        </w:rPr>
      </w:pPr>
      <w:r>
        <w:rPr>
          <w:bCs/>
          <w:sz w:val="24"/>
        </w:rPr>
        <w:t>4</w:t>
      </w:r>
      <w:r>
        <w:rPr>
          <w:rFonts w:hint="eastAsia"/>
          <w:bCs/>
          <w:sz w:val="24"/>
        </w:rPr>
        <w:t>、基金财产清算程序：</w:t>
      </w:r>
    </w:p>
    <w:p w14:paraId="19DAEB0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1</w:t>
      </w:r>
      <w:r>
        <w:rPr>
          <w:rFonts w:hint="eastAsia"/>
          <w:bCs/>
          <w:sz w:val="24"/>
        </w:rPr>
        <w:t>）《基金合同》终止情形出现时，由基金财产清算小组统一接管基金；</w:t>
      </w:r>
    </w:p>
    <w:p w14:paraId="7E77D7F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2</w:t>
      </w:r>
      <w:r>
        <w:rPr>
          <w:rFonts w:hint="eastAsia"/>
          <w:bCs/>
          <w:sz w:val="24"/>
        </w:rPr>
        <w:t>）对基金财产和债权债务进行清理和确认；</w:t>
      </w:r>
    </w:p>
    <w:p w14:paraId="56A4155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3</w:t>
      </w:r>
      <w:r>
        <w:rPr>
          <w:rFonts w:hint="eastAsia"/>
          <w:bCs/>
          <w:sz w:val="24"/>
        </w:rPr>
        <w:t>）对基金财产进行估值和变现；</w:t>
      </w:r>
    </w:p>
    <w:p w14:paraId="6FD2731B"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4</w:t>
      </w:r>
      <w:r>
        <w:rPr>
          <w:rFonts w:hint="eastAsia"/>
          <w:bCs/>
          <w:sz w:val="24"/>
        </w:rPr>
        <w:t>）制作清算报告；</w:t>
      </w:r>
    </w:p>
    <w:p w14:paraId="7796B2DD" w14:textId="77777777" w:rsidR="00913A13" w:rsidRDefault="002F45B8">
      <w:pPr>
        <w:autoSpaceDE w:val="0"/>
        <w:autoSpaceDN w:val="0"/>
        <w:spacing w:line="360" w:lineRule="auto"/>
        <w:ind w:firstLineChars="200" w:firstLine="480"/>
        <w:textAlignment w:val="bottom"/>
        <w:rPr>
          <w:bCs/>
          <w:sz w:val="24"/>
        </w:rPr>
      </w:pPr>
      <w:r>
        <w:rPr>
          <w:rFonts w:hint="eastAsia"/>
          <w:bCs/>
          <w:sz w:val="24"/>
        </w:rPr>
        <w:lastRenderedPageBreak/>
        <w:t>（</w:t>
      </w:r>
      <w:r>
        <w:rPr>
          <w:bCs/>
          <w:sz w:val="24"/>
        </w:rPr>
        <w:t>5</w:t>
      </w:r>
      <w:r>
        <w:rPr>
          <w:rFonts w:hint="eastAsia"/>
          <w:bCs/>
          <w:sz w:val="24"/>
        </w:rPr>
        <w:t>）聘请符合《中华人民共和国证券法》规定的会计师事务所对清算报告进行外部审计，聘请律师事务所对清算报告出具法律意见书；</w:t>
      </w:r>
    </w:p>
    <w:p w14:paraId="6B58C364"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6</w:t>
      </w:r>
      <w:r>
        <w:rPr>
          <w:rFonts w:hint="eastAsia"/>
          <w:bCs/>
          <w:sz w:val="24"/>
        </w:rPr>
        <w:t>）将清算报告报中国证监会备案并公告；</w:t>
      </w:r>
    </w:p>
    <w:p w14:paraId="474CBDF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w:t>
      </w:r>
      <w:r>
        <w:rPr>
          <w:bCs/>
          <w:sz w:val="24"/>
        </w:rPr>
        <w:t>7</w:t>
      </w:r>
      <w:r>
        <w:rPr>
          <w:rFonts w:hint="eastAsia"/>
          <w:bCs/>
          <w:sz w:val="24"/>
        </w:rPr>
        <w:t>）对基金剩余财产进行分配。</w:t>
      </w:r>
    </w:p>
    <w:p w14:paraId="661FFF66" w14:textId="77777777" w:rsidR="00913A13" w:rsidRDefault="002F45B8">
      <w:pPr>
        <w:spacing w:line="360" w:lineRule="auto"/>
        <w:ind w:firstLineChars="200" w:firstLine="480"/>
        <w:rPr>
          <w:bCs/>
          <w:sz w:val="24"/>
        </w:rPr>
      </w:pPr>
      <w:r>
        <w:rPr>
          <w:bCs/>
          <w:sz w:val="24"/>
        </w:rPr>
        <w:t>5</w:t>
      </w:r>
      <w:r>
        <w:rPr>
          <w:rFonts w:hint="eastAsia"/>
          <w:bCs/>
          <w:sz w:val="24"/>
        </w:rPr>
        <w:t>、基金财产清算的期限为</w:t>
      </w:r>
      <w:r>
        <w:rPr>
          <w:bCs/>
          <w:sz w:val="24"/>
        </w:rPr>
        <w:t>6</w:t>
      </w:r>
      <w:r>
        <w:rPr>
          <w:rFonts w:hint="eastAsia"/>
          <w:bCs/>
          <w:sz w:val="24"/>
        </w:rPr>
        <w:t>个月，但因本基金所持证券的流动性受到限制而不能及时变现的，清算期限可相应顺延。</w:t>
      </w:r>
    </w:p>
    <w:p w14:paraId="7495CA03"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四、清算费用</w:t>
      </w:r>
    </w:p>
    <w:p w14:paraId="3173CCC0" w14:textId="77777777" w:rsidR="00913A13" w:rsidRDefault="002F45B8">
      <w:pPr>
        <w:autoSpaceDE w:val="0"/>
        <w:autoSpaceDN w:val="0"/>
        <w:spacing w:line="360" w:lineRule="auto"/>
        <w:ind w:firstLineChars="200" w:firstLine="480"/>
        <w:textAlignment w:val="bottom"/>
        <w:rPr>
          <w:bCs/>
          <w:sz w:val="24"/>
        </w:rPr>
      </w:pPr>
      <w:r>
        <w:rPr>
          <w:rFonts w:hint="eastAsia"/>
          <w:bCs/>
          <w:sz w:val="24"/>
        </w:rPr>
        <w:t>清算费用是指基金财产清算小组在进行基金清算过程中发生的所有合理费用，清算费用由基金财产清算小组优先从基金财产中支付。</w:t>
      </w:r>
    </w:p>
    <w:p w14:paraId="4282BEBC"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五、基金财产清算剩余资产的分配</w:t>
      </w:r>
    </w:p>
    <w:p w14:paraId="2CDC1C19"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依据基金财产清算的分配方案，将基金财产清算后的全部剩余资产扣除基金财产清算费用、交纳所欠税款并清偿基金债务后，按基金份额持有人持有的基金份额比例进行分配。</w:t>
      </w:r>
    </w:p>
    <w:p w14:paraId="132EB0D8" w14:textId="77777777" w:rsidR="00913A13" w:rsidRDefault="002F45B8">
      <w:pPr>
        <w:autoSpaceDE w:val="0"/>
        <w:autoSpaceDN w:val="0"/>
        <w:spacing w:line="360" w:lineRule="auto"/>
        <w:ind w:firstLineChars="200" w:firstLine="480"/>
        <w:textAlignment w:val="bottom"/>
        <w:rPr>
          <w:bCs/>
          <w:sz w:val="24"/>
        </w:rPr>
      </w:pPr>
      <w:r>
        <w:rPr>
          <w:rFonts w:hint="eastAsia"/>
          <w:bCs/>
          <w:sz w:val="24"/>
        </w:rPr>
        <w:t>六、基金财产清算的公告</w:t>
      </w:r>
    </w:p>
    <w:p w14:paraId="01430612" w14:textId="77777777" w:rsidR="00913A13" w:rsidRDefault="002F45B8">
      <w:pPr>
        <w:spacing w:line="360" w:lineRule="auto"/>
        <w:ind w:firstLineChars="200" w:firstLine="480"/>
        <w:rPr>
          <w:bCs/>
          <w:sz w:val="24"/>
        </w:rPr>
      </w:pPr>
      <w:r>
        <w:rPr>
          <w:rFonts w:hint="eastAsia"/>
          <w:bCs/>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034C8B7A" w14:textId="77777777" w:rsidR="00913A13" w:rsidRDefault="002F45B8">
      <w:pPr>
        <w:autoSpaceDE w:val="0"/>
        <w:autoSpaceDN w:val="0"/>
        <w:spacing w:line="360" w:lineRule="auto"/>
        <w:ind w:firstLineChars="200" w:firstLine="480"/>
        <w:textAlignment w:val="bottom"/>
        <w:rPr>
          <w:bCs/>
          <w:sz w:val="24"/>
        </w:rPr>
      </w:pPr>
      <w:r>
        <w:rPr>
          <w:rFonts w:hint="eastAsia"/>
          <w:bCs/>
          <w:sz w:val="24"/>
        </w:rPr>
        <w:t>七、基金财产清算账册及文件的保存</w:t>
      </w:r>
    </w:p>
    <w:p w14:paraId="2A8F7DDF" w14:textId="77777777" w:rsidR="00913A13" w:rsidRDefault="002F45B8">
      <w:pPr>
        <w:adjustRightInd w:val="0"/>
        <w:snapToGrid w:val="0"/>
        <w:spacing w:line="360" w:lineRule="auto"/>
        <w:ind w:firstLineChars="200" w:firstLine="480"/>
        <w:rPr>
          <w:rFonts w:asciiTheme="minorEastAsia" w:hAnsiTheme="minorEastAsia" w:cs="Times New Roman" w:hint="eastAsia"/>
          <w:sz w:val="24"/>
          <w:szCs w:val="24"/>
        </w:rPr>
      </w:pPr>
      <w:r>
        <w:rPr>
          <w:rFonts w:hint="eastAsia"/>
          <w:bCs/>
          <w:sz w:val="24"/>
        </w:rPr>
        <w:t>基金财产清算账册及有关文件由基金托管人保存，保存期限不低于法律法规规定的最低期限。</w:t>
      </w:r>
      <w:r>
        <w:rPr>
          <w:rFonts w:asciiTheme="minorEastAsia" w:hAnsiTheme="minorEastAsia" w:cs="Times New Roman"/>
          <w:sz w:val="24"/>
          <w:szCs w:val="24"/>
        </w:rPr>
        <w:br w:type="page"/>
      </w:r>
    </w:p>
    <w:p w14:paraId="5DDC9BFA" w14:textId="77777777" w:rsidR="00913A13" w:rsidRDefault="00913A13">
      <w:pPr>
        <w:adjustRightInd w:val="0"/>
        <w:snapToGrid w:val="0"/>
        <w:spacing w:line="360" w:lineRule="auto"/>
        <w:ind w:firstLineChars="200" w:firstLine="480"/>
        <w:rPr>
          <w:rFonts w:asciiTheme="minorEastAsia" w:hAnsiTheme="minorEastAsia" w:cs="Times New Roman" w:hint="eastAsia"/>
          <w:sz w:val="24"/>
          <w:szCs w:val="24"/>
        </w:rPr>
      </w:pPr>
    </w:p>
    <w:p w14:paraId="7358ADB5" w14:textId="77777777" w:rsidR="00913A13" w:rsidRDefault="002F45B8">
      <w:pPr>
        <w:pStyle w:val="1"/>
        <w:jc w:val="center"/>
        <w:rPr>
          <w:sz w:val="30"/>
          <w:szCs w:val="30"/>
        </w:rPr>
      </w:pPr>
      <w:bookmarkStart w:id="386" w:name="_Toc416264553"/>
      <w:bookmarkStart w:id="387" w:name="_Toc136963819"/>
      <w:bookmarkStart w:id="388" w:name="_Toc263092326"/>
      <w:bookmarkStart w:id="389" w:name="_Toc214873607"/>
      <w:bookmarkStart w:id="390" w:name="_Toc27464"/>
      <w:bookmarkStart w:id="391" w:name="_Toc9005"/>
      <w:bookmarkStart w:id="392" w:name="_Toc352229765"/>
      <w:bookmarkStart w:id="393" w:name="_Toc8059"/>
      <w:bookmarkStart w:id="394" w:name="_Toc10006"/>
      <w:bookmarkStart w:id="395" w:name="_Toc25647"/>
      <w:bookmarkStart w:id="396" w:name="_Toc22978"/>
      <w:bookmarkStart w:id="397" w:name="_Toc98560364"/>
      <w:bookmarkStart w:id="398" w:name="_Toc6237"/>
      <w:bookmarkStart w:id="399" w:name="_Toc123102466"/>
      <w:bookmarkStart w:id="400" w:name="_Toc123051465"/>
      <w:bookmarkStart w:id="401" w:name="_Toc11113"/>
      <w:bookmarkStart w:id="402" w:name="_Toc7170"/>
      <w:bookmarkStart w:id="403" w:name="_Toc139991749"/>
      <w:bookmarkStart w:id="404" w:name="_Toc141703899"/>
      <w:bookmarkStart w:id="405" w:name="_Toc8049"/>
      <w:bookmarkStart w:id="406" w:name="_Toc29891"/>
      <w:bookmarkStart w:id="407" w:name="_Toc123112247"/>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Fonts w:hint="eastAsia"/>
          <w:sz w:val="30"/>
          <w:szCs w:val="30"/>
        </w:rPr>
        <w:t>第十九部分</w:t>
      </w:r>
      <w:r>
        <w:rPr>
          <w:sz w:val="30"/>
          <w:szCs w:val="30"/>
        </w:rPr>
        <w:t xml:space="preserve">  </w:t>
      </w:r>
      <w:r>
        <w:rPr>
          <w:rFonts w:hint="eastAsia"/>
          <w:sz w:val="30"/>
          <w:szCs w:val="30"/>
        </w:rPr>
        <w:t>基金合同的内容摘要</w:t>
      </w:r>
      <w:bookmarkEnd w:id="386"/>
      <w:bookmarkEnd w:id="387"/>
      <w:bookmarkEnd w:id="388"/>
      <w:bookmarkEnd w:id="389"/>
    </w:p>
    <w:p w14:paraId="2C0CDFD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一、基金份额持有人、基金管理人和基金托管人的权利、义务</w:t>
      </w:r>
    </w:p>
    <w:p w14:paraId="04F4AC0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bCs/>
          <w:sz w:val="24"/>
          <w:szCs w:val="24"/>
        </w:rPr>
        <w:tab/>
      </w:r>
      <w:r>
        <w:rPr>
          <w:rFonts w:asciiTheme="minorEastAsia" w:hAnsiTheme="minorEastAsia" w:cs="Times New Roman" w:hint="eastAsia"/>
          <w:bCs/>
          <w:sz w:val="24"/>
          <w:szCs w:val="24"/>
        </w:rPr>
        <w:t>基金管理人的权利与义务</w:t>
      </w:r>
    </w:p>
    <w:p w14:paraId="397754D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1、根据《基金法》、《运作办法》及其他有关规定，基金管理人的权利包括但不限于：</w:t>
      </w:r>
    </w:p>
    <w:p w14:paraId="31FF8C7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1）依法募集资金；</w:t>
      </w:r>
    </w:p>
    <w:p w14:paraId="33BC4D1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2）自《基金合同》生效之日起，根据法律法规和《基金合同》独立运用并管理基金财产；</w:t>
      </w:r>
    </w:p>
    <w:p w14:paraId="59E6CE2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3）依照《基金合同》收取基金管理费以及法律法规规定或中国证监会批准的其他费用；</w:t>
      </w:r>
    </w:p>
    <w:p w14:paraId="067FF46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4）销售基金份额；</w:t>
      </w:r>
    </w:p>
    <w:p w14:paraId="75D0EB4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5）按照规定召集基金份额持有人大会；</w:t>
      </w:r>
    </w:p>
    <w:p w14:paraId="6ADE583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6EEBC90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7）在基金托管人更换时，提名新的基金托管人；</w:t>
      </w:r>
    </w:p>
    <w:p w14:paraId="668C7D5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8）选择、更换基金销售机构，对基金销售机构的相关行为进行监督和处理； </w:t>
      </w:r>
    </w:p>
    <w:p w14:paraId="36B1646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9）担任或委托其他符合条件的机构担任基金登记机构办理基金登记业务并获得《基金合同》规定的费用； </w:t>
      </w:r>
    </w:p>
    <w:p w14:paraId="4E6659B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10）依据《基金合同》及有关法律规定决定基金收益的分配方案；</w:t>
      </w:r>
      <w:r>
        <w:rPr>
          <w:rFonts w:asciiTheme="minorEastAsia" w:hAnsiTheme="minorEastAsia" w:cs="Times New Roman"/>
          <w:bCs/>
          <w:sz w:val="24"/>
          <w:szCs w:val="24"/>
        </w:rPr>
        <w:tab/>
      </w:r>
    </w:p>
    <w:p w14:paraId="478C196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 xml:space="preserve">11）在《基金合同》约定的范围内，拒绝或暂停受理申购、赎回或转换申请； </w:t>
      </w:r>
    </w:p>
    <w:p w14:paraId="64B70AB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12）依照法律法规为基金的利益对被投资公司行使股东权利，为基金的利益行使因基金财产投资于证券所产生的权利；</w:t>
      </w:r>
      <w:r>
        <w:rPr>
          <w:rFonts w:asciiTheme="minorEastAsia" w:hAnsiTheme="minorEastAsia" w:cs="Times New Roman"/>
          <w:bCs/>
          <w:sz w:val="24"/>
          <w:szCs w:val="24"/>
        </w:rPr>
        <w:tab/>
      </w:r>
    </w:p>
    <w:p w14:paraId="5D22CBD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13）在法律法规允许的前提下，为基金的利益依法为基金进行融资；</w:t>
      </w:r>
    </w:p>
    <w:p w14:paraId="1AF3149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14）以基金管理人的名义，代表基金份额持有人的利益行使诉讼权利或者实施其他法律行为；</w:t>
      </w:r>
      <w:r>
        <w:rPr>
          <w:rFonts w:asciiTheme="minorEastAsia" w:hAnsiTheme="minorEastAsia" w:cs="Times New Roman"/>
          <w:bCs/>
          <w:sz w:val="24"/>
          <w:szCs w:val="24"/>
        </w:rPr>
        <w:tab/>
      </w:r>
    </w:p>
    <w:p w14:paraId="7A6A50C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15）选择、更换律师事务所、会计师事务所、证券/期货经纪商或其他为基金提供服务的外部机构；</w:t>
      </w:r>
      <w:r>
        <w:rPr>
          <w:rFonts w:asciiTheme="minorEastAsia" w:hAnsiTheme="minorEastAsia" w:cs="Times New Roman"/>
          <w:bCs/>
          <w:sz w:val="24"/>
          <w:szCs w:val="24"/>
        </w:rPr>
        <w:tab/>
      </w:r>
    </w:p>
    <w:p w14:paraId="5BAAC82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16）在符合有关法律、法规的前提下，制订和调整有关基金认购、申购、赎回、转换、</w:t>
      </w:r>
      <w:r>
        <w:rPr>
          <w:rFonts w:asciiTheme="minorEastAsia" w:hAnsiTheme="minorEastAsia" w:cs="Times New Roman" w:hint="eastAsia"/>
          <w:bCs/>
          <w:sz w:val="24"/>
          <w:szCs w:val="24"/>
        </w:rPr>
        <w:t>非交易过户、转托管和收益分配等的业务规则；</w:t>
      </w:r>
    </w:p>
    <w:p w14:paraId="41CD476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17）法律法规及中国证监会规定的和《基金合同》约定的其他权利。</w:t>
      </w:r>
    </w:p>
    <w:p w14:paraId="7B39F07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2、根据《基金法》、《运作办法》及其他有关规定，基金管理人的义务包括但不限于：</w:t>
      </w:r>
    </w:p>
    <w:p w14:paraId="78CB1D8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1）依法募集资金，办理或者委托经中国证监会认定的其他机构代为办理基金份额的发售、申购、赎回和登记事宜；</w:t>
      </w:r>
    </w:p>
    <w:p w14:paraId="2339DB6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2）办理基金备案手续；</w:t>
      </w:r>
    </w:p>
    <w:p w14:paraId="7DA3D4C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3）自《基金合同》生效之日起,以诚实信用、谨慎勤勉的原则管理和运用基金财产；</w:t>
      </w:r>
    </w:p>
    <w:p w14:paraId="112639D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4）配备足够的具有专业资格的人员进行基金投资分析、决策，以专业化的经营方式管理和运作基金财产；</w:t>
      </w:r>
    </w:p>
    <w:p w14:paraId="0285063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5）建立健全内部风险控制、监察与稽核、财务管理及人事管理等制度，保证所管理的基金财产和基金管理人的财产相互</w:t>
      </w:r>
      <w:r>
        <w:rPr>
          <w:rFonts w:asciiTheme="minorEastAsia" w:hAnsiTheme="minorEastAsia" w:cs="Times New Roman" w:hint="eastAsia"/>
          <w:bCs/>
          <w:sz w:val="24"/>
          <w:szCs w:val="24"/>
        </w:rPr>
        <w:t>独立</w:t>
      </w:r>
      <w:r>
        <w:rPr>
          <w:rFonts w:asciiTheme="minorEastAsia" w:hAnsiTheme="minorEastAsia" w:cs="Times New Roman"/>
          <w:bCs/>
          <w:sz w:val="24"/>
          <w:szCs w:val="24"/>
        </w:rPr>
        <w:t>,</w:t>
      </w:r>
      <w:r>
        <w:rPr>
          <w:rFonts w:asciiTheme="minorEastAsia" w:hAnsiTheme="minorEastAsia" w:cs="Times New Roman" w:hint="eastAsia"/>
          <w:bCs/>
          <w:sz w:val="24"/>
          <w:szCs w:val="24"/>
        </w:rPr>
        <w:t>对所管理的不同基金分别管理，分别记账，进行证券投资；</w:t>
      </w:r>
    </w:p>
    <w:p w14:paraId="444CD03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6）除依据《基金法》、《基金合同》及其他有关规定外,不得利用基金财产为自己及任何第三人谋取利益，不得委托第三人运作基金财产；</w:t>
      </w:r>
    </w:p>
    <w:p w14:paraId="51DC8C1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7）依法接受基金托管人的监督；</w:t>
      </w:r>
    </w:p>
    <w:p w14:paraId="14F77BD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8）采取适当合理的措施使计算基金份额认购、申购、赎回和注销价格的方法符合《基金合同》等法律文件的规定，按有关规定计算并公告基金净值信息，确定基金份额申购、赎回的价格；</w:t>
      </w:r>
    </w:p>
    <w:p w14:paraId="7555C78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9）进行基金会计核算并编制基金财务会计报告；</w:t>
      </w:r>
    </w:p>
    <w:p w14:paraId="76D3A41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10）编制季度报告、中期报告和年度报告；</w:t>
      </w:r>
    </w:p>
    <w:p w14:paraId="304BB6F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11）严格按照《基金法》、《基金合同》及其他有关规定，履行信息披露及报告义务；</w:t>
      </w:r>
    </w:p>
    <w:p w14:paraId="63B5FD4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12）保守基金商业秘密，不泄露基金投资计划、投资意向等。除《基金法》、《基金合同》及其他有关规定另有规定外，在基金信息公开披露前应予保密，不</w:t>
      </w:r>
      <w:r>
        <w:rPr>
          <w:rFonts w:asciiTheme="minorEastAsia" w:hAnsiTheme="minorEastAsia" w:cs="Times New Roman" w:hint="eastAsia"/>
          <w:bCs/>
          <w:sz w:val="24"/>
          <w:szCs w:val="24"/>
        </w:rPr>
        <w:lastRenderedPageBreak/>
        <w:t>向他人泄露，但依法向监管机构、司法机关及审计、法律等外部专业顾问提供的除外；</w:t>
      </w:r>
    </w:p>
    <w:p w14:paraId="57C1D8A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13）按《基金合同》的约定确定基金收益分配方案，及时向基金份额持有人分配基金收益；</w:t>
      </w:r>
    </w:p>
    <w:p w14:paraId="42A0FB9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14）按规定受理申购与赎回申请，及时、足额支付赎回款项；</w:t>
      </w:r>
    </w:p>
    <w:p w14:paraId="34E0E54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15）依据《基金法》、《基金合同》及其他有关规定召集基金份额持有人大会或配合基金托管人、基金份额持有人依法召集基金份额持有人大会；</w:t>
      </w:r>
    </w:p>
    <w:p w14:paraId="32C81C8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16）按规定保存基金财产管理业务活动的会计账册、报表、记录和其他相关资料</w:t>
      </w:r>
      <w:r>
        <w:rPr>
          <w:rFonts w:asciiTheme="minorEastAsia" w:hAnsiTheme="minorEastAsia" w:cs="Times New Roman" w:hint="eastAsia"/>
          <w:bCs/>
          <w:sz w:val="24"/>
          <w:szCs w:val="24"/>
        </w:rPr>
        <w:t>，保存期限不低于法律法规规定的最低期限；</w:t>
      </w:r>
    </w:p>
    <w:p w14:paraId="41FB0AB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56D6AD4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18）组织并参加基金财产清算小组,参与基金财产的保管、清理、估价、变现和分配；</w:t>
      </w:r>
    </w:p>
    <w:p w14:paraId="04C2496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19）面临解散、依法被撤销或者被依法宣告破产时，及时报告中国证监会并通知基金托管人；</w:t>
      </w:r>
    </w:p>
    <w:p w14:paraId="2C858D6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20）因违反《基金合同》导致基金财产的损失或损害基金份额持有人合法权益时，应当承担赔偿责任，其赔偿责任不因其退任而免除；</w:t>
      </w:r>
    </w:p>
    <w:p w14:paraId="1A8EF56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21）监督基金托管人按法律法规和《基金合同》规定履行自己的义务，基金托管人违反《基金合同》造成基金财产损失时，基金管理人应为基金份额持有人利益向基金托管人追偿；</w:t>
      </w:r>
    </w:p>
    <w:p w14:paraId="796A08D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22）当基金管理人将其义务委托第三方处理时，应当对第三方处理有关基金事务的行为承担责任；</w:t>
      </w:r>
    </w:p>
    <w:p w14:paraId="73E34EA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23）以基金管理人名义，代表基金份额持有人利益行使诉讼权利或实施其他法律行为；</w:t>
      </w:r>
      <w:r>
        <w:rPr>
          <w:rFonts w:asciiTheme="minorEastAsia" w:hAnsiTheme="minorEastAsia" w:cs="Times New Roman"/>
          <w:bCs/>
          <w:sz w:val="24"/>
          <w:szCs w:val="24"/>
        </w:rPr>
        <w:tab/>
      </w:r>
    </w:p>
    <w:p w14:paraId="724CDEB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24）基金管理人在募集期间未能达到基金的备案条件，《基金合同》不能生效，基金管理人承担全部募集费用，将已募集资金并加计银行同期存款利息在基金募集期结束后30日内退还基金认购人；</w:t>
      </w:r>
    </w:p>
    <w:p w14:paraId="0A08028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25）执行生效的基金份额持有人大会的决议；</w:t>
      </w:r>
    </w:p>
    <w:p w14:paraId="70566B0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26）建立并保存基金份额持有人名册；</w:t>
      </w:r>
    </w:p>
    <w:p w14:paraId="3E54F84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27）法律法规及中国证监会规定的和《基金合同》约定的其他义务。</w:t>
      </w:r>
    </w:p>
    <w:p w14:paraId="5CC4DA9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w:t>
      </w:r>
      <w:r>
        <w:rPr>
          <w:rFonts w:asciiTheme="minorEastAsia" w:hAnsiTheme="minorEastAsia" w:cs="Times New Roman"/>
          <w:bCs/>
          <w:sz w:val="24"/>
          <w:szCs w:val="24"/>
        </w:rPr>
        <w:tab/>
      </w:r>
      <w:r>
        <w:rPr>
          <w:rFonts w:asciiTheme="minorEastAsia" w:hAnsiTheme="minorEastAsia" w:cs="Times New Roman" w:hint="eastAsia"/>
          <w:bCs/>
          <w:sz w:val="24"/>
          <w:szCs w:val="24"/>
        </w:rPr>
        <w:t>基金托管人的权利与义务</w:t>
      </w:r>
    </w:p>
    <w:p w14:paraId="07037C5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1、根据《基金法》、《运作办法》及其他有关规定，基金托管人的权利包括但不限于：</w:t>
      </w:r>
    </w:p>
    <w:p w14:paraId="2BC533F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1）自《基金合同》生效之日起，依法</w:t>
      </w:r>
      <w:r>
        <w:rPr>
          <w:rFonts w:asciiTheme="minorEastAsia" w:hAnsiTheme="minorEastAsia" w:cs="Times New Roman" w:hint="eastAsia"/>
          <w:bCs/>
          <w:sz w:val="24"/>
          <w:szCs w:val="24"/>
        </w:rPr>
        <w:t>律法规和《基金合同》的规定安全保管基金财产；</w:t>
      </w:r>
    </w:p>
    <w:p w14:paraId="4767BDA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2）依《基金合同》约定获得基金托管费以及法律法规规定或监管部门批准的其他费用；</w:t>
      </w:r>
    </w:p>
    <w:p w14:paraId="71E3CCF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B3A1D8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4）根据相关市场规则，为基金开设</w:t>
      </w:r>
      <w:r>
        <w:rPr>
          <w:rFonts w:asciiTheme="minorEastAsia" w:hAnsiTheme="minorEastAsia" w:cs="Times New Roman" w:hint="eastAsia"/>
          <w:bCs/>
          <w:sz w:val="24"/>
          <w:szCs w:val="24"/>
        </w:rPr>
        <w:t>托管账户、证券账户及其他投资所需账户，为基金办理证券、期货交易资金清算；</w:t>
      </w:r>
    </w:p>
    <w:p w14:paraId="0F8AC3B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5）提议召开或召集基金份额持有人大会；</w:t>
      </w:r>
    </w:p>
    <w:p w14:paraId="5982315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6）在基金管理人更换时，提名新的基金管理人；</w:t>
      </w:r>
    </w:p>
    <w:p w14:paraId="72ACDBB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7）法律法规及中国证监会规定的和《基金合同》约定的其他权利。</w:t>
      </w:r>
    </w:p>
    <w:p w14:paraId="6C75928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2、根据《基金法》、《运作办法》及其他有关规定，基金托管人的义务包括但不限于：</w:t>
      </w:r>
    </w:p>
    <w:p w14:paraId="75844FB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1）以诚实信用、勤勉尽责的原则持有并安全保管基金财产；</w:t>
      </w:r>
    </w:p>
    <w:p w14:paraId="6FF207C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2）设立专门的基金托管部门，具有符合要求的营业场所，配备足够的、合格的熟悉基金托管业务的专职人员，负责基金财产托管事宜；</w:t>
      </w:r>
    </w:p>
    <w:p w14:paraId="3320317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51728B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4）除依据《基金法》、《基金合同》、《托管协议》及其他有关规定外，不得利用基金财产为自己及任何第三人谋取利益，不得委托第三人托管基金财产；</w:t>
      </w:r>
    </w:p>
    <w:p w14:paraId="1481663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5）保管由基金管理人代表基金签订的与基金有关的重大合同及有关凭证；</w:t>
      </w:r>
    </w:p>
    <w:p w14:paraId="433C453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6）按规定开设基金财产的</w:t>
      </w:r>
      <w:r>
        <w:rPr>
          <w:rFonts w:asciiTheme="minorEastAsia" w:hAnsiTheme="minorEastAsia" w:cs="Times New Roman" w:hint="eastAsia"/>
          <w:bCs/>
          <w:sz w:val="24"/>
          <w:szCs w:val="24"/>
        </w:rPr>
        <w:t>托管账户和证券账户等投资所需账户，按照《基金合同》、《托管协议》的约定，根据基金管理人的投资指令，及时办理清算、交割事宜；</w:t>
      </w:r>
    </w:p>
    <w:p w14:paraId="7A394AD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保守基金商业秘密，除《基金法》、《基金合同》、《托管协议》及其他有关规定另有规定外，在基金信息公开披露前予以保密，不得向他人泄露，但依法向监管机构、司法机关及审计、法律等外部专业顾问提供的除外；</w:t>
      </w:r>
    </w:p>
    <w:p w14:paraId="02F9FD5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8）复核、审查基金管理人计算的基金资产净值、基金份额净值、基金份额申购、赎回价格；</w:t>
      </w:r>
    </w:p>
    <w:p w14:paraId="4B78D29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9）办理与基金托管业务活动有关的信息披露事项；</w:t>
      </w:r>
    </w:p>
    <w:p w14:paraId="7533B87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对基金财务会计报告、季度报告、中期报告和年度报告出具意见，说明基金管理人在各重要方面的运作是否严格按照《基金合同》、《托管协议》的规定进行；如果基金管理人有未执行《基金合同》、《托管协议》规定的行为，还应当说明基金托管人是否采取了适当的措施；</w:t>
      </w:r>
    </w:p>
    <w:p w14:paraId="5C393E6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11）保存基金托管业务活动的记录、账册、报表和其他相关资料</w:t>
      </w:r>
      <w:r>
        <w:rPr>
          <w:rFonts w:asciiTheme="minorEastAsia" w:hAnsiTheme="minorEastAsia" w:cs="Times New Roman" w:hint="eastAsia"/>
          <w:bCs/>
          <w:sz w:val="24"/>
          <w:szCs w:val="24"/>
        </w:rPr>
        <w:t>不低于法律法规规定的最低期限；</w:t>
      </w:r>
    </w:p>
    <w:p w14:paraId="1B1C72E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12）从基金管理人或其委托的登记机构处接收并保存基金份额持有人名册；</w:t>
      </w:r>
    </w:p>
    <w:p w14:paraId="2D70CE3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13）按规定制作相关账册并与基金管理人核对；</w:t>
      </w:r>
    </w:p>
    <w:p w14:paraId="5BA362E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14）依据基金管理人的指令或有关规定向基金份额持有人支付基金收益和赎回款项；</w:t>
      </w:r>
    </w:p>
    <w:p w14:paraId="261612B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15）依据《基金法》、《基金合同》及其他有关规定，召集基金份额持有人大会或配合基金管理人、基金份额持有人依法召集基金份额持有人大会；</w:t>
      </w:r>
    </w:p>
    <w:p w14:paraId="37D96F7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16）按照法律法规和《基金合同》及《托管协议》的规定监督基金管理人的投资运作；</w:t>
      </w:r>
    </w:p>
    <w:p w14:paraId="2B9618C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17）参加基金财产清算小组，参与基金财产的保管、清理、估价、变现和分配；</w:t>
      </w:r>
    </w:p>
    <w:p w14:paraId="3841370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18）面临解散、依法被撤销或者被依法宣告破产时，及时报告中国证监会，并通知基金管理人；</w:t>
      </w:r>
    </w:p>
    <w:p w14:paraId="38E8CBE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19）因违反《基金合同》及《托管协议》导致基金财产损失时，应承担赔偿责任，其赔偿责任不因其退任而免除；</w:t>
      </w:r>
    </w:p>
    <w:p w14:paraId="55E2436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20）按规定监督基金管理人按法律法规和《基金合同》规定履行自己的义务，基金管理人因违反《基金合同》造成基金财产损失时，应为基金份额持有人利益向基金管理人追偿；</w:t>
      </w:r>
    </w:p>
    <w:p w14:paraId="6440263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21）执行生效的基金份额持有人大会的决议；</w:t>
      </w:r>
    </w:p>
    <w:p w14:paraId="0C06485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22）法律法规及中国证监会规定的和《基金合同》约定的其他义务。</w:t>
      </w:r>
    </w:p>
    <w:p w14:paraId="68114AC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（三）基金份额持有人的权利与义务</w:t>
      </w:r>
    </w:p>
    <w:p w14:paraId="7A6F929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25573E7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除法律法规另有规定或基金合同另有约定外，同一类别每份基金份额具有同等的合法权益。</w:t>
      </w:r>
    </w:p>
    <w:p w14:paraId="1F050BA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1、根据《基金法》、《运作办法》及其他有关规定，基金份额持有人的权利包括但不限于：</w:t>
      </w:r>
    </w:p>
    <w:p w14:paraId="1F9D52D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1）分享基金财产收益；</w:t>
      </w:r>
    </w:p>
    <w:p w14:paraId="717F28D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2）参与分配清算后的剩余基金财产；</w:t>
      </w:r>
    </w:p>
    <w:p w14:paraId="364F99A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3）依照法律及基金合同的约定转让或者申请赎回其持有的基金份额；</w:t>
      </w:r>
    </w:p>
    <w:p w14:paraId="26C7513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4）按照规定要求召开基金份额持有人大会或者召集基金份额持有人大会；</w:t>
      </w:r>
    </w:p>
    <w:p w14:paraId="4782D2B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5）出席或者委派代表出席基金份额持有人大会，对基金份额持有人大会审议事项行使表决权；</w:t>
      </w:r>
    </w:p>
    <w:p w14:paraId="00DA915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6）查阅或者复制公开披露的基金信息资料；</w:t>
      </w:r>
    </w:p>
    <w:p w14:paraId="5C07A9A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7）监督基金管理人的投资运作；</w:t>
      </w:r>
    </w:p>
    <w:p w14:paraId="2D0431B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8）对基金管理人、基金托管人、基金服务机构损害其合法权益的行为依法提起诉讼或仲裁；</w:t>
      </w:r>
    </w:p>
    <w:p w14:paraId="14F48B8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9）法律法规及中国证监会规定的和《基金合同》约定的其他权利。</w:t>
      </w:r>
    </w:p>
    <w:p w14:paraId="0498B30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2、根据《基金法》、《运作办法》及其他有关规定，基金份额持有人的义务包括但不限于：</w:t>
      </w:r>
    </w:p>
    <w:p w14:paraId="7118BAE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1）认真阅读并遵守《基金合同》、招募说明书等信息披露文件；</w:t>
      </w:r>
    </w:p>
    <w:p w14:paraId="5CC6317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2）了解所投资基金产品，了解自身风险承受能力，自主判断基金的投资价值，自主做出投资决策，自行承担投资风险；</w:t>
      </w:r>
    </w:p>
    <w:p w14:paraId="3A637E8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3）关注基金信息披露，及时行使权利和履行义务；</w:t>
      </w:r>
    </w:p>
    <w:p w14:paraId="15F945D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4）交纳基金认购、申购款项及法律法规和《基金合同》所规定的费用；</w:t>
      </w:r>
    </w:p>
    <w:p w14:paraId="16F9830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5）在其持有的基金份额范围内，承担基金亏损或者《基金合同》终止的有限责任；</w:t>
      </w:r>
    </w:p>
    <w:p w14:paraId="7D2389C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6）不从事任何有损基金及其他《基金合同》当事人合法权益的活动；</w:t>
      </w:r>
    </w:p>
    <w:p w14:paraId="5769EEB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7）执行生效的基金份额持有人大会的决议；</w:t>
      </w:r>
    </w:p>
    <w:p w14:paraId="15F79E5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8）返还在基金交易过程中因任何原因获得的不当得利；</w:t>
      </w:r>
    </w:p>
    <w:p w14:paraId="57829B3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（9）遵守基金管理人、基金托管人、销售机构和登记机构的相关交易及业务规则；</w:t>
      </w:r>
    </w:p>
    <w:p w14:paraId="48887EF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10）提供基金管理人和监管机构依法要求提供的信息，以及不时的更新和补充，并保证其真实性；</w:t>
      </w:r>
    </w:p>
    <w:p w14:paraId="377CA81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w:t>
      </w:r>
      <w:r>
        <w:rPr>
          <w:rFonts w:asciiTheme="minorEastAsia" w:hAnsiTheme="minorEastAsia" w:cs="Times New Roman" w:hint="eastAsia"/>
          <w:bCs/>
          <w:sz w:val="24"/>
          <w:szCs w:val="24"/>
        </w:rPr>
        <w:t>）法律法规及中国证监会规定的和《基金合同》约定的其他义务。</w:t>
      </w:r>
    </w:p>
    <w:p w14:paraId="4449880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二、基金份额持有人大会召集、议事及表决的程序和规则</w:t>
      </w:r>
    </w:p>
    <w:p w14:paraId="53F4FA5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7834CE7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本基金基金份额持有人大会不设立日常机构。</w:t>
      </w:r>
    </w:p>
    <w:p w14:paraId="1CE1BCE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1B1854D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w:t>
      </w:r>
      <w:r>
        <w:rPr>
          <w:rFonts w:asciiTheme="minorEastAsia" w:hAnsiTheme="minorEastAsia" w:cs="Times New Roman" w:hint="eastAsia"/>
          <w:bCs/>
          <w:sz w:val="24"/>
          <w:szCs w:val="24"/>
        </w:rPr>
        <w:t>除法律法规、中国证监会另有规定或基金合同另有约定的以外，当出现或需要决定下列事由之一的，应当召开基金份额持有人大会：</w:t>
      </w:r>
    </w:p>
    <w:p w14:paraId="0F7C7A8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1）终止基金合同；</w:t>
      </w:r>
    </w:p>
    <w:p w14:paraId="35764C0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2）更换基金管理人；</w:t>
      </w:r>
    </w:p>
    <w:p w14:paraId="164EF24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3）更换基金托管人；</w:t>
      </w:r>
    </w:p>
    <w:p w14:paraId="6DB213F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4）转换基金运作方式；</w:t>
      </w:r>
    </w:p>
    <w:p w14:paraId="63B4DA1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5）调整基金管理人、基金托管人的报酬标准</w:t>
      </w:r>
      <w:r>
        <w:rPr>
          <w:rFonts w:asciiTheme="minorEastAsia" w:hAnsiTheme="minorEastAsia" w:cs="Times New Roman" w:hint="eastAsia"/>
          <w:bCs/>
          <w:sz w:val="24"/>
          <w:szCs w:val="24"/>
        </w:rPr>
        <w:t>或提高销售服务费率；</w:t>
      </w:r>
    </w:p>
    <w:p w14:paraId="2C1EE1B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6）变更基金类别；</w:t>
      </w:r>
    </w:p>
    <w:p w14:paraId="37C723D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7）本基金与其他基金的合并；</w:t>
      </w:r>
    </w:p>
    <w:p w14:paraId="6DB7E06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8）变更基金投资目标、范围或策略；</w:t>
      </w:r>
    </w:p>
    <w:p w14:paraId="42299B3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9）变更基金份额持有人大会程序；</w:t>
      </w:r>
    </w:p>
    <w:p w14:paraId="5133D90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10）基金管理人或基金托管人要求召开基金份额持有人大会；</w:t>
      </w:r>
    </w:p>
    <w:p w14:paraId="4D1ACCA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11）单独或合计持有本基金总份额10%以上（含10%）基金份额的基金份额持有人（以基金管理人收到提议当日的基金份额计算，下同）就同一事项书面要求召开基金份额持有人大会；</w:t>
      </w:r>
    </w:p>
    <w:p w14:paraId="1829B8A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12）对基金合同当事人权利和义务产生重大影响的其他事项；</w:t>
      </w:r>
    </w:p>
    <w:p w14:paraId="139C8E1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13）法律法规、《基金合同》或中国证监会规定的其他应当召开基金份额持有人大会的事项。</w:t>
      </w:r>
    </w:p>
    <w:p w14:paraId="7803080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2、在法律法规规定和《基金合同》约定的范围内且对基金份额持有人利益无实质性不利影响的前提下，以下情况可由基金管理人和基金托管人协商后修改，不需召开基金份额持有人大会：</w:t>
      </w:r>
    </w:p>
    <w:p w14:paraId="2756E26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1）法律法规要求增加的基金费用的收取；</w:t>
      </w:r>
    </w:p>
    <w:p w14:paraId="4B398EA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2）在法律法规和《基金合同》规定的范围内调整本基金的申购费率、调低赎回费率</w:t>
      </w:r>
      <w:r>
        <w:rPr>
          <w:rFonts w:asciiTheme="minorEastAsia" w:hAnsiTheme="minorEastAsia" w:cs="Times New Roman" w:hint="eastAsia"/>
          <w:bCs/>
          <w:sz w:val="24"/>
          <w:szCs w:val="24"/>
        </w:rPr>
        <w:t>、调低销售服务费率或变更收费方式；</w:t>
      </w:r>
    </w:p>
    <w:p w14:paraId="7A2327D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w:t>
      </w:r>
      <w:r>
        <w:rPr>
          <w:rFonts w:asciiTheme="minorEastAsia" w:hAnsiTheme="minorEastAsia" w:cs="Times New Roman" w:hint="eastAsia"/>
          <w:bCs/>
          <w:sz w:val="24"/>
          <w:szCs w:val="24"/>
        </w:rPr>
        <w:t>因相应的法律法规发生变动而应当对《基金合同》进行修改；</w:t>
      </w:r>
    </w:p>
    <w:p w14:paraId="31BD18C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4）对《基金合同》的修改对基金份额持有人利益无实质性不利影响或修改不涉及《基金合同》当事人权利义务关系发生重大变化；</w:t>
      </w:r>
    </w:p>
    <w:p w14:paraId="3E6CA63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5）增加新的基金份额类别或者停止现有基金份额类别的销售等，或对基金份额分类办法及规则进行调整；</w:t>
      </w:r>
    </w:p>
    <w:p w14:paraId="69318BF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6）基金管理人、销售机构、登记机构调整有关基金认购、申购、赎回、转换、</w:t>
      </w:r>
      <w:r>
        <w:rPr>
          <w:rFonts w:asciiTheme="minorEastAsia" w:hAnsiTheme="minorEastAsia" w:cs="Times New Roman" w:hint="eastAsia"/>
          <w:bCs/>
          <w:sz w:val="24"/>
          <w:szCs w:val="24"/>
        </w:rPr>
        <w:t>非交易过户、转托管等业务的规则；</w:t>
      </w:r>
    </w:p>
    <w:p w14:paraId="2CD3192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w:t>
      </w:r>
      <w:r>
        <w:rPr>
          <w:rFonts w:asciiTheme="minorEastAsia" w:hAnsiTheme="minorEastAsia" w:cs="Times New Roman" w:hint="eastAsia"/>
          <w:bCs/>
          <w:sz w:val="24"/>
          <w:szCs w:val="24"/>
        </w:rPr>
        <w:t>在法律法规允许的情况下，且在对现有基金份额持有人利益无实质性不利影响的前提下，推出新业务或服务；</w:t>
      </w:r>
    </w:p>
    <w:p w14:paraId="3978131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8）按照法律法规和《基金合同》规定不需召开基金份额持有人大会的其他情形。</w:t>
      </w:r>
    </w:p>
    <w:p w14:paraId="4E81BFE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62AC23F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1、除法律法规规定或《基金合同》另有约定外，基金份额持有人大会由基金管理人召集；</w:t>
      </w:r>
    </w:p>
    <w:p w14:paraId="00EC77C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2、基金管理人未按规定召集或不能召集时，由基金托管人召集；</w:t>
      </w:r>
    </w:p>
    <w:p w14:paraId="0ABCA86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0294277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 xml:space="preserve">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 </w:t>
      </w:r>
      <w:r>
        <w:rPr>
          <w:rFonts w:asciiTheme="minorEastAsia" w:hAnsiTheme="minorEastAsia" w:cs="Times New Roman" w:hint="eastAsia"/>
          <w:bCs/>
          <w:sz w:val="24"/>
          <w:szCs w:val="24"/>
        </w:rPr>
        <w:t>的基金份额持有人仍认为有必要召开的，应当向基金托管人提出书面提议。基金托管人应当自收到书面提议之日起</w:t>
      </w:r>
      <w:r>
        <w:rPr>
          <w:rFonts w:asciiTheme="minorEastAsia" w:hAnsiTheme="minorEastAsia" w:cs="Times New Roman"/>
          <w:bCs/>
          <w:sz w:val="24"/>
          <w:szCs w:val="24"/>
        </w:rPr>
        <w:t>10日内决定是否召集，并书面告知提出提议的基金份额持有人代表和基金管理人；基金托管人决定召集的，应当自出具书面决定之日起60日内召开并告知基金管理人，基金管理人应当配合；</w:t>
      </w:r>
    </w:p>
    <w:p w14:paraId="08BBF01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2CF6865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6、基金份额持有人会议的召集人负责选择确定开会时间、地点、方式和权益登记日。</w:t>
      </w:r>
    </w:p>
    <w:p w14:paraId="088CF14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221222A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1、召开基金份额持有人大会，召集人应于会议召开前30日，</w:t>
      </w:r>
      <w:r>
        <w:rPr>
          <w:rFonts w:asciiTheme="minorEastAsia" w:hAnsiTheme="minorEastAsia" w:cs="Times New Roman" w:hint="eastAsia"/>
          <w:bCs/>
          <w:sz w:val="24"/>
          <w:szCs w:val="24"/>
        </w:rPr>
        <w:t>依据有关规定进行公告。基金份额持有人大会通知应至少载明以下内容：</w:t>
      </w:r>
    </w:p>
    <w:p w14:paraId="2CC7B73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1）会议召开的时间、地点和会议形式；</w:t>
      </w:r>
    </w:p>
    <w:p w14:paraId="04CD417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2）会议</w:t>
      </w:r>
      <w:r>
        <w:rPr>
          <w:rFonts w:asciiTheme="minorEastAsia" w:hAnsiTheme="minorEastAsia" w:cs="Times New Roman" w:hint="eastAsia"/>
          <w:bCs/>
          <w:sz w:val="24"/>
          <w:szCs w:val="24"/>
        </w:rPr>
        <w:t>拟审议的事项、议事程序和表决方式；</w:t>
      </w:r>
    </w:p>
    <w:p w14:paraId="5155C68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3）有权出席基金份额持有人大会的基金份额持有人的权益登记日；</w:t>
      </w:r>
    </w:p>
    <w:p w14:paraId="62AD0CE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4）授权委托证明的内容要求（包括但不限于代理人身份，代理权限和代理有效期限等）、送达时间和地点；</w:t>
      </w:r>
    </w:p>
    <w:p w14:paraId="23D4725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5）会务常设联系人姓名及联系电话；</w:t>
      </w:r>
    </w:p>
    <w:p w14:paraId="2833B34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6）出席会议者必须准备的文件和必须履行的手续；</w:t>
      </w:r>
    </w:p>
    <w:p w14:paraId="6271505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7）召集人需要通知的其他事项。</w:t>
      </w:r>
    </w:p>
    <w:p w14:paraId="3023A6C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2C2926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r>
        <w:rPr>
          <w:rFonts w:asciiTheme="minorEastAsia" w:hAnsiTheme="minorEastAsia" w:cs="Times New Roman" w:hint="eastAsia"/>
          <w:bCs/>
          <w:sz w:val="24"/>
          <w:szCs w:val="24"/>
        </w:rPr>
        <w:t>拒不派代表对表决意见的计票进行监督的，不影响表决意见的计票效力。</w:t>
      </w:r>
    </w:p>
    <w:p w14:paraId="5D76B53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2E138D6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3F244A4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E42B04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F70905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2）经核对，汇总到会者出示的在权益登记日持有基金份额的凭证显示，有效的基金份额不少于本基金在权益登记日基金总份额的二分之一（含二分之一）。</w:t>
      </w:r>
    </w:p>
    <w:p w14:paraId="6C5F4F9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若到会者在权益登记日代表的有效的基金份额少于本基金在权益登记日基金总份额的二分之一，召集人可以在原公告的基金份额持有人大会召开时间的</w:t>
      </w:r>
      <w:r>
        <w:rPr>
          <w:rFonts w:asciiTheme="minorEastAsia" w:hAnsiTheme="minorEastAsia" w:cs="Times New Roman"/>
          <w:bCs/>
          <w:sz w:val="24"/>
          <w:szCs w:val="24"/>
        </w:rPr>
        <w:t>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1F7C83A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2、通讯开会。通讯开会系指基金份额持有人将其对表决事项的投票以书面形式或</w:t>
      </w:r>
      <w:r>
        <w:rPr>
          <w:rFonts w:asciiTheme="minorEastAsia" w:hAnsiTheme="minorEastAsia" w:cs="Times New Roman" w:hint="eastAsia"/>
          <w:bCs/>
          <w:sz w:val="24"/>
          <w:szCs w:val="24"/>
        </w:rPr>
        <w:t>会议通知载明的其他方式在表决截止日以前送达至召集人指定的地址或系统。通讯开会应以书面方式或会议通知载明的其他方式进行表决。</w:t>
      </w:r>
    </w:p>
    <w:p w14:paraId="06D49CE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在同时符合以下条件时，通讯开会的方式视为有效：</w:t>
      </w:r>
    </w:p>
    <w:p w14:paraId="25950D7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1）会议召集人按《基金合同》约定公布会议通知后，在2个工作日内连续公布相关提示性公告；</w:t>
      </w:r>
    </w:p>
    <w:p w14:paraId="623227C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92CFB2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3）本人直接出具</w:t>
      </w:r>
      <w:r>
        <w:rPr>
          <w:rFonts w:asciiTheme="minorEastAsia" w:hAnsiTheme="minorEastAsia" w:cs="Times New Roman" w:hint="eastAsia"/>
          <w:bCs/>
          <w:sz w:val="24"/>
          <w:szCs w:val="24"/>
        </w:rPr>
        <w:t>表决意见或授权他人代表出具表决意见的，基金份额持有人所持有的基金份额不小于在权益登记日基金总份额的二分之一（含二分之一）；</w:t>
      </w:r>
    </w:p>
    <w:p w14:paraId="0DACA6D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若本人直接出具表决意见或授权他人代表出具表决意见的基金份额持有人所持有的基金份额小于在权益登记日基金总份额的二分之一，召集人可以在原公告的基金份额持有人大会召开时间的</w:t>
      </w:r>
      <w:r>
        <w:rPr>
          <w:rFonts w:asciiTheme="minorEastAsia" w:hAnsiTheme="minorEastAsia" w:cs="Times New Roman"/>
          <w:bCs/>
          <w:sz w:val="24"/>
          <w:szCs w:val="24"/>
        </w:rPr>
        <w:t>3个月以后、6个月以内，就原定审议事项重新召集基金份额持有人大会。重新召集的基金份额持有人大会应当有代表三分之一以上（含三分之一）基金份额的持有人直接出具</w:t>
      </w:r>
      <w:r>
        <w:rPr>
          <w:rFonts w:asciiTheme="minorEastAsia" w:hAnsiTheme="minorEastAsia" w:cs="Times New Roman" w:hint="eastAsia"/>
          <w:bCs/>
          <w:sz w:val="24"/>
          <w:szCs w:val="24"/>
        </w:rPr>
        <w:t>表决意见或授权他人代表出具表决意见；</w:t>
      </w:r>
    </w:p>
    <w:p w14:paraId="338885F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4）上述第（3）项中直接出具</w:t>
      </w:r>
      <w:r>
        <w:rPr>
          <w:rFonts w:asciiTheme="minorEastAsia" w:hAnsiTheme="minorEastAsia" w:cs="Times New Roman" w:hint="eastAsia"/>
          <w:bCs/>
          <w:sz w:val="24"/>
          <w:szCs w:val="24"/>
        </w:rPr>
        <w:t>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1788B0C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lastRenderedPageBreak/>
        <w:t>3、在法律法规和监管机关允许的情况下，本基金的基金份额持有人亦可采用其他非书面方式授权其代理人出席基金份额持有人大会</w:t>
      </w:r>
      <w:r>
        <w:rPr>
          <w:rFonts w:asciiTheme="minorEastAsia" w:hAnsiTheme="minorEastAsia" w:cs="Times New Roman" w:hint="eastAsia"/>
          <w:bCs/>
          <w:sz w:val="24"/>
          <w:szCs w:val="24"/>
        </w:rPr>
        <w:t>并行使表决权，具体方式由会议召集人确定并在会议通知中列明。</w:t>
      </w:r>
    </w:p>
    <w:p w14:paraId="71F347F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4、在会议召开方式上，本基金亦可采用其他非现场方式或者以现场方式与非现场方式相结合的方式召开基金份额持有人大会，会议程序比照现场开会和通讯方式开会的程序进行</w:t>
      </w:r>
      <w:r>
        <w:rPr>
          <w:rFonts w:asciiTheme="minorEastAsia" w:hAnsiTheme="minorEastAsia" w:cs="Times New Roman" w:hint="eastAsia"/>
          <w:bCs/>
          <w:sz w:val="24"/>
          <w:szCs w:val="24"/>
        </w:rPr>
        <w:t>，具体方式由会议召集人确定并在会议通知中列明。</w:t>
      </w:r>
    </w:p>
    <w:p w14:paraId="1D1BCD7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（五）议事内容与程序</w:t>
      </w:r>
    </w:p>
    <w:p w14:paraId="4EA6B4E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1、议事内容及提案权</w:t>
      </w:r>
    </w:p>
    <w:p w14:paraId="6C78191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666EF7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45FD113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基金份额持有人大会不得对未事先公告的议事内容进行表决。</w:t>
      </w:r>
    </w:p>
    <w:p w14:paraId="188AC0F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2、议事程序</w:t>
      </w:r>
    </w:p>
    <w:p w14:paraId="1E1A07A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1）现场开会</w:t>
      </w:r>
    </w:p>
    <w:p w14:paraId="67A5049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40ADC3B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6538FE9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2）通讯开会</w:t>
      </w:r>
    </w:p>
    <w:p w14:paraId="568AF36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在通讯开会的情况下，首先由召集人提前</w:t>
      </w:r>
      <w:r>
        <w:rPr>
          <w:rFonts w:asciiTheme="minorEastAsia" w:hAnsiTheme="minorEastAsia" w:cs="Times New Roman"/>
          <w:bCs/>
          <w:sz w:val="24"/>
          <w:szCs w:val="24"/>
        </w:rPr>
        <w:t>30日公布提案，在所通知的表决截止日期后2个工作日内在公证机关监督下由召集人统计全部有效表决，在公证机关监督下形成决议。</w:t>
      </w:r>
    </w:p>
    <w:p w14:paraId="2BA820B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（六）表决</w:t>
      </w:r>
    </w:p>
    <w:p w14:paraId="6BFAE63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基金份额持有人所持每份基金份额有一票表决权。</w:t>
      </w:r>
    </w:p>
    <w:p w14:paraId="135EA38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基金份额持有人大会决议分为一般决议和特别决议：</w:t>
      </w:r>
    </w:p>
    <w:p w14:paraId="30B31EF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62B7F62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2、特别决议，特别决议应当经参加大会的基金份额持有人或其代理人所持表决权的三分之二以上（含三分之二）通过方可做出。</w:t>
      </w:r>
      <w:r>
        <w:rPr>
          <w:rFonts w:asciiTheme="minorEastAsia" w:hAnsiTheme="minorEastAsia" w:cs="Times New Roman" w:hint="eastAsia"/>
          <w:bCs/>
          <w:sz w:val="24"/>
          <w:szCs w:val="24"/>
        </w:rPr>
        <w:t>除法律法规、中国证监会另有规定或基金合同另有约定的以外，转换基金运作方式、更换基金管理人或者基金托管人、终止《基金合同》、本基金与其他基金合并以特别决议通过方为有效。</w:t>
      </w:r>
    </w:p>
    <w:p w14:paraId="466AD26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基金份额持有人大会采取记名方式进行投票表决。</w:t>
      </w:r>
    </w:p>
    <w:p w14:paraId="0B1718B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01B965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基金份额持有人大会的各项提案或同一项提案内并列的各项议题应当分开审议、逐项表决。</w:t>
      </w:r>
    </w:p>
    <w:p w14:paraId="0D6294F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19F9A50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1、现场开会</w:t>
      </w:r>
    </w:p>
    <w:p w14:paraId="193C69C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r>
        <w:rPr>
          <w:rFonts w:asciiTheme="minorEastAsia" w:hAnsiTheme="minorEastAsia" w:cs="Times New Roman" w:hint="eastAsia"/>
          <w:bCs/>
          <w:sz w:val="24"/>
          <w:szCs w:val="24"/>
        </w:rPr>
        <w:t>或大会虽然由基金管理人或基金托管人召集，但是基金管理人或基金托管人未出席大会的，基金份额持有人大会的主持人应当在会议开始</w:t>
      </w:r>
      <w:r>
        <w:rPr>
          <w:rFonts w:asciiTheme="minorEastAsia" w:hAnsiTheme="minorEastAsia" w:cs="Times New Roman" w:hint="eastAsia"/>
          <w:bCs/>
          <w:sz w:val="24"/>
          <w:szCs w:val="24"/>
        </w:rPr>
        <w:lastRenderedPageBreak/>
        <w:t>后宣布在出席会议的基金份额持有人中选举三名基金份额持有人代表担任监票人。基金管理人或基金托管人不出席大会的，不影响计票的效力。</w:t>
      </w:r>
    </w:p>
    <w:p w14:paraId="3DB2397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2）监票人应当在基金份额持有人表决后立即进行清点并由大会主持人当场公布计票结果。</w:t>
      </w:r>
    </w:p>
    <w:p w14:paraId="7953DCC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3）如果会议主持人或基金份额持有人或代理人对于提交的表决结果有</w:t>
      </w:r>
      <w:r>
        <w:rPr>
          <w:rFonts w:asciiTheme="minorEastAsia" w:hAnsiTheme="minorEastAsia" w:cs="Times New Roman" w:hint="eastAsia"/>
          <w:bCs/>
          <w:sz w:val="24"/>
          <w:szCs w:val="24"/>
        </w:rPr>
        <w:t>异议，可以在宣布表决结果后立即对所投票数要求进行重新清点。监票人应当进行重新清点，重新清点以一次为限。重新清点后，大会主持人应当当场公布重新清点结果。</w:t>
      </w:r>
    </w:p>
    <w:p w14:paraId="2149A7D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4）计票过程应由公证机关予以公证,基金管理人或基金托管人拒不出席大会的，不影响计票的效力。</w:t>
      </w:r>
    </w:p>
    <w:p w14:paraId="21B9C6F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2、通讯开会</w:t>
      </w:r>
    </w:p>
    <w:p w14:paraId="6F11D67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1A5DF8BD"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（八）生效与公告</w:t>
      </w:r>
    </w:p>
    <w:p w14:paraId="221C2C3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基金份额持有人大会的决议，召集人应当自通过之日起</w:t>
      </w:r>
      <w:r>
        <w:rPr>
          <w:rFonts w:asciiTheme="minorEastAsia" w:hAnsiTheme="minorEastAsia" w:cs="Times New Roman"/>
          <w:bCs/>
          <w:sz w:val="24"/>
          <w:szCs w:val="24"/>
        </w:rPr>
        <w:t>5日内报中国证监会备案。</w:t>
      </w:r>
    </w:p>
    <w:p w14:paraId="2DD95E1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基金份额持有人大会的决议自表决通过之日起生效。</w:t>
      </w:r>
    </w:p>
    <w:p w14:paraId="06FAD0C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自生效之日起依照《信息披露办法》的有关规定在规定媒介上公告。如果采用通讯方式进行表决，在公告基金份额持有人大会决议时，必须将公证书全文、公证机构、公证员姓名等一同公告。</w:t>
      </w:r>
    </w:p>
    <w:p w14:paraId="5F29106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456727A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（九）实施侧袋机制期间基金份额持有人大会的特殊约定</w:t>
      </w:r>
    </w:p>
    <w:p w14:paraId="2168B1D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若本基金实施侧袋机制，则相关基金份额或表决权的比例指主袋份额持有人和侧袋份额持有人分别持有或代表的基金份额或表决权符合该等比例，但若相关</w:t>
      </w:r>
      <w:r>
        <w:rPr>
          <w:rFonts w:asciiTheme="minorEastAsia" w:hAnsiTheme="minorEastAsia" w:cs="Times New Roman" w:hint="eastAsia"/>
          <w:bCs/>
          <w:sz w:val="24"/>
          <w:szCs w:val="24"/>
        </w:rPr>
        <w:lastRenderedPageBreak/>
        <w:t>基金份额持有人大会召集和审议事项不涉及侧袋账户的，则仅指主袋份额持有人持有或代表的基金份额或表决权符合该等比例：</w:t>
      </w:r>
    </w:p>
    <w:p w14:paraId="487A86B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1、基金份额持有人行使提议权、召集权、提名权所需单独或合计代表相关基金份额10%以上（含10%）；</w:t>
      </w:r>
    </w:p>
    <w:p w14:paraId="1F8E70D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2、现场开会的到会者在权益登记日代表的基金份额不少于本基金在权益登记</w:t>
      </w:r>
      <w:r>
        <w:rPr>
          <w:rFonts w:asciiTheme="minorEastAsia" w:hAnsiTheme="minorEastAsia" w:cs="Times New Roman" w:hint="eastAsia"/>
          <w:bCs/>
          <w:sz w:val="24"/>
          <w:szCs w:val="24"/>
        </w:rPr>
        <w:t>日相关基金份额的二分之一（含二分之一）；</w:t>
      </w:r>
    </w:p>
    <w:p w14:paraId="368B026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3、通讯开会的直接出具表决意见或授权他人代表出具表决意见的基金份额持有人所持有的基金份额不小于在权益登记</w:t>
      </w:r>
      <w:r>
        <w:rPr>
          <w:rFonts w:asciiTheme="minorEastAsia" w:hAnsiTheme="minorEastAsia" w:cs="Times New Roman" w:hint="eastAsia"/>
          <w:bCs/>
          <w:sz w:val="24"/>
          <w:szCs w:val="24"/>
        </w:rPr>
        <w:t>日相关基金份额的二分之一（含二分之一）；</w:t>
      </w:r>
    </w:p>
    <w:p w14:paraId="0DE8FD25"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w:t>
      </w:r>
      <w:r>
        <w:rPr>
          <w:rFonts w:asciiTheme="minorEastAsia" w:hAnsiTheme="minorEastAsia" w:cs="Times New Roman" w:hint="eastAsia"/>
          <w:bCs/>
          <w:sz w:val="24"/>
          <w:szCs w:val="24"/>
        </w:rPr>
        <w:t>若参与基金份额持有人大会投票的基金份额持有人所持有的基金份额小于在权益登记日相关基金份额的二分之一，召集人在原公告的基金份额持有人大会召开时间的</w:t>
      </w:r>
      <w:r>
        <w:rPr>
          <w:rFonts w:asciiTheme="minorEastAsia" w:hAnsiTheme="minorEastAsia" w:cs="Times New Roman"/>
          <w:bCs/>
          <w:sz w:val="24"/>
          <w:szCs w:val="24"/>
        </w:rPr>
        <w:t>3个月以后、6个月以内就原定审议事项重新召集的基金份额持有人大会应当有代表三分之一以上（含三分之一）相关基金份额的持有人参与或授权他人参与基金份额持有人大会投票；</w:t>
      </w:r>
    </w:p>
    <w:p w14:paraId="3E443D5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5、现场开会由出席大会的基金份额持有人和代理人所持表决权的二分之一以上（含二分之一）选举产生一名基金份额持有人作为该次基金份额持有人大会的主持人；</w:t>
      </w:r>
    </w:p>
    <w:p w14:paraId="5AF24F0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6、一般决议须经参加大会的基金份额持有人或其代理人所持表决权的二分之一以上（含二分之一）通过；</w:t>
      </w:r>
    </w:p>
    <w:p w14:paraId="1CCFB01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7、特别决议应当经参加大会的基金份额持有人或其代理人所持表决权的三分之二以上（含三分之二）通过。</w:t>
      </w:r>
    </w:p>
    <w:p w14:paraId="66A4352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44990E1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侧袋机制实施期间，关于基金份额持有人大会的相关规定以本节特殊约定内容为准，本节没有规定的适用本部分的相关规定。</w:t>
      </w:r>
    </w:p>
    <w:p w14:paraId="3EBE3CCE"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（十）本部分关于基金份额持有人大会召开事由、召开条件、议事程序、表决条件等规定，凡是直接引用法律法规或监管规则的部分，如将来法律法规或监</w:t>
      </w:r>
      <w:r>
        <w:rPr>
          <w:rFonts w:asciiTheme="minorEastAsia" w:hAnsiTheme="minorEastAsia" w:cs="Times New Roman" w:hint="eastAsia"/>
          <w:bCs/>
          <w:sz w:val="24"/>
          <w:szCs w:val="24"/>
        </w:rPr>
        <w:lastRenderedPageBreak/>
        <w:t>管规则修改导致相关内容被取消或变更的，基金管理人提前公告后，可直接对本部分内容进行修改和调整，无需召开基金份额持有人大会审议。</w:t>
      </w:r>
    </w:p>
    <w:p w14:paraId="232F8A5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三、基金合同解除和终止的事由、程序以及基金财产清算方式</w:t>
      </w:r>
    </w:p>
    <w:p w14:paraId="71DC28B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（一）《基金合同》的变更</w:t>
      </w:r>
    </w:p>
    <w:p w14:paraId="2611E16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1、变更基金合同涉及法律法规规定或本基金合同约定应经基金份额持有人大会决议通过的事项的，应召</w:t>
      </w:r>
      <w:r>
        <w:rPr>
          <w:rFonts w:asciiTheme="minorEastAsia" w:hAnsiTheme="minorEastAsia" w:cs="Times New Roman" w:hint="eastAsia"/>
          <w:bCs/>
          <w:sz w:val="24"/>
          <w:szCs w:val="24"/>
        </w:rPr>
        <w:t>开基金份额持有人大会决议通过。对于法律法规规定和基金合同约定可不经基金份额持有人大会决议通过的事项，由基金管理人和基金托管人同意后变更并公告，并报中国证监会备案。</w:t>
      </w:r>
    </w:p>
    <w:p w14:paraId="1700CA7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2、关于《基金合同》变更的基金份额持有人大会决议自表决通过之日起生效，并</w:t>
      </w:r>
      <w:r>
        <w:rPr>
          <w:rFonts w:asciiTheme="minorEastAsia" w:hAnsiTheme="minorEastAsia" w:cs="Times New Roman" w:hint="eastAsia"/>
          <w:bCs/>
          <w:sz w:val="24"/>
          <w:szCs w:val="24"/>
        </w:rPr>
        <w:t>自决议生效后依照《信息披露办法》的有关规定在规定媒介公告。</w:t>
      </w:r>
    </w:p>
    <w:p w14:paraId="14640ADA"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（二）《基金合同》的终止事由</w:t>
      </w:r>
    </w:p>
    <w:p w14:paraId="5D011BF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有下列情形之一的，经履行相关程序后，《基金合同》应当终止：</w:t>
      </w:r>
    </w:p>
    <w:p w14:paraId="0E99E91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1、基金份额持有人大会决定终止的；</w:t>
      </w:r>
    </w:p>
    <w:p w14:paraId="418FA01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2、基金管理人、基金托管人职责终止，在6个月内没有新基金管理人、新基金托管人承接的；</w:t>
      </w:r>
    </w:p>
    <w:p w14:paraId="3DFEA8C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3、《基金合同》约定的其他情形；</w:t>
      </w:r>
    </w:p>
    <w:p w14:paraId="6D9D496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4、相关法律法规和中国证监会规定的其他情况。</w:t>
      </w:r>
    </w:p>
    <w:p w14:paraId="4617062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（三）基金财产的清算</w:t>
      </w:r>
    </w:p>
    <w:p w14:paraId="7C55116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1、基金财产清算小组：自出现《基金合同》终止事由之日起30个工作日内成立清算小组，基金管理人</w:t>
      </w:r>
      <w:r>
        <w:rPr>
          <w:rFonts w:asciiTheme="minorEastAsia" w:hAnsiTheme="minorEastAsia" w:cs="Times New Roman" w:hint="eastAsia"/>
          <w:bCs/>
          <w:sz w:val="24"/>
          <w:szCs w:val="24"/>
        </w:rPr>
        <w:t>或临时基金管理人组织基金财产清算小组并在中国证监会的监督下进行基金清算。</w:t>
      </w:r>
    </w:p>
    <w:p w14:paraId="6689EF44"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2、基金财产清算小组组成：基金财产清算小组成员由基金管理人</w:t>
      </w:r>
      <w:r>
        <w:rPr>
          <w:rFonts w:asciiTheme="minorEastAsia" w:hAnsiTheme="minorEastAsia" w:cs="Times New Roman" w:hint="eastAsia"/>
          <w:bCs/>
          <w:sz w:val="24"/>
          <w:szCs w:val="24"/>
        </w:rPr>
        <w:t>或临时基金管理人、基金托管人、符合《中华人民共和国证券法》规定的注册会计师、律师以及中国证监会指定的人员组成。基金财产清算小组可以聘用必要的工作人员。</w:t>
      </w:r>
    </w:p>
    <w:p w14:paraId="54ACE2F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3、基金财产清算小组职责：基金财产清算小组负责基金财产的保管、清理、估价、变现和分配。基金财产清算小组可以依法进行必要的民事活动。</w:t>
      </w:r>
    </w:p>
    <w:p w14:paraId="078AE5DC"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4、基金财产清算程序：</w:t>
      </w:r>
    </w:p>
    <w:p w14:paraId="76A0E62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1）《基金合同》终止情形出现时，由基金财产清算小组统一接管基金；</w:t>
      </w:r>
    </w:p>
    <w:p w14:paraId="15A9B5E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2）对基金财产和债权债务进行清理和确认；</w:t>
      </w:r>
    </w:p>
    <w:p w14:paraId="2AB4ACB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w:t>
      </w:r>
      <w:r>
        <w:rPr>
          <w:rFonts w:asciiTheme="minorEastAsia" w:hAnsiTheme="minorEastAsia" w:cs="Times New Roman"/>
          <w:bCs/>
          <w:sz w:val="24"/>
          <w:szCs w:val="24"/>
        </w:rPr>
        <w:t>3）对基金财产进行估值和变现；</w:t>
      </w:r>
    </w:p>
    <w:p w14:paraId="7053F3F3"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4）制作清算报告；</w:t>
      </w:r>
    </w:p>
    <w:p w14:paraId="5FC2A5F0"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5）聘请会计师事务所对清算报告进行外部审计，聘请律师事务所对清算报告出具法律意见书；</w:t>
      </w:r>
    </w:p>
    <w:p w14:paraId="4964E159"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6）将清算报告报中国证监会备案并公告；</w:t>
      </w:r>
    </w:p>
    <w:p w14:paraId="3E25E228"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w:t>
      </w:r>
      <w:r>
        <w:rPr>
          <w:rFonts w:asciiTheme="minorEastAsia" w:hAnsiTheme="minorEastAsia" w:cs="Times New Roman"/>
          <w:bCs/>
          <w:sz w:val="24"/>
          <w:szCs w:val="24"/>
        </w:rPr>
        <w:t>7）对基金剩余财产进行分配。</w:t>
      </w:r>
    </w:p>
    <w:p w14:paraId="4E61F5AB"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bCs/>
          <w:sz w:val="24"/>
          <w:szCs w:val="24"/>
        </w:rPr>
        <w:t>5、基金财产清算的期限为6个月，但因本基金所持证券的流动性受到限制而不能及时变现的，清算期限</w:t>
      </w:r>
      <w:r>
        <w:rPr>
          <w:rFonts w:asciiTheme="minorEastAsia" w:hAnsiTheme="minorEastAsia" w:cs="Times New Roman" w:hint="eastAsia"/>
          <w:bCs/>
          <w:sz w:val="24"/>
          <w:szCs w:val="24"/>
        </w:rPr>
        <w:t>可相应顺延。</w:t>
      </w:r>
    </w:p>
    <w:p w14:paraId="1F1A727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（四）清算费用</w:t>
      </w:r>
    </w:p>
    <w:p w14:paraId="54A72FA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清算费用是指基金财产清算小组在进行基金清算过程中发生的所有合理费用，清算费用由基金财产清算小组优先从基金财产中支付。</w:t>
      </w:r>
    </w:p>
    <w:p w14:paraId="2CDBF86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（五）基金财产清算剩余资产的分配</w:t>
      </w:r>
    </w:p>
    <w:p w14:paraId="0DD46B7F"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依据基金财产清算的分配方案，将基金财产清算后的全部剩余资产扣除基金财产清算费用、交纳所欠税款并清偿基金债务后，按基金份额持有人持有的基金份额比例进行分配。</w:t>
      </w:r>
    </w:p>
    <w:p w14:paraId="292C9AD7"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（六）基金财产清算的公告</w:t>
      </w:r>
    </w:p>
    <w:p w14:paraId="2F3CEA52"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Theme="minorEastAsia" w:hAnsiTheme="minorEastAsia" w:cs="Times New Roman"/>
          <w:bCs/>
          <w:sz w:val="24"/>
          <w:szCs w:val="24"/>
        </w:rPr>
        <w:t>5个工作日内由基金财产清算小组进行公告，基金财产清算小组应当将清算报告登载在</w:t>
      </w:r>
      <w:r>
        <w:rPr>
          <w:rFonts w:asciiTheme="minorEastAsia" w:hAnsiTheme="minorEastAsia" w:cs="Times New Roman" w:hint="eastAsia"/>
          <w:bCs/>
          <w:sz w:val="24"/>
          <w:szCs w:val="24"/>
        </w:rPr>
        <w:t>规定网站上，并将清算报告提示性公告登载在规定报刊上。</w:t>
      </w:r>
    </w:p>
    <w:p w14:paraId="4EF618D1"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（七）基金财产清算账册及文件的保存</w:t>
      </w:r>
    </w:p>
    <w:p w14:paraId="5222D946" w14:textId="77777777" w:rsidR="00913A13" w:rsidRDefault="002F45B8">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基金财产清算账册及有关文件由基金托管人保存，保存期限不低于法律法规规定的最低期限。</w:t>
      </w:r>
    </w:p>
    <w:p w14:paraId="1DF639FC" w14:textId="77777777" w:rsidR="00913A13" w:rsidRDefault="002F45B8">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0A1B2D13" w14:textId="77777777" w:rsidR="00913A13" w:rsidRDefault="002F45B8">
      <w:pPr>
        <w:pStyle w:val="1"/>
        <w:jc w:val="center"/>
        <w:rPr>
          <w:sz w:val="30"/>
          <w:szCs w:val="30"/>
        </w:rPr>
      </w:pPr>
      <w:bookmarkStart w:id="408" w:name="_Toc416264554"/>
      <w:bookmarkStart w:id="409" w:name="_Toc214873614"/>
      <w:bookmarkStart w:id="410" w:name="_Toc263092327"/>
      <w:bookmarkStart w:id="411" w:name="_Toc68266307"/>
      <w:bookmarkStart w:id="412" w:name="_Toc136963820"/>
      <w:bookmarkStart w:id="413" w:name="_Toc28549"/>
      <w:bookmarkStart w:id="414" w:name="_Toc9708"/>
      <w:bookmarkStart w:id="415" w:name="_Toc48649720"/>
      <w:bookmarkStart w:id="416" w:name="_Toc139991750"/>
      <w:bookmarkStart w:id="417" w:name="_Toc13398"/>
      <w:bookmarkStart w:id="418" w:name="_Toc79392641"/>
      <w:bookmarkStart w:id="419" w:name="_Toc123051466"/>
      <w:bookmarkStart w:id="420" w:name="_Toc7367"/>
      <w:bookmarkStart w:id="421" w:name="_Toc123102467"/>
      <w:bookmarkStart w:id="422" w:name="_Toc12191"/>
      <w:bookmarkStart w:id="423" w:name="_Toc23022"/>
      <w:bookmarkStart w:id="424" w:name="_Toc98560365"/>
      <w:bookmarkStart w:id="425" w:name="_Toc8710"/>
      <w:bookmarkStart w:id="426" w:name="_Toc352229766"/>
      <w:bookmarkStart w:id="427" w:name="_Toc141703901"/>
      <w:bookmarkStart w:id="428" w:name="_Toc30645"/>
      <w:bookmarkStart w:id="429" w:name="_Toc21240"/>
      <w:bookmarkStart w:id="430" w:name="_Toc23166"/>
      <w:bookmarkStart w:id="431" w:name="_Toc123112248"/>
      <w:bookmarkStart w:id="432" w:name="_Toc27058"/>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Fonts w:hint="eastAsia"/>
          <w:sz w:val="30"/>
          <w:szCs w:val="30"/>
        </w:rPr>
        <w:lastRenderedPageBreak/>
        <w:t>第二十部分</w:t>
      </w:r>
      <w:r>
        <w:rPr>
          <w:sz w:val="30"/>
          <w:szCs w:val="30"/>
        </w:rPr>
        <w:t xml:space="preserve">  </w:t>
      </w:r>
      <w:r>
        <w:rPr>
          <w:rFonts w:hint="eastAsia"/>
          <w:sz w:val="30"/>
          <w:szCs w:val="30"/>
        </w:rPr>
        <w:t>基金托管协议的内容摘要</w:t>
      </w:r>
      <w:bookmarkEnd w:id="408"/>
      <w:bookmarkEnd w:id="409"/>
      <w:bookmarkEnd w:id="410"/>
      <w:bookmarkEnd w:id="411"/>
      <w:bookmarkEnd w:id="412"/>
    </w:p>
    <w:p w14:paraId="4F9CF20A"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托管协议当事人</w:t>
      </w:r>
    </w:p>
    <w:p w14:paraId="52FE560E"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（一）基金管理人（或简称“管理人”）</w:t>
      </w:r>
    </w:p>
    <w:p w14:paraId="02382A8F"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3FC570C3"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住所：</w:t>
      </w:r>
      <w:r>
        <w:rPr>
          <w:rFonts w:asciiTheme="minorEastAsia" w:hAnsiTheme="minorEastAsia" w:cs="Times New Roman" w:hint="eastAsia"/>
          <w:kern w:val="0"/>
          <w:sz w:val="24"/>
          <w:szCs w:val="24"/>
        </w:rPr>
        <w:t>广东省广州市南沙区横沥镇汇通二街2号3110房</w:t>
      </w:r>
    </w:p>
    <w:p w14:paraId="1483C741" w14:textId="77777777" w:rsidR="00913A13" w:rsidRDefault="002F45B8">
      <w:pPr>
        <w:adjustRightInd w:val="0"/>
        <w:snapToGrid w:val="0"/>
        <w:spacing w:line="360" w:lineRule="auto"/>
        <w:ind w:left="840" w:hanging="420"/>
        <w:rPr>
          <w:rFonts w:asciiTheme="minorEastAsia" w:hAnsiTheme="minorEastAsia" w:cs="Times New Roman" w:hint="eastAsia"/>
          <w:kern w:val="0"/>
          <w:sz w:val="24"/>
          <w:szCs w:val="24"/>
        </w:rPr>
      </w:pPr>
      <w:r>
        <w:rPr>
          <w:rFonts w:asciiTheme="minorEastAsia" w:hAnsiTheme="minorEastAsia" w:cs="Arial" w:hint="eastAsia"/>
          <w:kern w:val="0"/>
          <w:sz w:val="24"/>
          <w:szCs w:val="24"/>
        </w:rPr>
        <w:t>办公地址：广东省</w:t>
      </w:r>
      <w:r>
        <w:rPr>
          <w:rFonts w:asciiTheme="minorEastAsia" w:hAnsiTheme="minorEastAsia" w:cs="Times New Roman" w:hint="eastAsia"/>
          <w:kern w:val="0"/>
          <w:sz w:val="24"/>
          <w:szCs w:val="24"/>
        </w:rPr>
        <w:t>深圳市福田区八卦四路</w:t>
      </w:r>
      <w:r>
        <w:rPr>
          <w:rFonts w:asciiTheme="minorEastAsia" w:hAnsiTheme="minorEastAsia" w:cs="Times New Roman"/>
          <w:kern w:val="0"/>
          <w:sz w:val="24"/>
          <w:szCs w:val="24"/>
        </w:rPr>
        <w:t>52号安吉</w:t>
      </w:r>
      <w:r>
        <w:rPr>
          <w:rFonts w:asciiTheme="minorEastAsia" w:hAnsiTheme="minorEastAsia" w:cs="Times New Roman" w:hint="eastAsia"/>
          <w:kern w:val="0"/>
          <w:sz w:val="24"/>
          <w:szCs w:val="24"/>
        </w:rPr>
        <w:t>尔大厦</w:t>
      </w:r>
      <w:r>
        <w:rPr>
          <w:rFonts w:asciiTheme="minorEastAsia" w:hAnsiTheme="minorEastAsia" w:cs="Times New Roman"/>
          <w:kern w:val="0"/>
          <w:sz w:val="24"/>
          <w:szCs w:val="24"/>
        </w:rPr>
        <w:t>24层</w:t>
      </w:r>
    </w:p>
    <w:p w14:paraId="1E7FCE00"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280E911F"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成立时间：</w:t>
      </w:r>
      <w:r>
        <w:rPr>
          <w:rFonts w:asciiTheme="minorEastAsia" w:hAnsiTheme="minorEastAsia" w:cs="Arial"/>
          <w:kern w:val="0"/>
          <w:sz w:val="24"/>
          <w:szCs w:val="24"/>
        </w:rPr>
        <w:t>2016年1月25日</w:t>
      </w:r>
      <w:r>
        <w:rPr>
          <w:rFonts w:asciiTheme="minorEastAsia" w:hAnsiTheme="minorEastAsia" w:cs="Arial"/>
          <w:kern w:val="0"/>
          <w:sz w:val="24"/>
          <w:szCs w:val="24"/>
        </w:rPr>
        <w:tab/>
      </w:r>
    </w:p>
    <w:p w14:paraId="51E211CD"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批准设立机关：中国证监会</w:t>
      </w:r>
    </w:p>
    <w:p w14:paraId="68D1C082"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批准设立文号：证监许可【</w:t>
      </w:r>
      <w:r>
        <w:rPr>
          <w:rFonts w:asciiTheme="minorEastAsia" w:hAnsiTheme="minorEastAsia" w:cs="Arial"/>
          <w:kern w:val="0"/>
          <w:sz w:val="24"/>
          <w:szCs w:val="24"/>
        </w:rPr>
        <w:t>2015】3118号</w:t>
      </w:r>
    </w:p>
    <w:p w14:paraId="51D32FAA"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经营范围：基金销售</w:t>
      </w:r>
      <w:r>
        <w:rPr>
          <w:rFonts w:asciiTheme="minorEastAsia" w:hAnsiTheme="minorEastAsia" w:cs="Arial"/>
          <w:kern w:val="0"/>
          <w:sz w:val="24"/>
          <w:szCs w:val="24"/>
        </w:rPr>
        <w:t>;基金募集;特定客户资产管理业务以及中国证监会许可的其他业务;资产管理（不含许可审批项目）</w:t>
      </w:r>
    </w:p>
    <w:p w14:paraId="2DD870F0"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63717B68"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139824EB"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存续期间：永续经营</w:t>
      </w:r>
    </w:p>
    <w:p w14:paraId="4ECD0092" w14:textId="77777777" w:rsidR="00913A13" w:rsidRDefault="002F45B8">
      <w:pPr>
        <w:adjustRightInd w:val="0"/>
        <w:snapToGrid w:val="0"/>
        <w:spacing w:line="360" w:lineRule="auto"/>
        <w:ind w:left="840" w:hanging="42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579D365C"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名称：国泰海通证券股份有限公司</w:t>
      </w:r>
    </w:p>
    <w:p w14:paraId="453B50B2"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住所：中国（上海）自由贸易试验区商城路618号</w:t>
      </w:r>
    </w:p>
    <w:p w14:paraId="0F939E60"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法定代表人：朱健</w:t>
      </w:r>
    </w:p>
    <w:p w14:paraId="2D2F76F5"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成立时间：1999年8月18日</w:t>
      </w:r>
    </w:p>
    <w:p w14:paraId="10F363AF"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批准设立机关：中国证监会</w:t>
      </w:r>
    </w:p>
    <w:p w14:paraId="6443D969"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批准设立文号：证监机构字[1999]77号</w:t>
      </w:r>
    </w:p>
    <w:p w14:paraId="19F86AC3"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组织形式：其他股份有限公司（上市）</w:t>
      </w:r>
    </w:p>
    <w:p w14:paraId="6A24779B"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注册资本：人民币 17,629,708,696 元整</w:t>
      </w:r>
    </w:p>
    <w:p w14:paraId="140D5B10"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存续期间：持续经营</w:t>
      </w:r>
    </w:p>
    <w:p w14:paraId="5F6B41EA"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基金托管资格批文及文号：证监许可[2014]511号</w:t>
      </w:r>
    </w:p>
    <w:p w14:paraId="30CC8454"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联系人：丛艳</w:t>
      </w:r>
    </w:p>
    <w:p w14:paraId="30FD4795" w14:textId="77777777" w:rsidR="00913A13" w:rsidRDefault="002F45B8">
      <w:pPr>
        <w:adjustRightInd w:val="0"/>
        <w:snapToGrid w:val="0"/>
        <w:spacing w:line="360" w:lineRule="auto"/>
        <w:ind w:left="840" w:hanging="420"/>
        <w:rPr>
          <w:rFonts w:ascii="宋体" w:hAnsi="宋体" w:hint="eastAsia"/>
          <w:color w:val="000000"/>
          <w:sz w:val="24"/>
        </w:rPr>
      </w:pPr>
      <w:r>
        <w:rPr>
          <w:rFonts w:ascii="宋体" w:hAnsi="宋体" w:hint="eastAsia"/>
          <w:color w:val="000000"/>
          <w:sz w:val="24"/>
        </w:rPr>
        <w:t>通讯地址：上海市静安区新闸路669号博华广场19楼</w:t>
      </w:r>
    </w:p>
    <w:p w14:paraId="64C07965" w14:textId="77777777" w:rsidR="00913A13" w:rsidRDefault="002F45B8">
      <w:pPr>
        <w:adjustRightInd w:val="0"/>
        <w:snapToGrid w:val="0"/>
        <w:spacing w:line="360" w:lineRule="auto"/>
        <w:ind w:firstLineChars="200" w:firstLine="480"/>
        <w:rPr>
          <w:rFonts w:ascii="宋体" w:hAnsi="宋体" w:hint="eastAsia"/>
          <w:color w:val="000000"/>
          <w:sz w:val="24"/>
        </w:rPr>
      </w:pPr>
      <w:r>
        <w:rPr>
          <w:rFonts w:ascii="宋体" w:hAnsi="宋体" w:hint="eastAsia"/>
          <w:color w:val="000000"/>
          <w:sz w:val="24"/>
        </w:rPr>
        <w:t>联系电话：021-38677336</w:t>
      </w:r>
    </w:p>
    <w:p w14:paraId="42737D8E"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lastRenderedPageBreak/>
        <w:t>基金托管人对基金管理人的业务监督和核查</w:t>
      </w:r>
    </w:p>
    <w:p w14:paraId="63A47B2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（一）基金托管人对基金管理人的投资行为行使监督权</w:t>
      </w:r>
    </w:p>
    <w:p w14:paraId="3814E3A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1、基金托管人根据有关法律法规的规定及《基金合同》和本协议的约定，对基金的投资范围、投资对象进行监督。</w:t>
      </w:r>
    </w:p>
    <w:p w14:paraId="146E53C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的投资范围为具有良好流动性的金融工具，包括国内依法发行上市的股票（含主板、科创板、创业板及其他经中国证监会允许投资的股票）、存托凭证、债券（包括国债、央行票据、金融债券、企业债券、公司债券、中期票据、短期融资券、超短期融资券、次级债券、政府支持债券、地方政府债券、可转换债券、可交换债券及其他经中国证监会允许投资的债券）、资产支持证券、债券回购、同业存单、银行存款（包括协议存款、定期存款及其他银行存款）、货币市场工具、股指期货、国债期货、股票期权以及法律法规或中国证监会允许基金投资的其他金融工具</w:t>
      </w:r>
      <w:r>
        <w:rPr>
          <w:rFonts w:asciiTheme="minorEastAsia" w:hAnsiTheme="minorEastAsia" w:cs="Arial"/>
          <w:color w:val="000000"/>
          <w:sz w:val="24"/>
          <w:szCs w:val="24"/>
        </w:rPr>
        <w:t>(但须符合中国证监会相关规定)。</w:t>
      </w:r>
    </w:p>
    <w:p w14:paraId="67902E5D"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本基金将根据法律法规的规定参与融资业务。在未来条件许可的情况下，本基金可根据相关法律法规，在履行适当程序后，参与融券业务和转融通证券出借业务。</w:t>
      </w:r>
    </w:p>
    <w:p w14:paraId="214F8D6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如果法律法规或监管机构以后允许基金投资其他品种，基金管理人在履行适当程序后，可以将其纳入投资范围。</w:t>
      </w:r>
    </w:p>
    <w:p w14:paraId="03F0D701"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本基金的投资组合比例为：股票资产占基金资产的比例为</w:t>
      </w:r>
      <w:r>
        <w:rPr>
          <w:rFonts w:asciiTheme="minorEastAsia" w:hAnsiTheme="minorEastAsia" w:cs="Arial"/>
          <w:color w:val="000000"/>
          <w:sz w:val="24"/>
          <w:szCs w:val="24"/>
        </w:rPr>
        <w:t>60%-95%。每个交易日日终在扣除股指期货、国债期货、股票期权合约需缴纳的</w:t>
      </w:r>
      <w:r>
        <w:rPr>
          <w:rFonts w:asciiTheme="minorEastAsia" w:hAnsiTheme="minorEastAsia" w:cs="Arial" w:hint="eastAsia"/>
          <w:color w:val="000000"/>
          <w:sz w:val="24"/>
          <w:szCs w:val="24"/>
        </w:rPr>
        <w:t>交易保证金以后，基金保留的现金或投资于到期日在一年以内的政府债券的比例合计不低于基金资产净值的</w:t>
      </w:r>
      <w:r>
        <w:rPr>
          <w:rFonts w:asciiTheme="minorEastAsia" w:hAnsiTheme="minorEastAsia" w:cs="Arial"/>
          <w:color w:val="000000"/>
          <w:sz w:val="24"/>
          <w:szCs w:val="24"/>
        </w:rPr>
        <w:t>5%，本基金所指的现金不包括结算备付金、存出保证金、应收申购款等。股指期货、国债期货、股票期权及其他金融工具的投资比例依照法律法规或监管机构的规定执行。</w:t>
      </w:r>
    </w:p>
    <w:p w14:paraId="4974FD61"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如果法律法规或中国证监会变更投资品种的投资比例限制，基金管理人在履行适当程序后，可以调整上述投资品种的投资比例。</w:t>
      </w:r>
    </w:p>
    <w:p w14:paraId="28295F0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2、基金托管人根据有关法律法规的规定及《基金合同》和本协议的约定，对基金投资、融资比例进行监督。</w:t>
      </w:r>
    </w:p>
    <w:p w14:paraId="562FAC38"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 xml:space="preserve">1）根据法律法规的规定及《基金合同》的约定，本基金投资组合遵循以下投资限制：  </w:t>
      </w:r>
    </w:p>
    <w:p w14:paraId="7DEEB2E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1）股票资产占基金资产的比例为60%-95%；</w:t>
      </w:r>
    </w:p>
    <w:p w14:paraId="49529B4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lastRenderedPageBreak/>
        <w:t>2）每个交易日日终在扣除国债期货、股指期货、股票期权合约需缴纳的交易保证金后，本基金保持不低于基金资产净值5%的现金或者到期日在一年以内的政府债券，其中，现金不包括结算备付金、存出保证金、应收申购款等；</w:t>
      </w:r>
    </w:p>
    <w:p w14:paraId="011C4F7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3）本基金持有一家公司发行的证券，其市值不超过基金资产净值的10％；</w:t>
      </w:r>
    </w:p>
    <w:p w14:paraId="362112B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4）本基金管理人管理的全部基金持有一家公司发行的证券，不超过该证券的10％；</w:t>
      </w:r>
    </w:p>
    <w:p w14:paraId="2DD8072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5）本基金投资于同一原始权益人的各类资产支持证券的比例，不得超过基金资产净值的10%；</w:t>
      </w:r>
    </w:p>
    <w:p w14:paraId="5397D84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6）本基金持有的全部资产支持证券，其市值不得超过基金资产净值的20%；</w:t>
      </w:r>
    </w:p>
    <w:p w14:paraId="03503B7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7）本基金持有的同一(指同一信用级别)资产支持证券的比例，不得超过该资产支持证券规模的10%；</w:t>
      </w:r>
    </w:p>
    <w:p w14:paraId="3804FAE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8）本基金管理人管理的全部证券投资基金投资于同一原始权益人的各类资产支持证券，不得超过其各类资产支持证券合计规模的10%；</w:t>
      </w:r>
    </w:p>
    <w:p w14:paraId="321A20C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9）本基金应投资于信用级别评级为BBB以上(含BBB)的资产支持证券。基金持有资产支持证券期间，如果其信用等级下降、不再符合投资标准，应在评级报告发布之日起3个月内予以全部卖出；</w:t>
      </w:r>
    </w:p>
    <w:p w14:paraId="2F6826E5"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10）基金财产参与股票发行申购，本基金所申报的金额不超过本基金的总资产，本基金所申报的股票数量不超过拟发行股票公司本次发行股票的总量；</w:t>
      </w:r>
    </w:p>
    <w:p w14:paraId="49A8E64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11）本基金进入全国银行间同业市场进行债券回购的资金余额不得超过基金资产净值的40%；本基金在全国银行间同业市场的债券回购最长期限为1年，债券回购到期后不得展期；</w:t>
      </w:r>
    </w:p>
    <w:p w14:paraId="6F97D9E8"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12）本基金参与股指期货、国债期货交易依据下列标准建构组合：</w:t>
      </w:r>
    </w:p>
    <w:p w14:paraId="2F8F937E"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①在任何交易日日终，持有的买入国债期货和股指期货合约价值与有价证券市值之和不得超过基金资产净值的</w:t>
      </w:r>
      <w:r>
        <w:rPr>
          <w:rFonts w:asciiTheme="minorEastAsia" w:hAnsiTheme="minorEastAsia" w:cs="Arial"/>
          <w:color w:val="000000"/>
          <w:sz w:val="24"/>
          <w:szCs w:val="24"/>
        </w:rPr>
        <w:t>95%，其中，有价证券指股票、债券（不含到期日在一年以内的政府债券）、资产支持证券、买入返售金融资产（不含质押式回购）等；</w:t>
      </w:r>
    </w:p>
    <w:p w14:paraId="321A0624"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②在任何交易日日终，持有的买入股指期货合约价值，不得超过基金资产净值的</w:t>
      </w:r>
      <w:r>
        <w:rPr>
          <w:rFonts w:asciiTheme="minorEastAsia" w:hAnsiTheme="minorEastAsia" w:cs="Arial"/>
          <w:color w:val="000000"/>
          <w:sz w:val="24"/>
          <w:szCs w:val="24"/>
        </w:rPr>
        <w:t>10%；在任何交易日日终，持有的买入国债期货合约价值，不得超过基金资产净值的15%；</w:t>
      </w:r>
    </w:p>
    <w:p w14:paraId="2B6A63D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③在任何交易日日终，持有的卖出股指期货合约价值不得超过基金持有的股</w:t>
      </w:r>
      <w:r>
        <w:rPr>
          <w:rFonts w:asciiTheme="minorEastAsia" w:hAnsiTheme="minorEastAsia" w:cs="Arial" w:hint="eastAsia"/>
          <w:color w:val="000000"/>
          <w:sz w:val="24"/>
          <w:szCs w:val="24"/>
        </w:rPr>
        <w:lastRenderedPageBreak/>
        <w:t>票总市值的</w:t>
      </w:r>
      <w:r>
        <w:rPr>
          <w:rFonts w:asciiTheme="minorEastAsia" w:hAnsiTheme="minorEastAsia" w:cs="Arial"/>
          <w:color w:val="000000"/>
          <w:sz w:val="24"/>
          <w:szCs w:val="24"/>
        </w:rPr>
        <w:t>20%；在任何交易日日终，持有的卖出国债期货合约价值不得超过基金持有的债券总市值的30%；</w:t>
      </w:r>
    </w:p>
    <w:p w14:paraId="2B8574B1"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④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39DA839E"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⑤本基金在任何交易日内交易（不包括平仓）的股指期货合约的成交金额不得超过上一交易日基金资产净值的</w:t>
      </w:r>
      <w:r>
        <w:rPr>
          <w:rFonts w:asciiTheme="minorEastAsia" w:hAnsiTheme="minorEastAsia" w:cs="Arial"/>
          <w:color w:val="000000"/>
          <w:sz w:val="24"/>
          <w:szCs w:val="24"/>
        </w:rPr>
        <w:t>20%；本基金在任何交易日内交易（不包括平仓）的国债期货合约的成交金额不得超过上一交易日基金资产净值的30%；</w:t>
      </w:r>
    </w:p>
    <w:p w14:paraId="0EF80BA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13）本基金投资流通受限证券，基金管理人应事先根据中国证监会相关规定，在首次投资前与基金托管人签订风险控制补充协议，并明确基金投资流通受限证券的比例，根据比例进行投资；</w:t>
      </w:r>
    </w:p>
    <w:p w14:paraId="5CE3FBE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14）基金资产</w:t>
      </w:r>
      <w:r>
        <w:rPr>
          <w:rFonts w:asciiTheme="minorEastAsia" w:hAnsiTheme="minorEastAsia" w:cs="Arial" w:hint="eastAsia"/>
          <w:color w:val="000000"/>
          <w:sz w:val="24"/>
          <w:szCs w:val="24"/>
        </w:rPr>
        <w:t>总值不得超过基金资产净值的</w:t>
      </w:r>
      <w:r>
        <w:rPr>
          <w:rFonts w:asciiTheme="minorEastAsia" w:hAnsiTheme="minorEastAsia" w:cs="Arial"/>
          <w:color w:val="000000"/>
          <w:sz w:val="24"/>
          <w:szCs w:val="24"/>
        </w:rPr>
        <w:t>140%；</w:t>
      </w:r>
    </w:p>
    <w:p w14:paraId="3143BEE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15）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0EFEC88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16）本基金主动投资于流动性受限资产的市值合计不得超过</w:t>
      </w:r>
      <w:r>
        <w:rPr>
          <w:rFonts w:asciiTheme="minorEastAsia" w:hAnsiTheme="minorEastAsia" w:cs="Arial" w:hint="eastAsia"/>
          <w:color w:val="000000"/>
          <w:sz w:val="24"/>
          <w:szCs w:val="24"/>
        </w:rPr>
        <w:t>基金资产净值的</w:t>
      </w:r>
      <w:r>
        <w:rPr>
          <w:rFonts w:asciiTheme="minorEastAsia" w:hAnsiTheme="minorEastAsia" w:cs="Arial"/>
          <w:color w:val="000000"/>
          <w:sz w:val="24"/>
          <w:szCs w:val="24"/>
        </w:rPr>
        <w:t>15%；</w:t>
      </w:r>
    </w:p>
    <w:p w14:paraId="5F5EE5F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因证券市场波动、上市公司股票停牌、基金规模变动等基金管理人之外的因素致使基金不符合前款所规定比例限制的，基金管理人不得主动新增流动性受限资产的投资；</w:t>
      </w:r>
    </w:p>
    <w:p w14:paraId="56A9EEAE"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17）本基金与私募类</w:t>
      </w:r>
      <w:r>
        <w:rPr>
          <w:rFonts w:asciiTheme="minorEastAsia" w:hAnsiTheme="minorEastAsia" w:cs="Arial" w:hint="eastAsia"/>
          <w:color w:val="000000"/>
          <w:sz w:val="24"/>
          <w:szCs w:val="24"/>
        </w:rPr>
        <w:t>证券资管产品及中国证监会认定的其他主体为交易对手开展逆回购交易的，可接受质押品的资质要求应当与基金合同约定的投资范围保持一致；</w:t>
      </w:r>
    </w:p>
    <w:p w14:paraId="503665E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18）本基金参与股票期权交易的，需遵守下列投资比例限制：</w:t>
      </w:r>
    </w:p>
    <w:p w14:paraId="51EFF67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①本基金因未平仓的期权合约支付和收取的权利金总额不得超过基金资产净值的</w:t>
      </w:r>
      <w:r>
        <w:rPr>
          <w:rFonts w:asciiTheme="minorEastAsia" w:hAnsiTheme="minorEastAsia" w:cs="Arial"/>
          <w:color w:val="000000"/>
          <w:sz w:val="24"/>
          <w:szCs w:val="24"/>
        </w:rPr>
        <w:t>10%；</w:t>
      </w:r>
    </w:p>
    <w:p w14:paraId="7DCFA2E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②本基金开仓卖出认购期权的，应持有足额标的证券；开仓卖出认沽期权的，应持有合约行权所需的全额现金或交易所规则认可的可冲抵期权保证金的现金等价物；</w:t>
      </w:r>
    </w:p>
    <w:p w14:paraId="21AA3A9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lastRenderedPageBreak/>
        <w:t>③本基金未平仓的期权合约面值不得超过基金资产净值的</w:t>
      </w:r>
      <w:r>
        <w:rPr>
          <w:rFonts w:asciiTheme="minorEastAsia" w:hAnsiTheme="minorEastAsia" w:cs="Arial"/>
          <w:color w:val="000000"/>
          <w:sz w:val="24"/>
          <w:szCs w:val="24"/>
        </w:rPr>
        <w:t>20%。其中，合约面值按照行权价乘以合约乘数计算；</w:t>
      </w:r>
    </w:p>
    <w:p w14:paraId="1A955F7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19</w:t>
      </w:r>
      <w:r>
        <w:rPr>
          <w:rFonts w:asciiTheme="minorEastAsia" w:hAnsiTheme="minorEastAsia" w:cs="Arial" w:hint="eastAsia"/>
          <w:color w:val="000000"/>
          <w:sz w:val="24"/>
          <w:szCs w:val="24"/>
        </w:rPr>
        <w:t>）本基金投资存托凭证的比例限制依照境内上市交易的股票执行，与境内上市交易的股票合并计算；</w:t>
      </w:r>
    </w:p>
    <w:p w14:paraId="6F7CE23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20</w:t>
      </w:r>
      <w:r>
        <w:rPr>
          <w:rFonts w:asciiTheme="minorEastAsia" w:hAnsiTheme="minorEastAsia" w:cs="Arial" w:hint="eastAsia"/>
          <w:color w:val="000000"/>
          <w:sz w:val="24"/>
          <w:szCs w:val="24"/>
        </w:rPr>
        <w:t>）本基金参与融资的，每个交易日日终，本基金持有的融资买入股票与其他有价证券市值之和，不得超过基金资产净值的</w:t>
      </w:r>
      <w:r>
        <w:rPr>
          <w:rFonts w:asciiTheme="minorEastAsia" w:hAnsiTheme="minorEastAsia" w:cs="Arial"/>
          <w:color w:val="000000"/>
          <w:sz w:val="24"/>
          <w:szCs w:val="24"/>
        </w:rPr>
        <w:t>95%；</w:t>
      </w:r>
    </w:p>
    <w:p w14:paraId="24FF9E2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21</w:t>
      </w:r>
      <w:r>
        <w:rPr>
          <w:rFonts w:asciiTheme="minorEastAsia" w:hAnsiTheme="minorEastAsia" w:cs="Arial" w:hint="eastAsia"/>
          <w:color w:val="000000"/>
          <w:sz w:val="24"/>
          <w:szCs w:val="24"/>
        </w:rPr>
        <w:t>）法律法规及中国证监会规定的和《基金合同》约定的其他投资限制。</w:t>
      </w:r>
    </w:p>
    <w:p w14:paraId="7D639C0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除上述第</w:t>
      </w:r>
      <w:r>
        <w:rPr>
          <w:rFonts w:asciiTheme="minorEastAsia" w:hAnsiTheme="minorEastAsia" w:cs="Arial"/>
          <w:color w:val="000000"/>
          <w:sz w:val="24"/>
          <w:szCs w:val="24"/>
        </w:rPr>
        <w:t>2）、9）、13）、16）、17）项另有约定外，因证券、期货市场波动、</w:t>
      </w:r>
      <w:r>
        <w:rPr>
          <w:rFonts w:asciiTheme="minorEastAsia" w:hAnsiTheme="minorEastAsia" w:cs="Arial" w:hint="eastAsia"/>
          <w:color w:val="000000"/>
          <w:sz w:val="24"/>
          <w:szCs w:val="24"/>
        </w:rPr>
        <w:t>证券发行人合并、基金规模变动等基金管理人之外的因素致使基金投资比例不符合上述规定投资比例的，基金管理人应当在</w:t>
      </w:r>
      <w:r>
        <w:rPr>
          <w:rFonts w:asciiTheme="minorEastAsia" w:hAnsiTheme="minorEastAsia" w:cs="Arial"/>
          <w:color w:val="000000"/>
          <w:sz w:val="24"/>
          <w:szCs w:val="24"/>
        </w:rPr>
        <w:t>10个交易日内进行调整，但中国证监会规定的特殊情形除外。</w:t>
      </w:r>
    </w:p>
    <w:p w14:paraId="7165B28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基金管理人应当自基金合同生效之日起</w:t>
      </w:r>
      <w:r>
        <w:rPr>
          <w:rFonts w:asciiTheme="minorEastAsia" w:hAnsiTheme="minorEastAsia" w:cs="Arial"/>
          <w:color w:val="000000"/>
          <w:sz w:val="24"/>
          <w:szCs w:val="24"/>
        </w:rPr>
        <w:t>6个月内使基金的投资组合比例符合基金合同的有关约定。在此期间，基金的投资范围、投资策略应当符合基金合同的约定。基金托管人对基金的投资的监督与检查自基金合同生效之日起开始。</w:t>
      </w:r>
    </w:p>
    <w:p w14:paraId="657EB3C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法律法规或监管部门取消或变更上述限制，如适用于本基金，基金管理人在履行适当程序后，则本基金投资不再受相关限制或以变更后的规定为准。</w:t>
      </w:r>
    </w:p>
    <w:p w14:paraId="48C448FD"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基金托管人依照上述规定对本基金的投资组合限制及调整期限进行监督。</w:t>
      </w:r>
    </w:p>
    <w:p w14:paraId="2D30EE6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3、基金托管人根据有关法律、法规的规定及基金合同和本协议的约定，对基金投资禁止行为进行监督。基金财产不得用于下列投资或者活动。</w:t>
      </w:r>
    </w:p>
    <w:p w14:paraId="493591E5"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1）承销证券；</w:t>
      </w:r>
    </w:p>
    <w:p w14:paraId="272AE0CD"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2）违反规定向他人贷款或者提供担保；</w:t>
      </w:r>
    </w:p>
    <w:p w14:paraId="32FECD7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3）从事承担无限责任的投资；</w:t>
      </w:r>
    </w:p>
    <w:p w14:paraId="741C785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4）买卖其他基金份额，但是中国证监会另有规定的除外；</w:t>
      </w:r>
    </w:p>
    <w:p w14:paraId="03425B7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5）向基金管理人、基金托管人出资；</w:t>
      </w:r>
    </w:p>
    <w:p w14:paraId="23BC537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6）从事内幕交易、操纵证券交易价格及其他不正当的证券交易活动；</w:t>
      </w:r>
    </w:p>
    <w:p w14:paraId="0ADB485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7）法律、行政法规和中国证监会规定禁止的其他活动。</w:t>
      </w:r>
    </w:p>
    <w:p w14:paraId="1972F3FF"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w:t>
      </w:r>
      <w:r>
        <w:rPr>
          <w:rFonts w:asciiTheme="minorEastAsia" w:hAnsiTheme="minorEastAsia" w:cs="Arial" w:hint="eastAsia"/>
          <w:color w:val="000000"/>
          <w:sz w:val="24"/>
          <w:szCs w:val="24"/>
        </w:rPr>
        <w:lastRenderedPageBreak/>
        <w:t>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A072E9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法律、行政法规或监管部门取消或调整上述禁止行为，如适用于本基金，基金管理人在履行适当程序后，则本基金投资按照取消或调整后的规定执行。</w:t>
      </w:r>
    </w:p>
    <w:p w14:paraId="30923B9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4、基金托管人根据有关法律、法规规定及基金合同和本协议约定，对基金管理人参与银行间债券市场进行监督。</w:t>
      </w:r>
    </w:p>
    <w:p w14:paraId="7505755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基金托管人依据有关法律、法规规定和《基金合同》约定对基金管理人参与银行间市场交易时面临的交易对手资信风险进行监督。</w:t>
      </w:r>
    </w:p>
    <w:p w14:paraId="6D743245"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在基金投资运作之前向基金托管人提供符合法律、法规及行业标准的、经慎重选择的、本基金适用的银行间市场交易对手的名单，并约定各交易对手所适用的交易结算方式。基金托管人在收到名单后【</w:t>
      </w:r>
      <w:r>
        <w:rPr>
          <w:rFonts w:asciiTheme="minorEastAsia" w:hAnsiTheme="minorEastAsia" w:cs="Arial"/>
          <w:color w:val="000000"/>
          <w:sz w:val="24"/>
          <w:szCs w:val="24"/>
        </w:rPr>
        <w:t>2】</w:t>
      </w:r>
      <w:r>
        <w:rPr>
          <w:rFonts w:asciiTheme="minorEastAsia" w:hAnsiTheme="minorEastAsia" w:cs="Arial" w:hint="eastAsia"/>
          <w:color w:val="000000"/>
          <w:sz w:val="24"/>
          <w:szCs w:val="24"/>
        </w:rPr>
        <w:t>个工作日内电话或回函确认收到该名单。基金管理人应严格按照交易对手名单的范围在银行间债券市场选择交易对手。基金托管人监督基金管理人是否按事前提供的银行间债券市场交易对手名单和交易结算方式进行交易。</w:t>
      </w:r>
    </w:p>
    <w:p w14:paraId="1DB977F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基金管理人应定期【（每半年）】和不定期对银行间市场现券及回购交易对手的名单进行更新。基金托管人在收到名单后【</w:t>
      </w:r>
      <w:r>
        <w:rPr>
          <w:rFonts w:asciiTheme="minorEastAsia" w:hAnsiTheme="minorEastAsia" w:cs="Arial"/>
          <w:color w:val="000000"/>
          <w:sz w:val="24"/>
          <w:szCs w:val="24"/>
        </w:rPr>
        <w:t>2】</w:t>
      </w:r>
      <w:r>
        <w:rPr>
          <w:rFonts w:asciiTheme="minorEastAsia" w:hAnsiTheme="minorEastAsia" w:cs="Arial" w:hint="eastAsia"/>
          <w:color w:val="000000"/>
          <w:sz w:val="24"/>
          <w:szCs w:val="24"/>
        </w:rPr>
        <w:t>个工作日内电话或书面回函确认，新名单自基金托管人确认当日生效。新名单生效前已与本次剔除的交易对手所进行但尚未结算的交易，仍应按照协议进行结算。</w:t>
      </w:r>
    </w:p>
    <w:p w14:paraId="6F3C95D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基金管理人参与银行间市场交易时，应按银行间债券市场的交易规则进行交易，并有责任控制交易对手的资信风险，由于交易对手资信风险引起的损失</w:t>
      </w:r>
      <w:r>
        <w:rPr>
          <w:rFonts w:asciiTheme="minorEastAsia" w:hAnsiTheme="minorEastAsia" w:cs="Arial"/>
          <w:color w:val="000000"/>
          <w:sz w:val="24"/>
          <w:szCs w:val="24"/>
        </w:rPr>
        <w:t>,基金管理人应当负责向相关责任人追偿。基金托管人不承担由此造成的任何法律责任及损失。</w:t>
      </w:r>
    </w:p>
    <w:p w14:paraId="024D927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如基金托管人事后发现基金管理人没有按照事先约定的交易对手或交易方式进行交易时，基金托管人应及时提醒基金管理人，但基金托管人不承担由此造成的任何损失和责任。</w:t>
      </w:r>
    </w:p>
    <w:p w14:paraId="74F93AD8"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5、基金托管人根据有关法律、法规的规定及基金合同和本协议的约定，对基金管理人选择存款银行进行监督。</w:t>
      </w:r>
    </w:p>
    <w:p w14:paraId="18535939"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基金投资银行定期存款的，基金管理人应根据法律、法规的规定及基金合同的约定，确定符合条件的所有存款银行的名单，并及时提供给基金托管人。基金</w:t>
      </w:r>
      <w:r>
        <w:rPr>
          <w:rFonts w:asciiTheme="minorEastAsia" w:hAnsiTheme="minorEastAsia" w:cs="Arial" w:hint="eastAsia"/>
          <w:color w:val="000000"/>
          <w:sz w:val="24"/>
          <w:szCs w:val="24"/>
        </w:rPr>
        <w:lastRenderedPageBreak/>
        <w:t>管理人应严格按照名单范围选择投资对象，基金托管人监督基金管理人是否按事前提供的对手名单进行投资。基金管理人超越名单范围进行投资的，基金托管人应及时提醒基金管理人，但基金托管人不承担由此造成的任何损失和责任。</w:t>
      </w:r>
    </w:p>
    <w:p w14:paraId="5092A7B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本基金投资银行存款应符合如下规定：</w:t>
      </w:r>
    </w:p>
    <w:p w14:paraId="2538E05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1）基金管理人、基金托管人应当与存款银行建立定期对账机制，确保基金银行存款业务账目及核算的真实、准确。</w:t>
      </w:r>
    </w:p>
    <w:p w14:paraId="120225D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w:t>
      </w:r>
    </w:p>
    <w:p w14:paraId="7771AB1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3）基金托管人应加强对基金银行存款业务的监督与核查，严格审查、复核相关协议、账户资料、投资指令、存款证实书等有关文件，切实履行托管职责。</w:t>
      </w:r>
    </w:p>
    <w:p w14:paraId="5EBCE42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4）基金管理人与基金托管人在开展基金存款业务时，应严格遵守《基金法》、《运作办法》等有关法律、法规，以及国家有关账户管理、利率管理、支付结算等的各项规定。</w:t>
      </w:r>
    </w:p>
    <w:p w14:paraId="0F8A57F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5）基金投资银行存款的，基金管理人应根据法律法规的规定及基金合同的约定，确定符合条件的所有存款银行的名单，并及时提供给基金托管人，基金托管人应据以对基金投资银行存款的交易对手是否符合有关规定进行监督。基金管理人对定期存款提前支取的损失由其承担。</w:t>
      </w:r>
    </w:p>
    <w:p w14:paraId="495D220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6、基金托管人根据有关法律法规的规定及《基金合同》的约定，对基金管理人投资流通受限证券进行监督。</w:t>
      </w:r>
    </w:p>
    <w:p w14:paraId="14EF401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397A41C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r>
        <w:rPr>
          <w:rFonts w:asciiTheme="minorEastAsia" w:hAnsiTheme="minorEastAsia" w:cs="Arial" w:hint="eastAsia"/>
          <w:color w:val="000000"/>
          <w:sz w:val="24"/>
          <w:szCs w:val="24"/>
        </w:rPr>
        <w:t>券等流通受限证券。本基金不投资有锁定期但锁定期不明确的证券。</w:t>
      </w:r>
    </w:p>
    <w:p w14:paraId="223ACC4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lastRenderedPageBreak/>
        <w:t>本基金投资的流通受限证券限于可由中国证券登记结算有限责任公司或中央国债登记结算有限责任公司、银行间市场清算所股份有限公司负责登记和存管，并可在证券交易所或全国银行间债券市场交易的证券。</w:t>
      </w:r>
    </w:p>
    <w:p w14:paraId="44BACCB4"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14:paraId="4D4BEF3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本基金投资流通受限证券，不得预付任何形式的保证金。</w:t>
      </w:r>
    </w:p>
    <w:p w14:paraId="75257C1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基金管理人应在首次投资流通受限证券前向基金托管人提供董事会批准的有关基金投资流通受限证券的投资决策流程、风险控制制度。基金投资非公开发行股票，基金管理人还应提供基金管理人董事会批准的相关流动性风险处置预案。</w:t>
      </w:r>
    </w:p>
    <w:p w14:paraId="3A16F13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14:paraId="1D2FFFD4"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55763AB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1）中国证监会批准发行非公开发行股票的批准文件。</w:t>
      </w:r>
    </w:p>
    <w:p w14:paraId="33B82C84"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2）非公开发行股票有关发行数量、发行价格、锁定期等发行资料。</w:t>
      </w:r>
    </w:p>
    <w:p w14:paraId="3B90A53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3）非公开发行股票发行人与中国证券登记结算有限责任公司或中央国债登</w:t>
      </w:r>
      <w:r>
        <w:rPr>
          <w:rFonts w:asciiTheme="minorEastAsia" w:hAnsiTheme="minorEastAsia" w:cs="Arial"/>
          <w:color w:val="000000"/>
          <w:sz w:val="24"/>
          <w:szCs w:val="24"/>
        </w:rPr>
        <w:lastRenderedPageBreak/>
        <w:t>记结算有限责任公司签订的证券登记及服务协议。</w:t>
      </w:r>
    </w:p>
    <w:p w14:paraId="371ED99E"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4）基金拟认购的数量、价格、总成本、账面价值。</w:t>
      </w:r>
    </w:p>
    <w:p w14:paraId="358F437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4）基金管理人应在本基金投资非公开发行股票后两个交易日内，在中国证监会</w:t>
      </w:r>
      <w:r>
        <w:rPr>
          <w:rFonts w:asciiTheme="minorEastAsia" w:hAnsiTheme="minorEastAsia" w:cs="Arial" w:hint="eastAsia"/>
          <w:color w:val="000000"/>
          <w:sz w:val="24"/>
          <w:szCs w:val="24"/>
        </w:rPr>
        <w:t>规定媒介披露所投资非公开发行股票的名称、数量、总成本、账面价值，以及总成本和账面价值占基金资产净值的比例、锁定期等信息。</w:t>
      </w:r>
    </w:p>
    <w:p w14:paraId="541AECA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本基金有关投资流通受限证券比例如违反有关限制规定，在合理期限内未能进行及时调整，基金管理人应在两个工作日内编制临时报告书，予以公告。</w:t>
      </w:r>
    </w:p>
    <w:p w14:paraId="27F517F6"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5）基金托管人根据有关规定有权对基金管理人进行以下事项监督：</w:t>
      </w:r>
    </w:p>
    <w:p w14:paraId="00A4FDAE"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1）本基金投资流通受限证券时的法律法规遵守情况。</w:t>
      </w:r>
    </w:p>
    <w:p w14:paraId="54A4B05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2）在基金投资流通受限证券管理工作方面有关制度、流动性风险处置预案的建立与完善情况。</w:t>
      </w:r>
    </w:p>
    <w:p w14:paraId="4D0EA37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3）有关比例限制的执行情况。</w:t>
      </w:r>
    </w:p>
    <w:p w14:paraId="45A1328B"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4）信息披露情况。</w:t>
      </w:r>
    </w:p>
    <w:p w14:paraId="541CC813"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w:t>
      </w:r>
      <w:r>
        <w:rPr>
          <w:rFonts w:asciiTheme="minorEastAsia" w:hAnsiTheme="minorEastAsia" w:cs="Arial"/>
          <w:color w:val="000000"/>
          <w:sz w:val="24"/>
          <w:szCs w:val="24"/>
        </w:rPr>
        <w:t>6）相关法律法规对基金投资流通受限证券有新规定的，从其规定。</w:t>
      </w:r>
    </w:p>
    <w:p w14:paraId="6F3468FA"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7、基金托管人根据有关法律、法规的规定及基金合同和本协议的约定，对基金管理人产品禁投池进行监督。</w:t>
      </w:r>
    </w:p>
    <w:p w14:paraId="48AC242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基金管理人向基金托管人提供符合法律、法规及行业标准的基金禁投池清单。基金托管人在收到名单后</w:t>
      </w:r>
      <w:r>
        <w:rPr>
          <w:rFonts w:asciiTheme="minorEastAsia" w:hAnsiTheme="minorEastAsia" w:cs="Arial"/>
          <w:color w:val="000000"/>
          <w:sz w:val="24"/>
          <w:szCs w:val="24"/>
        </w:rPr>
        <w:t>2个工作日内电话或回函确认收到该名单。基金管理人应定期和不定期对基金禁投池清单进行更新。基金托管人在收到清单后2个工作日内电话或书面回函确认，新清单自基金托管人确认当日生效。新清单生效</w:t>
      </w:r>
      <w:r>
        <w:rPr>
          <w:rFonts w:asciiTheme="minorEastAsia" w:hAnsiTheme="minorEastAsia" w:cs="Arial" w:hint="eastAsia"/>
          <w:color w:val="000000"/>
          <w:sz w:val="24"/>
          <w:szCs w:val="24"/>
        </w:rPr>
        <w:t>前基金托管人仍按原禁投池清单进行监督。</w:t>
      </w:r>
    </w:p>
    <w:p w14:paraId="0EF2A948"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基金管理人超越名单范围进行投资的，基金托管人应及时提醒基金管理人，但基金托管人不承担由此造成的任何损失和责任。</w:t>
      </w:r>
    </w:p>
    <w:p w14:paraId="0E54F7D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二）基金托管人应根据有关法律、法规的规定及基金合同的约定，对基金资产净值计算、各类基金份额的基金份额净值计算、应收资金到账、基金费用开支及收入确认、基金收益分配、相关信息披露、基金宣传推介材料中登载基金业绩表现数据等进行监督和核查。</w:t>
      </w:r>
    </w:p>
    <w:p w14:paraId="6CB4ADEC"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三）基金管理人应积极配合和协助基金托管人的监督和核查，在规定时间内答复并改正，就基金托管人的合理疑义进行解释或举证。对基金托管人按照法规要求需向中国证监会报送基金监督报告的，基金管理人应积极配合提供相关数</w:t>
      </w:r>
      <w:r>
        <w:rPr>
          <w:rFonts w:asciiTheme="minorEastAsia" w:hAnsiTheme="minorEastAsia" w:cs="Arial" w:hint="eastAsia"/>
          <w:color w:val="000000"/>
          <w:sz w:val="24"/>
          <w:szCs w:val="24"/>
        </w:rPr>
        <w:lastRenderedPageBreak/>
        <w:t>据资料和制度等。</w:t>
      </w:r>
    </w:p>
    <w:p w14:paraId="6A812720"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合理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77C6E225"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若基金托管人发现基金管理人依据交易程序已经生效的指令违反法律、行政法规和其他有关规定，或者违反《基金合同》约定的，应当立即通知基金管理人，由此造成的损失由基金管理人承担。</w:t>
      </w:r>
    </w:p>
    <w:p w14:paraId="23DE986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14:paraId="2D88B3A8"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color w:val="000000"/>
          <w:sz w:val="24"/>
          <w:szCs w:val="24"/>
        </w:rPr>
        <w:t>（</w:t>
      </w:r>
      <w:r>
        <w:rPr>
          <w:rFonts w:asciiTheme="minorEastAsia" w:hAnsiTheme="minorEastAsia" w:cs="Arial" w:hint="eastAsia"/>
          <w:color w:val="000000"/>
          <w:sz w:val="24"/>
          <w:szCs w:val="24"/>
        </w:rPr>
        <w:t>四）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7060F584"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侧袋机制实施期间，本基金的投资组合比例、投资策略、组合限制、业绩比较基准、风险收益特征等约定仅适用于主袋账户。</w:t>
      </w:r>
    </w:p>
    <w:p w14:paraId="52B7BFB7"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侧袋账户的实施条件、实施程序、运作安排（包括但不限于对基金赎回的影响、信息披露、费用列支等）、投资安排、特定资产的处置变现和支付等对投资者权益有重大影响的事项详见基金合同和招募说明书的规定。</w:t>
      </w:r>
    </w:p>
    <w:p w14:paraId="6E42A592" w14:textId="77777777" w:rsidR="00913A13" w:rsidRDefault="002F45B8">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基金托管人依照相关法律法规的规定以及基金合同和招募说明书的约定，对侧袋机制启用、特定资产处置和信息披露等方面进行复核和监督。</w:t>
      </w:r>
      <w:r>
        <w:rPr>
          <w:rFonts w:asciiTheme="minorEastAsia" w:hAnsiTheme="minorEastAsia" w:cs="Arial"/>
          <w:color w:val="000000"/>
          <w:sz w:val="24"/>
          <w:szCs w:val="24"/>
        </w:rPr>
        <w:t xml:space="preserve">  </w:t>
      </w:r>
    </w:p>
    <w:p w14:paraId="0DD6C6EE"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基金管理人对基金托管人的业务核查</w:t>
      </w:r>
    </w:p>
    <w:p w14:paraId="039A59BA"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根据《基金法》及其他有关法规、《基金合同》和本协议规定，基金管理人</w:t>
      </w:r>
      <w:r>
        <w:rPr>
          <w:rFonts w:ascii="宋体" w:hAnsi="宋体" w:hint="eastAsia"/>
          <w:sz w:val="24"/>
          <w:szCs w:val="24"/>
        </w:rPr>
        <w:lastRenderedPageBreak/>
        <w:t>对基金托管人履行托管职责的情况进行核查，核查事项包括但不限于基金托管人是否安全保管基金财产、开立基金财产的银行存款账户、证券账户、债券托管账户等投资所需账户，是否及时、准确复核基金管理人计算的基金资产净值和各类基金份额的基金份额净值，是否根据基金管理人指令办理清算交收，是否按照法规规定和《基金合同》规定进行相关信息披露和监督基金投资运作等行为。</w:t>
      </w:r>
    </w:p>
    <w:p w14:paraId="5370F010"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定期【（每半年）】和不定期地对基金托管人保管的基金资产进行核查。基金托管人应积极配合基金管理人的核查行为，包括但不限于：提交相关资料以供基金管理人核查托管财产的完整性和真实性，在规定时间内答复并改正。</w:t>
      </w:r>
    </w:p>
    <w:p w14:paraId="2EB67832"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发现基金托管人未对基金资产实行分账管理、擅自挪用基金资产、未执行或无故延迟执行基金管理人资金划拨指令、泄露基金投资信息等违反《基金法》、《基金合同》、本协议及其他有关规定的，应及时以书面形式通知基金托管人在限期内纠正，基金托管人收到通知后应及时核对并以书面形式对基金管理人发出回函，说明违规原因及纠正期限，并保证在规定期限内及时改正。在限期内，基金管理人有权随时对通知事项进行复查，督促基金托管人改正。基金托管人对基金管理人通知的违规事项未能在限期内纠正的，基金管理人应报告中国证监会。对基金管理人按照法规要求需向中国证监会报送基金监督报告的，基金托管人应积极配合提供相关数据资料和制度等。</w:t>
      </w:r>
    </w:p>
    <w:p w14:paraId="292DDC99"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发现基金托管人有重大违规行为，应立即报告中国证监会，同时通知基金托管人在限期内纠正。基金托管人无正当理由，拒绝、阻挠对方根据本协议规定行使监督权，或采取拖延、欺诈等手段妨碍对方进行有效监督，情节严重或经基金管理人提出警告仍不改正的，基金管理人应报告中国证监会。</w:t>
      </w:r>
    </w:p>
    <w:p w14:paraId="5F74A987" w14:textId="77777777" w:rsidR="00913A13" w:rsidRDefault="00913A13">
      <w:pPr>
        <w:spacing w:line="360" w:lineRule="auto"/>
        <w:ind w:firstLineChars="200" w:firstLine="480"/>
        <w:rPr>
          <w:rFonts w:ascii="宋体" w:hAnsi="宋体" w:hint="eastAsia"/>
          <w:sz w:val="24"/>
          <w:szCs w:val="24"/>
        </w:rPr>
      </w:pPr>
    </w:p>
    <w:p w14:paraId="199898FB"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基金财产的保管</w:t>
      </w:r>
    </w:p>
    <w:p w14:paraId="0E318F1B"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（一）基金财产保管的原则</w:t>
      </w:r>
    </w:p>
    <w:p w14:paraId="1E4BC1F2"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1、基金托管人应安全保管基金财产，未经基金管理人的指令，不得自行运用、处分、分配基金的任何资产。</w:t>
      </w:r>
    </w:p>
    <w:p w14:paraId="5B5C3129"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2、基金财产应独立于基金管理人、基金托管人</w:t>
      </w:r>
      <w:r>
        <w:rPr>
          <w:rFonts w:ascii="宋体" w:hAnsi="宋体" w:hint="eastAsia"/>
          <w:sz w:val="24"/>
          <w:szCs w:val="24"/>
        </w:rPr>
        <w:t>、证券经纪机构的固有财产。</w:t>
      </w:r>
    </w:p>
    <w:p w14:paraId="7AD6E056"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3、基金托管人按照规定开立基金财产的银行</w:t>
      </w:r>
      <w:r>
        <w:rPr>
          <w:rFonts w:ascii="宋体" w:hAnsi="宋体" w:hint="eastAsia"/>
          <w:sz w:val="24"/>
          <w:szCs w:val="24"/>
        </w:rPr>
        <w:t>存款账户、证券账户、债券托管账户等投资所需账户。</w:t>
      </w:r>
    </w:p>
    <w:p w14:paraId="20693968"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lastRenderedPageBreak/>
        <w:t>4、基金托管人对所托管的不同基金财产分别设置账户，与基金托管人的其他业务和其他基金的托管业务实行严格的分账管理，确保基金财产的完整和独立。</w:t>
      </w:r>
    </w:p>
    <w:p w14:paraId="7FCC0F7D"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5、对于因为基金投资产生的应收资产和基金申购过程中产生的应收资产，应由基金管理人负责与有关当事人确定到账日期并通知基金托管人，到账日基金资产没有到达基金银行存款账户的，基金托管人应及时通知基金管理人采取措施进行催收。由此给基金造成损失的，基金管理人应负责向有关当事人追偿基金的损失。基金托管人对此不承担任何责任。</w:t>
      </w:r>
    </w:p>
    <w:p w14:paraId="527B1DE7"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6、除依据法律法规和《基金合同》的规定外，基金托管人不得委托第三人托管基金财产。</w:t>
      </w:r>
    </w:p>
    <w:p w14:paraId="58370B8C"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（二）基金募集资产的验证</w:t>
      </w:r>
    </w:p>
    <w:p w14:paraId="52C2D186"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基金募集期间募集的资金应存于基金管理人在具有基金销售业务资格或托管资格的商业银行开设的富荣基金管理有限公司基金募集专户。该账户由基金管理人开立并管理。</w:t>
      </w:r>
    </w:p>
    <w:p w14:paraId="16ECEF74"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基金募集期满之日起</w:t>
      </w:r>
      <w:r>
        <w:rPr>
          <w:rFonts w:ascii="宋体" w:hAnsi="宋体"/>
          <w:sz w:val="24"/>
          <w:szCs w:val="24"/>
        </w:rPr>
        <w:t>10日内，募集的基金</w:t>
      </w:r>
      <w:r>
        <w:rPr>
          <w:rFonts w:ascii="宋体" w:hAnsi="宋体" w:hint="eastAsia"/>
          <w:sz w:val="24"/>
          <w:szCs w:val="24"/>
        </w:rPr>
        <w:t>份额总额、基金募集金额、基金份额持有人人数符合《基金法》、《运作办法》等有关规定后，由基金管理人聘请符合《中华人民共和国证券法》规定的会计师事务所进行验资，出具验资报告，出具的验资报告应由参加验资的</w:t>
      </w:r>
      <w:r>
        <w:rPr>
          <w:rFonts w:ascii="宋体" w:hAnsi="宋体"/>
          <w:sz w:val="24"/>
          <w:szCs w:val="24"/>
        </w:rPr>
        <w:t>2名以上（含2名）中国注册会计师签字有效。验资完成，基金管理人应将募集到的全部资金存入基金托管人为基金开立的基金银行存款账户中，基金托管人在收到资金当日出具相关证明文件。</w:t>
      </w:r>
    </w:p>
    <w:p w14:paraId="1AAAEC97"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（三）基金的银行存款账户的开立和管理</w:t>
      </w:r>
    </w:p>
    <w:p w14:paraId="2A432038"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1、基金托管人应负责本基金银行存款账户的开立和管理。</w:t>
      </w:r>
    </w:p>
    <w:p w14:paraId="6C37C322"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2、基金托管人以本基金的名义在商业银行开立基金的银行存款账户，并根据中国人民银行规定计息。本基金的银行预留印鉴由基金托管</w:t>
      </w:r>
      <w:r>
        <w:rPr>
          <w:rFonts w:ascii="宋体" w:hAnsi="宋体" w:hint="eastAsia"/>
          <w:sz w:val="24"/>
          <w:szCs w:val="24"/>
        </w:rPr>
        <w:t>人制作、保管和使用。本基金的一切货币收支活动，包括但不限于投资、支付赎回金额、支付基金收益，均需通过本基金的银行存款账户进行。</w:t>
      </w:r>
    </w:p>
    <w:p w14:paraId="3245D16F"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3、本基金银行存款账户的开立和使用，限于满足开展本基金业务的需要。基金托管人和基金管理人不得假借本基金的名义开立其他任何银行存款账户；亦不得使用基金的任何银行存款账户进行本基金业务以外的活动。</w:t>
      </w:r>
    </w:p>
    <w:p w14:paraId="3B806053"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4、基金托管人可以通过申请开通本基金银行账户的企业网上银行业务进行</w:t>
      </w:r>
      <w:r>
        <w:rPr>
          <w:rFonts w:ascii="宋体" w:hAnsi="宋体"/>
          <w:sz w:val="24"/>
          <w:szCs w:val="24"/>
        </w:rPr>
        <w:lastRenderedPageBreak/>
        <w:t>资金支付，并使用企业网上银行（简称“网银”）办理托管资产的资金结算汇划业务。</w:t>
      </w:r>
    </w:p>
    <w:p w14:paraId="46FC1131"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5、基金银行存款账户的管理应符合法律、法规以及银行业监督管理机构的其他规定。</w:t>
      </w:r>
    </w:p>
    <w:p w14:paraId="4F2C51C0"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（四）基金的证券交收账户和资金交收账户的开立和管理</w:t>
      </w:r>
    </w:p>
    <w:p w14:paraId="7249217E"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基金托管人以基金托管人和本基金联名的方式在中国证券登记结算有限责任公司开立证券账户。</w:t>
      </w:r>
    </w:p>
    <w:p w14:paraId="7A96CA71"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14:paraId="05E15202"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基金管理人不得对基金证券交收账户、资金交收账户进行证券的超卖或超买。</w:t>
      </w:r>
    </w:p>
    <w:p w14:paraId="3013BB11"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（五）债券托管账户的开立和管理</w:t>
      </w:r>
    </w:p>
    <w:p w14:paraId="7FFC58AF"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1、募集资金经验资后，基金托管人负责在中央国债登记结算有限责任公司及银行间市场清算所股份有限公司以本基金的名义开立债券托管账户，并由基金托管人负责基金的债券及资金的清算。在上述手续办理完毕后，由基金托管人向人民银行进行报备。基金管理人负责申请基金进入全国银行间同业拆借市场进行交易，由基金管理人在中国外汇交易中心开设同业拆借市场交易账户。</w:t>
      </w:r>
    </w:p>
    <w:p w14:paraId="0EE325CB"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2、基金管理人代表基金对外签订中国银行间债券市场回购交易主协议。</w:t>
      </w:r>
    </w:p>
    <w:p w14:paraId="3B2D85BC"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（六）其他账户的开立和管理</w:t>
      </w:r>
    </w:p>
    <w:p w14:paraId="5C703E7C"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若中国证监会或其他监管机构在本托管协议订立日之后允许基金从事其他投资品种的投资业务，涉及相关账户的开立、使用的，由基金管理人协助基金托管人根据有关法律、法规的规定和《基金合同》的约定，开立有关账户。该账户按有关规则使用并管理。</w:t>
      </w:r>
    </w:p>
    <w:p w14:paraId="5919F5EF"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法律法规等有关规定对相关账户的开立和管理另有规定的，从其规定办理。</w:t>
      </w:r>
    </w:p>
    <w:p w14:paraId="53FCB853"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（七）基金财产投资的有关实物证券、银行存款定期存单等有价凭证的保管</w:t>
      </w:r>
    </w:p>
    <w:p w14:paraId="21383493"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实物证券由基金托管人存放于基金托管人或其他基金管理人与基金托管人协议一致的第三方机构的保管库。实物证券的购买和转让，由基金托管人根据基金管理人的指令办理。基金托管人对由基金托管人以外机构实际有效控制的本基金资产不承担保管责任。</w:t>
      </w:r>
    </w:p>
    <w:p w14:paraId="0445BEE0"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lastRenderedPageBreak/>
        <w:t>银行存款定期存单等有价凭证由基金托管人负责保管。</w:t>
      </w:r>
    </w:p>
    <w:p w14:paraId="02B85831"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（八）与基金财产有关的重大合同的保管</w:t>
      </w:r>
    </w:p>
    <w:p w14:paraId="751C07D8"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由基金管理人代表基金签署的与基金有关的重大合同的原件分别由基金托管人、基金管理人保管，相关业务程序另有限制除外。除本协议另有规定外，基金管理人在代基金签署与基金有关的重大合同时应尽可能保证持有二份以上的正本，以便基金管理人和基金托管人至少各持有一份正本的原件，基金管理人在合同签署后</w:t>
      </w:r>
      <w:r>
        <w:rPr>
          <w:rFonts w:ascii="宋体" w:hAnsi="宋体"/>
          <w:sz w:val="24"/>
          <w:szCs w:val="24"/>
        </w:rPr>
        <w:t>15个工作日内通过专人送达、挂号邮寄等安全方式将合同原件送达基金托管人处。合同的保管期限按照国家有关规定执行。</w:t>
      </w:r>
    </w:p>
    <w:p w14:paraId="4F65E494"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对于无法取得二份以上的正本的，基金管理人应向基金托管人提供与原件核对一致后加盖授权业务章的合同扫描件或传真件，未经双方协商或未在合同约定范围内，合同原件不得转移。</w:t>
      </w:r>
    </w:p>
    <w:p w14:paraId="12FEDCF5"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因基金管理人未按本协议约定及时向基金托管人送达重大合同原件或扫描件或传真件导致的法律责任，基金托管人不予承担。</w:t>
      </w:r>
    </w:p>
    <w:p w14:paraId="566F58A7" w14:textId="77777777" w:rsidR="00913A13" w:rsidRDefault="00913A13">
      <w:pPr>
        <w:spacing w:line="360" w:lineRule="auto"/>
        <w:ind w:firstLineChars="200" w:firstLine="480"/>
        <w:rPr>
          <w:rFonts w:ascii="宋体" w:hAnsi="宋体" w:hint="eastAsia"/>
          <w:sz w:val="24"/>
          <w:szCs w:val="24"/>
        </w:rPr>
      </w:pPr>
    </w:p>
    <w:p w14:paraId="08A8DA9C"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基金资产净值计算和会计核算</w:t>
      </w:r>
    </w:p>
    <w:p w14:paraId="50D7414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（一）基金资产净值及各类基金份额的基金份额净值的计算与复核</w:t>
      </w:r>
    </w:p>
    <w:p w14:paraId="6CF019E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基金资产净值是指基金资产总值减去负债后的价值。</w:t>
      </w:r>
    </w:p>
    <w:p w14:paraId="521DCBD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每工作日对基金资产估值。但基金管理人根据法律法规或基金合同的规定暂停估值时除外。估值原则应符合《基金合同》、《中国证监会关于证券投资基金估值业务的指导意见》、《证券投资基金会计核算业务指引》及其他法律、法规的规定。基金资产净值和各类基金份额的基金份额净值由基金管理人负责计算，基金托管人复核。各类基金份额净值是按照每个工作日闭市后，该类基金资产净值除以当日该类基金份额的余额数量计算，精确到</w:t>
      </w:r>
      <w:r>
        <w:rPr>
          <w:rFonts w:asciiTheme="minorEastAsia" w:hAnsiTheme="minorEastAsia" w:cs="Arial"/>
          <w:sz w:val="24"/>
          <w:szCs w:val="24"/>
        </w:rPr>
        <w:t>0.0001元，小数点后第5位四舍五入，由此产生的收益或损失由基金财产承担。基金管理人可以设立大额赎回情形下的净值精度应急调整机制。国家另有规定的，从其规定。基金管理人</w:t>
      </w:r>
      <w:r>
        <w:rPr>
          <w:rFonts w:asciiTheme="minorEastAsia" w:hAnsiTheme="minorEastAsia" w:cs="Arial" w:hint="eastAsia"/>
          <w:sz w:val="24"/>
          <w:szCs w:val="24"/>
        </w:rPr>
        <w:t>应每个工作日对基金资产估值。但基金管理人根据法律法规或基金合同的规定暂停估值时除外。基金管理人每个工作日对基金资产估值后，将各类基金份额净值结果发送基金托管人，经基金托管人复核无误后，由基金管理人按规定对外公布。</w:t>
      </w:r>
    </w:p>
    <w:p w14:paraId="5C20ED29"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本基金按以下方法估值：</w:t>
      </w:r>
      <w:r>
        <w:rPr>
          <w:rFonts w:asciiTheme="minorEastAsia" w:hAnsiTheme="minorEastAsia" w:cs="Arial"/>
          <w:sz w:val="24"/>
          <w:szCs w:val="24"/>
        </w:rPr>
        <w:t xml:space="preserve"> </w:t>
      </w:r>
    </w:p>
    <w:p w14:paraId="76372EB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lastRenderedPageBreak/>
        <w:t>1、证券交易所上市的有价证券的估值</w:t>
      </w:r>
    </w:p>
    <w:p w14:paraId="3E08D14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350F7F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0446A06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2484035B"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4）交易所上市交易的可转换债券以每日收盘价作为估值全价；</w:t>
      </w:r>
    </w:p>
    <w:p w14:paraId="77818A8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5）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3FAC606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52FAC63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2、处于未上市期间的有价证券应区分如下情况处理：</w:t>
      </w:r>
    </w:p>
    <w:p w14:paraId="7992859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1）送股、转增股、配股和公开增发的新股，按估值日在证券交易所挂牌的同一股票的估值方法估值；该日无交易的，以最近一日的市价（收盘价）估值；</w:t>
      </w:r>
    </w:p>
    <w:p w14:paraId="051CD83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2）首次公开发行未上市的股票、债券，采用估值技术确定公允价值，在</w:t>
      </w:r>
      <w:r>
        <w:rPr>
          <w:rFonts w:asciiTheme="minorEastAsia" w:hAnsiTheme="minorEastAsia" w:cs="Arial"/>
          <w:sz w:val="24"/>
          <w:szCs w:val="24"/>
        </w:rPr>
        <w:lastRenderedPageBreak/>
        <w:t>估值技术难以可靠计量公允价值的情况下，按成本估值；</w:t>
      </w:r>
    </w:p>
    <w:p w14:paraId="3EA06DE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w:t>
      </w:r>
      <w:r>
        <w:rPr>
          <w:rFonts w:asciiTheme="minorEastAsia" w:hAnsiTheme="minorEastAsia" w:cs="Arial" w:hint="eastAsia"/>
          <w:sz w:val="24"/>
          <w:szCs w:val="24"/>
        </w:rPr>
        <w:t>流通受限的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2BA53DA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3、全国银行间债券市场交易的债券、资产支持证券等固定收益品种，以第三方估值机构提供的价格数据估值。</w:t>
      </w:r>
    </w:p>
    <w:p w14:paraId="7D3A86A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4、同一</w:t>
      </w:r>
      <w:r>
        <w:rPr>
          <w:rFonts w:asciiTheme="minorEastAsia" w:hAnsiTheme="minorEastAsia" w:cs="Arial" w:hint="eastAsia"/>
          <w:sz w:val="24"/>
          <w:szCs w:val="24"/>
        </w:rPr>
        <w:t>证券同时在两个或两个以上市场交易的，按证券所处的市场分别估值。</w:t>
      </w:r>
    </w:p>
    <w:p w14:paraId="494DB3B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5、本基金投资国债期货</w:t>
      </w:r>
      <w:r>
        <w:rPr>
          <w:rFonts w:asciiTheme="minorEastAsia" w:hAnsiTheme="minorEastAsia" w:cs="Arial" w:hint="eastAsia"/>
          <w:sz w:val="24"/>
          <w:szCs w:val="24"/>
        </w:rPr>
        <w:t>合约、股指期货合约、股票期权合约，一般以估值当日结算价进行估值，估值当日无结算价的，且最近交易日后经济环境未发生重大变化的，采用最近交易日结算价估值。</w:t>
      </w:r>
    </w:p>
    <w:p w14:paraId="44F3C8D9"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6</w:t>
      </w:r>
      <w:r>
        <w:rPr>
          <w:rFonts w:asciiTheme="minorEastAsia" w:hAnsiTheme="minorEastAsia" w:cs="Arial" w:hint="eastAsia"/>
          <w:sz w:val="24"/>
          <w:szCs w:val="24"/>
        </w:rPr>
        <w:t>、本基金投资存托凭证的估值核算，依照境内上市交易的股票执行。</w:t>
      </w:r>
    </w:p>
    <w:p w14:paraId="576CF91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7</w:t>
      </w:r>
      <w:r>
        <w:rPr>
          <w:rFonts w:asciiTheme="minorEastAsia" w:hAnsiTheme="minorEastAsia" w:cs="Arial" w:hint="eastAsia"/>
          <w:sz w:val="24"/>
          <w:szCs w:val="24"/>
        </w:rPr>
        <w:t>、其他资产按法律法规或监管机构有关规定进行估值。</w:t>
      </w:r>
    </w:p>
    <w:p w14:paraId="0A9D7D9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8</w:t>
      </w:r>
      <w:r>
        <w:rPr>
          <w:rFonts w:asciiTheme="minorEastAsia" w:hAnsiTheme="minorEastAsia" w:cs="Arial" w:hint="eastAsia"/>
          <w:sz w:val="24"/>
          <w:szCs w:val="24"/>
        </w:rPr>
        <w:t>、如有确凿证据表明按上述方法进行估值不能客观反映其公允价值的，基金管理人可根据具体情况与基金托管人商定后，按最能反映公允价值的方法估值。</w:t>
      </w:r>
    </w:p>
    <w:p w14:paraId="56E6E7B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9</w:t>
      </w:r>
      <w:r>
        <w:rPr>
          <w:rFonts w:asciiTheme="minorEastAsia" w:hAnsiTheme="minorEastAsia" w:cs="Arial" w:hint="eastAsia"/>
          <w:sz w:val="24"/>
          <w:szCs w:val="24"/>
        </w:rPr>
        <w:t>、当本基金发生大额申购或赎回情形时，基金管理人可以对本基金采用摆动定价机制，以确保基金估值的公平性。</w:t>
      </w:r>
    </w:p>
    <w:p w14:paraId="7354084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10</w:t>
      </w:r>
      <w:r>
        <w:rPr>
          <w:rFonts w:asciiTheme="minorEastAsia" w:hAnsiTheme="minorEastAsia" w:cs="Arial" w:hint="eastAsia"/>
          <w:sz w:val="24"/>
          <w:szCs w:val="24"/>
        </w:rPr>
        <w:t>、相关法律法规以及监管部门有强制规定的，从其规定。如有新增事项，按国家最新规定估值。</w:t>
      </w:r>
    </w:p>
    <w:p w14:paraId="79CDAF5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62CC2452"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根据有关法律法规，基金资产净值计算和基金会计核算的义务由基金管理人承担，基金托管人承担复核责任。本基金的基金会计主责任方由基金管理人担任，因此，就与本基金有关的会计问题，如经相关各方在平等基础上充分讨论后，仍无法达成一致的意见，按照基金管理人对基金净值信息的计算结果对外予以公布，由此给基金份额持有人和基金造成的损失以及因该交易日基金资产净值计算顺延错误而引起的损失，由基金管理人负责赔付。</w:t>
      </w:r>
    </w:p>
    <w:p w14:paraId="4C9A52E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（二）估值错误处理</w:t>
      </w:r>
    </w:p>
    <w:p w14:paraId="576B3E1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基金管理人和基金托管人将采取必要、适当、合理的措施确保基金资产估值的准确性、及时性。当任一类基金份额净值小数点后</w:t>
      </w:r>
      <w:r>
        <w:rPr>
          <w:rFonts w:asciiTheme="minorEastAsia" w:hAnsiTheme="minorEastAsia" w:cs="Arial"/>
          <w:sz w:val="24"/>
          <w:szCs w:val="24"/>
        </w:rPr>
        <w:t>4位以内（含第4位）发生估值错误时，视为</w:t>
      </w:r>
      <w:r>
        <w:rPr>
          <w:rFonts w:asciiTheme="minorEastAsia" w:hAnsiTheme="minorEastAsia" w:cs="Arial" w:hint="eastAsia"/>
          <w:sz w:val="24"/>
          <w:szCs w:val="24"/>
        </w:rPr>
        <w:t>该类基金份额净值错误。</w:t>
      </w:r>
    </w:p>
    <w:p w14:paraId="4839A77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基金合同的当事人应按照以下约定处理：</w:t>
      </w:r>
    </w:p>
    <w:p w14:paraId="66DB238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1、估值错误类型</w:t>
      </w:r>
    </w:p>
    <w:p w14:paraId="7FEFBA7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本基金运作过程中，如果由于基金管理人或基金托管人、或登记机构、或证券经纪机构、</w:t>
      </w:r>
      <w:r>
        <w:rPr>
          <w:rFonts w:asciiTheme="minorEastAsia" w:hAnsiTheme="minorEastAsia" w:cs="Arial"/>
          <w:sz w:val="24"/>
          <w:szCs w:val="24"/>
        </w:rPr>
        <w:t xml:space="preserve"> </w:t>
      </w:r>
      <w:r>
        <w:rPr>
          <w:rFonts w:asciiTheme="minorEastAsia" w:hAnsiTheme="minorEastAsia" w:cs="Arial" w:hint="eastAsia"/>
          <w:sz w:val="24"/>
          <w:szCs w:val="24"/>
        </w:rPr>
        <w:t>或销售机构、或投资人自身的过错造成估值错误，导致其他当事人遭受损失的，过错的责任人应当对由于该估值错误遭受损失当事人（“受损方”）的直接损失按下述“估值错误处理原则”给予赔偿，承担赔偿责任。</w:t>
      </w:r>
    </w:p>
    <w:p w14:paraId="2AD0D300"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上述估值错误的主要类型包括但不限于：资料申报差错、数据传输差错、数据计算差错、系统故障差错、下达指令差错等。</w:t>
      </w:r>
    </w:p>
    <w:p w14:paraId="283B7F5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2、估值错误处理原则</w:t>
      </w:r>
    </w:p>
    <w:p w14:paraId="0D910C5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10942AD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2）估值错误的责任方对有关当事人的直接损失负责，不对间接损失负责，并且仅对估值错误的有关直接当事人负责，不对第三方负责。</w:t>
      </w:r>
    </w:p>
    <w:p w14:paraId="1F3D73B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3）因估值错误而获得不当得利的当事人负有及时返还不当得利的义务。但估值错误责任方仍应对估值错误负责。如果由于获得不当得利的当事人</w:t>
      </w:r>
      <w:r>
        <w:rPr>
          <w:rFonts w:asciiTheme="minorEastAsia" w:hAnsiTheme="minorEastAsia" w:cs="Arial" w:hint="eastAsia"/>
          <w:sz w:val="24"/>
          <w:szCs w:val="24"/>
        </w:rPr>
        <w:t>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38E2BD9"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4）估值错误调整采用尽量恢复至假设未发生估值错误的正确情形的方式。</w:t>
      </w:r>
    </w:p>
    <w:p w14:paraId="5034E5EB"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3、估值错误处理程序</w:t>
      </w:r>
    </w:p>
    <w:p w14:paraId="18654A2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估值错误被发现后，有关的当事人应当及时进行处理，处理的程序如下：</w:t>
      </w:r>
    </w:p>
    <w:p w14:paraId="00DA959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1）查明估值错误发生的原因，列明所有的当事人，并根据估值错误发生的原因确定估值错误的责任方；</w:t>
      </w:r>
    </w:p>
    <w:p w14:paraId="5CA93FA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2）根据估值错误处理原则或当事人协商的方法对因估值错误造成的损失进行评估；</w:t>
      </w:r>
    </w:p>
    <w:p w14:paraId="63FCEC26"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3）根据估值错误处理原则或当事人协商的方法由估值错误的责任方进行更正和赔偿损失；</w:t>
      </w:r>
    </w:p>
    <w:p w14:paraId="78FC4F5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4）根据估值错误处理的方法，需要修改基金</w:t>
      </w:r>
      <w:r>
        <w:rPr>
          <w:rFonts w:asciiTheme="minorEastAsia" w:hAnsiTheme="minorEastAsia" w:cs="Arial" w:hint="eastAsia"/>
          <w:sz w:val="24"/>
          <w:szCs w:val="24"/>
        </w:rPr>
        <w:t>份额登记机构交易数据的，由基金份额登记机构进行更正，并就估值错误的更正向有关当事人进行确认。</w:t>
      </w:r>
    </w:p>
    <w:p w14:paraId="027D694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4、基金份额净值估值错误处理的方法如下：</w:t>
      </w:r>
    </w:p>
    <w:p w14:paraId="203D393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1）基金份额净值计算出现错误时，基金管理人应当立即予以纠正，通报基金托管人，并采取合理的措施防止损失进一步扩大。</w:t>
      </w:r>
    </w:p>
    <w:p w14:paraId="67C9AE9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2）错误偏差达到</w:t>
      </w:r>
      <w:r>
        <w:rPr>
          <w:rFonts w:asciiTheme="minorEastAsia" w:hAnsiTheme="minorEastAsia" w:cs="Arial" w:hint="eastAsia"/>
          <w:sz w:val="24"/>
          <w:szCs w:val="24"/>
        </w:rPr>
        <w:t>某类基金份额净值的</w:t>
      </w:r>
      <w:r>
        <w:rPr>
          <w:rFonts w:asciiTheme="minorEastAsia" w:hAnsiTheme="minorEastAsia" w:cs="Arial"/>
          <w:sz w:val="24"/>
          <w:szCs w:val="24"/>
        </w:rPr>
        <w:t>0.25%时，基金管理人应当通报基金托管人并报中国证监会备案；错误偏差达到</w:t>
      </w:r>
      <w:r>
        <w:rPr>
          <w:rFonts w:asciiTheme="minorEastAsia" w:hAnsiTheme="minorEastAsia" w:cs="Arial" w:hint="eastAsia"/>
          <w:sz w:val="24"/>
          <w:szCs w:val="24"/>
        </w:rPr>
        <w:t>某类基金份额净值的</w:t>
      </w:r>
      <w:r>
        <w:rPr>
          <w:rFonts w:asciiTheme="minorEastAsia" w:hAnsiTheme="minorEastAsia" w:cs="Arial"/>
          <w:sz w:val="24"/>
          <w:szCs w:val="24"/>
        </w:rPr>
        <w:t>0.5%时，基金管理人应当公告</w:t>
      </w:r>
      <w:r>
        <w:rPr>
          <w:rFonts w:asciiTheme="minorEastAsia" w:hAnsiTheme="minorEastAsia" w:cs="Arial" w:hint="eastAsia"/>
          <w:sz w:val="24"/>
          <w:szCs w:val="24"/>
        </w:rPr>
        <w:t>，并报中国证监会备案。</w:t>
      </w:r>
    </w:p>
    <w:p w14:paraId="3F3B574E"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w:t>
      </w:r>
      <w:r>
        <w:rPr>
          <w:rFonts w:asciiTheme="minorEastAsia" w:hAnsiTheme="minorEastAsia" w:cs="Arial"/>
          <w:sz w:val="24"/>
          <w:szCs w:val="24"/>
        </w:rPr>
        <w:t>3）前述内容如法律法规或监管机关另有规定的，从其规定处理。</w:t>
      </w:r>
    </w:p>
    <w:p w14:paraId="6291289F"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（三）暂停估值的情形</w:t>
      </w:r>
    </w:p>
    <w:p w14:paraId="75D03B1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1、基金投资所涉及的证券/期货交易市场遇法定节假日或因其他原因暂停营业时；</w:t>
      </w:r>
    </w:p>
    <w:p w14:paraId="5076FD2D"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2、因不可抗力</w:t>
      </w:r>
      <w:r>
        <w:rPr>
          <w:rFonts w:asciiTheme="minorEastAsia" w:hAnsiTheme="minorEastAsia" w:cs="Arial" w:hint="eastAsia"/>
          <w:sz w:val="24"/>
          <w:szCs w:val="24"/>
        </w:rPr>
        <w:t>或其他情形致使基金管理人、基金托管人无法准确评估基金资产价值时；</w:t>
      </w:r>
    </w:p>
    <w:p w14:paraId="7FDB86E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3、当</w:t>
      </w:r>
      <w:r>
        <w:rPr>
          <w:rFonts w:asciiTheme="minorEastAsia" w:hAnsiTheme="minorEastAsia" w:cs="Arial" w:hint="eastAsia"/>
          <w:sz w:val="24"/>
          <w:szCs w:val="24"/>
        </w:rPr>
        <w:t>特定资产占前一估值日基金资产净值</w:t>
      </w:r>
      <w:r>
        <w:rPr>
          <w:rFonts w:asciiTheme="minorEastAsia" w:hAnsiTheme="minorEastAsia" w:cs="Arial"/>
          <w:sz w:val="24"/>
          <w:szCs w:val="24"/>
        </w:rPr>
        <w:t>50%以上的，经与基金托管人协商确认后，基金管理人应当暂停基金估值；</w:t>
      </w:r>
    </w:p>
    <w:p w14:paraId="23D2564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法律法规、中国证监会和基金合同认定的其它情形。</w:t>
      </w:r>
    </w:p>
    <w:p w14:paraId="5744DB67"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（四）基金会计制度</w:t>
      </w:r>
    </w:p>
    <w:p w14:paraId="07A1D0B1"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按国家有关部门制定的会计制度执行。</w:t>
      </w:r>
    </w:p>
    <w:p w14:paraId="65CFDAB5"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（五）基金账册的建立</w:t>
      </w:r>
    </w:p>
    <w:p w14:paraId="72064BBC"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和基金托管人在《基金合同》生效后，应按照双方约定的同一记账方法和会计处理原则，分别独立地设置、登录和保管本基金的全套账册，对双方各自的账册定期进行核对，互相监督，以保证基金财产的安全。若双方对会计</w:t>
      </w:r>
      <w:r>
        <w:rPr>
          <w:rFonts w:asciiTheme="minorEastAsia" w:hAnsiTheme="minorEastAsia" w:cs="Arial" w:hint="eastAsia"/>
          <w:sz w:val="24"/>
          <w:szCs w:val="24"/>
        </w:rPr>
        <w:lastRenderedPageBreak/>
        <w:t>处理方法存在分歧，应以基金管理人的处理方法为准。</w:t>
      </w:r>
    </w:p>
    <w:p w14:paraId="76946068"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（六）会计数据和财务指标的核对</w:t>
      </w:r>
    </w:p>
    <w:p w14:paraId="35437263"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双方应每个交易日核对账目，如发现双方的账目存在不符的，基金管理人和基金托管人必须及时查明原因并纠正，确保核对一致。若当日核对不符，暂时无法查找到错账的原因而影响到基金净值信息的计算和公告的，以基金管理人的账册为准。</w:t>
      </w:r>
    </w:p>
    <w:p w14:paraId="77881C80"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（七）基金定期报告的编制和复核</w:t>
      </w:r>
    </w:p>
    <w:p w14:paraId="3BBA40DA"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基金财务报表由基金管理人和基金托管人每月分别独立编制。月度报表的编制，应于每月终了后</w:t>
      </w:r>
      <w:r>
        <w:rPr>
          <w:rFonts w:asciiTheme="minorEastAsia" w:hAnsiTheme="minorEastAsia" w:cs="Arial"/>
          <w:sz w:val="24"/>
          <w:szCs w:val="24"/>
        </w:rPr>
        <w:t>5个工作日内完成。定期报告文件应按中国证监会的要求公告。季度报表的编制，应于每季度终了后15个工作日内完成；</w:t>
      </w:r>
      <w:r>
        <w:rPr>
          <w:rFonts w:asciiTheme="minorEastAsia" w:hAnsiTheme="minorEastAsia" w:cs="Arial" w:hint="eastAsia"/>
          <w:sz w:val="24"/>
          <w:szCs w:val="24"/>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中期报告在基金会计年度前</w:t>
      </w:r>
      <w:r>
        <w:rPr>
          <w:rFonts w:asciiTheme="minorEastAsia" w:hAnsiTheme="minorEastAsia" w:cs="Arial"/>
          <w:sz w:val="24"/>
          <w:szCs w:val="24"/>
        </w:rPr>
        <w:t>6个月结束后的两个月内公告；年度报告在会计年度结束后三个月内公告。</w:t>
      </w:r>
    </w:p>
    <w:p w14:paraId="7356C9D4"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基金管理人在月度报表完成当日，以约定方式将有关报表提供基金托管人；基金托管人在</w:t>
      </w:r>
      <w:r>
        <w:rPr>
          <w:rFonts w:asciiTheme="minorEastAsia" w:hAnsiTheme="minorEastAsia" w:cs="Arial"/>
          <w:sz w:val="24"/>
          <w:szCs w:val="24"/>
        </w:rPr>
        <w:t>2个工作日内进行复核，并将复核结果反馈给基金管理人。基金管理人在季度报表完成当日，以约定方式将有关报表提供基金托管人；基金托管人在5个工作日内进行复核，并将复核结果反馈给基金管理人。基金管理人在更新招募说明书完成当日，将有关报告提供基金托管人，基金托管人在收到15日内进行复核，并将复核结果反馈给基金管理人。基金管理人在半年度报告完成当日，将有关报告提供基金托管人，基金托管人在收到后20日内进行复核，并将复核结果反馈给基金管理人。基金管理人在年度报告完成当日，将有关报告提供基金托管人，基金托管人在收到后30日内复核，并将复核结果反馈给基金管理人。基金托管人在复核过程中，发现双方的报表存在不符时，基金管理人和基金托管人应共同查明原因，进行调整，调整以双方认可的账务处理方式为准。如果基金管理人与基金托管人不能</w:t>
      </w:r>
      <w:r>
        <w:rPr>
          <w:rFonts w:asciiTheme="minorEastAsia" w:hAnsiTheme="minorEastAsia" w:cs="Arial" w:hint="eastAsia"/>
          <w:sz w:val="24"/>
          <w:szCs w:val="24"/>
        </w:rPr>
        <w:t>于应当发布公告之日前就相关报表达成一致，基金管理人有权按照其编制的报表对外发布公告，基金托管人有权就相关情况报证监会备案。</w:t>
      </w:r>
    </w:p>
    <w:p w14:paraId="6389B3AA" w14:textId="77777777" w:rsidR="00913A13" w:rsidRDefault="002F45B8">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基金托管人在对财务报表、季度报告、中期报告或年度报告复核完毕后，可</w:t>
      </w:r>
      <w:r>
        <w:rPr>
          <w:rFonts w:asciiTheme="minorEastAsia" w:hAnsiTheme="minorEastAsia" w:cs="Arial" w:hint="eastAsia"/>
          <w:sz w:val="24"/>
          <w:szCs w:val="24"/>
        </w:rPr>
        <w:lastRenderedPageBreak/>
        <w:t>以出具复核确认书（盖章）、进行电子确认或以其他双方约定的方式确认，以备有权机构对相关文件审核检查</w:t>
      </w:r>
    </w:p>
    <w:p w14:paraId="34BE5F18" w14:textId="77777777" w:rsidR="00913A13" w:rsidRDefault="00913A13">
      <w:pPr>
        <w:adjustRightInd w:val="0"/>
        <w:snapToGrid w:val="0"/>
        <w:spacing w:line="360" w:lineRule="auto"/>
        <w:ind w:firstLineChars="200" w:firstLine="480"/>
        <w:rPr>
          <w:rFonts w:asciiTheme="minorEastAsia" w:hAnsiTheme="minorEastAsia" w:cs="Arial" w:hint="eastAsia"/>
          <w:sz w:val="24"/>
          <w:szCs w:val="24"/>
        </w:rPr>
      </w:pPr>
    </w:p>
    <w:p w14:paraId="0652E980"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基金份额持有人名册的保管</w:t>
      </w:r>
    </w:p>
    <w:p w14:paraId="35D47572"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基金管理人可委托基金登记机构登记和保管基金份额持有人名册。基金份额持有人名册的内容包括但不限于基金份额持有人的名称和持有的基金份额。</w:t>
      </w:r>
    </w:p>
    <w:p w14:paraId="32AA54C1"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份额持有人名册，包括基金募集期结束时的基金份额持有人名册、基金权益登记日的基金份额持有人名册、基金份额持有人大会权益登记日的基金份额持有人名册、每年最后一个交易日的基金份额持有人名册，由基金登记机构负责编制和保管，并对基金份额持有人名册的真实性、完整性和准确性负责。</w:t>
      </w:r>
    </w:p>
    <w:p w14:paraId="4B824EBF"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基金管理人应根据基金托管人的要求定期和不定期向基金托管人提供基金份额持有人名册。</w:t>
      </w:r>
    </w:p>
    <w:p w14:paraId="6113DF09"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（一）基金管理人于《基金合同》生效日及《基金合同》终止日后</w:t>
      </w:r>
      <w:r>
        <w:rPr>
          <w:rFonts w:ascii="宋体" w:hAnsi="宋体"/>
          <w:sz w:val="24"/>
          <w:szCs w:val="24"/>
        </w:rPr>
        <w:t>10个工作日内向基金托管人提供由登记</w:t>
      </w:r>
      <w:r>
        <w:rPr>
          <w:rFonts w:ascii="宋体" w:hAnsi="宋体" w:hint="eastAsia"/>
          <w:sz w:val="24"/>
          <w:szCs w:val="24"/>
        </w:rPr>
        <w:t>机构编制的基金份额持有人名册；</w:t>
      </w:r>
    </w:p>
    <w:p w14:paraId="52603A74"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（二）基金管理人于基金份额持有人大会权益登记日后</w:t>
      </w:r>
      <w:r>
        <w:rPr>
          <w:rFonts w:ascii="宋体" w:hAnsi="宋体"/>
          <w:sz w:val="24"/>
          <w:szCs w:val="24"/>
        </w:rPr>
        <w:t>5个工作日内向基金托管人提供由登记</w:t>
      </w:r>
      <w:r>
        <w:rPr>
          <w:rFonts w:ascii="宋体" w:hAnsi="宋体" w:hint="eastAsia"/>
          <w:sz w:val="24"/>
          <w:szCs w:val="24"/>
        </w:rPr>
        <w:t>机构编制的基金份额持有人名册；</w:t>
      </w:r>
    </w:p>
    <w:p w14:paraId="50AF5A58"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（三）基金管理人于每年最后一个交易日后</w:t>
      </w:r>
      <w:r>
        <w:rPr>
          <w:rFonts w:ascii="宋体" w:hAnsi="宋体"/>
          <w:sz w:val="24"/>
          <w:szCs w:val="24"/>
        </w:rPr>
        <w:t>10个工作日内向基金托管人提供由登记机构编制的基金份额持有人名册；</w:t>
      </w:r>
    </w:p>
    <w:p w14:paraId="7229B284"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（四）除上述约定时间外，如果确因业务需要，基金托管人与基金管理人商议一致后，由基金管理人向基金托管人提供由登记机构编制的基金份额持有人名册。</w:t>
      </w:r>
    </w:p>
    <w:p w14:paraId="44B255E8"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托管人以电子版形式妥善保管基金份额持有人名册，并定期刻成光盘备份，保存期限不低于法律法规规定的最低期限。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14:paraId="08968B1D" w14:textId="77777777" w:rsidR="00913A13" w:rsidRDefault="00913A13">
      <w:pPr>
        <w:spacing w:line="360" w:lineRule="auto"/>
        <w:ind w:firstLineChars="200" w:firstLine="480"/>
        <w:rPr>
          <w:rFonts w:ascii="宋体" w:hAnsi="宋体" w:hint="eastAsia"/>
          <w:sz w:val="24"/>
          <w:szCs w:val="24"/>
        </w:rPr>
      </w:pPr>
    </w:p>
    <w:p w14:paraId="1263853F"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争议解决方式</w:t>
      </w:r>
    </w:p>
    <w:p w14:paraId="0EFB6DB9" w14:textId="77777777" w:rsidR="00913A13" w:rsidRDefault="002F45B8">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相关各方当事人同意，因本协议而产生的或与本协议有关的一切争议，应通过友好协商或者调解解决。托管协议当事人不愿通过协商、调解解决或者协商、</w:t>
      </w:r>
      <w:r>
        <w:rPr>
          <w:rFonts w:ascii="宋体" w:hAnsi="宋体" w:hint="eastAsia"/>
          <w:sz w:val="24"/>
          <w:szCs w:val="24"/>
        </w:rPr>
        <w:lastRenderedPageBreak/>
        <w:t>调解不成的，应将争议提交上海仲裁委员会金融仲裁院，根据该会当时有效的仲裁规则进行仲裁，仲裁的地点为上海市，仲裁裁决是终局的，并对相关各方当事人均有约束力。除非仲裁裁决另有规定，仲裁费用由败诉方承担。</w:t>
      </w:r>
    </w:p>
    <w:p w14:paraId="5EAD0FA6" w14:textId="77777777" w:rsidR="00913A13" w:rsidRDefault="002F45B8">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争议处理期间，相关各方当事人应恪守基金管理人和基金托管人职责，继续忠实、勤勉、尽责地履行《基金合同》和本协议规定的义务，维护基金份额持有人的合法权益。</w:t>
      </w:r>
    </w:p>
    <w:p w14:paraId="303E2B0C" w14:textId="77777777" w:rsidR="00913A13" w:rsidRDefault="002F45B8">
      <w:pPr>
        <w:adjustRightInd w:val="0"/>
        <w:snapToGrid w:val="0"/>
        <w:spacing w:line="360" w:lineRule="auto"/>
        <w:ind w:firstLineChars="200" w:firstLine="480"/>
        <w:rPr>
          <w:rFonts w:ascii="宋体" w:hAnsi="宋体" w:hint="eastAsia"/>
          <w:sz w:val="24"/>
          <w:szCs w:val="24"/>
        </w:rPr>
      </w:pPr>
      <w:r>
        <w:rPr>
          <w:rFonts w:ascii="宋体" w:hAnsi="宋体" w:hint="eastAsia"/>
          <w:sz w:val="24"/>
          <w:szCs w:val="24"/>
        </w:rPr>
        <w:t>本协议受中华人民共和国法律（为本协议之目的，不包括香港、澳门特别行政区及台湾地区法律）管辖并从其解释。</w:t>
      </w:r>
    </w:p>
    <w:p w14:paraId="5C0639BC" w14:textId="77777777" w:rsidR="00913A13" w:rsidRDefault="002F45B8">
      <w:pPr>
        <w:pStyle w:val="aff1"/>
        <w:numPr>
          <w:ilvl w:val="0"/>
          <w:numId w:val="3"/>
        </w:numPr>
        <w:tabs>
          <w:tab w:val="left" w:pos="851"/>
        </w:tabs>
        <w:adjustRightInd w:val="0"/>
        <w:snapToGrid w:val="0"/>
        <w:spacing w:line="360" w:lineRule="auto"/>
        <w:ind w:firstLineChars="0"/>
        <w:outlineLvl w:val="1"/>
        <w:rPr>
          <w:rFonts w:asciiTheme="minorEastAsia" w:hAnsiTheme="minorEastAsia" w:cs="Arial" w:hint="eastAsia"/>
          <w:b/>
          <w:sz w:val="24"/>
          <w:szCs w:val="24"/>
        </w:rPr>
      </w:pPr>
      <w:r>
        <w:rPr>
          <w:rFonts w:asciiTheme="minorEastAsia" w:hAnsiTheme="minorEastAsia" w:cs="Arial" w:hint="eastAsia"/>
          <w:b/>
          <w:sz w:val="24"/>
          <w:szCs w:val="24"/>
        </w:rPr>
        <w:t>基金托管协议的变更、终止与基金财产的清算</w:t>
      </w:r>
    </w:p>
    <w:p w14:paraId="75E1BAFC"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（一）基金托管协议的变更</w:t>
      </w:r>
    </w:p>
    <w:p w14:paraId="6FCF3FA5"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本协议双方当事人经协商一致，可以对协议进行修改。修改后的新协议，其内容不得与《基金合同》的规定有任何冲突，并报中国证监会备案。</w:t>
      </w:r>
    </w:p>
    <w:p w14:paraId="7CC97E92"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（二）基金托管协议的终止</w:t>
      </w:r>
    </w:p>
    <w:p w14:paraId="59099AF4"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1、《基金合同》终止；</w:t>
      </w:r>
    </w:p>
    <w:p w14:paraId="608A5C7A"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2、基金托管人解散、依法被撤销、破产，被依法取消基金托管资格或因其他事由造成其他基金托管人接管基金财产；</w:t>
      </w:r>
    </w:p>
    <w:p w14:paraId="370AAC5B"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3、基金管理人解散、依法被撤销、破产，被依法取消基金管理资格或因其他事由造成其他基金管理人接管基金管理权；</w:t>
      </w:r>
    </w:p>
    <w:p w14:paraId="2F82F873"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4、发生《基金法》、《销售办法》、《运作办法》或其他法律、法规规定的终止事项。</w:t>
      </w:r>
    </w:p>
    <w:p w14:paraId="4E822200"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（三）基金财产的清算</w:t>
      </w:r>
    </w:p>
    <w:p w14:paraId="715F4C1D"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1、基金财产清算小组：自出现《基金合同》终止事由之日起30个工作日内成立清算小组，基金管理人</w:t>
      </w:r>
      <w:r>
        <w:rPr>
          <w:rFonts w:ascii="宋体" w:hAnsi="宋体" w:hint="eastAsia"/>
          <w:sz w:val="24"/>
          <w:szCs w:val="24"/>
        </w:rPr>
        <w:t>或临时基金管理人组织基金财产清算小组并在中国证监会的监督下进行基金清算。</w:t>
      </w:r>
    </w:p>
    <w:p w14:paraId="6FF7E6E0"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2、基金财产清算小组组成：基金财产清算小组成员由基金管理人</w:t>
      </w:r>
      <w:r>
        <w:rPr>
          <w:rFonts w:ascii="宋体" w:hAnsi="宋体" w:hint="eastAsia"/>
          <w:sz w:val="24"/>
          <w:szCs w:val="24"/>
        </w:rPr>
        <w:t>或临时基金管理人、基金托管人、符合《中华人民共和国证券法》规定的注册会计师、律师以及中国证监会指定的人员组成。基金财产清算小组可以聘用必要的工作人员。</w:t>
      </w:r>
    </w:p>
    <w:p w14:paraId="14610069"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3、基金财产清算小组职责：基金财产清算小组负责基金财产的保管、清理、估价、变现和分配。基金财产清算小组可以依法进行必要的民事活动。</w:t>
      </w:r>
    </w:p>
    <w:p w14:paraId="6859784F"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4、基金财产清算程序：</w:t>
      </w:r>
    </w:p>
    <w:p w14:paraId="4B69696E"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lastRenderedPageBreak/>
        <w:t>（</w:t>
      </w:r>
      <w:r>
        <w:rPr>
          <w:rFonts w:ascii="宋体" w:hAnsi="宋体"/>
          <w:sz w:val="24"/>
          <w:szCs w:val="24"/>
        </w:rPr>
        <w:t>1）《基金合同》终止情形出现时，由基金财产清算小组统一接管基金；</w:t>
      </w:r>
    </w:p>
    <w:p w14:paraId="25FE8F08"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2）对基金财产和债权债务进行清理和确认；</w:t>
      </w:r>
    </w:p>
    <w:p w14:paraId="31C1F93A"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3）对基金财产进行估值和变现；</w:t>
      </w:r>
    </w:p>
    <w:p w14:paraId="7982FF4F"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4）制作清算报告；</w:t>
      </w:r>
    </w:p>
    <w:p w14:paraId="3189605A"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5）聘请会计师事务所对清算报告进行外部审计，聘请律师事务所对清算报告出具法律意见书；</w:t>
      </w:r>
    </w:p>
    <w:p w14:paraId="7E4230D6"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6）将清算报告报中国证监会备案并公告；</w:t>
      </w:r>
    </w:p>
    <w:p w14:paraId="4C588145"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w:t>
      </w:r>
      <w:r>
        <w:rPr>
          <w:rFonts w:ascii="宋体" w:hAnsi="宋体"/>
          <w:sz w:val="24"/>
          <w:szCs w:val="24"/>
        </w:rPr>
        <w:t>7）对基金剩余财产进行分配。</w:t>
      </w:r>
    </w:p>
    <w:p w14:paraId="7A6413E5"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5、基金财产清算的期限为6个月，但因本基金所持证券的流动性受到限制而不能及时变现的，</w:t>
      </w:r>
      <w:r>
        <w:rPr>
          <w:rFonts w:ascii="宋体" w:hAnsi="宋体" w:hint="eastAsia"/>
          <w:sz w:val="24"/>
          <w:szCs w:val="24"/>
        </w:rPr>
        <w:t>清算期限可相应顺延。</w:t>
      </w:r>
    </w:p>
    <w:p w14:paraId="6C5C449B"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6、清算费用</w:t>
      </w:r>
    </w:p>
    <w:p w14:paraId="2AC0D76F"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清算费用是指基金财产清算小组在进行基金清算过程中发生的所有合理费用，清算费用由基金财产清算小组优先从基金财产中支付。</w:t>
      </w:r>
    </w:p>
    <w:p w14:paraId="4315912B"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7、基金财产清算剩余资产的分配</w:t>
      </w:r>
    </w:p>
    <w:p w14:paraId="2D6F0247"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依据基金财产清算的分配方案，将基金财产清算后的全部剩余资产扣除基金财产清算费用、交纳所欠税款并清偿基金债务后，按基金份额持有人持有的基金份额比例进行分配。</w:t>
      </w:r>
    </w:p>
    <w:p w14:paraId="16B7279A"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8、基金财产清算的公告</w:t>
      </w:r>
    </w:p>
    <w:p w14:paraId="0B76EF34"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宋体" w:hAnsi="宋体"/>
          <w:sz w:val="24"/>
          <w:szCs w:val="24"/>
        </w:rPr>
        <w:t>5个工作日内由基金财产清算小组进行公告</w:t>
      </w:r>
      <w:r>
        <w:rPr>
          <w:rFonts w:ascii="宋体" w:hAnsi="宋体" w:hint="eastAsia"/>
          <w:sz w:val="24"/>
          <w:szCs w:val="24"/>
        </w:rPr>
        <w:t>，基金财产清算小组应当将清算报告登载在规定网站上，并将清算报告提示性公告登载在规定报刊上。</w:t>
      </w:r>
    </w:p>
    <w:p w14:paraId="6CC35077" w14:textId="77777777" w:rsidR="00913A13" w:rsidRDefault="002F45B8">
      <w:pPr>
        <w:spacing w:line="360" w:lineRule="auto"/>
        <w:ind w:firstLineChars="200" w:firstLine="480"/>
        <w:rPr>
          <w:rFonts w:ascii="宋体" w:hAnsi="宋体" w:hint="eastAsia"/>
          <w:sz w:val="24"/>
          <w:szCs w:val="24"/>
        </w:rPr>
      </w:pPr>
      <w:r>
        <w:rPr>
          <w:rFonts w:ascii="宋体" w:hAnsi="宋体"/>
          <w:sz w:val="24"/>
          <w:szCs w:val="24"/>
        </w:rPr>
        <w:t>9、基金财产清算账册及文件的保存</w:t>
      </w:r>
    </w:p>
    <w:p w14:paraId="1BF2D660" w14:textId="77777777" w:rsidR="00913A13" w:rsidRDefault="002F45B8">
      <w:pPr>
        <w:spacing w:line="360" w:lineRule="auto"/>
        <w:ind w:firstLineChars="200" w:firstLine="480"/>
        <w:rPr>
          <w:rFonts w:ascii="宋体" w:hAnsi="宋体" w:hint="eastAsia"/>
          <w:sz w:val="24"/>
          <w:szCs w:val="24"/>
        </w:rPr>
      </w:pPr>
      <w:r>
        <w:rPr>
          <w:rFonts w:ascii="宋体" w:hAnsi="宋体" w:hint="eastAsia"/>
          <w:sz w:val="24"/>
          <w:szCs w:val="24"/>
        </w:rPr>
        <w:t>基金财产清算账册及有关文件由基金托管人保存，保存期限不低于法律法规规定的最低期限。</w:t>
      </w:r>
    </w:p>
    <w:p w14:paraId="4E16DF24" w14:textId="77777777" w:rsidR="00913A13" w:rsidRDefault="002F45B8">
      <w:pPr>
        <w:widowControl/>
        <w:jc w:val="left"/>
        <w:rPr>
          <w:rFonts w:ascii="宋体" w:hAnsi="宋体" w:hint="eastAsia"/>
          <w:sz w:val="24"/>
          <w:szCs w:val="24"/>
        </w:rPr>
      </w:pPr>
      <w:r>
        <w:rPr>
          <w:rFonts w:ascii="宋体" w:hAnsi="宋体"/>
          <w:sz w:val="24"/>
          <w:szCs w:val="24"/>
        </w:rPr>
        <w:br w:type="page"/>
      </w:r>
    </w:p>
    <w:p w14:paraId="5E7B3FBE" w14:textId="77777777" w:rsidR="00913A13" w:rsidRDefault="002F45B8">
      <w:pPr>
        <w:pStyle w:val="1"/>
        <w:jc w:val="center"/>
        <w:rPr>
          <w:sz w:val="30"/>
          <w:szCs w:val="30"/>
        </w:rPr>
      </w:pPr>
      <w:bookmarkStart w:id="433" w:name="_Toc68266308"/>
      <w:bookmarkStart w:id="434" w:name="_Toc136963821"/>
      <w:bookmarkStart w:id="435" w:name="_Toc416264555"/>
      <w:bookmarkStart w:id="436" w:name="_Toc263092328"/>
      <w:bookmarkStart w:id="437" w:name="_Toc12357176"/>
      <w:bookmarkStart w:id="438" w:name="_Toc147463123"/>
      <w:bookmarkStart w:id="439" w:name="_Toc21073396"/>
      <w:bookmarkStart w:id="440" w:name="_Toc214873621"/>
      <w:bookmarkStart w:id="441" w:name="_Toc23999"/>
      <w:bookmarkStart w:id="442" w:name="_Toc3319"/>
      <w:bookmarkStart w:id="443" w:name="_Toc30350"/>
      <w:bookmarkStart w:id="444" w:name="_Toc25651"/>
      <w:bookmarkStart w:id="445" w:name="_Toc7288"/>
      <w:bookmarkStart w:id="446" w:name="_Toc8636"/>
      <w:bookmarkStart w:id="447" w:name="_Toc98560366"/>
      <w:bookmarkStart w:id="448" w:name="_Toc141703902"/>
      <w:bookmarkStart w:id="449" w:name="_Toc123112249"/>
      <w:bookmarkStart w:id="450" w:name="_Toc1790"/>
      <w:bookmarkStart w:id="451" w:name="_Toc123051467"/>
      <w:bookmarkStart w:id="452" w:name="_Toc21983"/>
      <w:bookmarkStart w:id="453" w:name="_Toc6110"/>
      <w:bookmarkStart w:id="454" w:name="_Toc24923"/>
      <w:bookmarkStart w:id="455" w:name="_Toc139991751"/>
      <w:bookmarkStart w:id="456" w:name="_Toc6202"/>
      <w:bookmarkStart w:id="457" w:name="_Toc352229767"/>
      <w:bookmarkStart w:id="458" w:name="_Toc123102468"/>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Fonts w:hint="eastAsia"/>
          <w:sz w:val="30"/>
          <w:szCs w:val="30"/>
        </w:rPr>
        <w:lastRenderedPageBreak/>
        <w:t>第二十一部分</w:t>
      </w:r>
      <w:r>
        <w:rPr>
          <w:sz w:val="30"/>
          <w:szCs w:val="30"/>
        </w:rPr>
        <w:t xml:space="preserve">  </w:t>
      </w:r>
      <w:r>
        <w:rPr>
          <w:rFonts w:hint="eastAsia"/>
          <w:sz w:val="30"/>
          <w:szCs w:val="30"/>
        </w:rPr>
        <w:t>对基金份额持有人的服务</w:t>
      </w:r>
      <w:bookmarkEnd w:id="433"/>
      <w:bookmarkEnd w:id="434"/>
    </w:p>
    <w:p w14:paraId="394949CB"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4BA0CE8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7321074F"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552246DA"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1F04FB6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1D2E6376"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17AA57B3"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7CF3197B"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15259160"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5D46D5E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018A054C"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26F9F56D"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5E490EA5"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33C3B030"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754AF44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578B507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w:t>
      </w:r>
      <w:r>
        <w:rPr>
          <w:rFonts w:asciiTheme="minorEastAsia" w:hAnsiTheme="minorEastAsia" w:cs="Times New Roman" w:hint="eastAsia"/>
          <w:kern w:val="0"/>
          <w:sz w:val="24"/>
          <w:szCs w:val="24"/>
        </w:rPr>
        <w:t>深圳市福田区八卦四路52号安吉尔大厦24层</w:t>
      </w:r>
      <w:r>
        <w:rPr>
          <w:rFonts w:asciiTheme="minorEastAsia" w:hAnsiTheme="minorEastAsia" w:cs="Arial" w:hint="eastAsia"/>
          <w:sz w:val="24"/>
          <w:szCs w:val="24"/>
        </w:rPr>
        <w:t>，富荣基金管理有限公司客户服务部门（收）</w:t>
      </w:r>
    </w:p>
    <w:p w14:paraId="169BCADE"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71C258FF"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（七）如本招募说明书存在任何您/贵机构无法理解的内容，请通过上述联系方式联系基金管理人。请确保投资前，您/贵机构已经全面理解了本招募说明书。</w:t>
      </w:r>
    </w:p>
    <w:p w14:paraId="47DD313D" w14:textId="77777777" w:rsidR="00913A13" w:rsidRDefault="00913A13">
      <w:pPr>
        <w:spacing w:line="360" w:lineRule="auto"/>
        <w:ind w:firstLineChars="200" w:firstLine="480"/>
        <w:rPr>
          <w:rFonts w:asciiTheme="minorEastAsia" w:hAnsiTheme="minorEastAsia" w:cs="Arial" w:hint="eastAsia"/>
          <w:sz w:val="24"/>
          <w:szCs w:val="24"/>
        </w:rPr>
      </w:pPr>
    </w:p>
    <w:p w14:paraId="0BB6BBB8" w14:textId="77777777" w:rsidR="00913A13" w:rsidRDefault="00913A13">
      <w:pPr>
        <w:spacing w:line="360" w:lineRule="auto"/>
        <w:ind w:firstLineChars="200" w:firstLine="480"/>
        <w:rPr>
          <w:rFonts w:asciiTheme="minorEastAsia" w:hAnsiTheme="minorEastAsia" w:cs="Arial" w:hint="eastAsia"/>
          <w:sz w:val="24"/>
          <w:szCs w:val="24"/>
        </w:rPr>
      </w:pPr>
    </w:p>
    <w:p w14:paraId="7C4C2B0D" w14:textId="77777777" w:rsidR="00913A13" w:rsidRDefault="002F45B8">
      <w:pPr>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br w:type="page"/>
      </w:r>
    </w:p>
    <w:p w14:paraId="111C8E2F" w14:textId="77777777" w:rsidR="00913A13" w:rsidRDefault="002F45B8">
      <w:pPr>
        <w:pStyle w:val="1"/>
        <w:jc w:val="center"/>
        <w:rPr>
          <w:sz w:val="30"/>
          <w:szCs w:val="30"/>
        </w:rPr>
      </w:pPr>
      <w:bookmarkStart w:id="459" w:name="_Toc256666929"/>
      <w:bookmarkStart w:id="460" w:name="_Toc256666809"/>
      <w:bookmarkStart w:id="461" w:name="_Toc482624810"/>
      <w:bookmarkStart w:id="462" w:name="_Toc521338342"/>
      <w:bookmarkStart w:id="463" w:name="_Toc520207207"/>
      <w:bookmarkStart w:id="464" w:name="_Toc30359"/>
      <w:bookmarkStart w:id="465" w:name="_Toc136963822"/>
      <w:bookmarkStart w:id="466" w:name="_Toc37770224"/>
      <w:r>
        <w:rPr>
          <w:rFonts w:hint="eastAsia"/>
          <w:sz w:val="30"/>
          <w:szCs w:val="30"/>
        </w:rPr>
        <w:lastRenderedPageBreak/>
        <w:t xml:space="preserve">第二十二部分  </w:t>
      </w:r>
      <w:bookmarkEnd w:id="459"/>
      <w:bookmarkEnd w:id="460"/>
      <w:bookmarkEnd w:id="461"/>
      <w:bookmarkEnd w:id="462"/>
      <w:bookmarkEnd w:id="463"/>
      <w:bookmarkEnd w:id="464"/>
      <w:r>
        <w:rPr>
          <w:rFonts w:hint="eastAsia"/>
          <w:sz w:val="30"/>
          <w:szCs w:val="30"/>
        </w:rPr>
        <w:t>其他应披露事项</w:t>
      </w:r>
      <w:bookmarkEnd w:id="465"/>
      <w:bookmarkEnd w:id="466"/>
    </w:p>
    <w:tbl>
      <w:tblPr>
        <w:tblpPr w:leftFromText="180" w:rightFromText="180" w:vertAnchor="text" w:tblpX="40" w:tblpY="1"/>
        <w:tblOverlap w:val="never"/>
        <w:tblW w:w="9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6237"/>
        <w:gridCol w:w="1990"/>
      </w:tblGrid>
      <w:tr w:rsidR="00913A13" w14:paraId="3B600BF1" w14:textId="77777777">
        <w:trPr>
          <w:trHeight w:val="382"/>
        </w:trPr>
        <w:tc>
          <w:tcPr>
            <w:tcW w:w="817" w:type="dxa"/>
            <w:tcBorders>
              <w:top w:val="single" w:sz="4" w:space="0" w:color="auto"/>
              <w:left w:val="single" w:sz="4" w:space="0" w:color="auto"/>
              <w:bottom w:val="single" w:sz="4" w:space="0" w:color="auto"/>
              <w:right w:val="single" w:sz="4" w:space="0" w:color="auto"/>
            </w:tcBorders>
          </w:tcPr>
          <w:p w14:paraId="0F874950" w14:textId="77777777" w:rsidR="00913A13" w:rsidRDefault="002F45B8">
            <w:pPr>
              <w:jc w:val="center"/>
              <w:rPr>
                <w:rFonts w:ascii="宋体" w:hAnsi="宋体" w:hint="eastAsia"/>
                <w:szCs w:val="21"/>
              </w:rPr>
            </w:pPr>
            <w:r>
              <w:rPr>
                <w:rFonts w:asciiTheme="minorEastAsia" w:hAnsiTheme="minorEastAsia" w:cs="Arial" w:hint="eastAsia"/>
                <w:sz w:val="24"/>
                <w:szCs w:val="24"/>
              </w:rPr>
              <w:t>序号</w:t>
            </w:r>
          </w:p>
        </w:tc>
        <w:tc>
          <w:tcPr>
            <w:tcW w:w="6237" w:type="dxa"/>
            <w:tcBorders>
              <w:top w:val="single" w:sz="4" w:space="0" w:color="auto"/>
              <w:left w:val="single" w:sz="4" w:space="0" w:color="auto"/>
              <w:bottom w:val="single" w:sz="4" w:space="0" w:color="auto"/>
              <w:right w:val="single" w:sz="4" w:space="0" w:color="auto"/>
            </w:tcBorders>
          </w:tcPr>
          <w:p w14:paraId="54144A4B" w14:textId="77777777" w:rsidR="00913A13" w:rsidRDefault="002F45B8">
            <w:pPr>
              <w:jc w:val="center"/>
              <w:rPr>
                <w:rFonts w:ascii="宋体" w:hAnsi="宋体" w:hint="eastAsia"/>
                <w:szCs w:val="21"/>
              </w:rPr>
            </w:pPr>
            <w:r>
              <w:rPr>
                <w:rFonts w:asciiTheme="minorEastAsia" w:hAnsiTheme="minorEastAsia" w:cs="Arial" w:hint="eastAsia"/>
                <w:sz w:val="24"/>
                <w:szCs w:val="24"/>
              </w:rPr>
              <w:t>公告事项</w:t>
            </w:r>
          </w:p>
        </w:tc>
        <w:tc>
          <w:tcPr>
            <w:tcW w:w="1990" w:type="dxa"/>
            <w:tcBorders>
              <w:top w:val="single" w:sz="4" w:space="0" w:color="auto"/>
              <w:left w:val="single" w:sz="4" w:space="0" w:color="auto"/>
              <w:bottom w:val="single" w:sz="4" w:space="0" w:color="auto"/>
              <w:right w:val="single" w:sz="4" w:space="0" w:color="auto"/>
            </w:tcBorders>
          </w:tcPr>
          <w:p w14:paraId="2972FCFC" w14:textId="77777777" w:rsidR="00913A13" w:rsidRDefault="002F45B8">
            <w:pPr>
              <w:jc w:val="center"/>
              <w:rPr>
                <w:rFonts w:ascii="宋体" w:hAnsi="宋体" w:hint="eastAsia"/>
                <w:szCs w:val="21"/>
              </w:rPr>
            </w:pPr>
            <w:r>
              <w:rPr>
                <w:rFonts w:asciiTheme="minorEastAsia" w:hAnsiTheme="minorEastAsia" w:cs="Arial" w:hint="eastAsia"/>
                <w:sz w:val="24"/>
                <w:szCs w:val="24"/>
              </w:rPr>
              <w:t>披露日期</w:t>
            </w:r>
          </w:p>
        </w:tc>
      </w:tr>
      <w:tr w:rsidR="00AB61E5" w14:paraId="43724D95"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6EB6DF76" w14:textId="04E8FA5B" w:rsidR="00AB61E5" w:rsidRDefault="00AB61E5" w:rsidP="00AB61E5">
            <w:pPr>
              <w:jc w:val="center"/>
              <w:rPr>
                <w:rFonts w:asciiTheme="minorEastAsia" w:hAnsiTheme="minorEastAsia" w:cs="Arial" w:hint="eastAsia"/>
                <w:sz w:val="24"/>
                <w:szCs w:val="24"/>
              </w:rPr>
            </w:pPr>
            <w:r>
              <w:rPr>
                <w:rFonts w:hint="eastAsia"/>
                <w:color w:val="000000"/>
                <w:sz w:val="22"/>
              </w:rPr>
              <w:t>1</w:t>
            </w:r>
          </w:p>
        </w:tc>
        <w:tc>
          <w:tcPr>
            <w:tcW w:w="6237" w:type="dxa"/>
            <w:tcBorders>
              <w:top w:val="single" w:sz="4" w:space="0" w:color="auto"/>
              <w:left w:val="single" w:sz="4" w:space="0" w:color="auto"/>
              <w:bottom w:val="single" w:sz="4" w:space="0" w:color="auto"/>
              <w:right w:val="single" w:sz="4" w:space="0" w:color="auto"/>
            </w:tcBorders>
            <w:vAlign w:val="bottom"/>
          </w:tcPr>
          <w:p w14:paraId="78A79392" w14:textId="78D927B5"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富荣基金管理有限公司关于提醒投资者防范不法分子假冒本公司名义从事诈骗活动的公告</w:t>
            </w:r>
          </w:p>
        </w:tc>
        <w:tc>
          <w:tcPr>
            <w:tcW w:w="1990" w:type="dxa"/>
            <w:tcBorders>
              <w:top w:val="single" w:sz="4" w:space="0" w:color="auto"/>
              <w:left w:val="single" w:sz="4" w:space="0" w:color="auto"/>
              <w:bottom w:val="single" w:sz="4" w:space="0" w:color="auto"/>
              <w:right w:val="single" w:sz="4" w:space="0" w:color="auto"/>
            </w:tcBorders>
            <w:vAlign w:val="center"/>
          </w:tcPr>
          <w:p w14:paraId="4FD542D9" w14:textId="61E0E34B"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2025年5月6日</w:t>
            </w:r>
          </w:p>
        </w:tc>
      </w:tr>
      <w:tr w:rsidR="00AB61E5" w14:paraId="68DF6482"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1317234D" w14:textId="0B7C9C7A" w:rsidR="00AB61E5" w:rsidRDefault="00AB61E5" w:rsidP="00AB61E5">
            <w:pPr>
              <w:jc w:val="center"/>
              <w:rPr>
                <w:rFonts w:asciiTheme="minorEastAsia" w:hAnsiTheme="minorEastAsia" w:cs="Arial" w:hint="eastAsia"/>
                <w:sz w:val="24"/>
                <w:szCs w:val="24"/>
              </w:rPr>
            </w:pPr>
            <w:r>
              <w:rPr>
                <w:rFonts w:hint="eastAsia"/>
                <w:color w:val="000000"/>
                <w:sz w:val="22"/>
              </w:rPr>
              <w:t>2</w:t>
            </w:r>
          </w:p>
        </w:tc>
        <w:tc>
          <w:tcPr>
            <w:tcW w:w="6237" w:type="dxa"/>
            <w:tcBorders>
              <w:top w:val="single" w:sz="4" w:space="0" w:color="auto"/>
              <w:left w:val="single" w:sz="4" w:space="0" w:color="auto"/>
              <w:bottom w:val="single" w:sz="4" w:space="0" w:color="auto"/>
              <w:right w:val="single" w:sz="4" w:space="0" w:color="auto"/>
            </w:tcBorders>
            <w:vAlign w:val="bottom"/>
          </w:tcPr>
          <w:p w14:paraId="79B1F019" w14:textId="468B9AD5"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富荣基金管理有限公司关于旗下部分基金新增麦高证券有限责任公司为销售机构、开通基金定期定额投资业务和基金转换业务并参加申购及定期定额投资申购费率优惠活动的公告</w:t>
            </w:r>
          </w:p>
        </w:tc>
        <w:tc>
          <w:tcPr>
            <w:tcW w:w="1990" w:type="dxa"/>
            <w:tcBorders>
              <w:top w:val="single" w:sz="4" w:space="0" w:color="auto"/>
              <w:left w:val="single" w:sz="4" w:space="0" w:color="auto"/>
              <w:bottom w:val="single" w:sz="4" w:space="0" w:color="auto"/>
              <w:right w:val="single" w:sz="4" w:space="0" w:color="auto"/>
            </w:tcBorders>
            <w:vAlign w:val="center"/>
          </w:tcPr>
          <w:p w14:paraId="3A54F8F3" w14:textId="060B9A49"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2025年5月15日</w:t>
            </w:r>
          </w:p>
        </w:tc>
      </w:tr>
      <w:tr w:rsidR="00AB61E5" w14:paraId="65DCCE84"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5D1FAE16" w14:textId="062AA369" w:rsidR="00AB61E5" w:rsidRDefault="00AB61E5" w:rsidP="00AB61E5">
            <w:pPr>
              <w:jc w:val="center"/>
              <w:rPr>
                <w:rFonts w:asciiTheme="minorEastAsia" w:hAnsiTheme="minorEastAsia" w:cs="Arial" w:hint="eastAsia"/>
                <w:sz w:val="24"/>
                <w:szCs w:val="24"/>
              </w:rPr>
            </w:pPr>
            <w:r>
              <w:rPr>
                <w:rFonts w:hint="eastAsia"/>
                <w:color w:val="000000"/>
                <w:sz w:val="22"/>
              </w:rPr>
              <w:t>3</w:t>
            </w:r>
          </w:p>
        </w:tc>
        <w:tc>
          <w:tcPr>
            <w:tcW w:w="6237" w:type="dxa"/>
            <w:tcBorders>
              <w:top w:val="single" w:sz="4" w:space="0" w:color="auto"/>
              <w:left w:val="single" w:sz="4" w:space="0" w:color="auto"/>
              <w:bottom w:val="single" w:sz="4" w:space="0" w:color="auto"/>
              <w:right w:val="single" w:sz="4" w:space="0" w:color="auto"/>
            </w:tcBorders>
            <w:vAlign w:val="bottom"/>
          </w:tcPr>
          <w:p w14:paraId="23665A2F" w14:textId="2CCBB229"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富荣基金管理有限公司关于旗下部分基金新增江苏银行股份有限公司为销售机构、开通基金定期定额投资业务和基金转换业务并参加申购及定期定额投资申购费率优惠活动的公告</w:t>
            </w:r>
          </w:p>
        </w:tc>
        <w:tc>
          <w:tcPr>
            <w:tcW w:w="1990" w:type="dxa"/>
            <w:tcBorders>
              <w:top w:val="single" w:sz="4" w:space="0" w:color="auto"/>
              <w:left w:val="single" w:sz="4" w:space="0" w:color="auto"/>
              <w:bottom w:val="single" w:sz="4" w:space="0" w:color="auto"/>
              <w:right w:val="single" w:sz="4" w:space="0" w:color="auto"/>
            </w:tcBorders>
            <w:vAlign w:val="center"/>
          </w:tcPr>
          <w:p w14:paraId="289E8EE6" w14:textId="522E158F"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2025年5月23日</w:t>
            </w:r>
          </w:p>
        </w:tc>
      </w:tr>
      <w:tr w:rsidR="00AB61E5" w14:paraId="294F8CA7"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62EB8A4C" w14:textId="4CFDEF9B" w:rsidR="00AB61E5" w:rsidRDefault="00AB61E5" w:rsidP="00AB61E5">
            <w:pPr>
              <w:jc w:val="center"/>
              <w:rPr>
                <w:rFonts w:asciiTheme="minorEastAsia" w:hAnsiTheme="minorEastAsia" w:cs="Arial" w:hint="eastAsia"/>
                <w:sz w:val="24"/>
                <w:szCs w:val="24"/>
              </w:rPr>
            </w:pPr>
            <w:r>
              <w:rPr>
                <w:rFonts w:hint="eastAsia"/>
                <w:color w:val="000000"/>
                <w:sz w:val="22"/>
              </w:rPr>
              <w:t>4</w:t>
            </w:r>
          </w:p>
        </w:tc>
        <w:tc>
          <w:tcPr>
            <w:tcW w:w="6237" w:type="dxa"/>
            <w:tcBorders>
              <w:top w:val="single" w:sz="4" w:space="0" w:color="auto"/>
              <w:left w:val="single" w:sz="4" w:space="0" w:color="auto"/>
              <w:bottom w:val="single" w:sz="4" w:space="0" w:color="auto"/>
              <w:right w:val="single" w:sz="4" w:space="0" w:color="auto"/>
            </w:tcBorders>
            <w:vAlign w:val="bottom"/>
          </w:tcPr>
          <w:p w14:paraId="0125787B" w14:textId="5B06987F"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富荣基金管理有限公司关于旗下部分公开募集证券投资基金更新招募说明书及产品资料概要的提示性公告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158BA542" w14:textId="2BCB2B37"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2025年6月6日</w:t>
            </w:r>
          </w:p>
        </w:tc>
      </w:tr>
      <w:tr w:rsidR="00AB61E5" w14:paraId="301EE4FF"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6BD3A012" w14:textId="2C45B399" w:rsidR="00AB61E5" w:rsidRDefault="00AB61E5" w:rsidP="00AB61E5">
            <w:pPr>
              <w:jc w:val="center"/>
              <w:rPr>
                <w:rFonts w:asciiTheme="minorEastAsia" w:hAnsiTheme="minorEastAsia" w:cs="Arial" w:hint="eastAsia"/>
                <w:sz w:val="24"/>
                <w:szCs w:val="24"/>
              </w:rPr>
            </w:pPr>
            <w:r>
              <w:rPr>
                <w:rFonts w:hint="eastAsia"/>
                <w:color w:val="000000"/>
                <w:sz w:val="22"/>
              </w:rPr>
              <w:t>5</w:t>
            </w:r>
          </w:p>
        </w:tc>
        <w:tc>
          <w:tcPr>
            <w:tcW w:w="6237" w:type="dxa"/>
            <w:tcBorders>
              <w:top w:val="single" w:sz="4" w:space="0" w:color="auto"/>
              <w:left w:val="single" w:sz="4" w:space="0" w:color="auto"/>
              <w:bottom w:val="single" w:sz="4" w:space="0" w:color="auto"/>
              <w:right w:val="single" w:sz="4" w:space="0" w:color="auto"/>
            </w:tcBorders>
            <w:vAlign w:val="bottom"/>
          </w:tcPr>
          <w:p w14:paraId="30B0B9FB" w14:textId="0907CD87"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富荣基金管理有限公司关于提醒投资者持续完善身份信息资料的公告</w:t>
            </w:r>
          </w:p>
        </w:tc>
        <w:tc>
          <w:tcPr>
            <w:tcW w:w="1990" w:type="dxa"/>
            <w:tcBorders>
              <w:top w:val="single" w:sz="4" w:space="0" w:color="auto"/>
              <w:left w:val="single" w:sz="4" w:space="0" w:color="auto"/>
              <w:bottom w:val="single" w:sz="4" w:space="0" w:color="auto"/>
              <w:right w:val="single" w:sz="4" w:space="0" w:color="auto"/>
            </w:tcBorders>
            <w:vAlign w:val="center"/>
          </w:tcPr>
          <w:p w14:paraId="06DB8F8E" w14:textId="6E70EF16"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2025年6月24日</w:t>
            </w:r>
          </w:p>
        </w:tc>
      </w:tr>
      <w:tr w:rsidR="00AB61E5" w14:paraId="03574E1E"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2C43DD22" w14:textId="7D9114ED" w:rsidR="00AB61E5" w:rsidRDefault="00AB61E5" w:rsidP="00AB61E5">
            <w:pPr>
              <w:jc w:val="center"/>
              <w:rPr>
                <w:rFonts w:asciiTheme="minorEastAsia" w:hAnsiTheme="minorEastAsia" w:cs="Arial" w:hint="eastAsia"/>
                <w:sz w:val="24"/>
                <w:szCs w:val="24"/>
              </w:rPr>
            </w:pPr>
            <w:r>
              <w:rPr>
                <w:rFonts w:hint="eastAsia"/>
                <w:color w:val="000000"/>
                <w:sz w:val="22"/>
              </w:rPr>
              <w:t>6</w:t>
            </w:r>
          </w:p>
        </w:tc>
        <w:tc>
          <w:tcPr>
            <w:tcW w:w="6237" w:type="dxa"/>
            <w:tcBorders>
              <w:top w:val="single" w:sz="4" w:space="0" w:color="auto"/>
              <w:left w:val="single" w:sz="4" w:space="0" w:color="auto"/>
              <w:bottom w:val="single" w:sz="4" w:space="0" w:color="auto"/>
              <w:right w:val="single" w:sz="4" w:space="0" w:color="auto"/>
            </w:tcBorders>
            <w:vAlign w:val="bottom"/>
          </w:tcPr>
          <w:p w14:paraId="42873AAB" w14:textId="41DCC4B4"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富荣基金管理有限公司旗下全部基金2025年第2季度报告提示性公告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58E27960" w14:textId="1DA46343"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2025年7月21日</w:t>
            </w:r>
          </w:p>
        </w:tc>
      </w:tr>
      <w:tr w:rsidR="00AB61E5" w14:paraId="7A035EF2"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475C7A23" w14:textId="4680B291" w:rsidR="00AB61E5" w:rsidRDefault="00AB61E5" w:rsidP="00AB61E5">
            <w:pPr>
              <w:jc w:val="center"/>
              <w:rPr>
                <w:rFonts w:asciiTheme="minorEastAsia" w:hAnsiTheme="minorEastAsia" w:cs="Arial" w:hint="eastAsia"/>
                <w:sz w:val="24"/>
                <w:szCs w:val="24"/>
              </w:rPr>
            </w:pPr>
            <w:r>
              <w:rPr>
                <w:rFonts w:hint="eastAsia"/>
                <w:color w:val="000000"/>
                <w:sz w:val="22"/>
              </w:rPr>
              <w:t>7</w:t>
            </w:r>
          </w:p>
        </w:tc>
        <w:tc>
          <w:tcPr>
            <w:tcW w:w="6237" w:type="dxa"/>
            <w:tcBorders>
              <w:top w:val="single" w:sz="4" w:space="0" w:color="auto"/>
              <w:left w:val="single" w:sz="4" w:space="0" w:color="auto"/>
              <w:bottom w:val="single" w:sz="4" w:space="0" w:color="auto"/>
              <w:right w:val="single" w:sz="4" w:space="0" w:color="auto"/>
            </w:tcBorders>
            <w:vAlign w:val="bottom"/>
          </w:tcPr>
          <w:p w14:paraId="41C6751E" w14:textId="524F4B7A"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富荣基金管理有限公司关于提高富荣福银混合型证券投资基金净值精度的公告</w:t>
            </w:r>
          </w:p>
        </w:tc>
        <w:tc>
          <w:tcPr>
            <w:tcW w:w="1990" w:type="dxa"/>
            <w:tcBorders>
              <w:top w:val="single" w:sz="4" w:space="0" w:color="auto"/>
              <w:left w:val="single" w:sz="4" w:space="0" w:color="auto"/>
              <w:bottom w:val="single" w:sz="4" w:space="0" w:color="auto"/>
              <w:right w:val="single" w:sz="4" w:space="0" w:color="auto"/>
            </w:tcBorders>
            <w:vAlign w:val="center"/>
          </w:tcPr>
          <w:p w14:paraId="7587E905" w14:textId="6FF53DDB"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2025年7月30日</w:t>
            </w:r>
          </w:p>
        </w:tc>
      </w:tr>
      <w:tr w:rsidR="00AB61E5" w14:paraId="11DC9010"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6E5E6D1C" w14:textId="2E52E5EF" w:rsidR="00AB61E5" w:rsidRDefault="00AB61E5" w:rsidP="00AB61E5">
            <w:pPr>
              <w:jc w:val="center"/>
              <w:rPr>
                <w:rFonts w:asciiTheme="minorEastAsia" w:hAnsiTheme="minorEastAsia" w:cs="Arial" w:hint="eastAsia"/>
                <w:sz w:val="24"/>
                <w:szCs w:val="24"/>
              </w:rPr>
            </w:pPr>
            <w:r>
              <w:rPr>
                <w:rFonts w:hint="eastAsia"/>
                <w:color w:val="000000"/>
                <w:sz w:val="22"/>
              </w:rPr>
              <w:t>8</w:t>
            </w:r>
          </w:p>
        </w:tc>
        <w:tc>
          <w:tcPr>
            <w:tcW w:w="6237" w:type="dxa"/>
            <w:tcBorders>
              <w:top w:val="single" w:sz="4" w:space="0" w:color="auto"/>
              <w:left w:val="single" w:sz="4" w:space="0" w:color="auto"/>
              <w:bottom w:val="single" w:sz="4" w:space="0" w:color="auto"/>
              <w:right w:val="single" w:sz="4" w:space="0" w:color="auto"/>
            </w:tcBorders>
            <w:vAlign w:val="bottom"/>
          </w:tcPr>
          <w:p w14:paraId="378CCD79" w14:textId="3D4BC08A"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富荣基金管理有限公司旗下全部基金2025年中期报告提示性公告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2FB37001" w14:textId="56AFE3EF"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2025年8月30日</w:t>
            </w:r>
          </w:p>
        </w:tc>
      </w:tr>
      <w:tr w:rsidR="00AB61E5" w14:paraId="655C2BED"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558F640B" w14:textId="34C82230" w:rsidR="00AB61E5" w:rsidRDefault="00AB61E5" w:rsidP="00AB61E5">
            <w:pPr>
              <w:jc w:val="center"/>
              <w:rPr>
                <w:rFonts w:asciiTheme="minorEastAsia" w:hAnsiTheme="minorEastAsia" w:cs="Arial" w:hint="eastAsia"/>
                <w:sz w:val="24"/>
                <w:szCs w:val="24"/>
              </w:rPr>
            </w:pPr>
            <w:r>
              <w:rPr>
                <w:rFonts w:hint="eastAsia"/>
                <w:color w:val="000000"/>
                <w:sz w:val="22"/>
              </w:rPr>
              <w:t>9</w:t>
            </w:r>
          </w:p>
        </w:tc>
        <w:tc>
          <w:tcPr>
            <w:tcW w:w="6237" w:type="dxa"/>
            <w:tcBorders>
              <w:top w:val="single" w:sz="4" w:space="0" w:color="auto"/>
              <w:left w:val="single" w:sz="4" w:space="0" w:color="auto"/>
              <w:bottom w:val="single" w:sz="4" w:space="0" w:color="auto"/>
              <w:right w:val="single" w:sz="4" w:space="0" w:color="auto"/>
            </w:tcBorders>
            <w:vAlign w:val="bottom"/>
          </w:tcPr>
          <w:p w14:paraId="78FDD69B" w14:textId="7CD46785"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富荣福银混合型证券投资基金基金经理变更公告</w:t>
            </w:r>
          </w:p>
        </w:tc>
        <w:tc>
          <w:tcPr>
            <w:tcW w:w="1990" w:type="dxa"/>
            <w:tcBorders>
              <w:top w:val="single" w:sz="4" w:space="0" w:color="auto"/>
              <w:left w:val="single" w:sz="4" w:space="0" w:color="auto"/>
              <w:bottom w:val="single" w:sz="4" w:space="0" w:color="auto"/>
              <w:right w:val="single" w:sz="4" w:space="0" w:color="auto"/>
            </w:tcBorders>
            <w:vAlign w:val="center"/>
          </w:tcPr>
          <w:p w14:paraId="3D1EE5A1" w14:textId="10787105"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2025年9月12日</w:t>
            </w:r>
          </w:p>
        </w:tc>
      </w:tr>
      <w:tr w:rsidR="00AB61E5" w14:paraId="1F89353B"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1C0E0628" w14:textId="7794804A" w:rsidR="00AB61E5" w:rsidRDefault="00AB61E5" w:rsidP="00AB61E5">
            <w:pPr>
              <w:jc w:val="center"/>
              <w:rPr>
                <w:rFonts w:asciiTheme="minorEastAsia" w:hAnsiTheme="minorEastAsia" w:cs="Arial" w:hint="eastAsia"/>
                <w:sz w:val="24"/>
                <w:szCs w:val="24"/>
              </w:rPr>
            </w:pPr>
            <w:r>
              <w:rPr>
                <w:rFonts w:hint="eastAsia"/>
                <w:color w:val="000000"/>
                <w:sz w:val="22"/>
              </w:rPr>
              <w:t>10</w:t>
            </w:r>
          </w:p>
        </w:tc>
        <w:tc>
          <w:tcPr>
            <w:tcW w:w="6237" w:type="dxa"/>
            <w:tcBorders>
              <w:top w:val="single" w:sz="4" w:space="0" w:color="auto"/>
              <w:left w:val="single" w:sz="4" w:space="0" w:color="auto"/>
              <w:bottom w:val="single" w:sz="4" w:space="0" w:color="auto"/>
              <w:right w:val="single" w:sz="4" w:space="0" w:color="auto"/>
            </w:tcBorders>
            <w:vAlign w:val="bottom"/>
          </w:tcPr>
          <w:p w14:paraId="610EE4F3" w14:textId="722514CE"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富荣福银混合型证券投资基金招募说明书更新及产品资料概要更新的提示性公告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137235DE" w14:textId="49099262"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2025年9月16日</w:t>
            </w:r>
          </w:p>
        </w:tc>
      </w:tr>
      <w:tr w:rsidR="00AB61E5" w14:paraId="70AEF281"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6DCBD905" w14:textId="0F4192FF" w:rsidR="00AB61E5" w:rsidRDefault="00AB61E5" w:rsidP="00AB61E5">
            <w:pPr>
              <w:jc w:val="center"/>
              <w:rPr>
                <w:rFonts w:asciiTheme="minorEastAsia" w:hAnsiTheme="minorEastAsia" w:cs="Arial" w:hint="eastAsia"/>
                <w:sz w:val="24"/>
                <w:szCs w:val="24"/>
              </w:rPr>
            </w:pPr>
            <w:r>
              <w:rPr>
                <w:rFonts w:hint="eastAsia"/>
                <w:color w:val="000000"/>
                <w:sz w:val="22"/>
              </w:rPr>
              <w:t>11</w:t>
            </w:r>
          </w:p>
        </w:tc>
        <w:tc>
          <w:tcPr>
            <w:tcW w:w="6237" w:type="dxa"/>
            <w:tcBorders>
              <w:top w:val="single" w:sz="4" w:space="0" w:color="auto"/>
              <w:left w:val="single" w:sz="4" w:space="0" w:color="auto"/>
              <w:bottom w:val="single" w:sz="4" w:space="0" w:color="auto"/>
              <w:right w:val="single" w:sz="4" w:space="0" w:color="auto"/>
            </w:tcBorders>
            <w:vAlign w:val="bottom"/>
          </w:tcPr>
          <w:p w14:paraId="405184AF" w14:textId="61B0E87F"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富荣基金管理有限公司关于富荣福银混合型证券投资基金新增销售机构并参加销售机构申购及定期定额投资申购费率优惠活动的公告</w:t>
            </w:r>
          </w:p>
        </w:tc>
        <w:tc>
          <w:tcPr>
            <w:tcW w:w="1990" w:type="dxa"/>
            <w:tcBorders>
              <w:top w:val="single" w:sz="4" w:space="0" w:color="auto"/>
              <w:left w:val="single" w:sz="4" w:space="0" w:color="auto"/>
              <w:bottom w:val="single" w:sz="4" w:space="0" w:color="auto"/>
              <w:right w:val="single" w:sz="4" w:space="0" w:color="auto"/>
            </w:tcBorders>
            <w:vAlign w:val="center"/>
          </w:tcPr>
          <w:p w14:paraId="125C0EC2" w14:textId="65F31722"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2025年9月29日</w:t>
            </w:r>
          </w:p>
        </w:tc>
      </w:tr>
      <w:tr w:rsidR="00AB61E5" w14:paraId="0B78C7F1"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029A2A64" w14:textId="39CB73B4" w:rsidR="00AB61E5" w:rsidRDefault="00AB61E5" w:rsidP="00AB61E5">
            <w:pPr>
              <w:jc w:val="center"/>
              <w:rPr>
                <w:rFonts w:asciiTheme="minorEastAsia" w:hAnsiTheme="minorEastAsia" w:cs="Arial" w:hint="eastAsia"/>
                <w:sz w:val="24"/>
                <w:szCs w:val="24"/>
              </w:rPr>
            </w:pPr>
            <w:r>
              <w:rPr>
                <w:rFonts w:hint="eastAsia"/>
                <w:color w:val="000000"/>
                <w:sz w:val="22"/>
              </w:rPr>
              <w:t>12</w:t>
            </w:r>
          </w:p>
        </w:tc>
        <w:tc>
          <w:tcPr>
            <w:tcW w:w="6237" w:type="dxa"/>
            <w:tcBorders>
              <w:top w:val="single" w:sz="4" w:space="0" w:color="auto"/>
              <w:left w:val="single" w:sz="4" w:space="0" w:color="auto"/>
              <w:bottom w:val="single" w:sz="4" w:space="0" w:color="auto"/>
              <w:right w:val="single" w:sz="4" w:space="0" w:color="auto"/>
            </w:tcBorders>
            <w:vAlign w:val="bottom"/>
          </w:tcPr>
          <w:p w14:paraId="6F58E49D" w14:textId="70E2BD47"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富荣基金管理有限公司旗下全部基金2025年第3季度报告提示性公告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40475446" w14:textId="45E4DE88"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2025年10月28日</w:t>
            </w:r>
          </w:p>
        </w:tc>
      </w:tr>
      <w:tr w:rsidR="00AB61E5" w14:paraId="733F07D3"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339B191B" w14:textId="7839D182" w:rsidR="00AB61E5" w:rsidRDefault="00AB61E5" w:rsidP="00AB61E5">
            <w:pPr>
              <w:jc w:val="center"/>
              <w:rPr>
                <w:rFonts w:asciiTheme="minorEastAsia" w:hAnsiTheme="minorEastAsia" w:cs="Arial" w:hint="eastAsia"/>
                <w:sz w:val="24"/>
                <w:szCs w:val="24"/>
              </w:rPr>
            </w:pPr>
            <w:r>
              <w:rPr>
                <w:rFonts w:hint="eastAsia"/>
                <w:color w:val="000000"/>
                <w:sz w:val="22"/>
              </w:rPr>
              <w:t>13</w:t>
            </w:r>
          </w:p>
        </w:tc>
        <w:tc>
          <w:tcPr>
            <w:tcW w:w="6237" w:type="dxa"/>
            <w:tcBorders>
              <w:top w:val="single" w:sz="4" w:space="0" w:color="auto"/>
              <w:left w:val="single" w:sz="4" w:space="0" w:color="auto"/>
              <w:bottom w:val="single" w:sz="4" w:space="0" w:color="auto"/>
              <w:right w:val="single" w:sz="4" w:space="0" w:color="auto"/>
            </w:tcBorders>
            <w:vAlign w:val="bottom"/>
          </w:tcPr>
          <w:p w14:paraId="601EEF42" w14:textId="5D275AB7"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富荣基金管理有限公司关于调整旗下部分公募基金产品风险等级的公告</w:t>
            </w:r>
          </w:p>
        </w:tc>
        <w:tc>
          <w:tcPr>
            <w:tcW w:w="1990" w:type="dxa"/>
            <w:tcBorders>
              <w:top w:val="single" w:sz="4" w:space="0" w:color="auto"/>
              <w:left w:val="single" w:sz="4" w:space="0" w:color="auto"/>
              <w:bottom w:val="single" w:sz="4" w:space="0" w:color="auto"/>
              <w:right w:val="single" w:sz="4" w:space="0" w:color="auto"/>
            </w:tcBorders>
            <w:vAlign w:val="center"/>
          </w:tcPr>
          <w:p w14:paraId="1DCD97A3" w14:textId="36D63EB9"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2025年11月29日</w:t>
            </w:r>
          </w:p>
        </w:tc>
      </w:tr>
      <w:tr w:rsidR="00AB61E5" w14:paraId="266C4AFB"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541C3205" w14:textId="54311380" w:rsidR="00AB61E5" w:rsidRDefault="00AB61E5" w:rsidP="00AB61E5">
            <w:pPr>
              <w:jc w:val="center"/>
              <w:rPr>
                <w:rFonts w:asciiTheme="minorEastAsia" w:hAnsiTheme="minorEastAsia" w:cs="Arial" w:hint="eastAsia"/>
                <w:sz w:val="24"/>
                <w:szCs w:val="24"/>
              </w:rPr>
            </w:pPr>
            <w:r>
              <w:rPr>
                <w:rFonts w:hint="eastAsia"/>
                <w:color w:val="000000"/>
                <w:sz w:val="22"/>
              </w:rPr>
              <w:t>14</w:t>
            </w:r>
          </w:p>
        </w:tc>
        <w:tc>
          <w:tcPr>
            <w:tcW w:w="6237" w:type="dxa"/>
            <w:tcBorders>
              <w:top w:val="single" w:sz="4" w:space="0" w:color="auto"/>
              <w:left w:val="single" w:sz="4" w:space="0" w:color="auto"/>
              <w:bottom w:val="single" w:sz="4" w:space="0" w:color="auto"/>
              <w:right w:val="single" w:sz="4" w:space="0" w:color="auto"/>
            </w:tcBorders>
            <w:vAlign w:val="bottom"/>
          </w:tcPr>
          <w:p w14:paraId="58B7DA22" w14:textId="79C5FC99"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富荣基金管理有限公司关于提醒投资者持续完善身份信息资料的公告</w:t>
            </w:r>
          </w:p>
        </w:tc>
        <w:tc>
          <w:tcPr>
            <w:tcW w:w="1990" w:type="dxa"/>
            <w:tcBorders>
              <w:top w:val="single" w:sz="4" w:space="0" w:color="auto"/>
              <w:left w:val="single" w:sz="4" w:space="0" w:color="auto"/>
              <w:bottom w:val="single" w:sz="4" w:space="0" w:color="auto"/>
              <w:right w:val="single" w:sz="4" w:space="0" w:color="auto"/>
            </w:tcBorders>
            <w:vAlign w:val="center"/>
          </w:tcPr>
          <w:p w14:paraId="20382EE8" w14:textId="2ECDAA66"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2025年12月24日</w:t>
            </w:r>
          </w:p>
        </w:tc>
      </w:tr>
      <w:tr w:rsidR="00AB61E5" w14:paraId="6756D1FD"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23854AB7" w14:textId="230EC49A" w:rsidR="00AB61E5" w:rsidRDefault="00AB61E5" w:rsidP="00AB61E5">
            <w:pPr>
              <w:jc w:val="center"/>
              <w:rPr>
                <w:rFonts w:asciiTheme="minorEastAsia" w:hAnsiTheme="minorEastAsia" w:cs="Arial" w:hint="eastAsia"/>
                <w:sz w:val="24"/>
                <w:szCs w:val="24"/>
              </w:rPr>
            </w:pPr>
            <w:r>
              <w:rPr>
                <w:rFonts w:hint="eastAsia"/>
                <w:color w:val="000000"/>
                <w:sz w:val="22"/>
              </w:rPr>
              <w:t>15</w:t>
            </w:r>
          </w:p>
        </w:tc>
        <w:tc>
          <w:tcPr>
            <w:tcW w:w="6237" w:type="dxa"/>
            <w:tcBorders>
              <w:top w:val="single" w:sz="4" w:space="0" w:color="auto"/>
              <w:left w:val="single" w:sz="4" w:space="0" w:color="auto"/>
              <w:bottom w:val="single" w:sz="4" w:space="0" w:color="auto"/>
              <w:right w:val="single" w:sz="4" w:space="0" w:color="auto"/>
            </w:tcBorders>
            <w:vAlign w:val="bottom"/>
          </w:tcPr>
          <w:p w14:paraId="4B90058D" w14:textId="08990E9B"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富荣基金管理有限公司旗下基金2025年第4季度报告提示性公告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6F31DF77" w14:textId="047A376E"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2026年1月22日</w:t>
            </w:r>
          </w:p>
        </w:tc>
      </w:tr>
      <w:tr w:rsidR="00AB61E5" w14:paraId="65F3A0C9"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08C2B732" w14:textId="5FAD3526" w:rsidR="00AB61E5" w:rsidRDefault="00AB61E5" w:rsidP="00AB61E5">
            <w:pPr>
              <w:jc w:val="center"/>
              <w:rPr>
                <w:rFonts w:asciiTheme="minorEastAsia" w:hAnsiTheme="minorEastAsia" w:cs="Arial" w:hint="eastAsia"/>
                <w:sz w:val="24"/>
                <w:szCs w:val="24"/>
              </w:rPr>
            </w:pPr>
            <w:r>
              <w:rPr>
                <w:rFonts w:hint="eastAsia"/>
                <w:color w:val="000000"/>
                <w:sz w:val="22"/>
              </w:rPr>
              <w:t>16</w:t>
            </w:r>
          </w:p>
        </w:tc>
        <w:tc>
          <w:tcPr>
            <w:tcW w:w="6237" w:type="dxa"/>
            <w:tcBorders>
              <w:top w:val="single" w:sz="4" w:space="0" w:color="auto"/>
              <w:left w:val="single" w:sz="4" w:space="0" w:color="auto"/>
              <w:bottom w:val="single" w:sz="4" w:space="0" w:color="auto"/>
              <w:right w:val="single" w:sz="4" w:space="0" w:color="auto"/>
            </w:tcBorders>
            <w:vAlign w:val="bottom"/>
          </w:tcPr>
          <w:p w14:paraId="30FABC4D" w14:textId="12DCE9DE"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富荣福银混合型证券投资基金基金经理变更公告</w:t>
            </w:r>
          </w:p>
        </w:tc>
        <w:tc>
          <w:tcPr>
            <w:tcW w:w="1990" w:type="dxa"/>
            <w:tcBorders>
              <w:top w:val="single" w:sz="4" w:space="0" w:color="auto"/>
              <w:left w:val="single" w:sz="4" w:space="0" w:color="auto"/>
              <w:bottom w:val="single" w:sz="4" w:space="0" w:color="auto"/>
              <w:right w:val="single" w:sz="4" w:space="0" w:color="auto"/>
            </w:tcBorders>
            <w:vAlign w:val="center"/>
          </w:tcPr>
          <w:p w14:paraId="1E16A639" w14:textId="38FED099"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2026年3月26日</w:t>
            </w:r>
          </w:p>
        </w:tc>
      </w:tr>
      <w:tr w:rsidR="00AB61E5" w14:paraId="7DB8048A"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4E6C352E" w14:textId="229551F4" w:rsidR="00AB61E5" w:rsidRDefault="00AB61E5" w:rsidP="00AB61E5">
            <w:pPr>
              <w:jc w:val="center"/>
              <w:rPr>
                <w:rFonts w:asciiTheme="minorEastAsia" w:hAnsiTheme="minorEastAsia" w:cs="Arial" w:hint="eastAsia"/>
                <w:sz w:val="24"/>
                <w:szCs w:val="24"/>
              </w:rPr>
            </w:pPr>
            <w:r>
              <w:rPr>
                <w:rFonts w:hint="eastAsia"/>
                <w:color w:val="000000"/>
                <w:sz w:val="22"/>
              </w:rPr>
              <w:t>17</w:t>
            </w:r>
          </w:p>
        </w:tc>
        <w:tc>
          <w:tcPr>
            <w:tcW w:w="6237" w:type="dxa"/>
            <w:tcBorders>
              <w:top w:val="single" w:sz="4" w:space="0" w:color="auto"/>
              <w:left w:val="single" w:sz="4" w:space="0" w:color="auto"/>
              <w:bottom w:val="single" w:sz="4" w:space="0" w:color="auto"/>
              <w:right w:val="single" w:sz="4" w:space="0" w:color="auto"/>
            </w:tcBorders>
            <w:vAlign w:val="bottom"/>
          </w:tcPr>
          <w:p w14:paraId="284110B6" w14:textId="40101FD2"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富荣基金管理有限公司关于旗下部分公开募集证券投资基金更新招募说明书及产品资料概要的提示性公告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632AD847" w14:textId="150049CD"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2026年3月30日</w:t>
            </w:r>
          </w:p>
        </w:tc>
      </w:tr>
      <w:tr w:rsidR="00AB61E5" w14:paraId="11E5DA48"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17931FCA" w14:textId="471C0A59" w:rsidR="00AB61E5" w:rsidRDefault="00AB61E5" w:rsidP="00AB61E5">
            <w:pPr>
              <w:jc w:val="center"/>
              <w:rPr>
                <w:rFonts w:asciiTheme="minorEastAsia" w:hAnsiTheme="minorEastAsia" w:cs="Arial" w:hint="eastAsia"/>
                <w:sz w:val="24"/>
                <w:szCs w:val="24"/>
              </w:rPr>
            </w:pPr>
            <w:r>
              <w:rPr>
                <w:rFonts w:hint="eastAsia"/>
                <w:color w:val="000000"/>
                <w:sz w:val="22"/>
              </w:rPr>
              <w:t>18</w:t>
            </w:r>
          </w:p>
        </w:tc>
        <w:tc>
          <w:tcPr>
            <w:tcW w:w="6237" w:type="dxa"/>
            <w:tcBorders>
              <w:top w:val="single" w:sz="4" w:space="0" w:color="auto"/>
              <w:left w:val="single" w:sz="4" w:space="0" w:color="auto"/>
              <w:bottom w:val="single" w:sz="4" w:space="0" w:color="auto"/>
              <w:right w:val="single" w:sz="4" w:space="0" w:color="auto"/>
            </w:tcBorders>
            <w:vAlign w:val="bottom"/>
          </w:tcPr>
          <w:p w14:paraId="02375364" w14:textId="19C5E01C"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富荣基金管理有限公司旗下全部基金2025年年度报告提示性公告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1F86CFFD" w14:textId="18D7EB46"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2026年3月31日</w:t>
            </w:r>
          </w:p>
        </w:tc>
      </w:tr>
      <w:tr w:rsidR="00AB61E5" w14:paraId="191E7F7B" w14:textId="77777777" w:rsidTr="003F7E72">
        <w:trPr>
          <w:trHeight w:val="382"/>
        </w:trPr>
        <w:tc>
          <w:tcPr>
            <w:tcW w:w="817" w:type="dxa"/>
            <w:tcBorders>
              <w:top w:val="single" w:sz="4" w:space="0" w:color="auto"/>
              <w:left w:val="single" w:sz="4" w:space="0" w:color="auto"/>
              <w:bottom w:val="single" w:sz="4" w:space="0" w:color="auto"/>
              <w:right w:val="single" w:sz="4" w:space="0" w:color="auto"/>
            </w:tcBorders>
            <w:vAlign w:val="center"/>
          </w:tcPr>
          <w:p w14:paraId="39F3BD92" w14:textId="2E69A2B7" w:rsidR="00AB61E5" w:rsidRDefault="00AB61E5" w:rsidP="00AB61E5">
            <w:pPr>
              <w:jc w:val="center"/>
              <w:rPr>
                <w:rFonts w:asciiTheme="minorEastAsia" w:hAnsiTheme="minorEastAsia" w:cs="Arial" w:hint="eastAsia"/>
                <w:sz w:val="24"/>
                <w:szCs w:val="24"/>
              </w:rPr>
            </w:pPr>
            <w:r>
              <w:rPr>
                <w:rFonts w:hint="eastAsia"/>
                <w:color w:val="000000"/>
                <w:sz w:val="22"/>
              </w:rPr>
              <w:t>19</w:t>
            </w:r>
          </w:p>
        </w:tc>
        <w:tc>
          <w:tcPr>
            <w:tcW w:w="6237" w:type="dxa"/>
            <w:tcBorders>
              <w:top w:val="single" w:sz="4" w:space="0" w:color="auto"/>
              <w:left w:val="single" w:sz="4" w:space="0" w:color="auto"/>
              <w:bottom w:val="single" w:sz="4" w:space="0" w:color="auto"/>
              <w:right w:val="single" w:sz="4" w:space="0" w:color="auto"/>
            </w:tcBorders>
            <w:vAlign w:val="bottom"/>
          </w:tcPr>
          <w:p w14:paraId="56BC5378" w14:textId="2594087F" w:rsidR="00AB61E5" w:rsidRDefault="00AB61E5" w:rsidP="00AB61E5">
            <w:pPr>
              <w:rPr>
                <w:rFonts w:asciiTheme="minorEastAsia" w:hAnsiTheme="minorEastAsia" w:cs="Arial" w:hint="eastAsia"/>
                <w:sz w:val="24"/>
                <w:szCs w:val="24"/>
              </w:rPr>
            </w:pPr>
            <w:r>
              <w:rPr>
                <w:rFonts w:ascii="宋体" w:eastAsia="宋体" w:hAnsi="宋体" w:cs="宋体" w:hint="eastAsia"/>
                <w:color w:val="000000"/>
                <w:kern w:val="0"/>
                <w:sz w:val="22"/>
                <w:lang w:bidi="ar"/>
              </w:rPr>
              <w:t>富荣基金管理有限公司旗下全部基金2026年第1季度报告提示性公告</w:t>
            </w:r>
          </w:p>
        </w:tc>
        <w:tc>
          <w:tcPr>
            <w:tcW w:w="1990" w:type="dxa"/>
            <w:tcBorders>
              <w:top w:val="single" w:sz="4" w:space="0" w:color="auto"/>
              <w:left w:val="single" w:sz="4" w:space="0" w:color="auto"/>
              <w:bottom w:val="single" w:sz="4" w:space="0" w:color="auto"/>
              <w:right w:val="single" w:sz="4" w:space="0" w:color="auto"/>
            </w:tcBorders>
            <w:vAlign w:val="center"/>
          </w:tcPr>
          <w:p w14:paraId="11DAFCBC" w14:textId="4CECF2EB" w:rsidR="00AB61E5" w:rsidRDefault="00AB61E5" w:rsidP="00AB61E5">
            <w:pPr>
              <w:jc w:val="center"/>
              <w:rPr>
                <w:rFonts w:asciiTheme="minorEastAsia" w:hAnsiTheme="minorEastAsia" w:cs="Arial" w:hint="eastAsia"/>
                <w:sz w:val="24"/>
                <w:szCs w:val="24"/>
              </w:rPr>
            </w:pPr>
            <w:r>
              <w:rPr>
                <w:rFonts w:ascii="宋体" w:eastAsia="宋体" w:hAnsi="宋体" w:cs="宋体" w:hint="eastAsia"/>
                <w:color w:val="000000"/>
                <w:kern w:val="0"/>
                <w:sz w:val="22"/>
                <w:lang w:bidi="ar"/>
              </w:rPr>
              <w:t>2026年4月22日</w:t>
            </w:r>
          </w:p>
        </w:tc>
      </w:tr>
    </w:tbl>
    <w:p w14:paraId="730E3F00" w14:textId="77777777" w:rsidR="00913A13" w:rsidRDefault="00913A13"/>
    <w:p w14:paraId="0493E800" w14:textId="77777777" w:rsidR="00913A13" w:rsidRDefault="00913A13">
      <w:pPr>
        <w:spacing w:line="360" w:lineRule="auto"/>
        <w:ind w:firstLineChars="200" w:firstLine="480"/>
        <w:rPr>
          <w:rFonts w:asciiTheme="minorEastAsia" w:hAnsiTheme="minorEastAsia" w:cs="Arial" w:hint="eastAsia"/>
          <w:sz w:val="24"/>
          <w:szCs w:val="24"/>
        </w:rPr>
        <w:sectPr w:rsidR="00913A13">
          <w:headerReference w:type="even" r:id="rId53"/>
          <w:headerReference w:type="default" r:id="rId54"/>
          <w:footerReference w:type="default" r:id="rId55"/>
          <w:headerReference w:type="first" r:id="rId56"/>
          <w:pgSz w:w="11906" w:h="16838"/>
          <w:pgMar w:top="1440" w:right="1800" w:bottom="1440" w:left="1800" w:header="851" w:footer="992" w:gutter="0"/>
          <w:pgNumType w:chapStyle="1"/>
          <w:cols w:space="720"/>
          <w:docGrid w:type="lines" w:linePitch="312"/>
        </w:sectPr>
      </w:pPr>
    </w:p>
    <w:p w14:paraId="39380B5C" w14:textId="77777777" w:rsidR="00913A13" w:rsidRDefault="002F45B8">
      <w:pPr>
        <w:pStyle w:val="1"/>
        <w:jc w:val="center"/>
        <w:rPr>
          <w:sz w:val="30"/>
          <w:szCs w:val="30"/>
        </w:rPr>
      </w:pPr>
      <w:bookmarkStart w:id="467" w:name="_Toc530223198"/>
      <w:bookmarkStart w:id="468" w:name="_Toc136963823"/>
      <w:bookmarkStart w:id="469" w:name="_Toc214873622"/>
      <w:bookmarkStart w:id="470" w:name="_Toc416264556"/>
      <w:bookmarkStart w:id="471" w:name="_Toc68266309"/>
      <w:bookmarkStart w:id="472" w:name="_Toc263092329"/>
      <w:bookmarkEnd w:id="435"/>
      <w:bookmarkEnd w:id="436"/>
      <w:bookmarkEnd w:id="437"/>
      <w:bookmarkEnd w:id="438"/>
      <w:bookmarkEnd w:id="439"/>
      <w:bookmarkEnd w:id="440"/>
      <w:r>
        <w:rPr>
          <w:rFonts w:hint="eastAsia"/>
          <w:sz w:val="30"/>
          <w:szCs w:val="30"/>
        </w:rPr>
        <w:lastRenderedPageBreak/>
        <w:t>第二十三部分</w:t>
      </w:r>
      <w:r>
        <w:rPr>
          <w:sz w:val="30"/>
          <w:szCs w:val="30"/>
        </w:rPr>
        <w:t xml:space="preserve">  </w:t>
      </w:r>
      <w:r>
        <w:rPr>
          <w:rFonts w:hint="eastAsia"/>
          <w:sz w:val="30"/>
          <w:szCs w:val="30"/>
        </w:rPr>
        <w:t>招募说明书存放及查阅方式</w:t>
      </w:r>
      <w:bookmarkEnd w:id="467"/>
      <w:bookmarkEnd w:id="468"/>
      <w:bookmarkEnd w:id="469"/>
      <w:bookmarkEnd w:id="470"/>
      <w:bookmarkEnd w:id="471"/>
      <w:bookmarkEnd w:id="472"/>
    </w:p>
    <w:p w14:paraId="3618AD93"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6BC7C27B"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t>
      </w:r>
      <w:r>
        <w:rPr>
          <w:rFonts w:asciiTheme="minorEastAsia" w:hAnsiTheme="minorEastAsia" w:cs="Arial"/>
          <w:kern w:val="0"/>
          <w:sz w:val="24"/>
          <w:szCs w:val="24"/>
        </w:rPr>
        <w:t>www.furamc.com.cn）查阅和下载招募说明书。</w:t>
      </w:r>
    </w:p>
    <w:p w14:paraId="697CDFF8" w14:textId="77777777" w:rsidR="00913A13" w:rsidRDefault="00913A13">
      <w:pPr>
        <w:keepNext/>
        <w:keepLines/>
        <w:autoSpaceDE w:val="0"/>
        <w:autoSpaceDN w:val="0"/>
        <w:adjustRightInd w:val="0"/>
        <w:snapToGrid w:val="0"/>
        <w:spacing w:line="360" w:lineRule="auto"/>
        <w:ind w:firstLineChars="150" w:firstLine="361"/>
        <w:jc w:val="center"/>
        <w:textAlignment w:val="baseline"/>
        <w:outlineLvl w:val="0"/>
        <w:rPr>
          <w:rFonts w:asciiTheme="minorEastAsia" w:hAnsiTheme="minorEastAsia" w:cs="Times New Roman" w:hint="eastAsia"/>
          <w:b/>
          <w:kern w:val="0"/>
          <w:sz w:val="24"/>
          <w:szCs w:val="24"/>
        </w:rPr>
        <w:sectPr w:rsidR="00913A13">
          <w:headerReference w:type="even" r:id="rId57"/>
          <w:headerReference w:type="default" r:id="rId58"/>
          <w:headerReference w:type="first" r:id="rId59"/>
          <w:pgSz w:w="11906" w:h="16838"/>
          <w:pgMar w:top="1440" w:right="1800" w:bottom="1440" w:left="1800" w:header="851" w:footer="992" w:gutter="0"/>
          <w:cols w:space="425"/>
          <w:docGrid w:type="lines" w:linePitch="312"/>
        </w:sectPr>
      </w:pPr>
      <w:bookmarkStart w:id="473" w:name="_Toc263092330"/>
      <w:bookmarkStart w:id="474" w:name="_Toc416268879"/>
    </w:p>
    <w:p w14:paraId="76A90D86" w14:textId="77777777" w:rsidR="00913A13" w:rsidRDefault="002F45B8">
      <w:pPr>
        <w:pStyle w:val="1"/>
        <w:jc w:val="center"/>
      </w:pPr>
      <w:bookmarkStart w:id="475" w:name="_Toc68266310"/>
      <w:bookmarkStart w:id="476" w:name="_Toc136963824"/>
      <w:bookmarkEnd w:id="61"/>
      <w:bookmarkEnd w:id="62"/>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73"/>
      <w:bookmarkEnd w:id="474"/>
      <w:r>
        <w:rPr>
          <w:rFonts w:hint="eastAsia"/>
          <w:sz w:val="30"/>
          <w:szCs w:val="30"/>
        </w:rPr>
        <w:lastRenderedPageBreak/>
        <w:t>第二十四部分</w:t>
      </w:r>
      <w:r>
        <w:rPr>
          <w:sz w:val="30"/>
          <w:szCs w:val="30"/>
        </w:rPr>
        <w:t xml:space="preserve">  </w:t>
      </w:r>
      <w:r>
        <w:rPr>
          <w:rFonts w:hint="eastAsia"/>
          <w:sz w:val="30"/>
          <w:szCs w:val="30"/>
        </w:rPr>
        <w:t>备查文件</w:t>
      </w:r>
      <w:bookmarkEnd w:id="475"/>
      <w:bookmarkEnd w:id="476"/>
    </w:p>
    <w:p w14:paraId="4E78C51D"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0A2ED80F"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富荣福银混合型证券投资基金</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422367DA"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（二）《富荣福银混合型证券投资基金基金合同》 </w:t>
      </w:r>
    </w:p>
    <w:p w14:paraId="6353FD12"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（三）《富荣福银混合型证券投资基金托管协议》 </w:t>
      </w:r>
    </w:p>
    <w:p w14:paraId="28208471"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0285A1EB"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5BA1770E"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富荣福银混合型证券投资基金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5C614740"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1AF75A10" w14:textId="77777777" w:rsidR="00913A13" w:rsidRDefault="002F45B8">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1E46DC4D" w14:textId="77777777" w:rsidR="00913A13" w:rsidRDefault="00913A13">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1F7E2A33" w14:textId="77777777" w:rsidR="00913A13" w:rsidRDefault="00913A13">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4625B128"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2F0A2213"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32CA04E0"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0B29D447"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5EC16588"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3C610605"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7130D211"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78F7D7B9"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571BD6A8"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6206CE03" w14:textId="77777777" w:rsidR="00913A13" w:rsidRDefault="00913A13">
      <w:pPr>
        <w:widowControl/>
        <w:adjustRightInd w:val="0"/>
        <w:snapToGrid w:val="0"/>
        <w:spacing w:line="360" w:lineRule="auto"/>
        <w:ind w:rightChars="-85" w:right="-178" w:firstLineChars="200" w:firstLine="420"/>
        <w:rPr>
          <w:rFonts w:ascii="Arial" w:eastAsia="宋体" w:hAnsi="Arial" w:cs="Arial"/>
          <w:kern w:val="0"/>
          <w:szCs w:val="21"/>
        </w:rPr>
      </w:pPr>
    </w:p>
    <w:p w14:paraId="3A1A20E8" w14:textId="77777777" w:rsidR="00913A13" w:rsidRDefault="002F45B8">
      <w:pPr>
        <w:widowControl/>
        <w:adjustRightInd w:val="0"/>
        <w:snapToGrid w:val="0"/>
        <w:spacing w:line="360" w:lineRule="auto"/>
        <w:ind w:rightChars="-85" w:right="-178"/>
        <w:jc w:val="right"/>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富荣基金管理有限公司 </w:t>
      </w:r>
    </w:p>
    <w:p w14:paraId="176D39A1" w14:textId="644661D8" w:rsidR="00913A13" w:rsidRDefault="007D1CBF">
      <w:pPr>
        <w:widowControl/>
        <w:adjustRightInd w:val="0"/>
        <w:snapToGrid w:val="0"/>
        <w:spacing w:line="360" w:lineRule="auto"/>
        <w:ind w:rightChars="-85" w:right="-178" w:firstLineChars="2700" w:firstLine="6480"/>
      </w:pPr>
      <w:r>
        <w:rPr>
          <w:rFonts w:asciiTheme="minorEastAsia" w:hAnsiTheme="minorEastAsia" w:cs="Arial" w:hint="eastAsia"/>
          <w:kern w:val="0"/>
          <w:sz w:val="24"/>
          <w:szCs w:val="24"/>
        </w:rPr>
        <w:t>2026年9</w:t>
      </w:r>
      <w:r w:rsidR="002F45B8">
        <w:rPr>
          <w:rFonts w:asciiTheme="minorEastAsia" w:hAnsiTheme="minorEastAsia" w:cs="Arial" w:hint="eastAsia"/>
          <w:kern w:val="0"/>
          <w:sz w:val="24"/>
          <w:szCs w:val="24"/>
        </w:rPr>
        <w:t>月</w:t>
      </w:r>
      <w:r>
        <w:rPr>
          <w:rFonts w:asciiTheme="minorEastAsia" w:hAnsiTheme="minorEastAsia" w:cs="Arial" w:hint="eastAsia"/>
          <w:kern w:val="0"/>
          <w:sz w:val="24"/>
          <w:szCs w:val="24"/>
        </w:rPr>
        <w:t>21</w:t>
      </w:r>
      <w:r w:rsidR="002F45B8">
        <w:rPr>
          <w:rFonts w:asciiTheme="minorEastAsia" w:hAnsiTheme="minorEastAsia" w:cs="Arial" w:hint="eastAsia"/>
          <w:kern w:val="0"/>
          <w:sz w:val="24"/>
          <w:szCs w:val="24"/>
        </w:rPr>
        <w:t>日</w:t>
      </w:r>
    </w:p>
    <w:sectPr w:rsidR="00913A13">
      <w:headerReference w:type="even" r:id="rId60"/>
      <w:headerReference w:type="default" r:id="rId61"/>
      <w:footerReference w:type="default" r:id="rId62"/>
      <w:headerReference w:type="first" r:id="rId63"/>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3199" w14:textId="77777777" w:rsidR="00127DE2" w:rsidRDefault="00127DE2">
      <w:r>
        <w:separator/>
      </w:r>
    </w:p>
  </w:endnote>
  <w:endnote w:type="continuationSeparator" w:id="0">
    <w:p w14:paraId="23EA5406" w14:textId="77777777" w:rsidR="00127DE2" w:rsidRDefault="0012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Arial Unicode MS"/>
    <w:charset w:val="00"/>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94151"/>
    </w:sdtPr>
    <w:sdtEndPr/>
    <w:sdtContent>
      <w:p w14:paraId="50CE5209"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3</w:t>
        </w:r>
        <w:r>
          <w:rPr>
            <w:lang w:val="zh-CN"/>
          </w:rPr>
          <w:fldChar w:fldCharType="end"/>
        </w:r>
      </w:p>
    </w:sdtContent>
  </w:sdt>
  <w:p w14:paraId="162E1430" w14:textId="77777777" w:rsidR="00913A13" w:rsidRDefault="00913A1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390005"/>
    </w:sdtPr>
    <w:sdtEndPr/>
    <w:sdtContent>
      <w:p w14:paraId="116D782C"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4</w:t>
        </w:r>
        <w:r>
          <w:rPr>
            <w:lang w:val="zh-CN"/>
          </w:rPr>
          <w:fldChar w:fldCharType="end"/>
        </w:r>
      </w:p>
    </w:sdtContent>
  </w:sdt>
  <w:p w14:paraId="2FA7D992" w14:textId="77777777" w:rsidR="00913A13" w:rsidRDefault="00913A1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157458"/>
    </w:sdtPr>
    <w:sdtEndPr/>
    <w:sdtContent>
      <w:p w14:paraId="5CABFB66"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9</w:t>
        </w:r>
        <w:r>
          <w:rPr>
            <w:lang w:val="zh-CN"/>
          </w:rPr>
          <w:fldChar w:fldCharType="end"/>
        </w:r>
      </w:p>
    </w:sdtContent>
  </w:sdt>
  <w:p w14:paraId="4CD85EC8" w14:textId="77777777" w:rsidR="00913A13" w:rsidRDefault="00913A13">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6527"/>
    </w:sdtPr>
    <w:sdtEndPr/>
    <w:sdtContent>
      <w:p w14:paraId="5AEEAEE2"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15</w:t>
        </w:r>
        <w:r>
          <w:rPr>
            <w:lang w:val="zh-CN"/>
          </w:rPr>
          <w:fldChar w:fldCharType="end"/>
        </w:r>
      </w:p>
    </w:sdtContent>
  </w:sdt>
  <w:p w14:paraId="11B7F48A" w14:textId="77777777" w:rsidR="00913A13" w:rsidRDefault="00913A13">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205945"/>
    </w:sdtPr>
    <w:sdtEndPr/>
    <w:sdtContent>
      <w:p w14:paraId="0E7F0F68"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29</w:t>
        </w:r>
        <w:r>
          <w:rPr>
            <w:lang w:val="zh-CN"/>
          </w:rPr>
          <w:fldChar w:fldCharType="end"/>
        </w:r>
      </w:p>
    </w:sdtContent>
  </w:sdt>
  <w:p w14:paraId="3B7EBC8F" w14:textId="77777777" w:rsidR="00913A13" w:rsidRDefault="00913A13">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165260"/>
    </w:sdtPr>
    <w:sdtEndPr/>
    <w:sdtContent>
      <w:p w14:paraId="19FC7120"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30</w:t>
        </w:r>
        <w:r>
          <w:rPr>
            <w:lang w:val="zh-CN"/>
          </w:rPr>
          <w:fldChar w:fldCharType="end"/>
        </w:r>
      </w:p>
    </w:sdtContent>
  </w:sdt>
  <w:p w14:paraId="048CA2CF" w14:textId="77777777" w:rsidR="00913A13" w:rsidRDefault="00913A13">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333424"/>
    </w:sdtPr>
    <w:sdtEndPr/>
    <w:sdtContent>
      <w:p w14:paraId="11A2CD99"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31</w:t>
        </w:r>
        <w:r>
          <w:rPr>
            <w:lang w:val="zh-CN"/>
          </w:rPr>
          <w:fldChar w:fldCharType="end"/>
        </w:r>
      </w:p>
    </w:sdtContent>
  </w:sdt>
  <w:p w14:paraId="2DB6114B" w14:textId="77777777" w:rsidR="00913A13" w:rsidRDefault="00913A13">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1596" w14:textId="77777777" w:rsidR="00913A13" w:rsidRDefault="002F45B8">
    <w:pPr>
      <w:pStyle w:val="af0"/>
      <w:jc w:val="center"/>
    </w:pPr>
    <w:r>
      <w:fldChar w:fldCharType="begin"/>
    </w:r>
    <w:r>
      <w:instrText xml:space="preserve"> PAGE   \* MERGEFORMAT </w:instrText>
    </w:r>
    <w:r>
      <w:fldChar w:fldCharType="separate"/>
    </w:r>
    <w:r>
      <w:rPr>
        <w:lang w:val="zh-CN"/>
      </w:rPr>
      <w:t>81</w:t>
    </w:r>
    <w:r>
      <w:rPr>
        <w:lang w:val="zh-CN"/>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BAF6" w14:textId="77777777" w:rsidR="00913A13" w:rsidRDefault="002F45B8">
    <w:pPr>
      <w:pStyle w:val="af0"/>
      <w:jc w:val="center"/>
    </w:pPr>
    <w:r>
      <w:fldChar w:fldCharType="begin"/>
    </w:r>
    <w:r>
      <w:instrText xml:space="preserve"> PAGE   \* MERGEFORMAT </w:instrText>
    </w:r>
    <w:r>
      <w:fldChar w:fldCharType="separate"/>
    </w:r>
    <w:r>
      <w:rPr>
        <w:lang w:val="zh-CN"/>
      </w:rPr>
      <w:t>33</w:t>
    </w:r>
    <w:r>
      <w:rPr>
        <w:lang w:val="zh-CN"/>
      </w:rPr>
      <w:fldChar w:fldCharType="end"/>
    </w:r>
  </w:p>
  <w:p w14:paraId="630450D9" w14:textId="77777777" w:rsidR="00913A13" w:rsidRDefault="00913A13">
    <w:pPr>
      <w:pStyle w:val="af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1766251"/>
    </w:sdtPr>
    <w:sdtEndPr/>
    <w:sdtContent>
      <w:p w14:paraId="2186CE2E"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86</w:t>
        </w:r>
        <w:r>
          <w:rPr>
            <w:lang w:val="zh-CN"/>
          </w:rPr>
          <w:fldChar w:fldCharType="end"/>
        </w:r>
      </w:p>
    </w:sdtContent>
  </w:sdt>
  <w:p w14:paraId="4BA06FE9" w14:textId="77777777" w:rsidR="00913A13" w:rsidRDefault="00913A13">
    <w:pPr>
      <w:pStyle w:val="af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500172"/>
    </w:sdtPr>
    <w:sdtEndPr/>
    <w:sdtContent>
      <w:p w14:paraId="29F1360A" w14:textId="77777777" w:rsidR="00913A13" w:rsidRDefault="002F45B8">
        <w:pPr>
          <w:pStyle w:val="af0"/>
          <w:jc w:val="center"/>
        </w:pPr>
        <w:r>
          <w:rPr>
            <w:lang w:val="zh-CN"/>
          </w:rPr>
          <w:fldChar w:fldCharType="begin"/>
        </w:r>
        <w:r>
          <w:rPr>
            <w:lang w:val="zh-CN"/>
          </w:rPr>
          <w:instrText>PAGE   \* MERGEFORMAT</w:instrText>
        </w:r>
        <w:r>
          <w:rPr>
            <w:lang w:val="zh-CN"/>
          </w:rPr>
          <w:fldChar w:fldCharType="separate"/>
        </w:r>
        <w:r>
          <w:rPr>
            <w:lang w:val="zh-CN"/>
          </w:rPr>
          <w:t>132</w:t>
        </w:r>
        <w:r>
          <w:rPr>
            <w:lang w:val="zh-CN"/>
          </w:rPr>
          <w:fldChar w:fldCharType="end"/>
        </w:r>
      </w:p>
    </w:sdtContent>
  </w:sdt>
  <w:p w14:paraId="25B2E0EC" w14:textId="77777777" w:rsidR="00913A13" w:rsidRDefault="00913A13">
    <w:pPr>
      <w:pStyle w:val="af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066568"/>
    </w:sdtPr>
    <w:sdtEndPr/>
    <w:sdtContent>
      <w:p w14:paraId="4E456C3F" w14:textId="77777777" w:rsidR="00913A13" w:rsidRDefault="002F45B8">
        <w:pPr>
          <w:pStyle w:val="af0"/>
          <w:jc w:val="center"/>
        </w:pPr>
        <w:r>
          <w:fldChar w:fldCharType="begin"/>
        </w:r>
        <w:r>
          <w:instrText>PAGE   \* MERGEFORMAT</w:instrText>
        </w:r>
        <w:r>
          <w:fldChar w:fldCharType="separate"/>
        </w:r>
        <w:r>
          <w:rPr>
            <w:lang w:val="zh-CN"/>
          </w:rPr>
          <w:t>133</w:t>
        </w:r>
        <w:r>
          <w:fldChar w:fldCharType="end"/>
        </w:r>
      </w:p>
    </w:sdtContent>
  </w:sdt>
  <w:p w14:paraId="5856964F" w14:textId="77777777" w:rsidR="00913A13" w:rsidRDefault="00913A1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B3EE2" w14:textId="77777777" w:rsidR="00127DE2" w:rsidRDefault="00127DE2">
      <w:r>
        <w:separator/>
      </w:r>
    </w:p>
  </w:footnote>
  <w:footnote w:type="continuationSeparator" w:id="0">
    <w:p w14:paraId="049CEE9E" w14:textId="77777777" w:rsidR="00127DE2" w:rsidRDefault="00127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112F" w14:textId="77777777" w:rsidR="00913A13" w:rsidRDefault="005960D4">
    <w:r>
      <w:pict w14:anchorId="05447F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left:0;text-align:left;margin-left:0;margin-top:0;width:222.75pt;height:315.75pt;z-index:25166028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B89A" w14:textId="77777777" w:rsidR="00913A13" w:rsidRDefault="002F45B8">
    <w:pPr>
      <w:pStyle w:val="af2"/>
      <w:jc w:val="both"/>
    </w:pPr>
    <w:r>
      <w:rPr>
        <w:rFonts w:ascii="Arial" w:hAnsi="Arial" w:cs="Arial" w:hint="eastAsia"/>
        <w:szCs w:val="21"/>
      </w:rPr>
      <w:t>富荣福银混合型证券投资基金更新的</w:t>
    </w:r>
    <w:r>
      <w:rPr>
        <w:rFonts w:hint="eastAsia"/>
      </w:rPr>
      <w:t>招募说明书（</w:t>
    </w:r>
    <w:r>
      <w:rPr>
        <w:rFonts w:hint="eastAsia"/>
      </w:rPr>
      <w:t>2025</w:t>
    </w:r>
    <w:r>
      <w:rPr>
        <w:rFonts w:hint="eastAsia"/>
      </w:rPr>
      <w:t>年第</w:t>
    </w:r>
    <w:r>
      <w:rPr>
        <w:rFonts w:hint="eastAsia"/>
      </w:rPr>
      <w:t>2</w:t>
    </w:r>
    <w:r>
      <w:rPr>
        <w:rFonts w:hint="eastAsia"/>
      </w:rPr>
      <w:t>号）</w:t>
    </w:r>
  </w:p>
  <w:p w14:paraId="6306D538" w14:textId="77777777" w:rsidR="00913A13" w:rsidRDefault="005960D4">
    <w:r>
      <w:pict w14:anchorId="29559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4" type="#_x0000_t75" style="position:absolute;left:0;text-align:left;margin-left:0;margin-top:0;width:222.75pt;height:315.75pt;z-index:25165926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5A2F" w14:textId="77777777" w:rsidR="00913A13" w:rsidRDefault="005960D4">
    <w:r>
      <w:pict w14:anchorId="1571E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8" type="#_x0000_t75" style="position:absolute;left:0;text-align:left;margin-left:0;margin-top:0;width:222.75pt;height:315.75pt;z-index:251662336;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5FAD" w14:textId="77777777" w:rsidR="00913A13" w:rsidRDefault="00913A13">
    <w:pPr>
      <w:pStyle w:val="a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F8D4" w14:textId="77777777" w:rsidR="00913A13" w:rsidRDefault="005960D4">
    <w:r>
      <w:pict w14:anchorId="518A7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7" type="#_x0000_t75" style="position:absolute;left:0;text-align:left;margin-left:0;margin-top:0;width:222.75pt;height:315.75pt;z-index:25166131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83F6" w14:textId="77777777" w:rsidR="00913A13" w:rsidRDefault="005960D4">
    <w:r>
      <w:pict w14:anchorId="65A4B6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1" type="#_x0000_t75" style="position:absolute;left:0;text-align:left;margin-left:0;margin-top:0;width:222.75pt;height:315.75pt;z-index:25166438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7970" w14:textId="77777777" w:rsidR="00913A13" w:rsidRDefault="00913A13">
    <w:pPr>
      <w:pStyle w:val="af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38219" w14:textId="77777777" w:rsidR="00913A13" w:rsidRDefault="005960D4">
    <w:r>
      <w:pict w14:anchorId="5FFA3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0" type="#_x0000_t75" style="position:absolute;left:0;text-align:left;margin-left:0;margin-top:0;width:222.75pt;height:315.75pt;z-index:251663360;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BFE0" w14:textId="77777777" w:rsidR="00913A13" w:rsidRDefault="005960D4">
    <w:r>
      <w:pict w14:anchorId="245C20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4" type="#_x0000_t75" style="position:absolute;left:0;text-align:left;margin-left:0;margin-top:0;width:222.75pt;height:315.75pt;z-index:25166643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01013" w14:textId="77777777" w:rsidR="00913A13" w:rsidRDefault="00913A13">
    <w:pPr>
      <w:pStyle w:val="af2"/>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A8F4" w14:textId="77777777" w:rsidR="00913A13" w:rsidRDefault="005960D4">
    <w:r>
      <w:pict w14:anchorId="4C13B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3" type="#_x0000_t75" style="position:absolute;left:0;text-align:left;margin-left:0;margin-top:0;width:222.75pt;height:315.75pt;z-index:25166540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6F53" w14:textId="77777777" w:rsidR="00913A13" w:rsidRDefault="005960D4">
    <w:r>
      <w:pict w14:anchorId="6C400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7" type="#_x0000_t75" style="position:absolute;left:0;text-align:left;margin-left:0;margin-top:0;width:222.75pt;height:315.75pt;z-index:251668480;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0A61" w14:textId="77777777" w:rsidR="00913A13" w:rsidRDefault="00913A13">
    <w:pPr>
      <w:pStyle w:val="af2"/>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0FDF" w14:textId="77777777" w:rsidR="00913A13" w:rsidRDefault="005960D4">
    <w:r>
      <w:pict w14:anchorId="477DF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6" type="#_x0000_t75" style="position:absolute;left:0;text-align:left;margin-left:0;margin-top:0;width:222.75pt;height:315.75pt;z-index:251667456;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30120" w14:textId="77777777" w:rsidR="00913A13" w:rsidRDefault="005960D4">
    <w:r>
      <w:pict w14:anchorId="6F36C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0" type="#_x0000_t75" style="position:absolute;left:0;text-align:left;margin-left:0;margin-top:0;width:222.75pt;height:315.75pt;z-index:25167052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322E" w14:textId="77777777" w:rsidR="00913A13" w:rsidRDefault="00913A13">
    <w:pPr>
      <w:pStyle w:val="af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B27A" w14:textId="77777777" w:rsidR="00913A13" w:rsidRDefault="005960D4">
    <w:r>
      <w:pict w14:anchorId="4C7DB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89" type="#_x0000_t75" style="position:absolute;left:0;text-align:left;margin-left:0;margin-top:0;width:222.75pt;height:315.75pt;z-index:25166950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8FED" w14:textId="77777777" w:rsidR="00913A13" w:rsidRDefault="005960D4">
    <w:r>
      <w:pict w14:anchorId="6AC8F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3" type="#_x0000_t75" style="position:absolute;left:0;text-align:left;margin-left:0;margin-top:0;width:222.75pt;height:315.75pt;z-index:251672576;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023E" w14:textId="77777777" w:rsidR="00913A13" w:rsidRDefault="00913A13">
    <w:pPr>
      <w:pStyle w:val="af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BE42" w14:textId="77777777" w:rsidR="00913A13" w:rsidRDefault="005960D4">
    <w:r>
      <w:pict w14:anchorId="36D5C1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2" type="#_x0000_t75" style="position:absolute;left:0;text-align:left;margin-left:0;margin-top:0;width:222.75pt;height:315.75pt;z-index:25167155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EC0F" w14:textId="77777777" w:rsidR="00913A13" w:rsidRDefault="005960D4">
    <w:r>
      <w:pict w14:anchorId="29ABFF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6" type="#_x0000_t75" style="position:absolute;left:0;text-align:left;margin-left:0;margin-top:0;width:222.75pt;height:315.75pt;z-index:25167462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0B4F" w14:textId="77777777" w:rsidR="00913A13" w:rsidRDefault="00913A13">
    <w:pPr>
      <w:pStyle w:val="af2"/>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1429" w14:textId="77777777" w:rsidR="00913A13" w:rsidRDefault="005960D4">
    <w:r>
      <w:pict w14:anchorId="72F9A6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5" type="#_x0000_t75" style="position:absolute;left:0;text-align:left;margin-left:0;margin-top:0;width:222.75pt;height:315.75pt;z-index:251673600;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0EBB" w14:textId="77777777" w:rsidR="00913A13" w:rsidRDefault="005960D4">
    <w:r>
      <w:pict w14:anchorId="1A031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9" type="#_x0000_t75" style="position:absolute;left:0;text-align:left;margin-left:0;margin-top:0;width:222.75pt;height:315.75pt;z-index:25167667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34595" w14:textId="77777777" w:rsidR="00913A13" w:rsidRDefault="00913A13">
    <w:pPr>
      <w:pStyle w:val="af2"/>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B073" w14:textId="77777777" w:rsidR="00913A13" w:rsidRDefault="005960D4">
    <w:r>
      <w:pict w14:anchorId="0275A3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98" type="#_x0000_t75" style="position:absolute;left:0;text-align:left;margin-left:0;margin-top:0;width:222.75pt;height:315.75pt;z-index:25167564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92FC5" w14:textId="77777777" w:rsidR="00913A13" w:rsidRDefault="005960D4">
    <w:r>
      <w:pict w14:anchorId="5FD4C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2" type="#_x0000_t75" style="position:absolute;left:0;text-align:left;margin-left:0;margin-top:0;width:222.75pt;height:315.75pt;z-index:251678720;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2DD3" w14:textId="77777777" w:rsidR="00913A13" w:rsidRDefault="00913A13">
    <w:pPr>
      <w:pStyle w:val="af2"/>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21419" w14:textId="77777777" w:rsidR="00913A13" w:rsidRDefault="005960D4">
    <w:r>
      <w:pict w14:anchorId="1AFA2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1" type="#_x0000_t75" style="position:absolute;left:0;text-align:left;margin-left:0;margin-top:0;width:222.75pt;height:315.75pt;z-index:251677696;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75955" w14:textId="77777777" w:rsidR="00913A13" w:rsidRDefault="005960D4">
    <w:r>
      <w:pict w14:anchorId="2DF0D9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5" type="#_x0000_t75" style="position:absolute;left:0;text-align:left;margin-left:0;margin-top:0;width:222.75pt;height:315.75pt;z-index:25168076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359C" w14:textId="77777777" w:rsidR="00913A13" w:rsidRDefault="00913A13">
    <w:pPr>
      <w:pStyle w:val="af2"/>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040C" w14:textId="77777777" w:rsidR="00913A13" w:rsidRDefault="005960D4">
    <w:r>
      <w:pict w14:anchorId="51F88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4" type="#_x0000_t75" style="position:absolute;left:0;text-align:left;margin-left:0;margin-top:0;width:222.75pt;height:315.75pt;z-index:25167974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6ED5F" w14:textId="77777777" w:rsidR="00913A13" w:rsidRDefault="005960D4">
    <w:r>
      <w:pict w14:anchorId="13558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8" type="#_x0000_t75" style="position:absolute;left:0;text-align:left;margin-left:0;margin-top:0;width:222.75pt;height:315.75pt;z-index:251682816;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0E7C" w14:textId="77777777" w:rsidR="00913A13" w:rsidRDefault="00913A13">
    <w:pPr>
      <w:pStyle w:val="af2"/>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AEC9" w14:textId="77777777" w:rsidR="00913A13" w:rsidRDefault="005960D4">
    <w:r>
      <w:pict w14:anchorId="48DD6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07" type="#_x0000_t75" style="position:absolute;left:0;text-align:left;margin-left:0;margin-top:0;width:222.75pt;height:315.75pt;z-index:25168179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CD6B" w14:textId="77777777" w:rsidR="00913A13" w:rsidRDefault="005960D4">
    <w:r>
      <w:pict w14:anchorId="1058C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11" type="#_x0000_t75" style="position:absolute;left:0;text-align:left;margin-left:0;margin-top:0;width:222.75pt;height:315.75pt;z-index:251684864;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69493" w14:textId="77777777" w:rsidR="00913A13" w:rsidRDefault="00913A13"/>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4E60" w14:textId="77777777" w:rsidR="00913A13" w:rsidRDefault="005960D4">
    <w:r>
      <w:pict w14:anchorId="6843B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10" type="#_x0000_t75" style="position:absolute;left:0;text-align:left;margin-left:0;margin-top:0;width:222.75pt;height:315.75pt;z-index:251683840;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FF9F" w14:textId="77777777" w:rsidR="00913A13" w:rsidRDefault="005960D4">
    <w:r>
      <w:pict w14:anchorId="7003B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14" type="#_x0000_t75" style="position:absolute;left:0;text-align:left;margin-left:0;margin-top:0;width:222.75pt;height:315.75pt;z-index:251686912;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BE8F" w14:textId="77777777" w:rsidR="00913A13" w:rsidRDefault="00913A13"/>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B02C" w14:textId="77777777" w:rsidR="00913A13" w:rsidRDefault="005960D4">
    <w:r>
      <w:pict w14:anchorId="5C1B0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13" type="#_x0000_t75" style="position:absolute;left:0;text-align:left;margin-left:0;margin-top:0;width:222.75pt;height:315.75pt;z-index:251685888;mso-position-horizontal:center;mso-position-horizontal-relative:page;mso-position-vertical:center;mso-position-vertical-relative:page;mso-width-relative:page;mso-height-relative:page">
          <v:imagedata r:id="rId1" o:title=""/>
          <o:lock v:ext="edit" aspectratio="f"/>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15615095"/>
    <w:multiLevelType w:val="multilevel"/>
    <w:tmpl w:val="1561509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634796975">
    <w:abstractNumId w:val="0"/>
  </w:num>
  <w:num w:numId="2" w16cid:durableId="1118915329">
    <w:abstractNumId w:val="1"/>
  </w:num>
  <w:num w:numId="3" w16cid:durableId="711661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115"/>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10E"/>
    <w:rsid w:val="00015D6F"/>
    <w:rsid w:val="00016496"/>
    <w:rsid w:val="00021404"/>
    <w:rsid w:val="00051FE7"/>
    <w:rsid w:val="00057AE1"/>
    <w:rsid w:val="000666B9"/>
    <w:rsid w:val="0008063F"/>
    <w:rsid w:val="000A1BBC"/>
    <w:rsid w:val="000F57E4"/>
    <w:rsid w:val="0010071B"/>
    <w:rsid w:val="00125149"/>
    <w:rsid w:val="0012556C"/>
    <w:rsid w:val="00127DE2"/>
    <w:rsid w:val="00134852"/>
    <w:rsid w:val="00135462"/>
    <w:rsid w:val="00165F57"/>
    <w:rsid w:val="00174CF8"/>
    <w:rsid w:val="00194F84"/>
    <w:rsid w:val="001A31D4"/>
    <w:rsid w:val="001B072B"/>
    <w:rsid w:val="001B55B3"/>
    <w:rsid w:val="001C4CE2"/>
    <w:rsid w:val="001D528E"/>
    <w:rsid w:val="001E1D2A"/>
    <w:rsid w:val="001F5CBF"/>
    <w:rsid w:val="0022553B"/>
    <w:rsid w:val="00225E88"/>
    <w:rsid w:val="00251E21"/>
    <w:rsid w:val="0025525E"/>
    <w:rsid w:val="00273107"/>
    <w:rsid w:val="002E406F"/>
    <w:rsid w:val="002E40E5"/>
    <w:rsid w:val="002E5D1C"/>
    <w:rsid w:val="002F45B8"/>
    <w:rsid w:val="0030021A"/>
    <w:rsid w:val="003073FD"/>
    <w:rsid w:val="003318E1"/>
    <w:rsid w:val="003711D1"/>
    <w:rsid w:val="00373314"/>
    <w:rsid w:val="00383019"/>
    <w:rsid w:val="00390640"/>
    <w:rsid w:val="00392C59"/>
    <w:rsid w:val="003B6C2D"/>
    <w:rsid w:val="003C5777"/>
    <w:rsid w:val="003C6067"/>
    <w:rsid w:val="003E5B46"/>
    <w:rsid w:val="003F7E72"/>
    <w:rsid w:val="00410E4D"/>
    <w:rsid w:val="00443CA8"/>
    <w:rsid w:val="00445364"/>
    <w:rsid w:val="00462863"/>
    <w:rsid w:val="004A5EC5"/>
    <w:rsid w:val="004B3672"/>
    <w:rsid w:val="004C408B"/>
    <w:rsid w:val="004D4475"/>
    <w:rsid w:val="004E05B5"/>
    <w:rsid w:val="004E3176"/>
    <w:rsid w:val="0050375C"/>
    <w:rsid w:val="00512EA3"/>
    <w:rsid w:val="00523AEB"/>
    <w:rsid w:val="00554647"/>
    <w:rsid w:val="0057427A"/>
    <w:rsid w:val="005960D4"/>
    <w:rsid w:val="005E390D"/>
    <w:rsid w:val="005E44B9"/>
    <w:rsid w:val="0061640D"/>
    <w:rsid w:val="00630A7C"/>
    <w:rsid w:val="00642BFF"/>
    <w:rsid w:val="006509C3"/>
    <w:rsid w:val="00657799"/>
    <w:rsid w:val="0066136E"/>
    <w:rsid w:val="0067526F"/>
    <w:rsid w:val="00684C62"/>
    <w:rsid w:val="0069510E"/>
    <w:rsid w:val="006B1E29"/>
    <w:rsid w:val="006B25DF"/>
    <w:rsid w:val="006B2932"/>
    <w:rsid w:val="006B354C"/>
    <w:rsid w:val="006C0E18"/>
    <w:rsid w:val="006C3EA2"/>
    <w:rsid w:val="006C4083"/>
    <w:rsid w:val="006C58D4"/>
    <w:rsid w:val="006C75BB"/>
    <w:rsid w:val="006D00C4"/>
    <w:rsid w:val="006F00B3"/>
    <w:rsid w:val="00706D3B"/>
    <w:rsid w:val="00716F32"/>
    <w:rsid w:val="00721F8A"/>
    <w:rsid w:val="00734033"/>
    <w:rsid w:val="007555EE"/>
    <w:rsid w:val="007649D6"/>
    <w:rsid w:val="00765140"/>
    <w:rsid w:val="007A09F1"/>
    <w:rsid w:val="007B539F"/>
    <w:rsid w:val="007C5648"/>
    <w:rsid w:val="007D1CBF"/>
    <w:rsid w:val="007E56AA"/>
    <w:rsid w:val="008123A3"/>
    <w:rsid w:val="00813623"/>
    <w:rsid w:val="00834D71"/>
    <w:rsid w:val="00847C56"/>
    <w:rsid w:val="00870486"/>
    <w:rsid w:val="008728F3"/>
    <w:rsid w:val="008751F0"/>
    <w:rsid w:val="00886012"/>
    <w:rsid w:val="00890056"/>
    <w:rsid w:val="00891B17"/>
    <w:rsid w:val="008B4F16"/>
    <w:rsid w:val="008C039F"/>
    <w:rsid w:val="008C0DB5"/>
    <w:rsid w:val="008C61EC"/>
    <w:rsid w:val="008D1100"/>
    <w:rsid w:val="00900988"/>
    <w:rsid w:val="0090543A"/>
    <w:rsid w:val="00913A13"/>
    <w:rsid w:val="00933F4C"/>
    <w:rsid w:val="00951E67"/>
    <w:rsid w:val="009761FA"/>
    <w:rsid w:val="00977903"/>
    <w:rsid w:val="00984607"/>
    <w:rsid w:val="00993143"/>
    <w:rsid w:val="009A2212"/>
    <w:rsid w:val="009A573E"/>
    <w:rsid w:val="009A5BE7"/>
    <w:rsid w:val="009C2241"/>
    <w:rsid w:val="009C67E4"/>
    <w:rsid w:val="009E028D"/>
    <w:rsid w:val="00A13D9E"/>
    <w:rsid w:val="00A2689E"/>
    <w:rsid w:val="00A27F72"/>
    <w:rsid w:val="00A3515A"/>
    <w:rsid w:val="00A75128"/>
    <w:rsid w:val="00A76387"/>
    <w:rsid w:val="00A76CB8"/>
    <w:rsid w:val="00A9099A"/>
    <w:rsid w:val="00AB1175"/>
    <w:rsid w:val="00AB61E5"/>
    <w:rsid w:val="00AB6B23"/>
    <w:rsid w:val="00AD690B"/>
    <w:rsid w:val="00B0794E"/>
    <w:rsid w:val="00B20344"/>
    <w:rsid w:val="00B23D69"/>
    <w:rsid w:val="00B5447A"/>
    <w:rsid w:val="00B65583"/>
    <w:rsid w:val="00B81885"/>
    <w:rsid w:val="00BB2510"/>
    <w:rsid w:val="00BB7A63"/>
    <w:rsid w:val="00BC03F3"/>
    <w:rsid w:val="00BF4485"/>
    <w:rsid w:val="00C008E6"/>
    <w:rsid w:val="00C33058"/>
    <w:rsid w:val="00C355EA"/>
    <w:rsid w:val="00C40115"/>
    <w:rsid w:val="00C42ED0"/>
    <w:rsid w:val="00C462C4"/>
    <w:rsid w:val="00C56117"/>
    <w:rsid w:val="00C56607"/>
    <w:rsid w:val="00C624F6"/>
    <w:rsid w:val="00C77583"/>
    <w:rsid w:val="00C809F5"/>
    <w:rsid w:val="00CB2583"/>
    <w:rsid w:val="00CB41FF"/>
    <w:rsid w:val="00CC05E3"/>
    <w:rsid w:val="00CE65FB"/>
    <w:rsid w:val="00D0556F"/>
    <w:rsid w:val="00D25D49"/>
    <w:rsid w:val="00D400AC"/>
    <w:rsid w:val="00D448FA"/>
    <w:rsid w:val="00D456D5"/>
    <w:rsid w:val="00D50DF1"/>
    <w:rsid w:val="00D569BC"/>
    <w:rsid w:val="00D65E55"/>
    <w:rsid w:val="00DA0E5E"/>
    <w:rsid w:val="00DE7CAC"/>
    <w:rsid w:val="00E23A15"/>
    <w:rsid w:val="00E261BC"/>
    <w:rsid w:val="00E32796"/>
    <w:rsid w:val="00E33C05"/>
    <w:rsid w:val="00E4185E"/>
    <w:rsid w:val="00E44976"/>
    <w:rsid w:val="00E44E30"/>
    <w:rsid w:val="00E52D0C"/>
    <w:rsid w:val="00E54EF2"/>
    <w:rsid w:val="00E654FF"/>
    <w:rsid w:val="00E94EB8"/>
    <w:rsid w:val="00EA4500"/>
    <w:rsid w:val="00EC45BC"/>
    <w:rsid w:val="00EC782F"/>
    <w:rsid w:val="00EE4EDE"/>
    <w:rsid w:val="00EF4473"/>
    <w:rsid w:val="00F068DC"/>
    <w:rsid w:val="00F10915"/>
    <w:rsid w:val="00F13354"/>
    <w:rsid w:val="00F97E29"/>
    <w:rsid w:val="00FB53D7"/>
    <w:rsid w:val="00FD463B"/>
    <w:rsid w:val="00FD6809"/>
    <w:rsid w:val="00FF5C14"/>
    <w:rsid w:val="05AB23E3"/>
    <w:rsid w:val="232E5A52"/>
    <w:rsid w:val="593743A2"/>
    <w:rsid w:val="695D5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5"/>
    <o:shapelayout v:ext="edit">
      <o:idmap v:ext="edit" data="2"/>
    </o:shapelayout>
  </w:shapeDefaults>
  <w:decimalSymbol w:val="."/>
  <w:listSeparator w:val=","/>
  <w14:docId w14:val="1F5E47EF"/>
  <w15:docId w15:val="{D5C2CC29-B17E-4B60-80F6-0873DB6D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unhideWhenUsed/>
    <w:qFormat/>
    <w:pPr>
      <w:jc w:val="left"/>
    </w:pPr>
    <w:rPr>
      <w:rFonts w:ascii="Times New Roman" w:eastAsia="宋体" w:hAnsi="Times New Roman" w:cs="Times New Roman"/>
      <w:szCs w:val="20"/>
    </w:rPr>
  </w:style>
  <w:style w:type="paragraph" w:styleId="a8">
    <w:name w:val="Body Text"/>
    <w:basedOn w:val="a"/>
    <w:link w:val="a9"/>
    <w:semiHidden/>
    <w:unhideWhenUsed/>
    <w:qFormat/>
    <w:pPr>
      <w:autoSpaceDE w:val="0"/>
      <w:autoSpaceDN w:val="0"/>
      <w:adjustRightInd w:val="0"/>
      <w:spacing w:line="360" w:lineRule="auto"/>
      <w:jc w:val="left"/>
    </w:pPr>
    <w:rPr>
      <w:rFonts w:ascii="宋体" w:eastAsia="宋体" w:hAnsi="Calibri" w:cs="Times New Roman"/>
      <w:kern w:val="0"/>
    </w:rPr>
  </w:style>
  <w:style w:type="paragraph" w:styleId="aa">
    <w:name w:val="Body Text Indent"/>
    <w:basedOn w:val="a"/>
    <w:link w:val="ab"/>
    <w:uiPriority w:val="99"/>
    <w:semiHidden/>
    <w:unhideWhenUsed/>
    <w:qFormat/>
    <w:pPr>
      <w:spacing w:after="120"/>
      <w:ind w:leftChars="200" w:left="420"/>
    </w:p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c">
    <w:name w:val="Plain Text"/>
    <w:basedOn w:val="a"/>
    <w:link w:val="ad"/>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e">
    <w:name w:val="Balloon Text"/>
    <w:basedOn w:val="a"/>
    <w:link w:val="af"/>
    <w:semiHidden/>
    <w:unhideWhenUsed/>
    <w:qFormat/>
    <w:rPr>
      <w:rFonts w:ascii="Times New Roman" w:eastAsia="宋体" w:hAnsi="Times New Roman" w:cs="Times New Roman"/>
      <w:sz w:val="18"/>
      <w:szCs w:val="20"/>
    </w:rPr>
  </w:style>
  <w:style w:type="paragraph" w:styleId="af0">
    <w:name w:val="footer"/>
    <w:basedOn w:val="a"/>
    <w:link w:val="af1"/>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4">
    <w:name w:val="footnote text"/>
    <w:basedOn w:val="a"/>
    <w:link w:val="af5"/>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6">
    <w:name w:val="Title"/>
    <w:basedOn w:val="a"/>
    <w:next w:val="a"/>
    <w:link w:val="af7"/>
    <w:qFormat/>
    <w:pPr>
      <w:spacing w:before="240" w:after="60"/>
      <w:jc w:val="center"/>
      <w:outlineLvl w:val="0"/>
    </w:pPr>
    <w:rPr>
      <w:rFonts w:ascii="Cambria" w:eastAsia="宋体" w:hAnsi="Cambria" w:cs="Times New Roman"/>
      <w:b/>
      <w:sz w:val="32"/>
    </w:rPr>
  </w:style>
  <w:style w:type="paragraph" w:styleId="af8">
    <w:name w:val="annotation subject"/>
    <w:basedOn w:val="a6"/>
    <w:next w:val="a6"/>
    <w:link w:val="af9"/>
    <w:semiHidden/>
    <w:unhideWhenUsed/>
    <w:qFormat/>
    <w:rPr>
      <w:b/>
    </w:rPr>
  </w:style>
  <w:style w:type="table" w:styleId="af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FollowedHyperlink"/>
    <w:basedOn w:val="a0"/>
    <w:uiPriority w:val="99"/>
    <w:semiHidden/>
    <w:unhideWhenUsed/>
    <w:qFormat/>
    <w:rPr>
      <w:color w:val="800080" w:themeColor="followedHyperlink"/>
      <w:u w:val="single"/>
    </w:rPr>
  </w:style>
  <w:style w:type="character" w:styleId="afc">
    <w:name w:val="Hyperlink"/>
    <w:uiPriority w:val="99"/>
    <w:unhideWhenUsed/>
    <w:qFormat/>
    <w:rPr>
      <w:color w:val="0000FF"/>
      <w:u w:val="single"/>
    </w:rPr>
  </w:style>
  <w:style w:type="character" w:styleId="afd">
    <w:name w:val="annotation reference"/>
    <w:unhideWhenUsed/>
    <w:qFormat/>
    <w:rPr>
      <w:sz w:val="21"/>
    </w:rPr>
  </w:style>
  <w:style w:type="character" w:styleId="afe">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rPr>
  </w:style>
  <w:style w:type="character" w:customStyle="1" w:styleId="20">
    <w:name w:val="标题 2 字符"/>
    <w:basedOn w:val="a0"/>
    <w:link w:val="2"/>
    <w:semiHidden/>
    <w:qFormat/>
    <w:rPr>
      <w:rFonts w:ascii="Arial" w:eastAsia="黑体" w:hAnsi="Arial" w:cs="Times New Roman"/>
      <w:b/>
      <w:sz w:val="32"/>
      <w:szCs w:val="20"/>
    </w:rPr>
  </w:style>
  <w:style w:type="character" w:customStyle="1" w:styleId="30">
    <w:name w:val="标题 3 字符"/>
    <w:basedOn w:val="a0"/>
    <w:link w:val="3"/>
    <w:semiHidden/>
    <w:qFormat/>
    <w:rPr>
      <w:rFonts w:ascii="Times New Roman" w:eastAsia="宋体" w:hAnsi="Times New Roman" w:cs="Times New Roman"/>
      <w:b/>
      <w:kern w:val="0"/>
      <w:sz w:val="32"/>
      <w:szCs w:val="20"/>
    </w:rPr>
  </w:style>
  <w:style w:type="character" w:customStyle="1" w:styleId="af5">
    <w:name w:val="脚注文本 字符"/>
    <w:basedOn w:val="a0"/>
    <w:link w:val="af4"/>
    <w:semiHidden/>
    <w:qFormat/>
    <w:rPr>
      <w:rFonts w:ascii="Times New Roman" w:eastAsia="宋体" w:hAnsi="Times New Roman" w:cs="Times New Roman"/>
      <w:sz w:val="18"/>
      <w:szCs w:val="20"/>
    </w:rPr>
  </w:style>
  <w:style w:type="character" w:customStyle="1" w:styleId="Char">
    <w:name w:val="批注文字 Char"/>
    <w:basedOn w:val="a0"/>
    <w:qFormat/>
  </w:style>
  <w:style w:type="character" w:customStyle="1" w:styleId="af3">
    <w:name w:val="页眉 字符"/>
    <w:basedOn w:val="a0"/>
    <w:link w:val="af2"/>
    <w:uiPriority w:val="99"/>
    <w:qFormat/>
    <w:rPr>
      <w:rFonts w:ascii="Times New Roman" w:eastAsia="宋体" w:hAnsi="Times New Roman" w:cs="Times New Roman"/>
      <w:sz w:val="18"/>
      <w:szCs w:val="18"/>
    </w:rPr>
  </w:style>
  <w:style w:type="character" w:customStyle="1" w:styleId="af1">
    <w:name w:val="页脚 字符"/>
    <w:basedOn w:val="a0"/>
    <w:link w:val="af0"/>
    <w:uiPriority w:val="99"/>
    <w:qFormat/>
    <w:rPr>
      <w:rFonts w:ascii="Times New Roman" w:eastAsia="宋体" w:hAnsi="Times New Roman" w:cs="Times New Roman"/>
      <w:sz w:val="18"/>
      <w:szCs w:val="18"/>
    </w:rPr>
  </w:style>
  <w:style w:type="character" w:customStyle="1" w:styleId="af7">
    <w:name w:val="标题 字符"/>
    <w:basedOn w:val="a0"/>
    <w:link w:val="af6"/>
    <w:qFormat/>
    <w:rPr>
      <w:rFonts w:ascii="Cambria" w:eastAsia="宋体" w:hAnsi="Cambria" w:cs="Times New Roman"/>
      <w:b/>
      <w:sz w:val="32"/>
    </w:rPr>
  </w:style>
  <w:style w:type="character" w:customStyle="1" w:styleId="a9">
    <w:name w:val="正文文本 字符"/>
    <w:basedOn w:val="a0"/>
    <w:link w:val="a8"/>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d">
    <w:name w:val="纯文本 字符"/>
    <w:basedOn w:val="a0"/>
    <w:link w:val="ac"/>
    <w:semiHidden/>
    <w:qFormat/>
    <w:rPr>
      <w:rFonts w:ascii="宋体" w:eastAsia="宋体" w:hAnsi="Courier New" w:cs="Times New Roman"/>
      <w:kern w:val="0"/>
      <w:szCs w:val="20"/>
    </w:rPr>
  </w:style>
  <w:style w:type="character" w:customStyle="1" w:styleId="af9">
    <w:name w:val="批注主题 字符"/>
    <w:basedOn w:val="Char"/>
    <w:link w:val="af8"/>
    <w:semiHidden/>
    <w:qFormat/>
    <w:rPr>
      <w:rFonts w:ascii="Times New Roman" w:eastAsia="宋体" w:hAnsi="Times New Roman" w:cs="Times New Roman"/>
      <w:b/>
      <w:szCs w:val="20"/>
    </w:rPr>
  </w:style>
  <w:style w:type="character" w:customStyle="1" w:styleId="af">
    <w:name w:val="批注框文本 字符"/>
    <w:basedOn w:val="a0"/>
    <w:link w:val="ae"/>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f">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f0">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1">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character" w:customStyle="1" w:styleId="fontstyle01">
    <w:name w:val="fontstyle01"/>
    <w:qFormat/>
    <w:rPr>
      <w:rFonts w:ascii="宋体" w:eastAsia="宋体" w:hAnsi="宋体" w:hint="eastAsia"/>
      <w:color w:val="000000"/>
      <w:sz w:val="24"/>
      <w:szCs w:val="24"/>
    </w:rPr>
  </w:style>
  <w:style w:type="character" w:customStyle="1" w:styleId="ab">
    <w:name w:val="正文文本缩进 字符"/>
    <w:basedOn w:val="a0"/>
    <w:link w:val="aa"/>
    <w:uiPriority w:val="99"/>
    <w:semiHidden/>
    <w:qFormat/>
  </w:style>
  <w:style w:type="paragraph" w:customStyle="1" w:styleId="zhangjiep">
    <w:name w:val="zhangjie_p"/>
    <w:basedOn w:val="a"/>
    <w:qFormat/>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hidden/>
    <w:uiPriority w:val="99"/>
    <w:unhideWhenUsed/>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character" w:customStyle="1" w:styleId="12">
    <w:name w:val="批注文字 字符1"/>
    <w:basedOn w:val="a0"/>
    <w:qFormat/>
    <w:locked/>
    <w:rPr>
      <w:kern w:val="2"/>
      <w:sz w:val="21"/>
    </w:rPr>
  </w:style>
  <w:style w:type="table" w:customStyle="1" w:styleId="13">
    <w:name w:val="网格型1"/>
    <w:basedOn w:val="a1"/>
    <w:qFormat/>
    <w:rPr>
      <w:rFonts w:asciiTheme="minorHAnsi" w:eastAsiaTheme="minorEastAs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2">
    <w:name w:val="合同正文"/>
    <w:basedOn w:val="a"/>
    <w:qFormat/>
    <w:pPr>
      <w:spacing w:line="360" w:lineRule="auto"/>
      <w:ind w:firstLineChars="200" w:firstLine="200"/>
    </w:pPr>
    <w:rPr>
      <w:bCs/>
      <w:sz w:val="24"/>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paragraph" w:customStyle="1" w:styleId="6">
    <w:name w:val="修订6"/>
    <w:hidden/>
    <w:uiPriority w:val="99"/>
    <w:unhideWhenUsed/>
    <w:qFormat/>
    <w:rPr>
      <w:rFonts w:asciiTheme="minorHAnsi" w:eastAsiaTheme="minorEastAsia" w:hAnsiTheme="minorHAnsi" w:cstheme="minorBidi"/>
      <w:kern w:val="2"/>
      <w:sz w:val="21"/>
      <w:szCs w:val="22"/>
    </w:rPr>
  </w:style>
  <w:style w:type="paragraph" w:customStyle="1" w:styleId="7">
    <w:name w:val="修订7"/>
    <w:hidden/>
    <w:uiPriority w:val="99"/>
    <w:unhideWhenUsed/>
    <w:rPr>
      <w:rFonts w:asciiTheme="minorHAnsi" w:eastAsiaTheme="minorEastAsia" w:hAnsiTheme="minorHAnsi" w:cstheme="minorBidi"/>
      <w:kern w:val="2"/>
      <w:sz w:val="21"/>
      <w:szCs w:val="22"/>
    </w:rPr>
  </w:style>
  <w:style w:type="paragraph" w:customStyle="1" w:styleId="8">
    <w:name w:val="修订8"/>
    <w:hidden/>
    <w:uiPriority w:val="99"/>
    <w:unhideWhenUsed/>
    <w:qFormat/>
    <w:rPr>
      <w:rFonts w:asciiTheme="minorHAnsi" w:eastAsiaTheme="minorEastAsia" w:hAnsiTheme="minorHAnsi" w:cstheme="minorBidi"/>
      <w:kern w:val="2"/>
      <w:sz w:val="21"/>
      <w:szCs w:val="22"/>
    </w:rPr>
  </w:style>
  <w:style w:type="paragraph" w:styleId="aff3">
    <w:name w:val="Revision"/>
    <w:hidden/>
    <w:uiPriority w:val="99"/>
    <w:unhideWhenUsed/>
    <w:rsid w:val="00C355EA"/>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15.xml"/><Relationship Id="rId21" Type="http://schemas.openxmlformats.org/officeDocument/2006/relationships/header" Target="header11.xml"/><Relationship Id="rId34" Type="http://schemas.openxmlformats.org/officeDocument/2006/relationships/header" Target="header21.xml"/><Relationship Id="rId42" Type="http://schemas.openxmlformats.org/officeDocument/2006/relationships/image" Target="media/image2.jpeg"/><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footer" Target="footer11.xml"/><Relationship Id="rId63" Type="http://schemas.openxmlformats.org/officeDocument/2006/relationships/header" Target="header4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7.xml"/><Relationship Id="rId29" Type="http://schemas.openxmlformats.org/officeDocument/2006/relationships/header" Target="header17.xml"/><Relationship Id="rId11" Type="http://schemas.openxmlformats.org/officeDocument/2006/relationships/footer" Target="footer1.xml"/><Relationship Id="rId24" Type="http://schemas.openxmlformats.org/officeDocument/2006/relationships/footer" Target="footer3.xml"/><Relationship Id="rId32" Type="http://schemas.openxmlformats.org/officeDocument/2006/relationships/footer" Target="footer5.xml"/><Relationship Id="rId37" Type="http://schemas.openxmlformats.org/officeDocument/2006/relationships/header" Target="header23.xml"/><Relationship Id="rId40" Type="http://schemas.openxmlformats.org/officeDocument/2006/relationships/footer" Target="footer7.xml"/><Relationship Id="rId45" Type="http://schemas.openxmlformats.org/officeDocument/2006/relationships/header" Target="header28.xml"/><Relationship Id="rId53" Type="http://schemas.openxmlformats.org/officeDocument/2006/relationships/header" Target="header33.xml"/><Relationship Id="rId58" Type="http://schemas.openxmlformats.org/officeDocument/2006/relationships/header" Target="header37.xml"/><Relationship Id="rId5" Type="http://schemas.openxmlformats.org/officeDocument/2006/relationships/settings" Target="settings.xml"/><Relationship Id="rId61" Type="http://schemas.openxmlformats.org/officeDocument/2006/relationships/header" Target="header40.xml"/><Relationship Id="rId19" Type="http://schemas.openxmlformats.org/officeDocument/2006/relationships/header" Target="header10.xm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image" Target="media/image3.jpeg"/><Relationship Id="rId48" Type="http://schemas.openxmlformats.org/officeDocument/2006/relationships/footer" Target="footer9.xml"/><Relationship Id="rId56" Type="http://schemas.openxmlformats.org/officeDocument/2006/relationships/header" Target="header35.xm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10.xml"/><Relationship Id="rId3" Type="http://schemas.openxmlformats.org/officeDocument/2006/relationships/numbering" Target="numbering.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20.xml"/><Relationship Id="rId38" Type="http://schemas.openxmlformats.org/officeDocument/2006/relationships/header" Target="header24.xml"/><Relationship Id="rId46" Type="http://schemas.openxmlformats.org/officeDocument/2006/relationships/footer" Target="footer8.xml"/><Relationship Id="rId59" Type="http://schemas.openxmlformats.org/officeDocument/2006/relationships/header" Target="header38.xml"/><Relationship Id="rId20" Type="http://schemas.openxmlformats.org/officeDocument/2006/relationships/footer" Target="footer2.xml"/><Relationship Id="rId41" Type="http://schemas.openxmlformats.org/officeDocument/2006/relationships/header" Target="header26.xml"/><Relationship Id="rId54" Type="http://schemas.openxmlformats.org/officeDocument/2006/relationships/header" Target="header34.xml"/><Relationship Id="rId62"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3.xml"/><Relationship Id="rId28" Type="http://schemas.openxmlformats.org/officeDocument/2006/relationships/footer" Target="footer4.xml"/><Relationship Id="rId36" Type="http://schemas.openxmlformats.org/officeDocument/2006/relationships/footer" Target="footer6.xml"/><Relationship Id="rId49" Type="http://schemas.openxmlformats.org/officeDocument/2006/relationships/header" Target="header30.xml"/><Relationship Id="rId57" Type="http://schemas.openxmlformats.org/officeDocument/2006/relationships/header" Target="header36.xml"/><Relationship Id="rId10" Type="http://schemas.openxmlformats.org/officeDocument/2006/relationships/header" Target="header2.xml"/><Relationship Id="rId31" Type="http://schemas.openxmlformats.org/officeDocument/2006/relationships/header" Target="header19.xml"/><Relationship Id="rId44" Type="http://schemas.openxmlformats.org/officeDocument/2006/relationships/header" Target="header27.xml"/><Relationship Id="rId52" Type="http://schemas.openxmlformats.org/officeDocument/2006/relationships/header" Target="header32.xml"/><Relationship Id="rId60" Type="http://schemas.openxmlformats.org/officeDocument/2006/relationships/header" Target="header39.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9" Type="http://schemas.openxmlformats.org/officeDocument/2006/relationships/header" Target="header2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3074"/>
    <customShpInfo spid="_x0000_s3075"/>
    <customShpInfo spid="_x0000_s3078"/>
    <customShpInfo spid="_x0000_s3077"/>
    <customShpInfo spid="_x0000_s3081"/>
    <customShpInfo spid="_x0000_s3080"/>
    <customShpInfo spid="_x0000_s3084"/>
    <customShpInfo spid="_x0000_s3083"/>
    <customShpInfo spid="_x0000_s3087"/>
    <customShpInfo spid="_x0000_s3086"/>
    <customShpInfo spid="_x0000_s3090"/>
    <customShpInfo spid="_x0000_s3089"/>
    <customShpInfo spid="_x0000_s3093"/>
    <customShpInfo spid="_x0000_s3092"/>
    <customShpInfo spid="_x0000_s3096"/>
    <customShpInfo spid="_x0000_s3095"/>
    <customShpInfo spid="_x0000_s3099"/>
    <customShpInfo spid="_x0000_s3098"/>
    <customShpInfo spid="_x0000_s3102"/>
    <customShpInfo spid="_x0000_s3101"/>
    <customShpInfo spid="_x0000_s3105"/>
    <customShpInfo spid="_x0000_s3104"/>
    <customShpInfo spid="_x0000_s3108"/>
    <customShpInfo spid="_x0000_s3107"/>
    <customShpInfo spid="_x0000_s3111"/>
    <customShpInfo spid="_x0000_s3110"/>
    <customShpInfo spid="_x0000_s3114"/>
    <customShpInfo spid="_x0000_s311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5FC3AD-6409-42B1-9693-B1A1C13F4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133</Pages>
  <Words>47290</Words>
  <Characters>48236</Characters>
  <Application>Microsoft Office Word</Application>
  <DocSecurity>0</DocSecurity>
  <Lines>2097</Lines>
  <Paragraphs>2122</Paragraphs>
  <ScaleCrop>false</ScaleCrop>
  <Company/>
  <LinksUpToDate>false</LinksUpToDate>
  <CharactersWithSpaces>93404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fanrouchun</dc:creator>
  <cp:lastModifiedBy>徐铮</cp:lastModifiedBy>
  <cp:revision>195</cp:revision>
  <cp:lastPrinted>2026-03-30T00:53:00Z</cp:lastPrinted>
  <dcterms:created xsi:type="dcterms:W3CDTF">2024-01-15T05:49:00Z</dcterms:created>
  <dcterms:modified xsi:type="dcterms:W3CDTF">2026-09-15T01:54:00Z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A71B504C31514F5B9443FE4555434346_13</vt:lpwstr>
  </property>
  <property fmtid="{D5CDD505-2E9C-101B-9397-08002B2CF9AE}" pid="3" name="KSOProductBuildVer">
    <vt:lpwstr>2052-12.1.0.25225</vt:lpwstr>
  </property>
  <property fmtid="{D5CDD505-2E9C-101B-9397-08002B2CF9AE}" pid="4" name="KSOTemplateDocerSaveRecord">
    <vt:lpwstr>eyJoZGlkIjoiZGYyZDI4ODI5ZTg5OGI0YTNiNzFlNmEyY2E0MDg4ZTQiLCJ1c2VySWQiOiIzNTU5Mzk0MTIifQ==</vt:lpwstr>
  </property>
</Properties>
</file>