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59E038" w14:textId="77777777" w:rsidR="00B51DEA" w:rsidRDefault="00B51DEA">
      <w:pPr>
        <w:tabs>
          <w:tab w:val="left" w:pos="6660"/>
        </w:tabs>
        <w:spacing w:line="360" w:lineRule="auto"/>
        <w:jc w:val="center"/>
        <w:rPr>
          <w:rFonts w:asciiTheme="minorEastAsia" w:hAnsiTheme="minorEastAsia" w:cs="Times New Roman" w:hint="eastAsia"/>
          <w:bCs/>
          <w:sz w:val="48"/>
          <w:szCs w:val="48"/>
        </w:rPr>
      </w:pPr>
    </w:p>
    <w:p w14:paraId="48FB7FB0" w14:textId="77777777" w:rsidR="00B51DEA" w:rsidRDefault="00B51DEA">
      <w:pPr>
        <w:spacing w:line="360" w:lineRule="auto"/>
        <w:jc w:val="center"/>
        <w:rPr>
          <w:rFonts w:asciiTheme="minorEastAsia" w:hAnsiTheme="minorEastAsia" w:cs="Times New Roman" w:hint="eastAsia"/>
          <w:b/>
          <w:sz w:val="48"/>
          <w:szCs w:val="48"/>
        </w:rPr>
      </w:pPr>
    </w:p>
    <w:p w14:paraId="735E5761" w14:textId="77777777" w:rsidR="00B51DEA" w:rsidRDefault="00B51DEA">
      <w:pPr>
        <w:adjustRightInd w:val="0"/>
        <w:snapToGrid w:val="0"/>
        <w:spacing w:line="360" w:lineRule="auto"/>
        <w:jc w:val="center"/>
        <w:rPr>
          <w:rFonts w:asciiTheme="minorEastAsia" w:hAnsiTheme="minorEastAsia" w:cs="Arial" w:hint="eastAsia"/>
          <w:sz w:val="48"/>
          <w:szCs w:val="48"/>
        </w:rPr>
      </w:pPr>
      <w:bookmarkStart w:id="0" w:name="_Toc139991729"/>
      <w:bookmarkStart w:id="1" w:name="_Toc123112227"/>
      <w:bookmarkStart w:id="2" w:name="_Toc123112266"/>
      <w:bookmarkStart w:id="3" w:name="_Toc123701386"/>
    </w:p>
    <w:p w14:paraId="054B1948" w14:textId="77777777" w:rsidR="00B51DEA" w:rsidRDefault="00000000">
      <w:pPr>
        <w:adjustRightInd w:val="0"/>
        <w:snapToGrid w:val="0"/>
        <w:spacing w:line="360" w:lineRule="auto"/>
        <w:jc w:val="center"/>
        <w:rPr>
          <w:rFonts w:asciiTheme="minorEastAsia" w:hAnsiTheme="minorEastAsia" w:cs="Arial" w:hint="eastAsia"/>
          <w:b/>
          <w:sz w:val="48"/>
          <w:szCs w:val="48"/>
        </w:rPr>
      </w:pPr>
      <w:r>
        <w:rPr>
          <w:rFonts w:asciiTheme="minorEastAsia" w:hAnsiTheme="minorEastAsia" w:cs="Arial" w:hint="eastAsia"/>
          <w:b/>
          <w:sz w:val="48"/>
          <w:szCs w:val="48"/>
        </w:rPr>
        <w:t>富</w:t>
      </w:r>
      <w:proofErr w:type="gramStart"/>
      <w:r>
        <w:rPr>
          <w:rFonts w:asciiTheme="minorEastAsia" w:hAnsiTheme="minorEastAsia" w:cs="Arial" w:hint="eastAsia"/>
          <w:b/>
          <w:sz w:val="48"/>
          <w:szCs w:val="48"/>
        </w:rPr>
        <w:t>荣价值</w:t>
      </w:r>
      <w:proofErr w:type="gramEnd"/>
      <w:r>
        <w:rPr>
          <w:rFonts w:asciiTheme="minorEastAsia" w:hAnsiTheme="minorEastAsia" w:cs="Arial" w:hint="eastAsia"/>
          <w:b/>
          <w:sz w:val="48"/>
          <w:szCs w:val="48"/>
        </w:rPr>
        <w:t>精选灵活配置混合型发起式</w:t>
      </w:r>
    </w:p>
    <w:p w14:paraId="2D158825" w14:textId="77777777" w:rsidR="00B51DEA" w:rsidRDefault="00000000">
      <w:pPr>
        <w:adjustRightInd w:val="0"/>
        <w:snapToGrid w:val="0"/>
        <w:spacing w:line="360" w:lineRule="auto"/>
        <w:jc w:val="center"/>
        <w:rPr>
          <w:rFonts w:asciiTheme="minorEastAsia" w:hAnsiTheme="minorEastAsia" w:cs="Arial" w:hint="eastAsia"/>
          <w:b/>
          <w:sz w:val="48"/>
          <w:szCs w:val="48"/>
        </w:rPr>
      </w:pPr>
      <w:r>
        <w:rPr>
          <w:rFonts w:asciiTheme="minorEastAsia" w:hAnsiTheme="minorEastAsia" w:cs="Arial" w:hint="eastAsia"/>
          <w:b/>
          <w:sz w:val="48"/>
          <w:szCs w:val="48"/>
        </w:rPr>
        <w:t>证券投资基金更新的招募说明书</w:t>
      </w:r>
    </w:p>
    <w:p w14:paraId="2E14B4A1" w14:textId="17604EF5" w:rsidR="00B51DEA" w:rsidRDefault="00000000">
      <w:pPr>
        <w:adjustRightInd w:val="0"/>
        <w:snapToGrid w:val="0"/>
        <w:spacing w:line="360" w:lineRule="auto"/>
        <w:jc w:val="center"/>
        <w:rPr>
          <w:rFonts w:asciiTheme="minorEastAsia" w:hAnsiTheme="minorEastAsia" w:cs="Arial" w:hint="eastAsia"/>
          <w:b/>
          <w:sz w:val="48"/>
          <w:szCs w:val="48"/>
        </w:rPr>
      </w:pPr>
      <w:r>
        <w:rPr>
          <w:rFonts w:asciiTheme="minorEastAsia" w:hAnsiTheme="minorEastAsia" w:cs="Arial" w:hint="eastAsia"/>
          <w:b/>
          <w:sz w:val="48"/>
          <w:szCs w:val="48"/>
        </w:rPr>
        <w:t>（2026年第3号）</w:t>
      </w:r>
    </w:p>
    <w:p w14:paraId="6B625F60" w14:textId="77777777" w:rsidR="00B51DEA" w:rsidRDefault="00B51DEA">
      <w:pPr>
        <w:adjustRightInd w:val="0"/>
        <w:snapToGrid w:val="0"/>
        <w:spacing w:line="360" w:lineRule="auto"/>
        <w:jc w:val="center"/>
        <w:rPr>
          <w:rFonts w:asciiTheme="minorEastAsia" w:hAnsiTheme="minorEastAsia" w:cs="Arial" w:hint="eastAsia"/>
          <w:sz w:val="36"/>
          <w:szCs w:val="36"/>
        </w:rPr>
      </w:pPr>
    </w:p>
    <w:p w14:paraId="37F1CC61" w14:textId="77777777" w:rsidR="00B51DEA" w:rsidRDefault="00B51DEA">
      <w:pPr>
        <w:adjustRightInd w:val="0"/>
        <w:snapToGrid w:val="0"/>
        <w:spacing w:line="360" w:lineRule="auto"/>
        <w:jc w:val="center"/>
        <w:rPr>
          <w:rFonts w:asciiTheme="minorEastAsia" w:hAnsiTheme="minorEastAsia" w:cs="Arial" w:hint="eastAsia"/>
          <w:sz w:val="36"/>
          <w:szCs w:val="36"/>
        </w:rPr>
      </w:pPr>
    </w:p>
    <w:p w14:paraId="523A6B4C" w14:textId="77777777" w:rsidR="00B51DEA" w:rsidRDefault="00B51DEA">
      <w:pPr>
        <w:adjustRightInd w:val="0"/>
        <w:snapToGrid w:val="0"/>
        <w:spacing w:line="360" w:lineRule="auto"/>
        <w:jc w:val="center"/>
        <w:rPr>
          <w:rFonts w:asciiTheme="minorEastAsia" w:hAnsiTheme="minorEastAsia" w:cs="Arial" w:hint="eastAsia"/>
          <w:sz w:val="36"/>
          <w:szCs w:val="36"/>
        </w:rPr>
      </w:pPr>
    </w:p>
    <w:p w14:paraId="26331615" w14:textId="77777777" w:rsidR="00B51DEA" w:rsidRDefault="00B51DEA">
      <w:pPr>
        <w:adjustRightInd w:val="0"/>
        <w:snapToGrid w:val="0"/>
        <w:spacing w:line="360" w:lineRule="auto"/>
        <w:jc w:val="center"/>
        <w:rPr>
          <w:rFonts w:asciiTheme="minorEastAsia" w:hAnsiTheme="minorEastAsia" w:cs="Arial" w:hint="eastAsia"/>
          <w:sz w:val="36"/>
          <w:szCs w:val="36"/>
        </w:rPr>
      </w:pPr>
    </w:p>
    <w:p w14:paraId="10E2E472" w14:textId="77777777" w:rsidR="00B51DEA" w:rsidRDefault="00B51DEA">
      <w:pPr>
        <w:adjustRightInd w:val="0"/>
        <w:snapToGrid w:val="0"/>
        <w:spacing w:line="360" w:lineRule="auto"/>
        <w:jc w:val="center"/>
        <w:rPr>
          <w:rFonts w:asciiTheme="minorEastAsia" w:hAnsiTheme="minorEastAsia" w:cs="Arial" w:hint="eastAsia"/>
          <w:sz w:val="36"/>
          <w:szCs w:val="36"/>
        </w:rPr>
      </w:pPr>
    </w:p>
    <w:p w14:paraId="6B62A175" w14:textId="77777777" w:rsidR="00B51DEA" w:rsidRDefault="00B51DEA">
      <w:pPr>
        <w:adjustRightInd w:val="0"/>
        <w:snapToGrid w:val="0"/>
        <w:spacing w:line="360" w:lineRule="auto"/>
        <w:jc w:val="center"/>
        <w:rPr>
          <w:rFonts w:asciiTheme="minorEastAsia" w:hAnsiTheme="minorEastAsia" w:cs="Arial" w:hint="eastAsia"/>
          <w:sz w:val="36"/>
          <w:szCs w:val="36"/>
        </w:rPr>
      </w:pPr>
    </w:p>
    <w:p w14:paraId="41D9009C" w14:textId="77777777" w:rsidR="00B51DEA" w:rsidRDefault="00000000">
      <w:pPr>
        <w:snapToGrid w:val="0"/>
        <w:spacing w:line="360" w:lineRule="auto"/>
        <w:jc w:val="center"/>
        <w:rPr>
          <w:rFonts w:asciiTheme="minorEastAsia" w:hAnsiTheme="minorEastAsia" w:cs="Times New Roman" w:hint="eastAsia"/>
          <w:b/>
          <w:sz w:val="36"/>
          <w:szCs w:val="36"/>
        </w:rPr>
      </w:pPr>
      <w:bookmarkStart w:id="4" w:name="_Toc139992301"/>
      <w:bookmarkStart w:id="5" w:name="_Toc139991726"/>
      <w:bookmarkStart w:id="6" w:name="_Toc123701383"/>
      <w:bookmarkStart w:id="7" w:name="_Toc123112224"/>
      <w:bookmarkStart w:id="8" w:name="_Toc123112263"/>
      <w:r>
        <w:rPr>
          <w:rFonts w:asciiTheme="minorEastAsia" w:hAnsiTheme="minorEastAsia" w:cs="Times New Roman" w:hint="eastAsia"/>
          <w:b/>
          <w:sz w:val="36"/>
          <w:szCs w:val="36"/>
        </w:rPr>
        <w:t>基金管理人：</w:t>
      </w:r>
      <w:bookmarkEnd w:id="4"/>
      <w:bookmarkEnd w:id="5"/>
      <w:bookmarkEnd w:id="6"/>
      <w:bookmarkEnd w:id="7"/>
      <w:bookmarkEnd w:id="8"/>
      <w:r>
        <w:rPr>
          <w:rFonts w:asciiTheme="minorEastAsia" w:hAnsiTheme="minorEastAsia" w:cs="Times New Roman" w:hint="eastAsia"/>
          <w:b/>
          <w:sz w:val="36"/>
          <w:szCs w:val="36"/>
        </w:rPr>
        <w:t>富</w:t>
      </w:r>
      <w:proofErr w:type="gramStart"/>
      <w:r>
        <w:rPr>
          <w:rFonts w:asciiTheme="minorEastAsia" w:hAnsiTheme="minorEastAsia" w:cs="Times New Roman" w:hint="eastAsia"/>
          <w:b/>
          <w:sz w:val="36"/>
          <w:szCs w:val="36"/>
        </w:rPr>
        <w:t>荣基金</w:t>
      </w:r>
      <w:proofErr w:type="gramEnd"/>
      <w:r>
        <w:rPr>
          <w:rFonts w:asciiTheme="minorEastAsia" w:hAnsiTheme="minorEastAsia" w:cs="Times New Roman" w:hint="eastAsia"/>
          <w:b/>
          <w:sz w:val="36"/>
          <w:szCs w:val="36"/>
        </w:rPr>
        <w:t>管理有限公司</w:t>
      </w:r>
    </w:p>
    <w:p w14:paraId="3CF94B4C" w14:textId="77777777" w:rsidR="00B51DEA" w:rsidRDefault="00000000">
      <w:pPr>
        <w:autoSpaceDE w:val="0"/>
        <w:autoSpaceDN w:val="0"/>
        <w:adjustRightInd w:val="0"/>
        <w:snapToGrid w:val="0"/>
        <w:spacing w:line="360" w:lineRule="auto"/>
        <w:jc w:val="center"/>
        <w:rPr>
          <w:rFonts w:asciiTheme="minorEastAsia" w:hAnsiTheme="minorEastAsia" w:cs="Arial" w:hint="eastAsia"/>
          <w:b/>
          <w:bCs/>
          <w:sz w:val="36"/>
          <w:szCs w:val="36"/>
        </w:rPr>
      </w:pPr>
      <w:bookmarkStart w:id="9" w:name="_Toc139991727"/>
      <w:bookmarkStart w:id="10" w:name="_Toc139992302"/>
      <w:bookmarkStart w:id="11" w:name="_Toc123112264"/>
      <w:bookmarkStart w:id="12" w:name="_Toc123701384"/>
      <w:bookmarkStart w:id="13" w:name="_Toc123112225"/>
      <w:r>
        <w:rPr>
          <w:rFonts w:asciiTheme="minorEastAsia" w:hAnsiTheme="minorEastAsia" w:cs="Times New Roman" w:hint="eastAsia"/>
          <w:b/>
          <w:sz w:val="36"/>
          <w:szCs w:val="36"/>
        </w:rPr>
        <w:t>基金托管人：</w:t>
      </w:r>
      <w:bookmarkEnd w:id="9"/>
      <w:bookmarkEnd w:id="10"/>
      <w:bookmarkEnd w:id="11"/>
      <w:bookmarkEnd w:id="12"/>
      <w:bookmarkEnd w:id="13"/>
      <w:r>
        <w:rPr>
          <w:rFonts w:asciiTheme="minorEastAsia" w:hAnsiTheme="minorEastAsia" w:cs="Times New Roman" w:hint="eastAsia"/>
          <w:b/>
          <w:sz w:val="36"/>
          <w:szCs w:val="36"/>
        </w:rPr>
        <w:t>中国光大银行股份有限公司</w:t>
      </w:r>
    </w:p>
    <w:p w14:paraId="42CA684B" w14:textId="77777777" w:rsidR="00B51DEA" w:rsidRDefault="00B51DEA">
      <w:pPr>
        <w:autoSpaceDE w:val="0"/>
        <w:autoSpaceDN w:val="0"/>
        <w:adjustRightInd w:val="0"/>
        <w:snapToGrid w:val="0"/>
        <w:spacing w:line="360" w:lineRule="auto"/>
        <w:jc w:val="center"/>
        <w:rPr>
          <w:rFonts w:asciiTheme="minorEastAsia" w:hAnsiTheme="minorEastAsia" w:cs="Arial" w:hint="eastAsia"/>
          <w:b/>
          <w:bCs/>
          <w:sz w:val="28"/>
          <w:szCs w:val="28"/>
        </w:rPr>
      </w:pPr>
    </w:p>
    <w:p w14:paraId="6A0FDC3C" w14:textId="77777777" w:rsidR="00B51DEA" w:rsidRDefault="00B51DEA">
      <w:pPr>
        <w:autoSpaceDE w:val="0"/>
        <w:autoSpaceDN w:val="0"/>
        <w:adjustRightInd w:val="0"/>
        <w:snapToGrid w:val="0"/>
        <w:spacing w:line="360" w:lineRule="auto"/>
        <w:jc w:val="center"/>
        <w:rPr>
          <w:rFonts w:asciiTheme="minorEastAsia" w:hAnsiTheme="minorEastAsia" w:cs="Arial" w:hint="eastAsia"/>
          <w:b/>
          <w:bCs/>
          <w:sz w:val="28"/>
          <w:szCs w:val="28"/>
        </w:rPr>
      </w:pPr>
    </w:p>
    <w:p w14:paraId="7D80E593" w14:textId="77777777" w:rsidR="00B51DEA" w:rsidRDefault="00B51DEA">
      <w:pPr>
        <w:widowControl/>
        <w:spacing w:line="360" w:lineRule="auto"/>
        <w:rPr>
          <w:rFonts w:asciiTheme="minorEastAsia" w:hAnsiTheme="minorEastAsia" w:cs="Arial" w:hint="eastAsia"/>
          <w:b/>
          <w:bCs/>
          <w:kern w:val="0"/>
          <w:sz w:val="28"/>
          <w:szCs w:val="28"/>
        </w:rPr>
        <w:sectPr w:rsidR="00B51DEA">
          <w:headerReference w:type="even" r:id="rId11"/>
          <w:headerReference w:type="default" r:id="rId12"/>
          <w:footerReference w:type="even" r:id="rId13"/>
          <w:footerReference w:type="default" r:id="rId14"/>
          <w:headerReference w:type="first" r:id="rId15"/>
          <w:footerReference w:type="first" r:id="rId16"/>
          <w:pgSz w:w="11906" w:h="16838"/>
          <w:pgMar w:top="1440" w:right="1800" w:bottom="1440" w:left="1800" w:header="851" w:footer="992" w:gutter="0"/>
          <w:pgNumType w:start="0"/>
          <w:cols w:space="720"/>
          <w:titlePg/>
          <w:docGrid w:type="lines" w:linePitch="312"/>
        </w:sectPr>
      </w:pPr>
    </w:p>
    <w:p w14:paraId="54F43B4D" w14:textId="77777777" w:rsidR="00B51DEA" w:rsidRDefault="00000000">
      <w:pPr>
        <w:autoSpaceDE w:val="0"/>
        <w:autoSpaceDN w:val="0"/>
        <w:adjustRightInd w:val="0"/>
        <w:snapToGrid w:val="0"/>
        <w:spacing w:line="360" w:lineRule="auto"/>
        <w:jc w:val="center"/>
        <w:outlineLvl w:val="0"/>
        <w:rPr>
          <w:rFonts w:asciiTheme="minorEastAsia" w:hAnsiTheme="minorEastAsia" w:cs="Arial" w:hint="eastAsia"/>
          <w:b/>
          <w:bCs/>
          <w:sz w:val="30"/>
          <w:szCs w:val="30"/>
        </w:rPr>
      </w:pPr>
      <w:bookmarkStart w:id="14" w:name="_Toc2677401"/>
      <w:bookmarkStart w:id="15" w:name="_Toc2676024"/>
      <w:bookmarkStart w:id="16" w:name="_Toc2675485"/>
      <w:bookmarkStart w:id="17" w:name="_Toc2676901"/>
      <w:r>
        <w:rPr>
          <w:rFonts w:asciiTheme="minorEastAsia" w:hAnsiTheme="minorEastAsia" w:cs="Arial" w:hint="eastAsia"/>
          <w:b/>
          <w:bCs/>
          <w:sz w:val="30"/>
          <w:szCs w:val="30"/>
        </w:rPr>
        <w:lastRenderedPageBreak/>
        <w:t>【重要提示】</w:t>
      </w:r>
      <w:bookmarkEnd w:id="14"/>
      <w:bookmarkEnd w:id="15"/>
      <w:bookmarkEnd w:id="16"/>
      <w:bookmarkEnd w:id="17"/>
    </w:p>
    <w:p w14:paraId="3893DF67" w14:textId="77777777" w:rsidR="00B51DEA" w:rsidRDefault="00B51DEA">
      <w:pPr>
        <w:autoSpaceDE w:val="0"/>
        <w:autoSpaceDN w:val="0"/>
        <w:adjustRightInd w:val="0"/>
        <w:snapToGrid w:val="0"/>
        <w:spacing w:line="360" w:lineRule="auto"/>
        <w:jc w:val="center"/>
        <w:rPr>
          <w:rFonts w:asciiTheme="minorEastAsia" w:hAnsiTheme="minorEastAsia" w:cs="Arial" w:hint="eastAsia"/>
          <w:b/>
          <w:bCs/>
          <w:szCs w:val="21"/>
        </w:rPr>
      </w:pPr>
    </w:p>
    <w:p w14:paraId="1BEE3183" w14:textId="77777777" w:rsidR="00B51DEA" w:rsidRDefault="00000000">
      <w:pPr>
        <w:autoSpaceDE w:val="0"/>
        <w:autoSpaceDN w:val="0"/>
        <w:adjustRightInd w:val="0"/>
        <w:snapToGrid w:val="0"/>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sz w:val="24"/>
          <w:szCs w:val="24"/>
        </w:rPr>
        <w:t>1、本基金根据2017</w:t>
      </w:r>
      <w:r>
        <w:rPr>
          <w:rFonts w:asciiTheme="minorEastAsia" w:hAnsiTheme="minorEastAsia" w:cs="Arial" w:hint="eastAsia"/>
          <w:sz w:val="24"/>
          <w:szCs w:val="24"/>
        </w:rPr>
        <w:t>年</w:t>
      </w:r>
      <w:r>
        <w:rPr>
          <w:rFonts w:asciiTheme="minorEastAsia" w:hAnsiTheme="minorEastAsia" w:cs="Arial"/>
          <w:sz w:val="24"/>
          <w:szCs w:val="24"/>
        </w:rPr>
        <w:t>12</w:t>
      </w:r>
      <w:r>
        <w:rPr>
          <w:rFonts w:asciiTheme="minorEastAsia" w:hAnsiTheme="minorEastAsia" w:cs="Arial" w:hint="eastAsia"/>
          <w:sz w:val="24"/>
          <w:szCs w:val="24"/>
        </w:rPr>
        <w:t>月</w:t>
      </w:r>
      <w:r>
        <w:rPr>
          <w:rFonts w:asciiTheme="minorEastAsia" w:hAnsiTheme="minorEastAsia" w:cs="Arial"/>
          <w:sz w:val="24"/>
          <w:szCs w:val="24"/>
        </w:rPr>
        <w:t>28</w:t>
      </w:r>
      <w:r>
        <w:rPr>
          <w:rFonts w:asciiTheme="minorEastAsia" w:hAnsiTheme="minorEastAsia" w:cs="Arial" w:hint="eastAsia"/>
          <w:sz w:val="24"/>
          <w:szCs w:val="24"/>
        </w:rPr>
        <w:t>日中国证券监督管理委员会（以下简称“中国证监会”）《关于准予富荣价值精选灵活配置</w:t>
      </w:r>
      <w:r>
        <w:rPr>
          <w:rFonts w:asciiTheme="minorEastAsia" w:hAnsiTheme="minorEastAsia" w:cs="Arial"/>
          <w:sz w:val="24"/>
          <w:szCs w:val="24"/>
        </w:rPr>
        <w:t>混合型</w:t>
      </w:r>
      <w:r>
        <w:rPr>
          <w:rFonts w:asciiTheme="minorEastAsia" w:hAnsiTheme="minorEastAsia" w:cs="Arial" w:hint="eastAsia"/>
          <w:sz w:val="24"/>
          <w:szCs w:val="24"/>
        </w:rPr>
        <w:t>发起式证券投资基金募集的批复》（证监许可【</w:t>
      </w:r>
      <w:r>
        <w:rPr>
          <w:rFonts w:asciiTheme="minorEastAsia" w:hAnsiTheme="minorEastAsia" w:cs="Arial"/>
          <w:sz w:val="24"/>
          <w:szCs w:val="24"/>
        </w:rPr>
        <w:t>2017】2431</w:t>
      </w:r>
      <w:r>
        <w:rPr>
          <w:rFonts w:asciiTheme="minorEastAsia" w:hAnsiTheme="minorEastAsia" w:cs="Arial" w:hint="eastAsia"/>
          <w:sz w:val="24"/>
          <w:szCs w:val="24"/>
        </w:rPr>
        <w:t>号）进行募集。本基金于</w:t>
      </w:r>
      <w:r>
        <w:rPr>
          <w:rFonts w:asciiTheme="minorEastAsia" w:hAnsiTheme="minorEastAsia" w:cs="Arial"/>
          <w:sz w:val="24"/>
          <w:szCs w:val="24"/>
        </w:rPr>
        <w:t>2018年8月10日正式生效。</w:t>
      </w:r>
    </w:p>
    <w:p w14:paraId="1BEE1FD2" w14:textId="77777777" w:rsidR="00B51DEA" w:rsidRDefault="00000000">
      <w:pPr>
        <w:autoSpaceDE w:val="0"/>
        <w:autoSpaceDN w:val="0"/>
        <w:adjustRightInd w:val="0"/>
        <w:snapToGrid w:val="0"/>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sz w:val="24"/>
          <w:szCs w:val="24"/>
        </w:rPr>
        <w:t>2、基金管理人保证招募说明书的内容真实、准确、完整。本招募说明书经中国证监会注册，但中国证监会对本基金募集的注册，并不表明其对本基金的投资价值和市场前景</w:t>
      </w:r>
      <w:proofErr w:type="gramStart"/>
      <w:r>
        <w:rPr>
          <w:rFonts w:asciiTheme="minorEastAsia" w:hAnsiTheme="minorEastAsia" w:cs="Arial" w:hint="eastAsia"/>
          <w:sz w:val="24"/>
          <w:szCs w:val="24"/>
        </w:rPr>
        <w:t>作出</w:t>
      </w:r>
      <w:proofErr w:type="gramEnd"/>
      <w:r>
        <w:rPr>
          <w:rFonts w:asciiTheme="minorEastAsia" w:hAnsiTheme="minorEastAsia" w:cs="Arial" w:hint="eastAsia"/>
          <w:sz w:val="24"/>
          <w:szCs w:val="24"/>
        </w:rPr>
        <w:t>实质性判断或保证，也不表明投资于本基金没有风险。</w:t>
      </w:r>
    </w:p>
    <w:p w14:paraId="19477BBB" w14:textId="77777777" w:rsidR="00B51DEA" w:rsidRDefault="00000000">
      <w:pPr>
        <w:autoSpaceDE w:val="0"/>
        <w:autoSpaceDN w:val="0"/>
        <w:adjustRightInd w:val="0"/>
        <w:snapToGrid w:val="0"/>
        <w:spacing w:line="360" w:lineRule="auto"/>
        <w:ind w:firstLineChars="200" w:firstLine="480"/>
        <w:jc w:val="left"/>
        <w:rPr>
          <w:rFonts w:asciiTheme="minorEastAsia" w:hAnsiTheme="minorEastAsia" w:hint="eastAsia"/>
          <w:sz w:val="24"/>
          <w:szCs w:val="24"/>
        </w:rPr>
      </w:pPr>
      <w:r>
        <w:rPr>
          <w:rFonts w:asciiTheme="minorEastAsia" w:hAnsiTheme="minorEastAsia" w:cs="Arial"/>
          <w:sz w:val="24"/>
          <w:szCs w:val="24"/>
        </w:rPr>
        <w:t>3、投资有风险，投资者认购（或申购）基金份额时应认真阅读本招募说明书等信息披露文件，自主判断基金的投资价值，全面认识本基金产品的风险收益特征，应充分考虑投资者自身的风险承受能力，并对认购（或申购）基金的意愿、时机、数量等投资行为</w:t>
      </w:r>
      <w:proofErr w:type="gramStart"/>
      <w:r>
        <w:rPr>
          <w:rFonts w:asciiTheme="minorEastAsia" w:hAnsiTheme="minorEastAsia" w:cs="Arial" w:hint="eastAsia"/>
          <w:sz w:val="24"/>
          <w:szCs w:val="24"/>
        </w:rPr>
        <w:t>作出</w:t>
      </w:r>
      <w:proofErr w:type="gramEnd"/>
      <w:r>
        <w:rPr>
          <w:rFonts w:asciiTheme="minorEastAsia" w:hAnsiTheme="minorEastAsia" w:cs="Arial" w:hint="eastAsia"/>
          <w:sz w:val="24"/>
          <w:szCs w:val="24"/>
        </w:rPr>
        <w:t>独立决策。基金管理人提醒投资者基金投资的“买者自负”原则，在投资者</w:t>
      </w:r>
      <w:proofErr w:type="gramStart"/>
      <w:r>
        <w:rPr>
          <w:rFonts w:asciiTheme="minorEastAsia" w:hAnsiTheme="minorEastAsia" w:cs="Arial" w:hint="eastAsia"/>
          <w:sz w:val="24"/>
          <w:szCs w:val="24"/>
        </w:rPr>
        <w:t>作出</w:t>
      </w:r>
      <w:proofErr w:type="gramEnd"/>
      <w:r>
        <w:rPr>
          <w:rFonts w:asciiTheme="minorEastAsia" w:hAnsiTheme="minorEastAsia" w:cs="Arial" w:hint="eastAsia"/>
          <w:sz w:val="24"/>
          <w:szCs w:val="24"/>
        </w:rPr>
        <w:t>投资决策后，基金运营状况与基金净值变化导致的投资风险，由投资者自行负担。</w:t>
      </w:r>
    </w:p>
    <w:p w14:paraId="66627080" w14:textId="77777777" w:rsidR="00B51DEA" w:rsidRDefault="00000000">
      <w:pPr>
        <w:autoSpaceDE w:val="0"/>
        <w:autoSpaceDN w:val="0"/>
        <w:adjustRightInd w:val="0"/>
        <w:snapToGrid w:val="0"/>
        <w:spacing w:line="360" w:lineRule="auto"/>
        <w:ind w:firstLineChars="200" w:firstLine="480"/>
        <w:jc w:val="left"/>
        <w:rPr>
          <w:rFonts w:asciiTheme="minorEastAsia" w:hAnsiTheme="minorEastAsia" w:hint="eastAsia"/>
          <w:sz w:val="24"/>
          <w:szCs w:val="24"/>
        </w:rPr>
      </w:pPr>
      <w:r>
        <w:rPr>
          <w:rFonts w:asciiTheme="minorEastAsia" w:hAnsiTheme="minorEastAsia" w:cs="Arial"/>
          <w:sz w:val="24"/>
          <w:szCs w:val="24"/>
        </w:rPr>
        <w:t>4、本基金投资于证券市场，基金净值会因为证券市场波动等因素产生波动，投资者在投资本基金前，应全面了解本基金的产品特性，理性判断市场，并承担基金投资中出现的各类风险，包括：因政治、经济、社会等环境因素对证券价格产生影响而形成的系统性风险、个别证券特有的非系统性风险、基金管理人在基金管理实施过程中产生的基金管理风险、本基金的特定风险等等。</w:t>
      </w:r>
    </w:p>
    <w:p w14:paraId="6982C7D9" w14:textId="77777777" w:rsidR="00B51DEA" w:rsidRDefault="00000000">
      <w:pPr>
        <w:autoSpaceDE w:val="0"/>
        <w:autoSpaceDN w:val="0"/>
        <w:adjustRightInd w:val="0"/>
        <w:snapToGrid w:val="0"/>
        <w:spacing w:line="360" w:lineRule="auto"/>
        <w:ind w:firstLineChars="200" w:firstLine="480"/>
        <w:jc w:val="left"/>
        <w:rPr>
          <w:rFonts w:asciiTheme="minorEastAsia" w:hAnsiTheme="minorEastAsia" w:hint="eastAsia"/>
          <w:sz w:val="24"/>
          <w:szCs w:val="24"/>
        </w:rPr>
      </w:pPr>
      <w:r>
        <w:rPr>
          <w:rFonts w:asciiTheme="minorEastAsia" w:hAnsiTheme="minorEastAsia" w:cs="Arial" w:hint="eastAsia"/>
          <w:sz w:val="24"/>
          <w:szCs w:val="24"/>
        </w:rPr>
        <w:t>本基金投资中小企业私募债，中小企业私募债是根据相关法律法规由非上市中小企业采用非公开方式发行的债券。由于不能公开交易，一般情况下，交易不活跃，潜在较大流动性风险。当发债主体信用质量恶化时，受市场流动性所限，本基金可能无法卖出所持有的中小企业私募债，由此可能给基金净值带来更大的负面影响和损失。</w:t>
      </w:r>
    </w:p>
    <w:p w14:paraId="5939B881" w14:textId="77777777" w:rsidR="00B51DEA" w:rsidRDefault="00000000">
      <w:pPr>
        <w:autoSpaceDE w:val="0"/>
        <w:autoSpaceDN w:val="0"/>
        <w:adjustRightInd w:val="0"/>
        <w:snapToGrid w:val="0"/>
        <w:spacing w:line="360" w:lineRule="auto"/>
        <w:ind w:firstLineChars="200" w:firstLine="480"/>
        <w:jc w:val="left"/>
        <w:rPr>
          <w:rFonts w:asciiTheme="minorEastAsia" w:hAnsiTheme="minorEastAsia" w:hint="eastAsia"/>
          <w:sz w:val="24"/>
          <w:szCs w:val="24"/>
        </w:rPr>
      </w:pPr>
      <w:r>
        <w:rPr>
          <w:rFonts w:asciiTheme="minorEastAsia" w:hAnsiTheme="minorEastAsia" w:cs="Arial" w:hint="eastAsia"/>
          <w:sz w:val="24"/>
          <w:szCs w:val="24"/>
        </w:rPr>
        <w:t>本基金的投资范围包括存托凭证，若投资，可能面临存托凭证价格大幅波动甚至出现较大亏损的风险，以及与存托凭证发行机制相关的风险。</w:t>
      </w:r>
    </w:p>
    <w:p w14:paraId="1668238D" w14:textId="77777777" w:rsidR="00B51DEA" w:rsidRDefault="00000000">
      <w:pPr>
        <w:autoSpaceDE w:val="0"/>
        <w:autoSpaceDN w:val="0"/>
        <w:adjustRightInd w:val="0"/>
        <w:snapToGrid w:val="0"/>
        <w:spacing w:line="360" w:lineRule="auto"/>
        <w:ind w:firstLineChars="200" w:firstLine="480"/>
        <w:jc w:val="left"/>
        <w:rPr>
          <w:rFonts w:asciiTheme="minorEastAsia" w:hAnsiTheme="minorEastAsia" w:hint="eastAsia"/>
          <w:sz w:val="24"/>
          <w:szCs w:val="24"/>
        </w:rPr>
      </w:pPr>
      <w:r>
        <w:rPr>
          <w:rFonts w:asciiTheme="minorEastAsia" w:hAnsiTheme="minorEastAsia"/>
          <w:sz w:val="24"/>
          <w:szCs w:val="24"/>
        </w:rPr>
        <w:t>5、</w:t>
      </w:r>
      <w:r>
        <w:rPr>
          <w:rFonts w:asciiTheme="minorEastAsia" w:hAnsiTheme="minorEastAsia" w:hint="eastAsia"/>
          <w:bCs/>
          <w:sz w:val="24"/>
        </w:rPr>
        <w:t>本基金属于混合型基金，其预期风险和预期收益高于货币市场基金、债券基金，低于股票型基金，属于证券投资基金中</w:t>
      </w:r>
      <w:proofErr w:type="gramStart"/>
      <w:r>
        <w:rPr>
          <w:rFonts w:asciiTheme="minorEastAsia" w:hAnsiTheme="minorEastAsia" w:hint="eastAsia"/>
          <w:bCs/>
          <w:sz w:val="24"/>
        </w:rPr>
        <w:t>中</w:t>
      </w:r>
      <w:proofErr w:type="gramEnd"/>
      <w:r>
        <w:rPr>
          <w:rFonts w:asciiTheme="minorEastAsia" w:hAnsiTheme="minorEastAsia" w:hint="eastAsia"/>
          <w:bCs/>
          <w:sz w:val="24"/>
        </w:rPr>
        <w:t>风险、中预期收益的品种。</w:t>
      </w:r>
    </w:p>
    <w:p w14:paraId="3428A746" w14:textId="77777777" w:rsidR="00B51DEA" w:rsidRDefault="00000000">
      <w:pPr>
        <w:autoSpaceDE w:val="0"/>
        <w:autoSpaceDN w:val="0"/>
        <w:adjustRightInd w:val="0"/>
        <w:snapToGrid w:val="0"/>
        <w:spacing w:line="360" w:lineRule="auto"/>
        <w:ind w:firstLineChars="200" w:firstLine="480"/>
        <w:jc w:val="left"/>
        <w:rPr>
          <w:rFonts w:asciiTheme="minorEastAsia" w:hAnsiTheme="minorEastAsia" w:cs="Arial" w:hint="eastAsia"/>
          <w:sz w:val="24"/>
          <w:szCs w:val="24"/>
        </w:rPr>
      </w:pPr>
      <w:r>
        <w:rPr>
          <w:rFonts w:asciiTheme="minorEastAsia" w:hAnsiTheme="minorEastAsia" w:cs="Arial Unicode MS"/>
          <w:sz w:val="24"/>
          <w:szCs w:val="24"/>
        </w:rPr>
        <w:t>6</w:t>
      </w:r>
      <w:r>
        <w:rPr>
          <w:rFonts w:asciiTheme="minorEastAsia" w:hAnsiTheme="minorEastAsia" w:cs="Arial" w:hint="eastAsia"/>
          <w:sz w:val="24"/>
          <w:szCs w:val="24"/>
        </w:rPr>
        <w:t>、本基金份额发售面值为人民币</w:t>
      </w:r>
      <w:r>
        <w:rPr>
          <w:rFonts w:asciiTheme="minorEastAsia" w:hAnsiTheme="minorEastAsia" w:cs="Arial"/>
          <w:sz w:val="24"/>
          <w:szCs w:val="24"/>
        </w:rPr>
        <w:t xml:space="preserve">1.00 </w:t>
      </w:r>
      <w:r>
        <w:rPr>
          <w:rFonts w:asciiTheme="minorEastAsia" w:hAnsiTheme="minorEastAsia" w:cs="Arial" w:hint="eastAsia"/>
          <w:sz w:val="24"/>
          <w:szCs w:val="24"/>
        </w:rPr>
        <w:t>元。在市场波动因素影响下，本基金净值可能低于发售面值，本基金投资者有可能出现亏损。</w:t>
      </w:r>
    </w:p>
    <w:p w14:paraId="16A5F41C" w14:textId="77777777" w:rsidR="00B51DEA" w:rsidRDefault="00000000">
      <w:pPr>
        <w:autoSpaceDE w:val="0"/>
        <w:autoSpaceDN w:val="0"/>
        <w:adjustRightInd w:val="0"/>
        <w:snapToGrid w:val="0"/>
        <w:spacing w:line="360" w:lineRule="auto"/>
        <w:ind w:firstLineChars="200" w:firstLine="480"/>
        <w:jc w:val="left"/>
        <w:rPr>
          <w:rFonts w:asciiTheme="minorEastAsia" w:hAnsiTheme="minorEastAsia" w:hint="eastAsia"/>
          <w:sz w:val="24"/>
          <w:szCs w:val="24"/>
        </w:rPr>
      </w:pPr>
      <w:r>
        <w:rPr>
          <w:rFonts w:asciiTheme="minorEastAsia" w:hAnsiTheme="minorEastAsia" w:cs="Arial" w:hint="eastAsia"/>
          <w:sz w:val="24"/>
          <w:szCs w:val="24"/>
        </w:rPr>
        <w:lastRenderedPageBreak/>
        <w:t>7、基金的过往业绩并不预示其未来表现，基金管理人管理的其他基金的业绩也不构成对本基金业绩表现的保证。</w:t>
      </w:r>
    </w:p>
    <w:p w14:paraId="77929B2E" w14:textId="77777777" w:rsidR="00B51DEA" w:rsidRDefault="00000000">
      <w:pPr>
        <w:autoSpaceDE w:val="0"/>
        <w:autoSpaceDN w:val="0"/>
        <w:adjustRightInd w:val="0"/>
        <w:snapToGrid w:val="0"/>
        <w:spacing w:line="360" w:lineRule="auto"/>
        <w:ind w:firstLineChars="200" w:firstLine="480"/>
        <w:jc w:val="left"/>
        <w:rPr>
          <w:rFonts w:asciiTheme="minorEastAsia" w:hAnsiTheme="minorEastAsia" w:hint="eastAsia"/>
          <w:sz w:val="24"/>
          <w:szCs w:val="24"/>
        </w:rPr>
      </w:pPr>
      <w:r>
        <w:rPr>
          <w:rFonts w:asciiTheme="minorEastAsia" w:hAnsiTheme="minorEastAsia" w:cs="Arial" w:hint="eastAsia"/>
          <w:sz w:val="24"/>
          <w:szCs w:val="24"/>
        </w:rPr>
        <w:t>8、</w:t>
      </w:r>
      <w:r>
        <w:rPr>
          <w:rFonts w:asciiTheme="minorEastAsia" w:hAnsiTheme="minorEastAsia" w:cs="Arial"/>
          <w:sz w:val="24"/>
          <w:szCs w:val="24"/>
        </w:rPr>
        <w:t>基金管理人依照恪尽职守、诚实信用、谨慎勤勉的原则管理和运用基金财产，但不保证基金一定盈利，也不保证最低收益。</w:t>
      </w:r>
      <w:r>
        <w:rPr>
          <w:rFonts w:asciiTheme="minorEastAsia" w:hAnsiTheme="minorEastAsia" w:cs="Arial" w:hint="eastAsia"/>
          <w:sz w:val="24"/>
          <w:szCs w:val="24"/>
        </w:rPr>
        <w:t>基金管理人提醒投资者基金投资的“买者自负”原则，在</w:t>
      </w:r>
      <w:proofErr w:type="gramStart"/>
      <w:r>
        <w:rPr>
          <w:rFonts w:asciiTheme="minorEastAsia" w:hAnsiTheme="minorEastAsia" w:cs="Arial" w:hint="eastAsia"/>
          <w:sz w:val="24"/>
          <w:szCs w:val="24"/>
        </w:rPr>
        <w:t>作出</w:t>
      </w:r>
      <w:proofErr w:type="gramEnd"/>
      <w:r>
        <w:rPr>
          <w:rFonts w:asciiTheme="minorEastAsia" w:hAnsiTheme="minorEastAsia" w:cs="Arial" w:hint="eastAsia"/>
          <w:sz w:val="24"/>
          <w:szCs w:val="24"/>
        </w:rPr>
        <w:t>投资决策后，基金运营状况与基金净值变化引致的投资风险，由投资者自行承担。</w:t>
      </w:r>
    </w:p>
    <w:p w14:paraId="4E5818B7" w14:textId="15D0CEF8" w:rsidR="00B51DEA" w:rsidRPr="00BD0A88" w:rsidRDefault="00000000">
      <w:pPr>
        <w:autoSpaceDE w:val="0"/>
        <w:autoSpaceDN w:val="0"/>
        <w:adjustRightInd w:val="0"/>
        <w:snapToGrid w:val="0"/>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9</w:t>
      </w:r>
      <w:r>
        <w:rPr>
          <w:rFonts w:asciiTheme="minorEastAsia" w:hAnsiTheme="minorEastAsia" w:cs="Arial"/>
          <w:sz w:val="24"/>
          <w:szCs w:val="24"/>
        </w:rPr>
        <w:t>、</w:t>
      </w:r>
      <w:r w:rsidRPr="00BD0A88">
        <w:rPr>
          <w:rFonts w:asciiTheme="minorEastAsia" w:hAnsiTheme="minorEastAsia" w:cs="Arial" w:hint="eastAsia"/>
          <w:b/>
          <w:bCs/>
          <w:sz w:val="24"/>
          <w:szCs w:val="24"/>
        </w:rPr>
        <w:t>本次招募说明书对“基金管理人”部分进行更新。</w:t>
      </w:r>
      <w:r>
        <w:rPr>
          <w:rFonts w:asciiTheme="minorEastAsia" w:hAnsiTheme="minorEastAsia" w:cs="Arial" w:hint="eastAsia"/>
          <w:sz w:val="24"/>
          <w:szCs w:val="24"/>
        </w:rPr>
        <w:t>本招募说明书所载业绩比较基准等相关信息内容截止日为2026年9月21日，其他内容截止日为2026年</w:t>
      </w:r>
      <w:r>
        <w:rPr>
          <w:rFonts w:asciiTheme="minorEastAsia" w:hAnsiTheme="minorEastAsia" w:cs="Arial"/>
          <w:sz w:val="24"/>
          <w:szCs w:val="24"/>
        </w:rPr>
        <w:t>8</w:t>
      </w:r>
      <w:r>
        <w:rPr>
          <w:rFonts w:asciiTheme="minorEastAsia" w:hAnsiTheme="minorEastAsia" w:cs="Arial" w:hint="eastAsia"/>
          <w:sz w:val="24"/>
          <w:szCs w:val="24"/>
        </w:rPr>
        <w:t>月</w:t>
      </w:r>
      <w:r>
        <w:rPr>
          <w:rFonts w:asciiTheme="minorEastAsia" w:hAnsiTheme="minorEastAsia" w:cs="Arial"/>
          <w:sz w:val="24"/>
          <w:szCs w:val="24"/>
        </w:rPr>
        <w:t>18</w:t>
      </w:r>
      <w:r>
        <w:rPr>
          <w:rFonts w:asciiTheme="minorEastAsia" w:hAnsiTheme="minorEastAsia" w:cs="Arial" w:hint="eastAsia"/>
          <w:sz w:val="24"/>
          <w:szCs w:val="24"/>
        </w:rPr>
        <w:t>日，有关财务数据截止日为2026年6月30日，净值表现截止日为2026年6月30日。（财务数据未经审计）。</w:t>
      </w:r>
    </w:p>
    <w:p w14:paraId="24B8F8A0" w14:textId="77777777" w:rsidR="00B51DEA" w:rsidRDefault="00B51DEA">
      <w:pPr>
        <w:autoSpaceDE w:val="0"/>
        <w:autoSpaceDN w:val="0"/>
        <w:adjustRightInd w:val="0"/>
        <w:snapToGrid w:val="0"/>
        <w:spacing w:line="360" w:lineRule="auto"/>
        <w:jc w:val="center"/>
        <w:rPr>
          <w:rFonts w:asciiTheme="minorEastAsia" w:hAnsiTheme="minorEastAsia" w:cs="Arial" w:hint="eastAsia"/>
          <w:b/>
          <w:bCs/>
          <w:sz w:val="28"/>
          <w:szCs w:val="28"/>
        </w:rPr>
      </w:pPr>
    </w:p>
    <w:p w14:paraId="6726EB4A" w14:textId="77777777" w:rsidR="00B51DEA" w:rsidRDefault="00B51DEA">
      <w:pPr>
        <w:widowControl/>
        <w:spacing w:line="360" w:lineRule="auto"/>
        <w:jc w:val="left"/>
        <w:rPr>
          <w:rFonts w:asciiTheme="minorEastAsia" w:hAnsiTheme="minorEastAsia" w:cs="Times New Roman" w:hint="eastAsia"/>
          <w:b/>
          <w:kern w:val="0"/>
          <w:sz w:val="30"/>
          <w:szCs w:val="30"/>
        </w:rPr>
        <w:sectPr w:rsidR="00B51DEA">
          <w:headerReference w:type="default" r:id="rId17"/>
          <w:pgSz w:w="11906" w:h="16838"/>
          <w:pgMar w:top="1440" w:right="1800" w:bottom="1440" w:left="1800" w:header="851" w:footer="992" w:gutter="0"/>
          <w:cols w:space="720"/>
          <w:docGrid w:type="lines" w:linePitch="312"/>
        </w:sectPr>
      </w:pPr>
      <w:bookmarkStart w:id="18" w:name="_Toc141703880"/>
      <w:bookmarkStart w:id="19" w:name="_Toc26897"/>
      <w:bookmarkStart w:id="20" w:name="_Toc23386"/>
      <w:bookmarkStart w:id="21" w:name="_Toc11660"/>
      <w:bookmarkStart w:id="22" w:name="_Toc29629"/>
      <w:bookmarkStart w:id="23" w:name="_Toc8727"/>
      <w:bookmarkStart w:id="24" w:name="_Toc4966"/>
      <w:bookmarkStart w:id="25" w:name="_Toc123112268"/>
      <w:bookmarkStart w:id="26" w:name="_Toc15517"/>
      <w:bookmarkStart w:id="27" w:name="_Toc123112229"/>
      <w:bookmarkStart w:id="28" w:name="_Toc30935"/>
      <w:bookmarkStart w:id="29" w:name="_Toc6306"/>
      <w:bookmarkStart w:id="30" w:name="_Toc123701389"/>
      <w:bookmarkStart w:id="31" w:name="_Toc4867"/>
      <w:bookmarkStart w:id="32" w:name="_Toc139991730"/>
      <w:bookmarkStart w:id="33" w:name="_Toc32639"/>
      <w:bookmarkStart w:id="34" w:name="_Toc352229746"/>
      <w:bookmarkStart w:id="35" w:name="_Toc233456271"/>
      <w:bookmarkEnd w:id="0"/>
      <w:bookmarkEnd w:id="1"/>
      <w:bookmarkEnd w:id="2"/>
      <w:bookmarkEnd w:id="3"/>
    </w:p>
    <w:p w14:paraId="5B1D5591" w14:textId="77777777" w:rsidR="00B51DEA" w:rsidRDefault="00000000">
      <w:pPr>
        <w:jc w:val="center"/>
        <w:rPr>
          <w:rFonts w:asciiTheme="minorEastAsia" w:hAnsiTheme="minorEastAsia" w:hint="eastAsia"/>
          <w:b/>
          <w:bCs/>
          <w:sz w:val="24"/>
        </w:rPr>
      </w:pPr>
      <w:r>
        <w:rPr>
          <w:rFonts w:asciiTheme="minorEastAsia" w:hAnsiTheme="minorEastAsia" w:hint="eastAsia"/>
          <w:b/>
          <w:bCs/>
          <w:sz w:val="24"/>
        </w:rPr>
        <w:lastRenderedPageBreak/>
        <w:t>目</w:t>
      </w:r>
      <w:r>
        <w:rPr>
          <w:rFonts w:asciiTheme="minorEastAsia" w:hAnsiTheme="minorEastAsia"/>
          <w:b/>
          <w:bCs/>
          <w:sz w:val="24"/>
        </w:rPr>
        <w:t xml:space="preserve">    </w:t>
      </w:r>
      <w:r>
        <w:rPr>
          <w:rFonts w:asciiTheme="minorEastAsia" w:hAnsiTheme="minorEastAsia" w:hint="eastAsia"/>
          <w:b/>
          <w:bCs/>
          <w:sz w:val="24"/>
        </w:rPr>
        <w:t>录</w:t>
      </w:r>
    </w:p>
    <w:p w14:paraId="0F6873CB" w14:textId="77777777" w:rsidR="00B51DEA" w:rsidRDefault="00000000">
      <w:pPr>
        <w:pStyle w:val="TOC1"/>
        <w:rPr>
          <w:rFonts w:asciiTheme="minorEastAsia" w:eastAsiaTheme="minorEastAsia" w:hAnsiTheme="minorEastAsia" w:cstheme="minorBidi" w:hint="eastAsia"/>
          <w:b/>
          <w:noProof/>
          <w:szCs w:val="22"/>
        </w:rPr>
      </w:pPr>
      <w:r>
        <w:rPr>
          <w:rFonts w:asciiTheme="minorEastAsia" w:eastAsiaTheme="minorEastAsia" w:hAnsiTheme="minorEastAsia"/>
          <w:b/>
          <w:bCs/>
        </w:rPr>
        <w:fldChar w:fldCharType="begin"/>
      </w:r>
      <w:r>
        <w:rPr>
          <w:rFonts w:asciiTheme="minorEastAsia" w:eastAsiaTheme="minorEastAsia" w:hAnsiTheme="minorEastAsia"/>
          <w:b/>
          <w:bCs/>
        </w:rPr>
        <w:instrText xml:space="preserve"> TOC \o "1-1" \h \z \u </w:instrText>
      </w:r>
      <w:r>
        <w:rPr>
          <w:rFonts w:asciiTheme="minorEastAsia" w:eastAsiaTheme="minorEastAsia" w:hAnsiTheme="minorEastAsia"/>
          <w:b/>
          <w:bCs/>
        </w:rPr>
        <w:fldChar w:fldCharType="separate"/>
      </w:r>
    </w:p>
    <w:p w14:paraId="352EFD9A" w14:textId="3E7D18A4" w:rsidR="00B51DEA" w:rsidRDefault="00000000">
      <w:pPr>
        <w:pStyle w:val="TOC1"/>
        <w:rPr>
          <w:rFonts w:asciiTheme="minorEastAsia" w:eastAsiaTheme="minorEastAsia" w:hAnsiTheme="minorEastAsia" w:cstheme="minorBidi" w:hint="eastAsia"/>
          <w:b/>
          <w:noProof/>
          <w:szCs w:val="22"/>
        </w:rPr>
      </w:pPr>
      <w:hyperlink w:anchor="_Toc2677402" w:history="1">
        <w:r>
          <w:rPr>
            <w:rStyle w:val="afa"/>
            <w:rFonts w:asciiTheme="minorEastAsia" w:eastAsiaTheme="minorEastAsia" w:hAnsiTheme="minorEastAsia"/>
            <w:b/>
            <w:noProof/>
          </w:rPr>
          <w:t>第一部分  绪言</w:t>
        </w:r>
        <w:r>
          <w:rPr>
            <w:rFonts w:asciiTheme="minorEastAsia" w:eastAsiaTheme="minorEastAsia" w:hAnsiTheme="minorEastAsia"/>
            <w:b/>
            <w:noProof/>
          </w:rPr>
          <w:tab/>
        </w:r>
        <w:r>
          <w:rPr>
            <w:rFonts w:asciiTheme="minorEastAsia" w:eastAsiaTheme="minorEastAsia" w:hAnsiTheme="minorEastAsia"/>
            <w:b/>
            <w:noProof/>
          </w:rPr>
          <w:fldChar w:fldCharType="begin"/>
        </w:r>
        <w:r>
          <w:rPr>
            <w:rFonts w:asciiTheme="minorEastAsia" w:eastAsiaTheme="minorEastAsia" w:hAnsiTheme="minorEastAsia"/>
            <w:b/>
            <w:noProof/>
          </w:rPr>
          <w:instrText xml:space="preserve"> PAGEREF _Toc2677402 \h </w:instrText>
        </w:r>
        <w:r>
          <w:rPr>
            <w:rFonts w:asciiTheme="minorEastAsia" w:eastAsiaTheme="minorEastAsia" w:hAnsiTheme="minorEastAsia"/>
            <w:b/>
            <w:noProof/>
          </w:rPr>
        </w:r>
        <w:r>
          <w:rPr>
            <w:rFonts w:asciiTheme="minorEastAsia" w:eastAsiaTheme="minorEastAsia" w:hAnsiTheme="minorEastAsia"/>
            <w:b/>
            <w:noProof/>
          </w:rPr>
          <w:fldChar w:fldCharType="separate"/>
        </w:r>
        <w:r w:rsidR="00E531D8">
          <w:rPr>
            <w:rFonts w:asciiTheme="minorEastAsia" w:eastAsiaTheme="minorEastAsia" w:hAnsiTheme="minorEastAsia" w:hint="eastAsia"/>
            <w:b/>
            <w:noProof/>
          </w:rPr>
          <w:t>4</w:t>
        </w:r>
        <w:r>
          <w:rPr>
            <w:rFonts w:asciiTheme="minorEastAsia" w:eastAsiaTheme="minorEastAsia" w:hAnsiTheme="minorEastAsia"/>
            <w:b/>
            <w:noProof/>
          </w:rPr>
          <w:fldChar w:fldCharType="end"/>
        </w:r>
      </w:hyperlink>
    </w:p>
    <w:p w14:paraId="66C3C207" w14:textId="03415520" w:rsidR="00B51DEA" w:rsidRDefault="00000000">
      <w:pPr>
        <w:pStyle w:val="TOC1"/>
        <w:rPr>
          <w:rFonts w:asciiTheme="minorEastAsia" w:eastAsiaTheme="minorEastAsia" w:hAnsiTheme="minorEastAsia" w:cstheme="minorBidi" w:hint="eastAsia"/>
          <w:b/>
          <w:noProof/>
          <w:szCs w:val="22"/>
        </w:rPr>
      </w:pPr>
      <w:hyperlink w:anchor="_Toc2677403" w:history="1">
        <w:r>
          <w:rPr>
            <w:rStyle w:val="afa"/>
            <w:rFonts w:asciiTheme="minorEastAsia" w:eastAsiaTheme="minorEastAsia" w:hAnsiTheme="minorEastAsia"/>
            <w:b/>
            <w:noProof/>
          </w:rPr>
          <w:t>第二部分  释义</w:t>
        </w:r>
        <w:r>
          <w:rPr>
            <w:rFonts w:asciiTheme="minorEastAsia" w:eastAsiaTheme="minorEastAsia" w:hAnsiTheme="minorEastAsia"/>
            <w:b/>
            <w:noProof/>
          </w:rPr>
          <w:tab/>
        </w:r>
        <w:r>
          <w:rPr>
            <w:rFonts w:asciiTheme="minorEastAsia" w:eastAsiaTheme="minorEastAsia" w:hAnsiTheme="minorEastAsia"/>
            <w:b/>
            <w:noProof/>
          </w:rPr>
          <w:fldChar w:fldCharType="begin"/>
        </w:r>
        <w:r>
          <w:rPr>
            <w:rFonts w:asciiTheme="minorEastAsia" w:eastAsiaTheme="minorEastAsia" w:hAnsiTheme="minorEastAsia"/>
            <w:b/>
            <w:noProof/>
          </w:rPr>
          <w:instrText xml:space="preserve"> PAGEREF _Toc2677403 \h </w:instrText>
        </w:r>
        <w:r>
          <w:rPr>
            <w:rFonts w:asciiTheme="minorEastAsia" w:eastAsiaTheme="minorEastAsia" w:hAnsiTheme="minorEastAsia"/>
            <w:b/>
            <w:noProof/>
          </w:rPr>
        </w:r>
        <w:r>
          <w:rPr>
            <w:rFonts w:asciiTheme="minorEastAsia" w:eastAsiaTheme="minorEastAsia" w:hAnsiTheme="minorEastAsia"/>
            <w:b/>
            <w:noProof/>
          </w:rPr>
          <w:fldChar w:fldCharType="separate"/>
        </w:r>
        <w:r w:rsidR="00E531D8">
          <w:rPr>
            <w:rFonts w:asciiTheme="minorEastAsia" w:eastAsiaTheme="minorEastAsia" w:hAnsiTheme="minorEastAsia" w:hint="eastAsia"/>
            <w:b/>
            <w:noProof/>
          </w:rPr>
          <w:t>5</w:t>
        </w:r>
        <w:r>
          <w:rPr>
            <w:rFonts w:asciiTheme="minorEastAsia" w:eastAsiaTheme="minorEastAsia" w:hAnsiTheme="minorEastAsia"/>
            <w:b/>
            <w:noProof/>
          </w:rPr>
          <w:fldChar w:fldCharType="end"/>
        </w:r>
      </w:hyperlink>
    </w:p>
    <w:p w14:paraId="7EF77283" w14:textId="15667352" w:rsidR="00B51DEA" w:rsidRDefault="00000000">
      <w:pPr>
        <w:pStyle w:val="TOC1"/>
        <w:rPr>
          <w:rFonts w:asciiTheme="minorEastAsia" w:eastAsiaTheme="minorEastAsia" w:hAnsiTheme="minorEastAsia" w:cstheme="minorBidi" w:hint="eastAsia"/>
          <w:b/>
          <w:noProof/>
          <w:szCs w:val="22"/>
        </w:rPr>
      </w:pPr>
      <w:hyperlink w:anchor="_Toc2677404" w:history="1">
        <w:r>
          <w:rPr>
            <w:rStyle w:val="afa"/>
            <w:rFonts w:asciiTheme="minorEastAsia" w:eastAsiaTheme="minorEastAsia" w:hAnsiTheme="minorEastAsia"/>
            <w:b/>
            <w:noProof/>
          </w:rPr>
          <w:t>第三部分  基金管理人</w:t>
        </w:r>
        <w:r>
          <w:rPr>
            <w:rFonts w:asciiTheme="minorEastAsia" w:eastAsiaTheme="minorEastAsia" w:hAnsiTheme="minorEastAsia"/>
            <w:b/>
            <w:noProof/>
          </w:rPr>
          <w:tab/>
        </w:r>
        <w:r>
          <w:rPr>
            <w:rFonts w:asciiTheme="minorEastAsia" w:eastAsiaTheme="minorEastAsia" w:hAnsiTheme="minorEastAsia"/>
            <w:b/>
            <w:noProof/>
          </w:rPr>
          <w:fldChar w:fldCharType="begin"/>
        </w:r>
        <w:r>
          <w:rPr>
            <w:rFonts w:asciiTheme="minorEastAsia" w:eastAsiaTheme="minorEastAsia" w:hAnsiTheme="minorEastAsia"/>
            <w:b/>
            <w:noProof/>
          </w:rPr>
          <w:instrText xml:space="preserve"> PAGEREF _Toc2677404 \h </w:instrText>
        </w:r>
        <w:r>
          <w:rPr>
            <w:rFonts w:asciiTheme="minorEastAsia" w:eastAsiaTheme="minorEastAsia" w:hAnsiTheme="minorEastAsia"/>
            <w:b/>
            <w:noProof/>
          </w:rPr>
        </w:r>
        <w:r>
          <w:rPr>
            <w:rFonts w:asciiTheme="minorEastAsia" w:eastAsiaTheme="minorEastAsia" w:hAnsiTheme="minorEastAsia"/>
            <w:b/>
            <w:noProof/>
          </w:rPr>
          <w:fldChar w:fldCharType="separate"/>
        </w:r>
        <w:r w:rsidR="00E531D8">
          <w:rPr>
            <w:rFonts w:asciiTheme="minorEastAsia" w:eastAsiaTheme="minorEastAsia" w:hAnsiTheme="minorEastAsia" w:hint="eastAsia"/>
            <w:b/>
            <w:noProof/>
          </w:rPr>
          <w:t>10</w:t>
        </w:r>
        <w:r>
          <w:rPr>
            <w:rFonts w:asciiTheme="minorEastAsia" w:eastAsiaTheme="minorEastAsia" w:hAnsiTheme="minorEastAsia"/>
            <w:b/>
            <w:noProof/>
          </w:rPr>
          <w:fldChar w:fldCharType="end"/>
        </w:r>
      </w:hyperlink>
    </w:p>
    <w:p w14:paraId="75F101F9" w14:textId="09A44AE3" w:rsidR="00B51DEA" w:rsidRDefault="00000000">
      <w:pPr>
        <w:pStyle w:val="TOC1"/>
        <w:rPr>
          <w:rFonts w:asciiTheme="minorEastAsia" w:eastAsiaTheme="minorEastAsia" w:hAnsiTheme="minorEastAsia" w:cstheme="minorBidi" w:hint="eastAsia"/>
          <w:b/>
          <w:noProof/>
          <w:szCs w:val="22"/>
        </w:rPr>
      </w:pPr>
      <w:hyperlink w:anchor="_Toc2677405" w:history="1">
        <w:r>
          <w:rPr>
            <w:rStyle w:val="afa"/>
            <w:rFonts w:asciiTheme="minorEastAsia" w:eastAsiaTheme="minorEastAsia" w:hAnsiTheme="minorEastAsia"/>
            <w:b/>
            <w:noProof/>
          </w:rPr>
          <w:t>第四部分  基金托管人</w:t>
        </w:r>
        <w:r>
          <w:rPr>
            <w:rFonts w:asciiTheme="minorEastAsia" w:eastAsiaTheme="minorEastAsia" w:hAnsiTheme="minorEastAsia"/>
            <w:b/>
            <w:noProof/>
          </w:rPr>
          <w:tab/>
        </w:r>
        <w:r>
          <w:rPr>
            <w:rFonts w:asciiTheme="minorEastAsia" w:eastAsiaTheme="minorEastAsia" w:hAnsiTheme="minorEastAsia"/>
            <w:b/>
            <w:noProof/>
          </w:rPr>
          <w:fldChar w:fldCharType="begin"/>
        </w:r>
        <w:r>
          <w:rPr>
            <w:rFonts w:asciiTheme="minorEastAsia" w:eastAsiaTheme="minorEastAsia" w:hAnsiTheme="minorEastAsia"/>
            <w:b/>
            <w:noProof/>
          </w:rPr>
          <w:instrText xml:space="preserve"> PAGEREF _Toc2677405 \h </w:instrText>
        </w:r>
        <w:r>
          <w:rPr>
            <w:rFonts w:asciiTheme="minorEastAsia" w:eastAsiaTheme="minorEastAsia" w:hAnsiTheme="minorEastAsia"/>
            <w:b/>
            <w:noProof/>
          </w:rPr>
        </w:r>
        <w:r>
          <w:rPr>
            <w:rFonts w:asciiTheme="minorEastAsia" w:eastAsiaTheme="minorEastAsia" w:hAnsiTheme="minorEastAsia"/>
            <w:b/>
            <w:noProof/>
          </w:rPr>
          <w:fldChar w:fldCharType="separate"/>
        </w:r>
        <w:r w:rsidR="00E531D8">
          <w:rPr>
            <w:rFonts w:asciiTheme="minorEastAsia" w:eastAsiaTheme="minorEastAsia" w:hAnsiTheme="minorEastAsia" w:hint="eastAsia"/>
            <w:b/>
            <w:noProof/>
          </w:rPr>
          <w:t>22</w:t>
        </w:r>
        <w:r>
          <w:rPr>
            <w:rFonts w:asciiTheme="minorEastAsia" w:eastAsiaTheme="minorEastAsia" w:hAnsiTheme="minorEastAsia"/>
            <w:b/>
            <w:noProof/>
          </w:rPr>
          <w:fldChar w:fldCharType="end"/>
        </w:r>
      </w:hyperlink>
    </w:p>
    <w:p w14:paraId="39E5AD5C" w14:textId="387778F5" w:rsidR="00B51DEA" w:rsidRDefault="00000000">
      <w:pPr>
        <w:pStyle w:val="TOC1"/>
        <w:rPr>
          <w:rFonts w:asciiTheme="minorEastAsia" w:eastAsiaTheme="minorEastAsia" w:hAnsiTheme="minorEastAsia" w:cstheme="minorBidi" w:hint="eastAsia"/>
          <w:b/>
          <w:noProof/>
          <w:szCs w:val="22"/>
        </w:rPr>
      </w:pPr>
      <w:hyperlink w:anchor="_Toc2677406" w:history="1">
        <w:r>
          <w:rPr>
            <w:rStyle w:val="afa"/>
            <w:rFonts w:asciiTheme="minorEastAsia" w:eastAsiaTheme="minorEastAsia" w:hAnsiTheme="minorEastAsia"/>
            <w:b/>
            <w:noProof/>
          </w:rPr>
          <w:t>第五部分  相关服务机构</w:t>
        </w:r>
        <w:r>
          <w:rPr>
            <w:rFonts w:asciiTheme="minorEastAsia" w:eastAsiaTheme="minorEastAsia" w:hAnsiTheme="minorEastAsia"/>
            <w:b/>
            <w:noProof/>
          </w:rPr>
          <w:tab/>
        </w:r>
        <w:r>
          <w:rPr>
            <w:rFonts w:asciiTheme="minorEastAsia" w:eastAsiaTheme="minorEastAsia" w:hAnsiTheme="minorEastAsia"/>
            <w:b/>
            <w:noProof/>
          </w:rPr>
          <w:fldChar w:fldCharType="begin"/>
        </w:r>
        <w:r>
          <w:rPr>
            <w:rFonts w:asciiTheme="minorEastAsia" w:eastAsiaTheme="minorEastAsia" w:hAnsiTheme="minorEastAsia"/>
            <w:b/>
            <w:noProof/>
          </w:rPr>
          <w:instrText xml:space="preserve"> PAGEREF _Toc2677406 \h </w:instrText>
        </w:r>
        <w:r>
          <w:rPr>
            <w:rFonts w:asciiTheme="minorEastAsia" w:eastAsiaTheme="minorEastAsia" w:hAnsiTheme="minorEastAsia"/>
            <w:b/>
            <w:noProof/>
          </w:rPr>
        </w:r>
        <w:r>
          <w:rPr>
            <w:rFonts w:asciiTheme="minorEastAsia" w:eastAsiaTheme="minorEastAsia" w:hAnsiTheme="minorEastAsia"/>
            <w:b/>
            <w:noProof/>
          </w:rPr>
          <w:fldChar w:fldCharType="separate"/>
        </w:r>
        <w:r w:rsidR="00E531D8">
          <w:rPr>
            <w:rFonts w:asciiTheme="minorEastAsia" w:eastAsiaTheme="minorEastAsia" w:hAnsiTheme="minorEastAsia" w:hint="eastAsia"/>
            <w:b/>
            <w:noProof/>
          </w:rPr>
          <w:t>25</w:t>
        </w:r>
        <w:r>
          <w:rPr>
            <w:rFonts w:asciiTheme="minorEastAsia" w:eastAsiaTheme="minorEastAsia" w:hAnsiTheme="minorEastAsia"/>
            <w:b/>
            <w:noProof/>
          </w:rPr>
          <w:fldChar w:fldCharType="end"/>
        </w:r>
      </w:hyperlink>
    </w:p>
    <w:p w14:paraId="3B387EA9" w14:textId="798C02F8" w:rsidR="00B51DEA" w:rsidRDefault="00000000">
      <w:pPr>
        <w:pStyle w:val="TOC1"/>
        <w:rPr>
          <w:rFonts w:asciiTheme="minorEastAsia" w:eastAsiaTheme="minorEastAsia" w:hAnsiTheme="minorEastAsia" w:cstheme="minorBidi" w:hint="eastAsia"/>
          <w:b/>
          <w:noProof/>
          <w:szCs w:val="22"/>
        </w:rPr>
      </w:pPr>
      <w:hyperlink w:anchor="_Toc2677407" w:history="1">
        <w:r>
          <w:rPr>
            <w:rStyle w:val="afa"/>
            <w:rFonts w:asciiTheme="minorEastAsia" w:eastAsiaTheme="minorEastAsia" w:hAnsiTheme="minorEastAsia"/>
            <w:b/>
            <w:noProof/>
          </w:rPr>
          <w:t>第六部分  基金的募集</w:t>
        </w:r>
        <w:r>
          <w:rPr>
            <w:rFonts w:asciiTheme="minorEastAsia" w:eastAsiaTheme="minorEastAsia" w:hAnsiTheme="minorEastAsia"/>
            <w:b/>
            <w:noProof/>
          </w:rPr>
          <w:tab/>
        </w:r>
        <w:r>
          <w:rPr>
            <w:rFonts w:asciiTheme="minorEastAsia" w:eastAsiaTheme="minorEastAsia" w:hAnsiTheme="minorEastAsia"/>
            <w:b/>
            <w:noProof/>
          </w:rPr>
          <w:fldChar w:fldCharType="begin"/>
        </w:r>
        <w:r>
          <w:rPr>
            <w:rFonts w:asciiTheme="minorEastAsia" w:eastAsiaTheme="minorEastAsia" w:hAnsiTheme="minorEastAsia"/>
            <w:b/>
            <w:noProof/>
          </w:rPr>
          <w:instrText xml:space="preserve"> PAGEREF _Toc2677407 \h </w:instrText>
        </w:r>
        <w:r>
          <w:rPr>
            <w:rFonts w:asciiTheme="minorEastAsia" w:eastAsiaTheme="minorEastAsia" w:hAnsiTheme="minorEastAsia"/>
            <w:b/>
            <w:noProof/>
          </w:rPr>
        </w:r>
        <w:r>
          <w:rPr>
            <w:rFonts w:asciiTheme="minorEastAsia" w:eastAsiaTheme="minorEastAsia" w:hAnsiTheme="minorEastAsia"/>
            <w:b/>
            <w:noProof/>
          </w:rPr>
          <w:fldChar w:fldCharType="separate"/>
        </w:r>
        <w:r w:rsidR="00E531D8">
          <w:rPr>
            <w:rFonts w:asciiTheme="minorEastAsia" w:eastAsiaTheme="minorEastAsia" w:hAnsiTheme="minorEastAsia" w:hint="eastAsia"/>
            <w:b/>
            <w:noProof/>
          </w:rPr>
          <w:t>27</w:t>
        </w:r>
        <w:r>
          <w:rPr>
            <w:rFonts w:asciiTheme="minorEastAsia" w:eastAsiaTheme="minorEastAsia" w:hAnsiTheme="minorEastAsia"/>
            <w:b/>
            <w:noProof/>
          </w:rPr>
          <w:fldChar w:fldCharType="end"/>
        </w:r>
      </w:hyperlink>
    </w:p>
    <w:p w14:paraId="015FE3E1" w14:textId="6A0129AD" w:rsidR="00B51DEA" w:rsidRDefault="00000000">
      <w:pPr>
        <w:pStyle w:val="TOC1"/>
        <w:rPr>
          <w:rFonts w:asciiTheme="minorEastAsia" w:eastAsiaTheme="minorEastAsia" w:hAnsiTheme="minorEastAsia" w:cstheme="minorBidi" w:hint="eastAsia"/>
          <w:b/>
          <w:noProof/>
          <w:szCs w:val="22"/>
        </w:rPr>
      </w:pPr>
      <w:hyperlink w:anchor="_Toc2677408" w:history="1">
        <w:r>
          <w:rPr>
            <w:rStyle w:val="afa"/>
            <w:rFonts w:asciiTheme="minorEastAsia" w:eastAsiaTheme="minorEastAsia" w:hAnsiTheme="minorEastAsia"/>
            <w:b/>
            <w:noProof/>
          </w:rPr>
          <w:t>第七部分  基金合同的生效</w:t>
        </w:r>
        <w:r>
          <w:rPr>
            <w:rFonts w:asciiTheme="minorEastAsia" w:eastAsiaTheme="minorEastAsia" w:hAnsiTheme="minorEastAsia"/>
            <w:b/>
            <w:noProof/>
          </w:rPr>
          <w:tab/>
        </w:r>
        <w:r>
          <w:rPr>
            <w:rFonts w:asciiTheme="minorEastAsia" w:eastAsiaTheme="minorEastAsia" w:hAnsiTheme="minorEastAsia"/>
            <w:b/>
            <w:noProof/>
          </w:rPr>
          <w:fldChar w:fldCharType="begin"/>
        </w:r>
        <w:r>
          <w:rPr>
            <w:rFonts w:asciiTheme="minorEastAsia" w:eastAsiaTheme="minorEastAsia" w:hAnsiTheme="minorEastAsia"/>
            <w:b/>
            <w:noProof/>
          </w:rPr>
          <w:instrText xml:space="preserve"> PAGEREF _Toc2677408 \h </w:instrText>
        </w:r>
        <w:r>
          <w:rPr>
            <w:rFonts w:asciiTheme="minorEastAsia" w:eastAsiaTheme="minorEastAsia" w:hAnsiTheme="minorEastAsia"/>
            <w:b/>
            <w:noProof/>
          </w:rPr>
        </w:r>
        <w:r>
          <w:rPr>
            <w:rFonts w:asciiTheme="minorEastAsia" w:eastAsiaTheme="minorEastAsia" w:hAnsiTheme="minorEastAsia"/>
            <w:b/>
            <w:noProof/>
          </w:rPr>
          <w:fldChar w:fldCharType="separate"/>
        </w:r>
        <w:r w:rsidR="00E531D8">
          <w:rPr>
            <w:rFonts w:asciiTheme="minorEastAsia" w:eastAsiaTheme="minorEastAsia" w:hAnsiTheme="minorEastAsia" w:hint="eastAsia"/>
            <w:b/>
            <w:noProof/>
          </w:rPr>
          <w:t>28</w:t>
        </w:r>
        <w:r>
          <w:rPr>
            <w:rFonts w:asciiTheme="minorEastAsia" w:eastAsiaTheme="minorEastAsia" w:hAnsiTheme="minorEastAsia"/>
            <w:b/>
            <w:noProof/>
          </w:rPr>
          <w:fldChar w:fldCharType="end"/>
        </w:r>
      </w:hyperlink>
    </w:p>
    <w:p w14:paraId="56B5D0FB" w14:textId="2C434B88" w:rsidR="00B51DEA" w:rsidRDefault="00000000">
      <w:pPr>
        <w:pStyle w:val="TOC1"/>
        <w:rPr>
          <w:rFonts w:asciiTheme="minorEastAsia" w:eastAsiaTheme="minorEastAsia" w:hAnsiTheme="minorEastAsia" w:cstheme="minorBidi" w:hint="eastAsia"/>
          <w:b/>
          <w:noProof/>
          <w:szCs w:val="22"/>
        </w:rPr>
      </w:pPr>
      <w:hyperlink w:anchor="_Toc2677409" w:history="1">
        <w:r>
          <w:rPr>
            <w:rStyle w:val="afa"/>
            <w:rFonts w:asciiTheme="minorEastAsia" w:eastAsiaTheme="minorEastAsia" w:hAnsiTheme="minorEastAsia"/>
            <w:b/>
            <w:noProof/>
          </w:rPr>
          <w:t>第八部分  基金份额的申购与赎回</w:t>
        </w:r>
        <w:r>
          <w:rPr>
            <w:rFonts w:asciiTheme="minorEastAsia" w:eastAsiaTheme="minorEastAsia" w:hAnsiTheme="minorEastAsia"/>
            <w:b/>
            <w:noProof/>
          </w:rPr>
          <w:tab/>
        </w:r>
        <w:r>
          <w:rPr>
            <w:rFonts w:asciiTheme="minorEastAsia" w:eastAsiaTheme="minorEastAsia" w:hAnsiTheme="minorEastAsia"/>
            <w:b/>
            <w:noProof/>
          </w:rPr>
          <w:fldChar w:fldCharType="begin"/>
        </w:r>
        <w:r>
          <w:rPr>
            <w:rFonts w:asciiTheme="minorEastAsia" w:eastAsiaTheme="minorEastAsia" w:hAnsiTheme="minorEastAsia"/>
            <w:b/>
            <w:noProof/>
          </w:rPr>
          <w:instrText xml:space="preserve"> PAGEREF _Toc2677409 \h </w:instrText>
        </w:r>
        <w:r>
          <w:rPr>
            <w:rFonts w:asciiTheme="minorEastAsia" w:eastAsiaTheme="minorEastAsia" w:hAnsiTheme="minorEastAsia"/>
            <w:b/>
            <w:noProof/>
          </w:rPr>
        </w:r>
        <w:r>
          <w:rPr>
            <w:rFonts w:asciiTheme="minorEastAsia" w:eastAsiaTheme="minorEastAsia" w:hAnsiTheme="minorEastAsia"/>
            <w:b/>
            <w:noProof/>
          </w:rPr>
          <w:fldChar w:fldCharType="separate"/>
        </w:r>
        <w:r w:rsidR="00E531D8">
          <w:rPr>
            <w:rFonts w:asciiTheme="minorEastAsia" w:eastAsiaTheme="minorEastAsia" w:hAnsiTheme="minorEastAsia" w:hint="eastAsia"/>
            <w:b/>
            <w:noProof/>
          </w:rPr>
          <w:t>29</w:t>
        </w:r>
        <w:r>
          <w:rPr>
            <w:rFonts w:asciiTheme="minorEastAsia" w:eastAsiaTheme="minorEastAsia" w:hAnsiTheme="minorEastAsia"/>
            <w:b/>
            <w:noProof/>
          </w:rPr>
          <w:fldChar w:fldCharType="end"/>
        </w:r>
      </w:hyperlink>
    </w:p>
    <w:p w14:paraId="181F0767" w14:textId="0E3F2CB2" w:rsidR="00B51DEA" w:rsidRDefault="00000000">
      <w:pPr>
        <w:pStyle w:val="TOC1"/>
        <w:rPr>
          <w:rFonts w:asciiTheme="minorEastAsia" w:eastAsiaTheme="minorEastAsia" w:hAnsiTheme="minorEastAsia" w:cstheme="minorBidi" w:hint="eastAsia"/>
          <w:b/>
          <w:noProof/>
          <w:szCs w:val="22"/>
        </w:rPr>
      </w:pPr>
      <w:hyperlink w:anchor="_Toc2677410" w:history="1">
        <w:r>
          <w:rPr>
            <w:rStyle w:val="afa"/>
            <w:rFonts w:asciiTheme="minorEastAsia" w:eastAsiaTheme="minorEastAsia" w:hAnsiTheme="minorEastAsia"/>
            <w:b/>
            <w:noProof/>
          </w:rPr>
          <w:t>第九部分  基金的投资</w:t>
        </w:r>
        <w:r>
          <w:rPr>
            <w:rFonts w:asciiTheme="minorEastAsia" w:eastAsiaTheme="minorEastAsia" w:hAnsiTheme="minorEastAsia"/>
            <w:b/>
            <w:noProof/>
          </w:rPr>
          <w:tab/>
        </w:r>
        <w:r>
          <w:rPr>
            <w:rFonts w:asciiTheme="minorEastAsia" w:eastAsiaTheme="minorEastAsia" w:hAnsiTheme="minorEastAsia"/>
            <w:b/>
            <w:noProof/>
          </w:rPr>
          <w:fldChar w:fldCharType="begin"/>
        </w:r>
        <w:r>
          <w:rPr>
            <w:rFonts w:asciiTheme="minorEastAsia" w:eastAsiaTheme="minorEastAsia" w:hAnsiTheme="minorEastAsia"/>
            <w:b/>
            <w:noProof/>
          </w:rPr>
          <w:instrText xml:space="preserve"> PAGEREF _Toc2677410 \h </w:instrText>
        </w:r>
        <w:r>
          <w:rPr>
            <w:rFonts w:asciiTheme="minorEastAsia" w:eastAsiaTheme="minorEastAsia" w:hAnsiTheme="minorEastAsia"/>
            <w:b/>
            <w:noProof/>
          </w:rPr>
        </w:r>
        <w:r>
          <w:rPr>
            <w:rFonts w:asciiTheme="minorEastAsia" w:eastAsiaTheme="minorEastAsia" w:hAnsiTheme="minorEastAsia"/>
            <w:b/>
            <w:noProof/>
          </w:rPr>
          <w:fldChar w:fldCharType="separate"/>
        </w:r>
        <w:r w:rsidR="00E531D8">
          <w:rPr>
            <w:rFonts w:asciiTheme="minorEastAsia" w:eastAsiaTheme="minorEastAsia" w:hAnsiTheme="minorEastAsia" w:hint="eastAsia"/>
            <w:b/>
            <w:noProof/>
          </w:rPr>
          <w:t>40</w:t>
        </w:r>
        <w:r>
          <w:rPr>
            <w:rFonts w:asciiTheme="minorEastAsia" w:eastAsiaTheme="minorEastAsia" w:hAnsiTheme="minorEastAsia"/>
            <w:b/>
            <w:noProof/>
          </w:rPr>
          <w:fldChar w:fldCharType="end"/>
        </w:r>
      </w:hyperlink>
    </w:p>
    <w:p w14:paraId="796BADAA" w14:textId="12FCDF7F" w:rsidR="00B51DEA" w:rsidRDefault="00000000">
      <w:pPr>
        <w:pStyle w:val="TOC1"/>
        <w:rPr>
          <w:rFonts w:asciiTheme="minorEastAsia" w:eastAsiaTheme="minorEastAsia" w:hAnsiTheme="minorEastAsia" w:cstheme="minorBidi" w:hint="eastAsia"/>
          <w:b/>
          <w:noProof/>
          <w:szCs w:val="22"/>
        </w:rPr>
      </w:pPr>
      <w:hyperlink w:anchor="_Toc2677411" w:history="1">
        <w:r>
          <w:rPr>
            <w:rStyle w:val="afa"/>
            <w:rFonts w:asciiTheme="minorEastAsia" w:eastAsiaTheme="minorEastAsia" w:hAnsiTheme="minorEastAsia"/>
            <w:b/>
            <w:noProof/>
          </w:rPr>
          <w:t>第十部分  基金的财产</w:t>
        </w:r>
        <w:r>
          <w:rPr>
            <w:rFonts w:asciiTheme="minorEastAsia" w:eastAsiaTheme="minorEastAsia" w:hAnsiTheme="minorEastAsia"/>
            <w:b/>
            <w:noProof/>
          </w:rPr>
          <w:tab/>
        </w:r>
        <w:r>
          <w:rPr>
            <w:rFonts w:asciiTheme="minorEastAsia" w:eastAsiaTheme="minorEastAsia" w:hAnsiTheme="minorEastAsia"/>
            <w:b/>
            <w:noProof/>
          </w:rPr>
          <w:fldChar w:fldCharType="begin"/>
        </w:r>
        <w:r>
          <w:rPr>
            <w:rFonts w:asciiTheme="minorEastAsia" w:eastAsiaTheme="minorEastAsia" w:hAnsiTheme="minorEastAsia"/>
            <w:b/>
            <w:noProof/>
          </w:rPr>
          <w:instrText xml:space="preserve"> PAGEREF _Toc2677411 \h </w:instrText>
        </w:r>
        <w:r>
          <w:rPr>
            <w:rFonts w:asciiTheme="minorEastAsia" w:eastAsiaTheme="minorEastAsia" w:hAnsiTheme="minorEastAsia"/>
            <w:b/>
            <w:noProof/>
          </w:rPr>
        </w:r>
        <w:r>
          <w:rPr>
            <w:rFonts w:asciiTheme="minorEastAsia" w:eastAsiaTheme="minorEastAsia" w:hAnsiTheme="minorEastAsia"/>
            <w:b/>
            <w:noProof/>
          </w:rPr>
          <w:fldChar w:fldCharType="separate"/>
        </w:r>
        <w:r w:rsidR="00E531D8">
          <w:rPr>
            <w:rFonts w:asciiTheme="minorEastAsia" w:eastAsiaTheme="minorEastAsia" w:hAnsiTheme="minorEastAsia" w:hint="eastAsia"/>
            <w:b/>
            <w:noProof/>
          </w:rPr>
          <w:t>57</w:t>
        </w:r>
        <w:r>
          <w:rPr>
            <w:rFonts w:asciiTheme="minorEastAsia" w:eastAsiaTheme="minorEastAsia" w:hAnsiTheme="minorEastAsia"/>
            <w:b/>
            <w:noProof/>
          </w:rPr>
          <w:fldChar w:fldCharType="end"/>
        </w:r>
      </w:hyperlink>
    </w:p>
    <w:p w14:paraId="32F25C41" w14:textId="134CB0F7" w:rsidR="00B51DEA" w:rsidRDefault="00000000">
      <w:pPr>
        <w:pStyle w:val="TOC1"/>
        <w:rPr>
          <w:rFonts w:asciiTheme="minorEastAsia" w:eastAsiaTheme="minorEastAsia" w:hAnsiTheme="minorEastAsia" w:cstheme="minorBidi" w:hint="eastAsia"/>
          <w:b/>
          <w:noProof/>
          <w:szCs w:val="22"/>
        </w:rPr>
      </w:pPr>
      <w:hyperlink w:anchor="_Toc2677412" w:history="1">
        <w:r>
          <w:rPr>
            <w:rStyle w:val="afa"/>
            <w:rFonts w:asciiTheme="minorEastAsia" w:eastAsiaTheme="minorEastAsia" w:hAnsiTheme="minorEastAsia"/>
            <w:b/>
            <w:noProof/>
          </w:rPr>
          <w:t>第十一部分  基金资产的估值</w:t>
        </w:r>
        <w:r>
          <w:rPr>
            <w:rFonts w:asciiTheme="minorEastAsia" w:eastAsiaTheme="minorEastAsia" w:hAnsiTheme="minorEastAsia"/>
            <w:b/>
            <w:noProof/>
          </w:rPr>
          <w:tab/>
        </w:r>
        <w:r>
          <w:rPr>
            <w:rFonts w:asciiTheme="minorEastAsia" w:eastAsiaTheme="minorEastAsia" w:hAnsiTheme="minorEastAsia"/>
            <w:b/>
            <w:noProof/>
          </w:rPr>
          <w:fldChar w:fldCharType="begin"/>
        </w:r>
        <w:r>
          <w:rPr>
            <w:rFonts w:asciiTheme="minorEastAsia" w:eastAsiaTheme="minorEastAsia" w:hAnsiTheme="minorEastAsia"/>
            <w:b/>
            <w:noProof/>
          </w:rPr>
          <w:instrText xml:space="preserve"> PAGEREF _Toc2677412 \h </w:instrText>
        </w:r>
        <w:r>
          <w:rPr>
            <w:rFonts w:asciiTheme="minorEastAsia" w:eastAsiaTheme="minorEastAsia" w:hAnsiTheme="minorEastAsia"/>
            <w:b/>
            <w:noProof/>
          </w:rPr>
        </w:r>
        <w:r>
          <w:rPr>
            <w:rFonts w:asciiTheme="minorEastAsia" w:eastAsiaTheme="minorEastAsia" w:hAnsiTheme="minorEastAsia"/>
            <w:b/>
            <w:noProof/>
          </w:rPr>
          <w:fldChar w:fldCharType="separate"/>
        </w:r>
        <w:r w:rsidR="00E531D8">
          <w:rPr>
            <w:rFonts w:asciiTheme="minorEastAsia" w:eastAsiaTheme="minorEastAsia" w:hAnsiTheme="minorEastAsia" w:hint="eastAsia"/>
            <w:b/>
            <w:noProof/>
          </w:rPr>
          <w:t>58</w:t>
        </w:r>
        <w:r>
          <w:rPr>
            <w:rFonts w:asciiTheme="minorEastAsia" w:eastAsiaTheme="minorEastAsia" w:hAnsiTheme="minorEastAsia"/>
            <w:b/>
            <w:noProof/>
          </w:rPr>
          <w:fldChar w:fldCharType="end"/>
        </w:r>
      </w:hyperlink>
    </w:p>
    <w:p w14:paraId="16C9E915" w14:textId="25628B30" w:rsidR="00B51DEA" w:rsidRDefault="00000000">
      <w:pPr>
        <w:pStyle w:val="TOC1"/>
        <w:rPr>
          <w:rFonts w:asciiTheme="minorEastAsia" w:eastAsiaTheme="minorEastAsia" w:hAnsiTheme="minorEastAsia" w:cstheme="minorBidi" w:hint="eastAsia"/>
          <w:b/>
          <w:noProof/>
          <w:szCs w:val="22"/>
        </w:rPr>
      </w:pPr>
      <w:hyperlink w:anchor="_Toc2677413" w:history="1">
        <w:r>
          <w:rPr>
            <w:rStyle w:val="afa"/>
            <w:rFonts w:asciiTheme="minorEastAsia" w:eastAsiaTheme="minorEastAsia" w:hAnsiTheme="minorEastAsia"/>
            <w:b/>
            <w:noProof/>
          </w:rPr>
          <w:t>第十二部分  基金的收益分配</w:t>
        </w:r>
        <w:r>
          <w:rPr>
            <w:rFonts w:asciiTheme="minorEastAsia" w:eastAsiaTheme="minorEastAsia" w:hAnsiTheme="minorEastAsia"/>
            <w:b/>
            <w:noProof/>
          </w:rPr>
          <w:tab/>
        </w:r>
        <w:r>
          <w:rPr>
            <w:rFonts w:asciiTheme="minorEastAsia" w:eastAsiaTheme="minorEastAsia" w:hAnsiTheme="minorEastAsia"/>
            <w:b/>
            <w:noProof/>
          </w:rPr>
          <w:fldChar w:fldCharType="begin"/>
        </w:r>
        <w:r>
          <w:rPr>
            <w:rFonts w:asciiTheme="minorEastAsia" w:eastAsiaTheme="minorEastAsia" w:hAnsiTheme="minorEastAsia"/>
            <w:b/>
            <w:noProof/>
          </w:rPr>
          <w:instrText xml:space="preserve"> PAGEREF _Toc2677413 \h </w:instrText>
        </w:r>
        <w:r>
          <w:rPr>
            <w:rFonts w:asciiTheme="minorEastAsia" w:eastAsiaTheme="minorEastAsia" w:hAnsiTheme="minorEastAsia"/>
            <w:b/>
            <w:noProof/>
          </w:rPr>
        </w:r>
        <w:r>
          <w:rPr>
            <w:rFonts w:asciiTheme="minorEastAsia" w:eastAsiaTheme="minorEastAsia" w:hAnsiTheme="minorEastAsia"/>
            <w:b/>
            <w:noProof/>
          </w:rPr>
          <w:fldChar w:fldCharType="separate"/>
        </w:r>
        <w:r w:rsidR="00E531D8">
          <w:rPr>
            <w:rFonts w:asciiTheme="minorEastAsia" w:eastAsiaTheme="minorEastAsia" w:hAnsiTheme="minorEastAsia" w:hint="eastAsia"/>
            <w:b/>
            <w:noProof/>
          </w:rPr>
          <w:t>63</w:t>
        </w:r>
        <w:r>
          <w:rPr>
            <w:rFonts w:asciiTheme="minorEastAsia" w:eastAsiaTheme="minorEastAsia" w:hAnsiTheme="minorEastAsia"/>
            <w:b/>
            <w:noProof/>
          </w:rPr>
          <w:fldChar w:fldCharType="end"/>
        </w:r>
      </w:hyperlink>
    </w:p>
    <w:p w14:paraId="5AFF7855" w14:textId="0968DDFA" w:rsidR="00B51DEA" w:rsidRDefault="00000000">
      <w:pPr>
        <w:pStyle w:val="TOC1"/>
        <w:rPr>
          <w:rFonts w:asciiTheme="minorEastAsia" w:eastAsiaTheme="minorEastAsia" w:hAnsiTheme="minorEastAsia" w:cstheme="minorBidi" w:hint="eastAsia"/>
          <w:b/>
          <w:noProof/>
          <w:szCs w:val="22"/>
        </w:rPr>
      </w:pPr>
      <w:hyperlink w:anchor="_Toc2677414" w:history="1">
        <w:r>
          <w:rPr>
            <w:rStyle w:val="afa"/>
            <w:rFonts w:asciiTheme="minorEastAsia" w:eastAsiaTheme="minorEastAsia" w:hAnsiTheme="minorEastAsia"/>
            <w:b/>
            <w:noProof/>
          </w:rPr>
          <w:t>第十三部分  基金费用与税收</w:t>
        </w:r>
        <w:r>
          <w:rPr>
            <w:rFonts w:asciiTheme="minorEastAsia" w:eastAsiaTheme="minorEastAsia" w:hAnsiTheme="minorEastAsia"/>
            <w:b/>
            <w:noProof/>
          </w:rPr>
          <w:tab/>
        </w:r>
        <w:r>
          <w:rPr>
            <w:rFonts w:asciiTheme="minorEastAsia" w:eastAsiaTheme="minorEastAsia" w:hAnsiTheme="minorEastAsia"/>
            <w:b/>
            <w:noProof/>
          </w:rPr>
          <w:fldChar w:fldCharType="begin"/>
        </w:r>
        <w:r>
          <w:rPr>
            <w:rFonts w:asciiTheme="minorEastAsia" w:eastAsiaTheme="minorEastAsia" w:hAnsiTheme="minorEastAsia"/>
            <w:b/>
            <w:noProof/>
          </w:rPr>
          <w:instrText xml:space="preserve"> PAGEREF _Toc2677414 \h </w:instrText>
        </w:r>
        <w:r>
          <w:rPr>
            <w:rFonts w:asciiTheme="minorEastAsia" w:eastAsiaTheme="minorEastAsia" w:hAnsiTheme="minorEastAsia"/>
            <w:b/>
            <w:noProof/>
          </w:rPr>
        </w:r>
        <w:r>
          <w:rPr>
            <w:rFonts w:asciiTheme="minorEastAsia" w:eastAsiaTheme="minorEastAsia" w:hAnsiTheme="minorEastAsia"/>
            <w:b/>
            <w:noProof/>
          </w:rPr>
          <w:fldChar w:fldCharType="separate"/>
        </w:r>
        <w:r w:rsidR="00E531D8">
          <w:rPr>
            <w:rFonts w:asciiTheme="minorEastAsia" w:eastAsiaTheme="minorEastAsia" w:hAnsiTheme="minorEastAsia" w:hint="eastAsia"/>
            <w:b/>
            <w:noProof/>
          </w:rPr>
          <w:t>65</w:t>
        </w:r>
        <w:r>
          <w:rPr>
            <w:rFonts w:asciiTheme="minorEastAsia" w:eastAsiaTheme="minorEastAsia" w:hAnsiTheme="minorEastAsia"/>
            <w:b/>
            <w:noProof/>
          </w:rPr>
          <w:fldChar w:fldCharType="end"/>
        </w:r>
      </w:hyperlink>
    </w:p>
    <w:p w14:paraId="15B84D71" w14:textId="07EFE4FE" w:rsidR="00B51DEA" w:rsidRDefault="00000000">
      <w:pPr>
        <w:pStyle w:val="TOC1"/>
        <w:rPr>
          <w:rFonts w:asciiTheme="minorEastAsia" w:eastAsiaTheme="minorEastAsia" w:hAnsiTheme="minorEastAsia" w:cstheme="minorBidi" w:hint="eastAsia"/>
          <w:b/>
          <w:noProof/>
          <w:szCs w:val="22"/>
        </w:rPr>
      </w:pPr>
      <w:hyperlink w:anchor="_Toc2677415" w:history="1">
        <w:r>
          <w:rPr>
            <w:rStyle w:val="afa"/>
            <w:rFonts w:asciiTheme="minorEastAsia" w:eastAsiaTheme="minorEastAsia" w:hAnsiTheme="minorEastAsia"/>
            <w:b/>
            <w:noProof/>
          </w:rPr>
          <w:t>第十四部分  基金的会计与审计</w:t>
        </w:r>
        <w:r>
          <w:rPr>
            <w:rFonts w:asciiTheme="minorEastAsia" w:eastAsiaTheme="minorEastAsia" w:hAnsiTheme="minorEastAsia"/>
            <w:b/>
            <w:noProof/>
          </w:rPr>
          <w:tab/>
        </w:r>
        <w:r>
          <w:rPr>
            <w:rFonts w:asciiTheme="minorEastAsia" w:eastAsiaTheme="minorEastAsia" w:hAnsiTheme="minorEastAsia"/>
            <w:b/>
            <w:noProof/>
          </w:rPr>
          <w:fldChar w:fldCharType="begin"/>
        </w:r>
        <w:r>
          <w:rPr>
            <w:rFonts w:asciiTheme="minorEastAsia" w:eastAsiaTheme="minorEastAsia" w:hAnsiTheme="minorEastAsia"/>
            <w:b/>
            <w:noProof/>
          </w:rPr>
          <w:instrText xml:space="preserve"> PAGEREF _Toc2677415 \h </w:instrText>
        </w:r>
        <w:r>
          <w:rPr>
            <w:rFonts w:asciiTheme="minorEastAsia" w:eastAsiaTheme="minorEastAsia" w:hAnsiTheme="minorEastAsia"/>
            <w:b/>
            <w:noProof/>
          </w:rPr>
        </w:r>
        <w:r>
          <w:rPr>
            <w:rFonts w:asciiTheme="minorEastAsia" w:eastAsiaTheme="minorEastAsia" w:hAnsiTheme="minorEastAsia"/>
            <w:b/>
            <w:noProof/>
          </w:rPr>
          <w:fldChar w:fldCharType="separate"/>
        </w:r>
        <w:r w:rsidR="00E531D8">
          <w:rPr>
            <w:rFonts w:asciiTheme="minorEastAsia" w:eastAsiaTheme="minorEastAsia" w:hAnsiTheme="minorEastAsia" w:hint="eastAsia"/>
            <w:b/>
            <w:noProof/>
          </w:rPr>
          <w:t>68</w:t>
        </w:r>
        <w:r>
          <w:rPr>
            <w:rFonts w:asciiTheme="minorEastAsia" w:eastAsiaTheme="minorEastAsia" w:hAnsiTheme="minorEastAsia"/>
            <w:b/>
            <w:noProof/>
          </w:rPr>
          <w:fldChar w:fldCharType="end"/>
        </w:r>
      </w:hyperlink>
    </w:p>
    <w:p w14:paraId="5A7FA57E" w14:textId="5CADC29C" w:rsidR="00B51DEA" w:rsidRDefault="00000000">
      <w:pPr>
        <w:pStyle w:val="TOC1"/>
        <w:rPr>
          <w:rFonts w:asciiTheme="minorEastAsia" w:eastAsiaTheme="minorEastAsia" w:hAnsiTheme="minorEastAsia" w:cstheme="minorBidi" w:hint="eastAsia"/>
          <w:b/>
          <w:noProof/>
          <w:szCs w:val="22"/>
        </w:rPr>
      </w:pPr>
      <w:hyperlink w:anchor="_Toc2677416" w:history="1">
        <w:r>
          <w:rPr>
            <w:rStyle w:val="afa"/>
            <w:rFonts w:asciiTheme="minorEastAsia" w:eastAsiaTheme="minorEastAsia" w:hAnsiTheme="minorEastAsia"/>
            <w:b/>
            <w:noProof/>
          </w:rPr>
          <w:t>第十五部分  基金的信息披露</w:t>
        </w:r>
        <w:r>
          <w:rPr>
            <w:rFonts w:asciiTheme="minorEastAsia" w:eastAsiaTheme="minorEastAsia" w:hAnsiTheme="minorEastAsia"/>
            <w:b/>
            <w:noProof/>
          </w:rPr>
          <w:tab/>
        </w:r>
        <w:r>
          <w:rPr>
            <w:rFonts w:asciiTheme="minorEastAsia" w:eastAsiaTheme="minorEastAsia" w:hAnsiTheme="minorEastAsia"/>
            <w:b/>
            <w:noProof/>
          </w:rPr>
          <w:fldChar w:fldCharType="begin"/>
        </w:r>
        <w:r>
          <w:rPr>
            <w:rFonts w:asciiTheme="minorEastAsia" w:eastAsiaTheme="minorEastAsia" w:hAnsiTheme="minorEastAsia"/>
            <w:b/>
            <w:noProof/>
          </w:rPr>
          <w:instrText xml:space="preserve"> PAGEREF _Toc2677416 \h </w:instrText>
        </w:r>
        <w:r>
          <w:rPr>
            <w:rFonts w:asciiTheme="minorEastAsia" w:eastAsiaTheme="minorEastAsia" w:hAnsiTheme="minorEastAsia"/>
            <w:b/>
            <w:noProof/>
          </w:rPr>
        </w:r>
        <w:r>
          <w:rPr>
            <w:rFonts w:asciiTheme="minorEastAsia" w:eastAsiaTheme="minorEastAsia" w:hAnsiTheme="minorEastAsia"/>
            <w:b/>
            <w:noProof/>
          </w:rPr>
          <w:fldChar w:fldCharType="separate"/>
        </w:r>
        <w:r w:rsidR="00E531D8">
          <w:rPr>
            <w:rFonts w:asciiTheme="minorEastAsia" w:eastAsiaTheme="minorEastAsia" w:hAnsiTheme="minorEastAsia" w:hint="eastAsia"/>
            <w:b/>
            <w:noProof/>
          </w:rPr>
          <w:t>69</w:t>
        </w:r>
        <w:r>
          <w:rPr>
            <w:rFonts w:asciiTheme="minorEastAsia" w:eastAsiaTheme="minorEastAsia" w:hAnsiTheme="minorEastAsia"/>
            <w:b/>
            <w:noProof/>
          </w:rPr>
          <w:fldChar w:fldCharType="end"/>
        </w:r>
      </w:hyperlink>
    </w:p>
    <w:p w14:paraId="6DFCAA83" w14:textId="319B0786" w:rsidR="00B51DEA" w:rsidRDefault="00000000">
      <w:pPr>
        <w:pStyle w:val="TOC1"/>
        <w:rPr>
          <w:rFonts w:asciiTheme="minorEastAsia" w:eastAsiaTheme="minorEastAsia" w:hAnsiTheme="minorEastAsia" w:cstheme="minorBidi" w:hint="eastAsia"/>
          <w:b/>
          <w:noProof/>
          <w:szCs w:val="22"/>
        </w:rPr>
      </w:pPr>
      <w:hyperlink w:anchor="_Toc2677417" w:history="1">
        <w:r>
          <w:rPr>
            <w:rStyle w:val="afa"/>
            <w:rFonts w:asciiTheme="minorEastAsia" w:eastAsiaTheme="minorEastAsia" w:hAnsiTheme="minorEastAsia"/>
            <w:b/>
            <w:noProof/>
          </w:rPr>
          <w:t>第十六部分  风险揭示</w:t>
        </w:r>
        <w:r>
          <w:rPr>
            <w:rFonts w:asciiTheme="minorEastAsia" w:eastAsiaTheme="minorEastAsia" w:hAnsiTheme="minorEastAsia"/>
            <w:b/>
            <w:noProof/>
          </w:rPr>
          <w:tab/>
        </w:r>
        <w:r>
          <w:rPr>
            <w:rFonts w:asciiTheme="minorEastAsia" w:eastAsiaTheme="minorEastAsia" w:hAnsiTheme="minorEastAsia"/>
            <w:b/>
            <w:noProof/>
          </w:rPr>
          <w:fldChar w:fldCharType="begin"/>
        </w:r>
        <w:r>
          <w:rPr>
            <w:rFonts w:asciiTheme="minorEastAsia" w:eastAsiaTheme="minorEastAsia" w:hAnsiTheme="minorEastAsia"/>
            <w:b/>
            <w:noProof/>
          </w:rPr>
          <w:instrText xml:space="preserve"> PAGEREF _Toc2677417 \h </w:instrText>
        </w:r>
        <w:r>
          <w:rPr>
            <w:rFonts w:asciiTheme="minorEastAsia" w:eastAsiaTheme="minorEastAsia" w:hAnsiTheme="minorEastAsia"/>
            <w:b/>
            <w:noProof/>
          </w:rPr>
        </w:r>
        <w:r>
          <w:rPr>
            <w:rFonts w:asciiTheme="minorEastAsia" w:eastAsiaTheme="minorEastAsia" w:hAnsiTheme="minorEastAsia"/>
            <w:b/>
            <w:noProof/>
          </w:rPr>
          <w:fldChar w:fldCharType="separate"/>
        </w:r>
        <w:r w:rsidR="00E531D8">
          <w:rPr>
            <w:rFonts w:asciiTheme="minorEastAsia" w:eastAsiaTheme="minorEastAsia" w:hAnsiTheme="minorEastAsia" w:hint="eastAsia"/>
            <w:b/>
            <w:noProof/>
          </w:rPr>
          <w:t>76</w:t>
        </w:r>
        <w:r>
          <w:rPr>
            <w:rFonts w:asciiTheme="minorEastAsia" w:eastAsiaTheme="minorEastAsia" w:hAnsiTheme="minorEastAsia"/>
            <w:b/>
            <w:noProof/>
          </w:rPr>
          <w:fldChar w:fldCharType="end"/>
        </w:r>
      </w:hyperlink>
    </w:p>
    <w:p w14:paraId="11265855" w14:textId="08EEF16F" w:rsidR="00B51DEA" w:rsidRDefault="00000000">
      <w:pPr>
        <w:pStyle w:val="TOC1"/>
        <w:rPr>
          <w:rFonts w:asciiTheme="minorEastAsia" w:eastAsiaTheme="minorEastAsia" w:hAnsiTheme="minorEastAsia" w:cstheme="minorBidi" w:hint="eastAsia"/>
          <w:b/>
          <w:noProof/>
          <w:szCs w:val="22"/>
        </w:rPr>
      </w:pPr>
      <w:hyperlink w:anchor="_Toc2677418" w:history="1">
        <w:r>
          <w:rPr>
            <w:rStyle w:val="afa"/>
            <w:rFonts w:asciiTheme="minorEastAsia" w:eastAsiaTheme="minorEastAsia" w:hAnsiTheme="minorEastAsia"/>
            <w:b/>
            <w:noProof/>
          </w:rPr>
          <w:t>第十七部分  基金合同的变更、终止与基金财产的清算</w:t>
        </w:r>
        <w:r>
          <w:rPr>
            <w:rFonts w:asciiTheme="minorEastAsia" w:eastAsiaTheme="minorEastAsia" w:hAnsiTheme="minorEastAsia"/>
            <w:b/>
            <w:noProof/>
          </w:rPr>
          <w:tab/>
        </w:r>
        <w:r>
          <w:rPr>
            <w:rFonts w:asciiTheme="minorEastAsia" w:eastAsiaTheme="minorEastAsia" w:hAnsiTheme="minorEastAsia"/>
            <w:b/>
            <w:noProof/>
          </w:rPr>
          <w:fldChar w:fldCharType="begin"/>
        </w:r>
        <w:r>
          <w:rPr>
            <w:rFonts w:asciiTheme="minorEastAsia" w:eastAsiaTheme="minorEastAsia" w:hAnsiTheme="minorEastAsia"/>
            <w:b/>
            <w:noProof/>
          </w:rPr>
          <w:instrText xml:space="preserve"> PAGEREF _Toc2677418 \h </w:instrText>
        </w:r>
        <w:r>
          <w:rPr>
            <w:rFonts w:asciiTheme="minorEastAsia" w:eastAsiaTheme="minorEastAsia" w:hAnsiTheme="minorEastAsia"/>
            <w:b/>
            <w:noProof/>
          </w:rPr>
        </w:r>
        <w:r>
          <w:rPr>
            <w:rFonts w:asciiTheme="minorEastAsia" w:eastAsiaTheme="minorEastAsia" w:hAnsiTheme="minorEastAsia"/>
            <w:b/>
            <w:noProof/>
          </w:rPr>
          <w:fldChar w:fldCharType="separate"/>
        </w:r>
        <w:r w:rsidR="00E531D8">
          <w:rPr>
            <w:rFonts w:asciiTheme="minorEastAsia" w:eastAsiaTheme="minorEastAsia" w:hAnsiTheme="minorEastAsia" w:hint="eastAsia"/>
            <w:b/>
            <w:noProof/>
          </w:rPr>
          <w:t>81</w:t>
        </w:r>
        <w:r>
          <w:rPr>
            <w:rFonts w:asciiTheme="minorEastAsia" w:eastAsiaTheme="minorEastAsia" w:hAnsiTheme="minorEastAsia"/>
            <w:b/>
            <w:noProof/>
          </w:rPr>
          <w:fldChar w:fldCharType="end"/>
        </w:r>
      </w:hyperlink>
    </w:p>
    <w:p w14:paraId="0717685C" w14:textId="78AFE6A7" w:rsidR="00B51DEA" w:rsidRDefault="00000000">
      <w:pPr>
        <w:pStyle w:val="TOC1"/>
        <w:rPr>
          <w:rFonts w:asciiTheme="minorEastAsia" w:eastAsiaTheme="minorEastAsia" w:hAnsiTheme="minorEastAsia" w:cstheme="minorBidi" w:hint="eastAsia"/>
          <w:b/>
          <w:noProof/>
          <w:szCs w:val="22"/>
        </w:rPr>
      </w:pPr>
      <w:hyperlink w:anchor="_Toc2677419" w:history="1">
        <w:r>
          <w:rPr>
            <w:rStyle w:val="afa"/>
            <w:rFonts w:asciiTheme="minorEastAsia" w:eastAsiaTheme="minorEastAsia" w:hAnsiTheme="minorEastAsia"/>
            <w:b/>
            <w:noProof/>
          </w:rPr>
          <w:t>第十八部分  基金合同的内容摘要</w:t>
        </w:r>
        <w:r>
          <w:rPr>
            <w:rFonts w:asciiTheme="minorEastAsia" w:eastAsiaTheme="minorEastAsia" w:hAnsiTheme="minorEastAsia"/>
            <w:b/>
            <w:noProof/>
          </w:rPr>
          <w:tab/>
        </w:r>
        <w:r>
          <w:rPr>
            <w:rFonts w:asciiTheme="minorEastAsia" w:eastAsiaTheme="minorEastAsia" w:hAnsiTheme="minorEastAsia"/>
            <w:b/>
            <w:noProof/>
          </w:rPr>
          <w:fldChar w:fldCharType="begin"/>
        </w:r>
        <w:r>
          <w:rPr>
            <w:rFonts w:asciiTheme="minorEastAsia" w:eastAsiaTheme="minorEastAsia" w:hAnsiTheme="minorEastAsia"/>
            <w:b/>
            <w:noProof/>
          </w:rPr>
          <w:instrText xml:space="preserve"> PAGEREF _Toc2677419 \h </w:instrText>
        </w:r>
        <w:r>
          <w:rPr>
            <w:rFonts w:asciiTheme="minorEastAsia" w:eastAsiaTheme="minorEastAsia" w:hAnsiTheme="minorEastAsia"/>
            <w:b/>
            <w:noProof/>
          </w:rPr>
        </w:r>
        <w:r>
          <w:rPr>
            <w:rFonts w:asciiTheme="minorEastAsia" w:eastAsiaTheme="minorEastAsia" w:hAnsiTheme="minorEastAsia"/>
            <w:b/>
            <w:noProof/>
          </w:rPr>
          <w:fldChar w:fldCharType="separate"/>
        </w:r>
        <w:r w:rsidR="00E531D8">
          <w:rPr>
            <w:rFonts w:asciiTheme="minorEastAsia" w:eastAsiaTheme="minorEastAsia" w:hAnsiTheme="minorEastAsia" w:hint="eastAsia"/>
            <w:b/>
            <w:noProof/>
          </w:rPr>
          <w:t>83</w:t>
        </w:r>
        <w:r>
          <w:rPr>
            <w:rFonts w:asciiTheme="minorEastAsia" w:eastAsiaTheme="minorEastAsia" w:hAnsiTheme="minorEastAsia"/>
            <w:b/>
            <w:noProof/>
          </w:rPr>
          <w:fldChar w:fldCharType="end"/>
        </w:r>
      </w:hyperlink>
    </w:p>
    <w:p w14:paraId="280B3CBB" w14:textId="77E7FB43" w:rsidR="00B51DEA" w:rsidRDefault="00000000">
      <w:pPr>
        <w:pStyle w:val="TOC1"/>
        <w:rPr>
          <w:rFonts w:asciiTheme="minorEastAsia" w:eastAsiaTheme="minorEastAsia" w:hAnsiTheme="minorEastAsia" w:cstheme="minorBidi" w:hint="eastAsia"/>
          <w:b/>
          <w:noProof/>
          <w:szCs w:val="22"/>
        </w:rPr>
      </w:pPr>
      <w:hyperlink w:anchor="_Toc2677420" w:history="1">
        <w:r>
          <w:rPr>
            <w:rStyle w:val="afa"/>
            <w:rFonts w:asciiTheme="minorEastAsia" w:eastAsiaTheme="minorEastAsia" w:hAnsiTheme="minorEastAsia"/>
            <w:b/>
            <w:noProof/>
          </w:rPr>
          <w:t>第十九部分  基金托管协议的内容摘要</w:t>
        </w:r>
        <w:r>
          <w:rPr>
            <w:rFonts w:asciiTheme="minorEastAsia" w:eastAsiaTheme="minorEastAsia" w:hAnsiTheme="minorEastAsia"/>
            <w:b/>
            <w:noProof/>
          </w:rPr>
          <w:tab/>
        </w:r>
        <w:r>
          <w:rPr>
            <w:rFonts w:asciiTheme="minorEastAsia" w:eastAsiaTheme="minorEastAsia" w:hAnsiTheme="minorEastAsia"/>
            <w:b/>
            <w:noProof/>
          </w:rPr>
          <w:fldChar w:fldCharType="begin"/>
        </w:r>
        <w:r>
          <w:rPr>
            <w:rFonts w:asciiTheme="minorEastAsia" w:eastAsiaTheme="minorEastAsia" w:hAnsiTheme="minorEastAsia"/>
            <w:b/>
            <w:noProof/>
          </w:rPr>
          <w:instrText xml:space="preserve"> PAGEREF _Toc2677420 \h </w:instrText>
        </w:r>
        <w:r>
          <w:rPr>
            <w:rFonts w:asciiTheme="minorEastAsia" w:eastAsiaTheme="minorEastAsia" w:hAnsiTheme="minorEastAsia"/>
            <w:b/>
            <w:noProof/>
          </w:rPr>
        </w:r>
        <w:r>
          <w:rPr>
            <w:rFonts w:asciiTheme="minorEastAsia" w:eastAsiaTheme="minorEastAsia" w:hAnsiTheme="minorEastAsia"/>
            <w:b/>
            <w:noProof/>
          </w:rPr>
          <w:fldChar w:fldCharType="separate"/>
        </w:r>
        <w:r w:rsidR="00E531D8">
          <w:rPr>
            <w:rFonts w:asciiTheme="minorEastAsia" w:eastAsiaTheme="minorEastAsia" w:hAnsiTheme="minorEastAsia" w:hint="eastAsia"/>
            <w:b/>
            <w:noProof/>
          </w:rPr>
          <w:t>98</w:t>
        </w:r>
        <w:r>
          <w:rPr>
            <w:rFonts w:asciiTheme="minorEastAsia" w:eastAsiaTheme="minorEastAsia" w:hAnsiTheme="minorEastAsia"/>
            <w:b/>
            <w:noProof/>
          </w:rPr>
          <w:fldChar w:fldCharType="end"/>
        </w:r>
      </w:hyperlink>
    </w:p>
    <w:p w14:paraId="5225AB52" w14:textId="0222EEC9" w:rsidR="00B51DEA" w:rsidRDefault="00000000">
      <w:pPr>
        <w:pStyle w:val="TOC1"/>
        <w:rPr>
          <w:rFonts w:asciiTheme="minorEastAsia" w:eastAsiaTheme="minorEastAsia" w:hAnsiTheme="minorEastAsia" w:cstheme="minorBidi" w:hint="eastAsia"/>
          <w:b/>
          <w:noProof/>
          <w:szCs w:val="22"/>
        </w:rPr>
      </w:pPr>
      <w:hyperlink w:anchor="_Toc2677421" w:history="1">
        <w:r>
          <w:rPr>
            <w:rStyle w:val="afa"/>
            <w:rFonts w:asciiTheme="minorEastAsia" w:eastAsiaTheme="minorEastAsia" w:hAnsiTheme="minorEastAsia"/>
            <w:b/>
            <w:noProof/>
          </w:rPr>
          <w:t>第二十部分  对基金份额持有人的服务</w:t>
        </w:r>
        <w:r>
          <w:rPr>
            <w:rFonts w:asciiTheme="minorEastAsia" w:eastAsiaTheme="minorEastAsia" w:hAnsiTheme="minorEastAsia"/>
            <w:b/>
            <w:noProof/>
          </w:rPr>
          <w:tab/>
        </w:r>
        <w:r>
          <w:rPr>
            <w:rFonts w:asciiTheme="minorEastAsia" w:eastAsiaTheme="minorEastAsia" w:hAnsiTheme="minorEastAsia"/>
            <w:b/>
            <w:noProof/>
          </w:rPr>
          <w:fldChar w:fldCharType="begin"/>
        </w:r>
        <w:r>
          <w:rPr>
            <w:rFonts w:asciiTheme="minorEastAsia" w:eastAsiaTheme="minorEastAsia" w:hAnsiTheme="minorEastAsia"/>
            <w:b/>
            <w:noProof/>
          </w:rPr>
          <w:instrText xml:space="preserve"> PAGEREF _Toc2677421 \h </w:instrText>
        </w:r>
        <w:r>
          <w:rPr>
            <w:rFonts w:asciiTheme="minorEastAsia" w:eastAsiaTheme="minorEastAsia" w:hAnsiTheme="minorEastAsia"/>
            <w:b/>
            <w:noProof/>
          </w:rPr>
        </w:r>
        <w:r>
          <w:rPr>
            <w:rFonts w:asciiTheme="minorEastAsia" w:eastAsiaTheme="minorEastAsia" w:hAnsiTheme="minorEastAsia"/>
            <w:b/>
            <w:noProof/>
          </w:rPr>
          <w:fldChar w:fldCharType="separate"/>
        </w:r>
        <w:r w:rsidR="00E531D8">
          <w:rPr>
            <w:rFonts w:asciiTheme="minorEastAsia" w:eastAsiaTheme="minorEastAsia" w:hAnsiTheme="minorEastAsia" w:hint="eastAsia"/>
            <w:b/>
            <w:noProof/>
          </w:rPr>
          <w:t>118</w:t>
        </w:r>
        <w:r>
          <w:rPr>
            <w:rFonts w:asciiTheme="minorEastAsia" w:eastAsiaTheme="minorEastAsia" w:hAnsiTheme="minorEastAsia"/>
            <w:b/>
            <w:noProof/>
          </w:rPr>
          <w:fldChar w:fldCharType="end"/>
        </w:r>
      </w:hyperlink>
    </w:p>
    <w:p w14:paraId="0A2A5D62" w14:textId="16A761C6" w:rsidR="00B51DEA" w:rsidRDefault="00000000">
      <w:pPr>
        <w:pStyle w:val="TOC1"/>
        <w:rPr>
          <w:rFonts w:asciiTheme="minorEastAsia" w:eastAsiaTheme="minorEastAsia" w:hAnsiTheme="minorEastAsia" w:cstheme="minorBidi" w:hint="eastAsia"/>
          <w:b/>
          <w:noProof/>
          <w:szCs w:val="22"/>
        </w:rPr>
      </w:pPr>
      <w:hyperlink w:anchor="_Toc2677422" w:history="1">
        <w:r>
          <w:rPr>
            <w:rStyle w:val="afa"/>
            <w:rFonts w:asciiTheme="minorEastAsia" w:eastAsiaTheme="minorEastAsia" w:hAnsiTheme="minorEastAsia"/>
            <w:b/>
            <w:noProof/>
          </w:rPr>
          <w:t>第二十一部分  其他应披露事项</w:t>
        </w:r>
        <w:r>
          <w:rPr>
            <w:rFonts w:asciiTheme="minorEastAsia" w:eastAsiaTheme="minorEastAsia" w:hAnsiTheme="minorEastAsia"/>
            <w:b/>
            <w:noProof/>
          </w:rPr>
          <w:tab/>
        </w:r>
        <w:r>
          <w:rPr>
            <w:rFonts w:asciiTheme="minorEastAsia" w:eastAsiaTheme="minorEastAsia" w:hAnsiTheme="minorEastAsia"/>
            <w:b/>
            <w:noProof/>
          </w:rPr>
          <w:fldChar w:fldCharType="begin"/>
        </w:r>
        <w:r>
          <w:rPr>
            <w:rFonts w:asciiTheme="minorEastAsia" w:eastAsiaTheme="minorEastAsia" w:hAnsiTheme="minorEastAsia"/>
            <w:b/>
            <w:noProof/>
          </w:rPr>
          <w:instrText xml:space="preserve"> PAGEREF _Toc2677422 \h </w:instrText>
        </w:r>
        <w:r>
          <w:rPr>
            <w:rFonts w:asciiTheme="minorEastAsia" w:eastAsiaTheme="minorEastAsia" w:hAnsiTheme="minorEastAsia"/>
            <w:b/>
            <w:noProof/>
          </w:rPr>
        </w:r>
        <w:r>
          <w:rPr>
            <w:rFonts w:asciiTheme="minorEastAsia" w:eastAsiaTheme="minorEastAsia" w:hAnsiTheme="minorEastAsia"/>
            <w:b/>
            <w:noProof/>
          </w:rPr>
          <w:fldChar w:fldCharType="separate"/>
        </w:r>
        <w:r w:rsidR="00E531D8">
          <w:rPr>
            <w:rFonts w:asciiTheme="minorEastAsia" w:eastAsiaTheme="minorEastAsia" w:hAnsiTheme="minorEastAsia" w:hint="eastAsia"/>
            <w:b/>
            <w:noProof/>
          </w:rPr>
          <w:t>120</w:t>
        </w:r>
        <w:r>
          <w:rPr>
            <w:rFonts w:asciiTheme="minorEastAsia" w:eastAsiaTheme="minorEastAsia" w:hAnsiTheme="minorEastAsia"/>
            <w:b/>
            <w:noProof/>
          </w:rPr>
          <w:fldChar w:fldCharType="end"/>
        </w:r>
      </w:hyperlink>
    </w:p>
    <w:p w14:paraId="164D1DFE" w14:textId="05B96AED" w:rsidR="00B51DEA" w:rsidRDefault="00000000">
      <w:pPr>
        <w:pStyle w:val="TOC1"/>
        <w:rPr>
          <w:rFonts w:asciiTheme="minorEastAsia" w:eastAsiaTheme="minorEastAsia" w:hAnsiTheme="minorEastAsia" w:cstheme="minorBidi" w:hint="eastAsia"/>
          <w:b/>
          <w:noProof/>
          <w:szCs w:val="22"/>
        </w:rPr>
      </w:pPr>
      <w:hyperlink w:anchor="_Toc2677423" w:history="1">
        <w:r>
          <w:rPr>
            <w:rStyle w:val="afa"/>
            <w:rFonts w:asciiTheme="minorEastAsia" w:eastAsiaTheme="minorEastAsia" w:hAnsiTheme="minorEastAsia"/>
            <w:b/>
            <w:noProof/>
          </w:rPr>
          <w:t>第二十二部分  招募说明书存放及查阅方式</w:t>
        </w:r>
        <w:r>
          <w:rPr>
            <w:rFonts w:asciiTheme="minorEastAsia" w:eastAsiaTheme="minorEastAsia" w:hAnsiTheme="minorEastAsia"/>
            <w:b/>
            <w:noProof/>
          </w:rPr>
          <w:tab/>
        </w:r>
        <w:r>
          <w:rPr>
            <w:rFonts w:asciiTheme="minorEastAsia" w:eastAsiaTheme="minorEastAsia" w:hAnsiTheme="minorEastAsia"/>
            <w:b/>
            <w:noProof/>
          </w:rPr>
          <w:fldChar w:fldCharType="begin"/>
        </w:r>
        <w:r>
          <w:rPr>
            <w:rFonts w:asciiTheme="minorEastAsia" w:eastAsiaTheme="minorEastAsia" w:hAnsiTheme="minorEastAsia"/>
            <w:b/>
            <w:noProof/>
          </w:rPr>
          <w:instrText xml:space="preserve"> PAGEREF _Toc2677423 \h </w:instrText>
        </w:r>
        <w:r>
          <w:rPr>
            <w:rFonts w:asciiTheme="minorEastAsia" w:eastAsiaTheme="minorEastAsia" w:hAnsiTheme="minorEastAsia"/>
            <w:b/>
            <w:noProof/>
          </w:rPr>
        </w:r>
        <w:r>
          <w:rPr>
            <w:rFonts w:asciiTheme="minorEastAsia" w:eastAsiaTheme="minorEastAsia" w:hAnsiTheme="minorEastAsia"/>
            <w:b/>
            <w:noProof/>
          </w:rPr>
          <w:fldChar w:fldCharType="separate"/>
        </w:r>
        <w:r w:rsidR="00E531D8">
          <w:rPr>
            <w:rFonts w:asciiTheme="minorEastAsia" w:eastAsiaTheme="minorEastAsia" w:hAnsiTheme="minorEastAsia" w:hint="eastAsia"/>
            <w:b/>
            <w:noProof/>
          </w:rPr>
          <w:t>121</w:t>
        </w:r>
        <w:r>
          <w:rPr>
            <w:rFonts w:asciiTheme="minorEastAsia" w:eastAsiaTheme="minorEastAsia" w:hAnsiTheme="minorEastAsia"/>
            <w:b/>
            <w:noProof/>
          </w:rPr>
          <w:fldChar w:fldCharType="end"/>
        </w:r>
      </w:hyperlink>
    </w:p>
    <w:p w14:paraId="27846541" w14:textId="7EF5FED7" w:rsidR="00B51DEA" w:rsidRDefault="00000000">
      <w:pPr>
        <w:pStyle w:val="TOC1"/>
        <w:rPr>
          <w:rFonts w:asciiTheme="minorEastAsia" w:eastAsiaTheme="minorEastAsia" w:hAnsiTheme="minorEastAsia" w:cstheme="minorBidi" w:hint="eastAsia"/>
          <w:b/>
          <w:noProof/>
          <w:szCs w:val="22"/>
        </w:rPr>
      </w:pPr>
      <w:hyperlink w:anchor="_Toc2677424" w:history="1">
        <w:r>
          <w:rPr>
            <w:rStyle w:val="afa"/>
            <w:rFonts w:asciiTheme="minorEastAsia" w:eastAsiaTheme="minorEastAsia" w:hAnsiTheme="minorEastAsia"/>
            <w:b/>
            <w:noProof/>
          </w:rPr>
          <w:t>第二十三部分  备查文件</w:t>
        </w:r>
        <w:r>
          <w:rPr>
            <w:rFonts w:asciiTheme="minorEastAsia" w:eastAsiaTheme="minorEastAsia" w:hAnsiTheme="minorEastAsia"/>
            <w:b/>
            <w:noProof/>
          </w:rPr>
          <w:tab/>
        </w:r>
        <w:r>
          <w:rPr>
            <w:rFonts w:asciiTheme="minorEastAsia" w:eastAsiaTheme="minorEastAsia" w:hAnsiTheme="minorEastAsia"/>
            <w:b/>
            <w:noProof/>
          </w:rPr>
          <w:fldChar w:fldCharType="begin"/>
        </w:r>
        <w:r>
          <w:rPr>
            <w:rFonts w:asciiTheme="minorEastAsia" w:eastAsiaTheme="minorEastAsia" w:hAnsiTheme="minorEastAsia"/>
            <w:b/>
            <w:noProof/>
          </w:rPr>
          <w:instrText xml:space="preserve"> PAGEREF _Toc2677424 \h </w:instrText>
        </w:r>
        <w:r>
          <w:rPr>
            <w:rFonts w:asciiTheme="minorEastAsia" w:eastAsiaTheme="minorEastAsia" w:hAnsiTheme="minorEastAsia"/>
            <w:b/>
            <w:noProof/>
          </w:rPr>
        </w:r>
        <w:r>
          <w:rPr>
            <w:rFonts w:asciiTheme="minorEastAsia" w:eastAsiaTheme="minorEastAsia" w:hAnsiTheme="minorEastAsia"/>
            <w:b/>
            <w:noProof/>
          </w:rPr>
          <w:fldChar w:fldCharType="separate"/>
        </w:r>
        <w:r w:rsidR="00E531D8">
          <w:rPr>
            <w:rFonts w:asciiTheme="minorEastAsia" w:eastAsiaTheme="minorEastAsia" w:hAnsiTheme="minorEastAsia" w:hint="eastAsia"/>
            <w:b/>
            <w:noProof/>
          </w:rPr>
          <w:t>122</w:t>
        </w:r>
        <w:r>
          <w:rPr>
            <w:rFonts w:asciiTheme="minorEastAsia" w:eastAsiaTheme="minorEastAsia" w:hAnsiTheme="minorEastAsia"/>
            <w:b/>
            <w:noProof/>
          </w:rPr>
          <w:fldChar w:fldCharType="end"/>
        </w:r>
      </w:hyperlink>
    </w:p>
    <w:p w14:paraId="1D2D2922" w14:textId="77777777" w:rsidR="00B51DEA" w:rsidRDefault="00000000">
      <w:pPr>
        <w:rPr>
          <w:rFonts w:asciiTheme="minorEastAsia" w:hAnsiTheme="minorEastAsia" w:hint="eastAsia"/>
          <w:b/>
        </w:rPr>
        <w:sectPr w:rsidR="00B51DEA">
          <w:pgSz w:w="11906" w:h="16838"/>
          <w:pgMar w:top="1440" w:right="1800" w:bottom="1440" w:left="1800" w:header="851" w:footer="992" w:gutter="0"/>
          <w:pgNumType w:chapStyle="1"/>
          <w:cols w:space="720"/>
          <w:docGrid w:type="lines" w:linePitch="312"/>
        </w:sectPr>
      </w:pPr>
      <w:r>
        <w:rPr>
          <w:rFonts w:asciiTheme="minorEastAsia" w:hAnsiTheme="minorEastAsia"/>
          <w:b/>
        </w:rPr>
        <w:fldChar w:fldCharType="end"/>
      </w:r>
      <w:bookmarkStart w:id="36" w:name="_Toc416264537"/>
      <w:bookmarkStart w:id="37" w:name="_Toc263092309"/>
      <w:bookmarkStart w:id="38" w:name="_Toc819"/>
      <w:bookmarkStart w:id="39" w:name="_Toc258829399"/>
      <w:bookmarkStart w:id="40" w:name="_Toc31551"/>
      <w:bookmarkStart w:id="41" w:name="_Toc13020"/>
      <w:bookmarkStart w:id="42" w:name="_Toc6617"/>
      <w:bookmarkStart w:id="43" w:name="_Toc19592"/>
      <w:bookmarkStart w:id="44" w:name="_Toc15067"/>
      <w:bookmarkStart w:id="45" w:name="_Toc24860"/>
      <w:bookmarkStart w:id="46" w:name="_Toc2465"/>
      <w:bookmarkStart w:id="47" w:name="_Toc352229747"/>
      <w:bookmarkStart w:id="48" w:name="_Toc22864"/>
      <w:bookmarkStart w:id="49" w:name="_Toc21301"/>
      <w:bookmarkStart w:id="50" w:name="_Toc3224"/>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14:paraId="688FD1DE" w14:textId="77777777" w:rsidR="00B51DEA" w:rsidRDefault="00000000">
      <w:pPr>
        <w:pStyle w:val="1"/>
        <w:jc w:val="center"/>
        <w:rPr>
          <w:rFonts w:asciiTheme="minorEastAsia" w:eastAsiaTheme="minorEastAsia" w:hAnsiTheme="minorEastAsia" w:hint="eastAsia"/>
          <w:sz w:val="30"/>
          <w:szCs w:val="30"/>
        </w:rPr>
      </w:pPr>
      <w:bookmarkStart w:id="51" w:name="_Toc2677402"/>
      <w:r>
        <w:rPr>
          <w:rFonts w:asciiTheme="minorEastAsia" w:eastAsiaTheme="minorEastAsia" w:hAnsiTheme="minorEastAsia" w:hint="eastAsia"/>
          <w:sz w:val="30"/>
          <w:szCs w:val="30"/>
        </w:rPr>
        <w:lastRenderedPageBreak/>
        <w:t>第一部分</w:t>
      </w:r>
      <w:r>
        <w:rPr>
          <w:rFonts w:asciiTheme="minorEastAsia" w:eastAsiaTheme="minorEastAsia" w:hAnsiTheme="minorEastAsia"/>
          <w:sz w:val="30"/>
          <w:szCs w:val="30"/>
        </w:rPr>
        <w:t xml:space="preserve">  </w:t>
      </w:r>
      <w:r>
        <w:rPr>
          <w:rFonts w:asciiTheme="minorEastAsia" w:eastAsiaTheme="minorEastAsia" w:hAnsiTheme="minorEastAsia" w:hint="eastAsia"/>
          <w:sz w:val="30"/>
          <w:szCs w:val="30"/>
        </w:rPr>
        <w:t>绪言</w:t>
      </w:r>
      <w:bookmarkEnd w:id="36"/>
      <w:bookmarkEnd w:id="37"/>
      <w:bookmarkEnd w:id="51"/>
    </w:p>
    <w:p w14:paraId="70732DA7" w14:textId="77777777" w:rsidR="00B51DEA" w:rsidRDefault="00000000">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富荣价值精选灵活配置混合型发起式证券投资基金招募说明书》（以下简称“招募说明书”或“本招募说明书”）依照《中华人民共和国证券投资基金法》（以下简称“《基金法》”）、《公开募集证券投资基金运作管理办法》（以下简称“《运作办法》”）、《证券投资基金销售管理办法》（以下简称“《销售办法》”）、《公开募集证券投资基金信息披露管理办法》（以下简称“《信息披露办法》”）</w:t>
      </w:r>
      <w:r>
        <w:rPr>
          <w:rFonts w:asciiTheme="minorEastAsia" w:hAnsiTheme="minorEastAsia" w:cs="Arial" w:hint="eastAsia"/>
          <w:sz w:val="24"/>
          <w:szCs w:val="21"/>
        </w:rPr>
        <w:t>、《公开募集开放式证券投资基金流动性风险管理规定》（以下简称“《管理规定》”）</w:t>
      </w:r>
      <w:r>
        <w:rPr>
          <w:rFonts w:asciiTheme="minorEastAsia" w:hAnsiTheme="minorEastAsia" w:cs="Arial" w:hint="eastAsia"/>
          <w:sz w:val="24"/>
          <w:szCs w:val="24"/>
        </w:rPr>
        <w:t>以及《富荣价值精选灵活配置混合型发起式证券投资基金基金合同》（以下简称“基金合同”）编写。</w:t>
      </w:r>
    </w:p>
    <w:p w14:paraId="0DAB511D" w14:textId="77777777" w:rsidR="00B51DEA" w:rsidRDefault="00000000">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基金管理人承诺本招募说明书不存在任何虚假记载、误导性陈述或重大遗漏，并对其真实性、准确性、完整性承担法律责任。</w:t>
      </w:r>
    </w:p>
    <w:p w14:paraId="00537951" w14:textId="77777777" w:rsidR="00B51DEA" w:rsidRDefault="00000000">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富</w:t>
      </w:r>
      <w:proofErr w:type="gramStart"/>
      <w:r>
        <w:rPr>
          <w:rFonts w:asciiTheme="minorEastAsia" w:hAnsiTheme="minorEastAsia" w:cs="Arial" w:hint="eastAsia"/>
          <w:sz w:val="24"/>
          <w:szCs w:val="24"/>
        </w:rPr>
        <w:t>荣价值</w:t>
      </w:r>
      <w:proofErr w:type="gramEnd"/>
      <w:r>
        <w:rPr>
          <w:rFonts w:asciiTheme="minorEastAsia" w:hAnsiTheme="minorEastAsia" w:cs="Arial" w:hint="eastAsia"/>
          <w:sz w:val="24"/>
          <w:szCs w:val="24"/>
        </w:rPr>
        <w:t>精选灵活配置混合型发起式证券投资基金（以下简称“基金”或“本基金”）是根据本招募说明书所载明的资料申请募集的。本基金管理人没有委托或授权任何其他人提供未在本招募说明书中载明的信息，或对本招募说明书作任何解释或者说明。</w:t>
      </w:r>
    </w:p>
    <w:p w14:paraId="1D61B93F" w14:textId="77777777" w:rsidR="00B51DEA" w:rsidRDefault="00000000">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本招募说明书根据本基金的基金合同编写，并经中国证券监督管理委员会（以下简称“中国证监会”）注册。基金合同是约定基金合同当事人之间权利、义务的法律文件。基金</w:t>
      </w:r>
      <w:proofErr w:type="gramStart"/>
      <w:r>
        <w:rPr>
          <w:rFonts w:asciiTheme="minorEastAsia" w:hAnsiTheme="minorEastAsia" w:cs="Arial" w:hint="eastAsia"/>
          <w:sz w:val="24"/>
          <w:szCs w:val="24"/>
        </w:rPr>
        <w:t>投资人自依基金</w:t>
      </w:r>
      <w:proofErr w:type="gramEnd"/>
      <w:r>
        <w:rPr>
          <w:rFonts w:asciiTheme="minorEastAsia" w:hAnsiTheme="minorEastAsia" w:cs="Arial" w:hint="eastAsia"/>
          <w:sz w:val="24"/>
          <w:szCs w:val="24"/>
        </w:rPr>
        <w:t>合同取得基金份额，即成为基金份额持有人和基金合同的当事人，其持有基金份额的行为本身即表明其对基金合同的承认和接受，并按照《基金法》、基金合同及其他有关规定享有权利、承担义务。基金投资人欲了解基金份额持有人的权利和义务，应详细查阅基金合同。</w:t>
      </w:r>
    </w:p>
    <w:p w14:paraId="490C6ECB" w14:textId="77777777" w:rsidR="00B51DEA" w:rsidRDefault="00B51DEA">
      <w:pPr>
        <w:keepNext/>
        <w:keepLines/>
        <w:autoSpaceDE w:val="0"/>
        <w:autoSpaceDN w:val="0"/>
        <w:adjustRightInd w:val="0"/>
        <w:snapToGrid w:val="0"/>
        <w:spacing w:line="360" w:lineRule="auto"/>
        <w:ind w:firstLineChars="150" w:firstLine="422"/>
        <w:jc w:val="center"/>
        <w:textAlignment w:val="baseline"/>
        <w:outlineLvl w:val="0"/>
        <w:rPr>
          <w:rFonts w:asciiTheme="minorEastAsia" w:hAnsiTheme="minorEastAsia" w:cs="Arial" w:hint="eastAsia"/>
          <w:b/>
          <w:bCs/>
          <w:kern w:val="0"/>
          <w:sz w:val="28"/>
          <w:szCs w:val="28"/>
        </w:rPr>
        <w:sectPr w:rsidR="00B51DEA">
          <w:footerReference w:type="default" r:id="rId18"/>
          <w:footerReference w:type="first" r:id="rId19"/>
          <w:pgSz w:w="11906" w:h="16838"/>
          <w:pgMar w:top="1440" w:right="1800" w:bottom="1440" w:left="1800" w:header="851" w:footer="992" w:gutter="0"/>
          <w:pgNumType w:chapStyle="1"/>
          <w:cols w:space="720"/>
          <w:titlePg/>
          <w:docGrid w:type="lines" w:linePitch="312"/>
        </w:sectPr>
      </w:pPr>
      <w:bookmarkStart w:id="52" w:name="_Toc24571"/>
      <w:bookmarkStart w:id="53" w:name="_Toc20627"/>
      <w:bookmarkStart w:id="54" w:name="_Toc5246"/>
      <w:bookmarkStart w:id="55" w:name="_Toc18631"/>
      <w:bookmarkStart w:id="56" w:name="_Toc6149"/>
      <w:bookmarkStart w:id="57" w:name="_Toc20318"/>
      <w:bookmarkStart w:id="58" w:name="_Toc352229748"/>
      <w:bookmarkStart w:id="59" w:name="_Toc733"/>
      <w:bookmarkStart w:id="60" w:name="_Toc545"/>
      <w:bookmarkStart w:id="61" w:name="_Toc22708"/>
      <w:bookmarkStart w:id="62" w:name="_Toc13288"/>
      <w:bookmarkStart w:id="63" w:name="_Toc6683"/>
      <w:bookmarkStart w:id="64" w:name="_Toc233456272"/>
      <w:bookmarkStart w:id="65" w:name="_Toc258829400"/>
      <w:bookmarkEnd w:id="35"/>
      <w:bookmarkEnd w:id="38"/>
      <w:bookmarkEnd w:id="39"/>
      <w:bookmarkEnd w:id="40"/>
      <w:bookmarkEnd w:id="41"/>
      <w:bookmarkEnd w:id="42"/>
      <w:bookmarkEnd w:id="43"/>
      <w:bookmarkEnd w:id="44"/>
      <w:bookmarkEnd w:id="45"/>
      <w:bookmarkEnd w:id="46"/>
      <w:bookmarkEnd w:id="47"/>
      <w:bookmarkEnd w:id="48"/>
      <w:bookmarkEnd w:id="49"/>
      <w:bookmarkEnd w:id="50"/>
    </w:p>
    <w:p w14:paraId="7D033FDA" w14:textId="77777777" w:rsidR="00B51DEA" w:rsidRDefault="00000000">
      <w:pPr>
        <w:pStyle w:val="1"/>
        <w:jc w:val="center"/>
        <w:rPr>
          <w:rFonts w:asciiTheme="minorEastAsia" w:eastAsiaTheme="minorEastAsia" w:hAnsiTheme="minorEastAsia" w:hint="eastAsia"/>
          <w:sz w:val="30"/>
          <w:szCs w:val="30"/>
        </w:rPr>
      </w:pPr>
      <w:bookmarkStart w:id="66" w:name="_Toc2677403"/>
      <w:r>
        <w:rPr>
          <w:rFonts w:asciiTheme="minorEastAsia" w:eastAsiaTheme="minorEastAsia" w:hAnsiTheme="minorEastAsia" w:hint="eastAsia"/>
          <w:sz w:val="30"/>
          <w:szCs w:val="30"/>
        </w:rPr>
        <w:lastRenderedPageBreak/>
        <w:t>第二部分</w:t>
      </w:r>
      <w:r>
        <w:rPr>
          <w:rFonts w:asciiTheme="minorEastAsia" w:eastAsiaTheme="minorEastAsia" w:hAnsiTheme="minorEastAsia"/>
          <w:sz w:val="30"/>
          <w:szCs w:val="30"/>
        </w:rPr>
        <w:t xml:space="preserve">  </w:t>
      </w:r>
      <w:r>
        <w:rPr>
          <w:rFonts w:asciiTheme="minorEastAsia" w:eastAsiaTheme="minorEastAsia" w:hAnsiTheme="minorEastAsia" w:hint="eastAsia"/>
          <w:sz w:val="30"/>
          <w:szCs w:val="30"/>
        </w:rPr>
        <w:t>释义</w:t>
      </w:r>
      <w:bookmarkEnd w:id="66"/>
    </w:p>
    <w:p w14:paraId="00B593CC" w14:textId="77777777" w:rsidR="00B51DEA" w:rsidRDefault="00000000">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在本招募说明书中，除非文意另有所指，下列词语或简称具有如下含义：</w:t>
      </w:r>
    </w:p>
    <w:p w14:paraId="50F3A77D" w14:textId="77777777" w:rsidR="00B51DEA" w:rsidRDefault="00000000">
      <w:pPr>
        <w:spacing w:line="360" w:lineRule="auto"/>
        <w:ind w:firstLineChars="200" w:firstLine="480"/>
        <w:rPr>
          <w:rFonts w:asciiTheme="minorEastAsia" w:hAnsiTheme="minorEastAsia" w:hint="eastAsia"/>
          <w:bCs/>
          <w:sz w:val="24"/>
          <w:szCs w:val="24"/>
        </w:rPr>
      </w:pPr>
      <w:bookmarkStart w:id="67" w:name="_Toc263092311"/>
      <w:bookmarkStart w:id="68" w:name="_Toc416264539"/>
      <w:bookmarkStart w:id="69" w:name="_Toc352229749"/>
      <w:bookmarkStart w:id="70" w:name="_Toc410197817"/>
      <w:bookmarkStart w:id="71" w:name="_Toc24682"/>
      <w:bookmarkStart w:id="72" w:name="_Toc27226"/>
      <w:bookmarkStart w:id="73" w:name="_Toc7151"/>
      <w:bookmarkStart w:id="74" w:name="_Toc29948"/>
      <w:bookmarkStart w:id="75" w:name="_Toc16265"/>
      <w:bookmarkStart w:id="76" w:name="_Toc22074"/>
      <w:bookmarkStart w:id="77" w:name="_Toc90742321"/>
      <w:bookmarkStart w:id="78" w:name="_Toc15203"/>
      <w:bookmarkStart w:id="79" w:name="_Toc27189"/>
      <w:bookmarkStart w:id="80" w:name="_Toc6714"/>
      <w:bookmarkStart w:id="81" w:name="_Toc29784"/>
      <w:bookmarkStart w:id="82" w:name="_Toc90742688"/>
      <w:bookmarkStart w:id="83" w:name="_Toc3266"/>
      <w:bookmarkStart w:id="84" w:name="_Toc90742390"/>
      <w:bookmarkEnd w:id="52"/>
      <w:bookmarkEnd w:id="53"/>
      <w:bookmarkEnd w:id="54"/>
      <w:bookmarkEnd w:id="55"/>
      <w:bookmarkEnd w:id="56"/>
      <w:bookmarkEnd w:id="57"/>
      <w:bookmarkEnd w:id="58"/>
      <w:bookmarkEnd w:id="59"/>
      <w:bookmarkEnd w:id="60"/>
      <w:bookmarkEnd w:id="61"/>
      <w:bookmarkEnd w:id="62"/>
      <w:bookmarkEnd w:id="63"/>
      <w:r>
        <w:rPr>
          <w:rFonts w:asciiTheme="minorEastAsia" w:hAnsiTheme="minorEastAsia"/>
          <w:bCs/>
          <w:sz w:val="24"/>
          <w:szCs w:val="24"/>
        </w:rPr>
        <w:t>1</w:t>
      </w:r>
      <w:r>
        <w:rPr>
          <w:rFonts w:asciiTheme="minorEastAsia" w:hAnsiTheme="minorEastAsia" w:hint="eastAsia"/>
          <w:bCs/>
          <w:sz w:val="24"/>
          <w:szCs w:val="24"/>
        </w:rPr>
        <w:t>、基金或本基金：</w:t>
      </w:r>
      <w:proofErr w:type="gramStart"/>
      <w:r>
        <w:rPr>
          <w:rFonts w:asciiTheme="minorEastAsia" w:hAnsiTheme="minorEastAsia" w:hint="eastAsia"/>
          <w:bCs/>
          <w:sz w:val="24"/>
          <w:szCs w:val="24"/>
        </w:rPr>
        <w:t>指富荣价值</w:t>
      </w:r>
      <w:proofErr w:type="gramEnd"/>
      <w:r>
        <w:rPr>
          <w:rFonts w:asciiTheme="minorEastAsia" w:hAnsiTheme="minorEastAsia" w:hint="eastAsia"/>
          <w:bCs/>
          <w:sz w:val="24"/>
          <w:szCs w:val="24"/>
        </w:rPr>
        <w:t>精选灵活配置混合型发起式证券投资基金</w:t>
      </w:r>
    </w:p>
    <w:p w14:paraId="2E6D50F6"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2、基金管理人：</w:t>
      </w:r>
      <w:proofErr w:type="gramStart"/>
      <w:r>
        <w:rPr>
          <w:rFonts w:asciiTheme="minorEastAsia" w:hAnsiTheme="minorEastAsia" w:hint="eastAsia"/>
          <w:bCs/>
          <w:sz w:val="24"/>
          <w:szCs w:val="24"/>
        </w:rPr>
        <w:t>指富荣基金</w:t>
      </w:r>
      <w:proofErr w:type="gramEnd"/>
      <w:r>
        <w:rPr>
          <w:rFonts w:asciiTheme="minorEastAsia" w:hAnsiTheme="minorEastAsia" w:hint="eastAsia"/>
          <w:bCs/>
          <w:sz w:val="24"/>
          <w:szCs w:val="24"/>
        </w:rPr>
        <w:t>管理有限公司</w:t>
      </w:r>
      <w:r>
        <w:rPr>
          <w:rFonts w:asciiTheme="minorEastAsia" w:hAnsiTheme="minorEastAsia"/>
          <w:bCs/>
          <w:sz w:val="24"/>
          <w:szCs w:val="24"/>
        </w:rPr>
        <w:t xml:space="preserve"> </w:t>
      </w:r>
    </w:p>
    <w:p w14:paraId="32C7B78C"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3、基金托管人：指中国光大银行股份有限公司</w:t>
      </w:r>
      <w:r>
        <w:rPr>
          <w:rFonts w:asciiTheme="minorEastAsia" w:hAnsiTheme="minorEastAsia"/>
          <w:bCs/>
          <w:sz w:val="24"/>
          <w:szCs w:val="24"/>
        </w:rPr>
        <w:t xml:space="preserve"> </w:t>
      </w:r>
    </w:p>
    <w:p w14:paraId="32D948F5"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4、基金合同：指《富荣价值精选灵活配置混合型发起式证券投资基金基金合同》及对基金合同的任何有效修订和补充</w:t>
      </w:r>
    </w:p>
    <w:p w14:paraId="54D0A356"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5、托管协议：指基金管理人与基金托管人就本基金签订之《富荣价值精选灵活配置混合型发起式证券投资基金托管协议》及对该托管协议的任何有效修订和补充</w:t>
      </w:r>
    </w:p>
    <w:p w14:paraId="63170D41"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6、招募说明书或本招募说明书：指《富荣价值精选灵活配置混合型发起式证券投资基金招募说明书》及其更新</w:t>
      </w:r>
    </w:p>
    <w:p w14:paraId="06646FDA"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7、基金产品资料概要：指《富荣价值精选灵活配置混合型发起式证券投资基金基金产品资料概要》及其更新</w:t>
      </w:r>
    </w:p>
    <w:p w14:paraId="5623ADA0"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8</w:t>
      </w:r>
      <w:r>
        <w:rPr>
          <w:rFonts w:asciiTheme="minorEastAsia" w:hAnsiTheme="minorEastAsia" w:hint="eastAsia"/>
          <w:bCs/>
          <w:sz w:val="24"/>
          <w:szCs w:val="24"/>
        </w:rPr>
        <w:t>、基金份额发售公告：指《富荣价值精选灵活配置混合型发起式证券投资基金基金份额发售公告》</w:t>
      </w:r>
    </w:p>
    <w:p w14:paraId="31C8AC24"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9</w:t>
      </w:r>
      <w:r>
        <w:rPr>
          <w:rFonts w:asciiTheme="minorEastAsia" w:hAnsiTheme="minorEastAsia" w:hint="eastAsia"/>
          <w:bCs/>
          <w:sz w:val="24"/>
          <w:szCs w:val="24"/>
        </w:rPr>
        <w:t>、法律法规：指中国现行有效并公布实施的法律、行政法规、规范性文件、司法解释、行政规章以及其他对基金合同当事人有约束力的决定、决议、通知等</w:t>
      </w:r>
    </w:p>
    <w:p w14:paraId="7A80B2D2"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10</w:t>
      </w:r>
      <w:r>
        <w:rPr>
          <w:rFonts w:asciiTheme="minorEastAsia" w:hAnsiTheme="minorEastAsia" w:hint="eastAsia"/>
          <w:bCs/>
          <w:sz w:val="24"/>
          <w:szCs w:val="24"/>
        </w:rPr>
        <w:t>、《基金法》：指2003年10月28日经第十届全国人民代表大会常务委员会第五次会议通过，并经2012年12月28日第十一届全国人民代表大会常务委员会第三十次会议修订，自20</w:t>
      </w:r>
      <w:r>
        <w:rPr>
          <w:rFonts w:asciiTheme="minorEastAsia" w:hAnsiTheme="minorEastAsia"/>
          <w:bCs/>
          <w:sz w:val="24"/>
          <w:szCs w:val="24"/>
        </w:rPr>
        <w:t>13</w:t>
      </w:r>
      <w:r>
        <w:rPr>
          <w:rFonts w:asciiTheme="minorEastAsia" w:hAnsiTheme="minorEastAsia" w:hint="eastAsia"/>
          <w:bCs/>
          <w:sz w:val="24"/>
          <w:szCs w:val="24"/>
        </w:rPr>
        <w:t>年6月1日起实施，经2015年4月24日第十二届全国人民代表大会常务委员会第十四次会议《全国人民代表大会常务委员会关于修改</w:t>
      </w:r>
      <w:r>
        <w:rPr>
          <w:rFonts w:asciiTheme="minorEastAsia" w:hAnsiTheme="minorEastAsia"/>
          <w:bCs/>
          <w:sz w:val="24"/>
          <w:szCs w:val="24"/>
        </w:rPr>
        <w:t>&lt;</w:t>
      </w:r>
      <w:r>
        <w:rPr>
          <w:rFonts w:asciiTheme="minorEastAsia" w:hAnsiTheme="minorEastAsia" w:hint="eastAsia"/>
          <w:bCs/>
          <w:sz w:val="24"/>
          <w:szCs w:val="24"/>
        </w:rPr>
        <w:t>中华人民共和国港口法</w:t>
      </w:r>
      <w:r>
        <w:rPr>
          <w:rFonts w:asciiTheme="minorEastAsia" w:hAnsiTheme="minorEastAsia"/>
          <w:bCs/>
          <w:sz w:val="24"/>
          <w:szCs w:val="24"/>
        </w:rPr>
        <w:t>&gt;</w:t>
      </w:r>
      <w:r>
        <w:rPr>
          <w:rFonts w:asciiTheme="minorEastAsia" w:hAnsiTheme="minorEastAsia" w:hint="eastAsia"/>
          <w:bCs/>
          <w:sz w:val="24"/>
          <w:szCs w:val="24"/>
        </w:rPr>
        <w:t>等七部法律的决定》修改的《中华人民共和国证券投资基金法》及颁布机关对其不时做出的修订</w:t>
      </w:r>
    </w:p>
    <w:p w14:paraId="36592903"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11</w:t>
      </w:r>
      <w:r>
        <w:rPr>
          <w:rFonts w:asciiTheme="minorEastAsia" w:hAnsiTheme="minorEastAsia" w:hint="eastAsia"/>
          <w:bCs/>
          <w:sz w:val="24"/>
          <w:szCs w:val="24"/>
        </w:rPr>
        <w:t>、《销售办法》：指中国证监会201</w:t>
      </w:r>
      <w:r>
        <w:rPr>
          <w:rFonts w:asciiTheme="minorEastAsia" w:hAnsiTheme="minorEastAsia"/>
          <w:bCs/>
          <w:sz w:val="24"/>
          <w:szCs w:val="24"/>
        </w:rPr>
        <w:t>3</w:t>
      </w:r>
      <w:r>
        <w:rPr>
          <w:rFonts w:asciiTheme="minorEastAsia" w:hAnsiTheme="minorEastAsia" w:hint="eastAsia"/>
          <w:bCs/>
          <w:sz w:val="24"/>
          <w:szCs w:val="24"/>
        </w:rPr>
        <w:t>年</w:t>
      </w:r>
      <w:r>
        <w:rPr>
          <w:rFonts w:asciiTheme="minorEastAsia" w:hAnsiTheme="minorEastAsia"/>
          <w:bCs/>
          <w:sz w:val="24"/>
          <w:szCs w:val="24"/>
        </w:rPr>
        <w:t>3</w:t>
      </w:r>
      <w:r>
        <w:rPr>
          <w:rFonts w:asciiTheme="minorEastAsia" w:hAnsiTheme="minorEastAsia" w:hint="eastAsia"/>
          <w:bCs/>
          <w:sz w:val="24"/>
          <w:szCs w:val="24"/>
        </w:rPr>
        <w:t>月</w:t>
      </w:r>
      <w:r>
        <w:rPr>
          <w:rFonts w:asciiTheme="minorEastAsia" w:hAnsiTheme="minorEastAsia"/>
          <w:bCs/>
          <w:sz w:val="24"/>
          <w:szCs w:val="24"/>
        </w:rPr>
        <w:t>15</w:t>
      </w:r>
      <w:r>
        <w:rPr>
          <w:rFonts w:asciiTheme="minorEastAsia" w:hAnsiTheme="minorEastAsia" w:hint="eastAsia"/>
          <w:bCs/>
          <w:sz w:val="24"/>
          <w:szCs w:val="24"/>
        </w:rPr>
        <w:t>日颁布、同年</w:t>
      </w:r>
      <w:r>
        <w:rPr>
          <w:rFonts w:asciiTheme="minorEastAsia" w:hAnsiTheme="minorEastAsia"/>
          <w:bCs/>
          <w:sz w:val="24"/>
          <w:szCs w:val="24"/>
        </w:rPr>
        <w:t>6</w:t>
      </w:r>
      <w:r>
        <w:rPr>
          <w:rFonts w:asciiTheme="minorEastAsia" w:hAnsiTheme="minorEastAsia" w:hint="eastAsia"/>
          <w:bCs/>
          <w:sz w:val="24"/>
          <w:szCs w:val="24"/>
        </w:rPr>
        <w:t>月1日实施的《证券投资基金销售管理办法》及颁布机关对其不时做出的修订</w:t>
      </w:r>
    </w:p>
    <w:p w14:paraId="15872259"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12</w:t>
      </w:r>
      <w:r>
        <w:rPr>
          <w:rFonts w:asciiTheme="minorEastAsia" w:hAnsiTheme="minorEastAsia" w:hint="eastAsia"/>
          <w:bCs/>
          <w:sz w:val="24"/>
          <w:szCs w:val="24"/>
        </w:rPr>
        <w:t>、《信息披露办法》：指中国证监会2019年7月26日颁布、同年9月1日实施的《公开募集证券投资基金信息披露管理办法》及颁布机关对其不时做出的修订</w:t>
      </w:r>
    </w:p>
    <w:p w14:paraId="7C3D6407"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lastRenderedPageBreak/>
        <w:t>13</w:t>
      </w:r>
      <w:r>
        <w:rPr>
          <w:rFonts w:asciiTheme="minorEastAsia" w:hAnsiTheme="minorEastAsia" w:hint="eastAsia"/>
          <w:bCs/>
          <w:sz w:val="24"/>
          <w:szCs w:val="24"/>
        </w:rPr>
        <w:t>、</w:t>
      </w:r>
      <w:r>
        <w:rPr>
          <w:rFonts w:asciiTheme="minorEastAsia" w:hAnsiTheme="minorEastAsia" w:cs="Arial"/>
          <w:sz w:val="24"/>
          <w:szCs w:val="24"/>
        </w:rPr>
        <w:t>《运作办法》</w:t>
      </w:r>
      <w:r>
        <w:rPr>
          <w:rFonts w:asciiTheme="minorEastAsia" w:hAnsiTheme="minorEastAsia" w:cs="Arial" w:hint="eastAsia"/>
          <w:sz w:val="24"/>
          <w:szCs w:val="24"/>
        </w:rPr>
        <w:t>：</w:t>
      </w:r>
      <w:r>
        <w:rPr>
          <w:rFonts w:asciiTheme="minorEastAsia" w:hAnsiTheme="minorEastAsia"/>
          <w:bCs/>
          <w:sz w:val="24"/>
          <w:szCs w:val="24"/>
        </w:rPr>
        <w:t>指中国证监会2014年7月7日颁布、同年8月8日实施的《</w:t>
      </w:r>
      <w:r>
        <w:rPr>
          <w:rFonts w:asciiTheme="minorEastAsia" w:hAnsiTheme="minorEastAsia" w:hint="eastAsia"/>
          <w:bCs/>
          <w:sz w:val="24"/>
          <w:szCs w:val="24"/>
        </w:rPr>
        <w:t>公开募集证券投资基金运作管理办法</w:t>
      </w:r>
      <w:r>
        <w:rPr>
          <w:rFonts w:asciiTheme="minorEastAsia" w:hAnsiTheme="minorEastAsia"/>
          <w:bCs/>
          <w:sz w:val="24"/>
          <w:szCs w:val="24"/>
        </w:rPr>
        <w:t>》</w:t>
      </w:r>
      <w:r>
        <w:rPr>
          <w:rFonts w:asciiTheme="minorEastAsia" w:hAnsiTheme="minorEastAsia" w:hint="eastAsia"/>
          <w:bCs/>
          <w:sz w:val="24"/>
          <w:szCs w:val="24"/>
        </w:rPr>
        <w:t>及颁布机关对其不时做出的修订</w:t>
      </w:r>
    </w:p>
    <w:p w14:paraId="5A336D7B"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14</w:t>
      </w:r>
      <w:r>
        <w:rPr>
          <w:rFonts w:asciiTheme="minorEastAsia" w:hAnsiTheme="minorEastAsia" w:hint="eastAsia"/>
          <w:bCs/>
          <w:sz w:val="24"/>
          <w:szCs w:val="24"/>
        </w:rPr>
        <w:t>、《管理规定》：指中国证监会</w:t>
      </w:r>
      <w:r>
        <w:rPr>
          <w:rFonts w:asciiTheme="minorEastAsia" w:hAnsiTheme="minorEastAsia"/>
          <w:bCs/>
          <w:sz w:val="24"/>
          <w:szCs w:val="24"/>
        </w:rPr>
        <w:t>2017年8月31日颁布、同年10月1日实施的《公开募集开放式证券投资基金流动性风险管理规定》及颁布机关对其不时做出的修订</w:t>
      </w:r>
    </w:p>
    <w:p w14:paraId="01FBFB27"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15</w:t>
      </w:r>
      <w:r>
        <w:rPr>
          <w:rFonts w:asciiTheme="minorEastAsia" w:hAnsiTheme="minorEastAsia" w:hint="eastAsia"/>
          <w:bCs/>
          <w:sz w:val="24"/>
          <w:szCs w:val="24"/>
        </w:rPr>
        <w:t>、中国证监会：指中国证券监督管理委员会</w:t>
      </w:r>
    </w:p>
    <w:p w14:paraId="3ADEB71F"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16</w:t>
      </w:r>
      <w:r>
        <w:rPr>
          <w:rFonts w:asciiTheme="minorEastAsia" w:hAnsiTheme="minorEastAsia" w:hint="eastAsia"/>
          <w:bCs/>
          <w:sz w:val="24"/>
          <w:szCs w:val="24"/>
        </w:rPr>
        <w:t>、银行业监督管理机构：指中国人民银行和/或中国银行保险监督管理委员会</w:t>
      </w:r>
    </w:p>
    <w:p w14:paraId="0D2403B3"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17</w:t>
      </w:r>
      <w:r>
        <w:rPr>
          <w:rFonts w:asciiTheme="minorEastAsia" w:hAnsiTheme="minorEastAsia" w:hint="eastAsia"/>
          <w:bCs/>
          <w:sz w:val="24"/>
          <w:szCs w:val="24"/>
        </w:rPr>
        <w:t>、基金合同当事人：指受基金合同约束，根据基金合同享有权利并承担义务的法律主体，包括基金管理人、基金托管人和基金份额持有人</w:t>
      </w:r>
    </w:p>
    <w:p w14:paraId="39AE8F91"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18</w:t>
      </w:r>
      <w:r>
        <w:rPr>
          <w:rFonts w:asciiTheme="minorEastAsia" w:hAnsiTheme="minorEastAsia" w:hint="eastAsia"/>
          <w:bCs/>
          <w:sz w:val="24"/>
          <w:szCs w:val="24"/>
        </w:rPr>
        <w:t>、个人投资者：指依据有关法律法规规定可投资于证券投资基金的自然人</w:t>
      </w:r>
    </w:p>
    <w:p w14:paraId="78C68796"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19</w:t>
      </w:r>
      <w:r>
        <w:rPr>
          <w:rFonts w:asciiTheme="minorEastAsia" w:hAnsiTheme="minorEastAsia" w:hint="eastAsia"/>
          <w:bCs/>
          <w:sz w:val="24"/>
          <w:szCs w:val="24"/>
        </w:rPr>
        <w:t>、机构投资者：指依法可以投资证券投资基金的、在中华人民共和国境内合法登记并存续或经有关政府部门批准设立并存续的企业法人、事业法人、社会团体或其他组织</w:t>
      </w:r>
    </w:p>
    <w:p w14:paraId="734C847E"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20</w:t>
      </w:r>
      <w:r>
        <w:rPr>
          <w:rFonts w:asciiTheme="minorEastAsia" w:hAnsiTheme="minorEastAsia" w:hint="eastAsia"/>
          <w:bCs/>
          <w:sz w:val="24"/>
          <w:szCs w:val="24"/>
        </w:rPr>
        <w:t>、合格境外机构投资者：指符合《合格境外机构投资者境内证券投资管理办法》及相关法律法规规定可以投资于在中国境内依法募集的证券投资基金的中国境外的机构投资者</w:t>
      </w:r>
    </w:p>
    <w:p w14:paraId="5983D17B"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21</w:t>
      </w:r>
      <w:r>
        <w:rPr>
          <w:rFonts w:asciiTheme="minorEastAsia" w:hAnsiTheme="minorEastAsia" w:hint="eastAsia"/>
          <w:sz w:val="24"/>
          <w:szCs w:val="24"/>
        </w:rPr>
        <w:t>、发起式基金：指按照《运作办法》及中国证监会规定的条件募集、运作，募集资金中发起资金不少于规定金额且发起资金认购的基金份额持有期限不少于三年的证券投资基金</w:t>
      </w:r>
      <w:r>
        <w:rPr>
          <w:rFonts w:asciiTheme="minorEastAsia" w:hAnsiTheme="minorEastAsia"/>
          <w:sz w:val="24"/>
          <w:szCs w:val="24"/>
        </w:rPr>
        <w:t xml:space="preserve"> </w:t>
      </w:r>
    </w:p>
    <w:p w14:paraId="31083154"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bCs/>
          <w:sz w:val="24"/>
          <w:szCs w:val="24"/>
        </w:rPr>
        <w:t>22</w:t>
      </w:r>
      <w:r>
        <w:rPr>
          <w:rFonts w:asciiTheme="minorEastAsia" w:hAnsiTheme="minorEastAsia" w:hint="eastAsia"/>
          <w:bCs/>
          <w:sz w:val="24"/>
          <w:szCs w:val="24"/>
        </w:rPr>
        <w:t>、</w:t>
      </w:r>
      <w:r>
        <w:rPr>
          <w:rFonts w:asciiTheme="minorEastAsia" w:hAnsiTheme="minorEastAsia"/>
          <w:sz w:val="24"/>
          <w:szCs w:val="24"/>
        </w:rPr>
        <w:t>发起资金：指用于认购发起</w:t>
      </w:r>
      <w:proofErr w:type="gramStart"/>
      <w:r>
        <w:rPr>
          <w:rFonts w:asciiTheme="minorEastAsia" w:hAnsiTheme="minorEastAsia"/>
          <w:sz w:val="24"/>
          <w:szCs w:val="24"/>
        </w:rPr>
        <w:t>式基金</w:t>
      </w:r>
      <w:proofErr w:type="gramEnd"/>
      <w:r>
        <w:rPr>
          <w:rFonts w:asciiTheme="minorEastAsia" w:hAnsiTheme="minorEastAsia"/>
          <w:sz w:val="24"/>
          <w:szCs w:val="24"/>
        </w:rPr>
        <w:t>且来源于基金管理人的股东资金、基 金管理人固有资金、基金管理人高级管理人员或基金经理（指基金管理人员工中 依法具有基金经理资格者，包括但可能不限于本基金的基金经理</w:t>
      </w:r>
      <w:r>
        <w:rPr>
          <w:rFonts w:asciiTheme="minorEastAsia" w:hAnsiTheme="minorEastAsia" w:hint="eastAsia"/>
          <w:sz w:val="24"/>
          <w:szCs w:val="24"/>
        </w:rPr>
        <w:t>、</w:t>
      </w:r>
      <w:r>
        <w:rPr>
          <w:rFonts w:asciiTheme="minorEastAsia" w:hAnsiTheme="minorEastAsia"/>
          <w:sz w:val="24"/>
          <w:szCs w:val="24"/>
        </w:rPr>
        <w:t>公司投</w:t>
      </w:r>
      <w:proofErr w:type="gramStart"/>
      <w:r>
        <w:rPr>
          <w:rFonts w:asciiTheme="minorEastAsia" w:hAnsiTheme="minorEastAsia"/>
          <w:sz w:val="24"/>
          <w:szCs w:val="24"/>
        </w:rPr>
        <w:t>研</w:t>
      </w:r>
      <w:proofErr w:type="gramEnd"/>
      <w:r>
        <w:rPr>
          <w:rFonts w:asciiTheme="minorEastAsia" w:hAnsiTheme="minorEastAsia"/>
          <w:sz w:val="24"/>
          <w:szCs w:val="24"/>
        </w:rPr>
        <w:t>人员</w:t>
      </w:r>
      <w:r>
        <w:rPr>
          <w:rFonts w:asciiTheme="minorEastAsia" w:hAnsiTheme="minorEastAsia" w:hint="eastAsia"/>
          <w:sz w:val="24"/>
          <w:szCs w:val="24"/>
        </w:rPr>
        <w:t>，下同</w:t>
      </w:r>
      <w:r>
        <w:rPr>
          <w:rFonts w:asciiTheme="minorEastAsia" w:hAnsiTheme="minorEastAsia"/>
          <w:sz w:val="24"/>
          <w:szCs w:val="24"/>
        </w:rPr>
        <w:t>）等人员的资金</w:t>
      </w:r>
    </w:p>
    <w:p w14:paraId="22592E99"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sz w:val="24"/>
          <w:szCs w:val="24"/>
        </w:rPr>
        <w:t>23</w:t>
      </w:r>
      <w:r>
        <w:rPr>
          <w:rFonts w:asciiTheme="minorEastAsia" w:hAnsiTheme="minorEastAsia" w:hint="eastAsia"/>
          <w:sz w:val="24"/>
          <w:szCs w:val="24"/>
        </w:rPr>
        <w:t>、</w:t>
      </w:r>
      <w:r>
        <w:rPr>
          <w:rFonts w:asciiTheme="minorEastAsia" w:hAnsiTheme="minorEastAsia"/>
          <w:sz w:val="24"/>
          <w:szCs w:val="24"/>
        </w:rPr>
        <w:t>发起资金提供方：指以发起资金认购本基金且承诺以发起资金认购的基 金份额持有期限不少于三年的基金管理人的股东、基金管理人、基金管理人高级 管理人员或基金经理等人员</w:t>
      </w:r>
    </w:p>
    <w:p w14:paraId="525D5735"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24</w:t>
      </w:r>
      <w:r>
        <w:rPr>
          <w:rFonts w:asciiTheme="minorEastAsia" w:hAnsiTheme="minorEastAsia" w:hint="eastAsia"/>
          <w:bCs/>
          <w:sz w:val="24"/>
          <w:szCs w:val="24"/>
        </w:rPr>
        <w:t>、投资人：指个人投资者、机构投资者、合格境外机构投资者和发起资金提供方以及法律法规或中国证监会允许购买证券投资基金的其他投资人的合称</w:t>
      </w:r>
    </w:p>
    <w:p w14:paraId="61E76BDC"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lastRenderedPageBreak/>
        <w:t>25</w:t>
      </w:r>
      <w:r>
        <w:rPr>
          <w:rFonts w:asciiTheme="minorEastAsia" w:hAnsiTheme="minorEastAsia" w:hint="eastAsia"/>
          <w:bCs/>
          <w:sz w:val="24"/>
          <w:szCs w:val="24"/>
        </w:rPr>
        <w:t>、基金份额持有人：指依基金合同和招募说明书合法取得基金份额的投资人</w:t>
      </w:r>
    </w:p>
    <w:p w14:paraId="0621CE70"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26</w:t>
      </w:r>
      <w:r>
        <w:rPr>
          <w:rFonts w:asciiTheme="minorEastAsia" w:hAnsiTheme="minorEastAsia" w:hint="eastAsia"/>
          <w:bCs/>
          <w:sz w:val="24"/>
          <w:szCs w:val="24"/>
        </w:rPr>
        <w:t>、基金销售业务：指基金管理人或销售机构宣传推介基金，发售基金份额，办理基金份额的申购、赎回、转换、转托管及定期定额投资等业务</w:t>
      </w:r>
    </w:p>
    <w:p w14:paraId="59F9474C"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27</w:t>
      </w:r>
      <w:r>
        <w:rPr>
          <w:rFonts w:asciiTheme="minorEastAsia" w:hAnsiTheme="minorEastAsia" w:hint="eastAsia"/>
          <w:bCs/>
          <w:sz w:val="24"/>
          <w:szCs w:val="24"/>
        </w:rPr>
        <w:t>、销售机构：</w:t>
      </w:r>
      <w:proofErr w:type="gramStart"/>
      <w:r>
        <w:rPr>
          <w:rFonts w:asciiTheme="minorEastAsia" w:hAnsiTheme="minorEastAsia" w:hint="eastAsia"/>
          <w:bCs/>
          <w:sz w:val="24"/>
          <w:szCs w:val="24"/>
        </w:rPr>
        <w:t>指富荣基金</w:t>
      </w:r>
      <w:proofErr w:type="gramEnd"/>
      <w:r>
        <w:rPr>
          <w:rFonts w:asciiTheme="minorEastAsia" w:hAnsiTheme="minorEastAsia" w:hint="eastAsia"/>
          <w:bCs/>
          <w:sz w:val="24"/>
          <w:szCs w:val="24"/>
        </w:rPr>
        <w:t>管理有限公司以及符合《销售办法》和中国证监会规定的其他条件，取得基金销售业务资格并与基金管理人签订了基金销售服务协议，办理基金销售业务的机构</w:t>
      </w:r>
    </w:p>
    <w:p w14:paraId="4B3119AE"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28</w:t>
      </w:r>
      <w:r>
        <w:rPr>
          <w:rFonts w:asciiTheme="minorEastAsia" w:hAnsiTheme="minorEastAsia" w:hint="eastAsia"/>
          <w:bCs/>
          <w:sz w:val="24"/>
          <w:szCs w:val="24"/>
        </w:rPr>
        <w:t>、登记业务：指基金登记、存管、过户、清算和结算业务，具体内容包括投资人基金账户的建立和管理、基金份额登记、基金销售业务的确认、清算和结算、代理发放红利、建立并保管基金份额持有人名册和办理</w:t>
      </w:r>
      <w:proofErr w:type="gramStart"/>
      <w:r>
        <w:rPr>
          <w:rFonts w:asciiTheme="minorEastAsia" w:hAnsiTheme="minorEastAsia" w:hint="eastAsia"/>
          <w:bCs/>
          <w:sz w:val="24"/>
          <w:szCs w:val="24"/>
        </w:rPr>
        <w:t>非交易</w:t>
      </w:r>
      <w:proofErr w:type="gramEnd"/>
      <w:r>
        <w:rPr>
          <w:rFonts w:asciiTheme="minorEastAsia" w:hAnsiTheme="minorEastAsia" w:hint="eastAsia"/>
          <w:bCs/>
          <w:sz w:val="24"/>
          <w:szCs w:val="24"/>
        </w:rPr>
        <w:t>过户等</w:t>
      </w:r>
    </w:p>
    <w:p w14:paraId="35B317B5"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29</w:t>
      </w:r>
      <w:r>
        <w:rPr>
          <w:rFonts w:asciiTheme="minorEastAsia" w:hAnsiTheme="minorEastAsia" w:hint="eastAsia"/>
          <w:bCs/>
          <w:sz w:val="24"/>
          <w:szCs w:val="24"/>
        </w:rPr>
        <w:t>、登记机构：</w:t>
      </w:r>
      <w:proofErr w:type="gramStart"/>
      <w:r>
        <w:rPr>
          <w:rFonts w:asciiTheme="minorEastAsia" w:hAnsiTheme="minorEastAsia" w:hint="eastAsia"/>
          <w:bCs/>
          <w:sz w:val="24"/>
          <w:szCs w:val="24"/>
        </w:rPr>
        <w:t>指办理</w:t>
      </w:r>
      <w:proofErr w:type="gramEnd"/>
      <w:r>
        <w:rPr>
          <w:rFonts w:asciiTheme="minorEastAsia" w:hAnsiTheme="minorEastAsia" w:hint="eastAsia"/>
          <w:bCs/>
          <w:sz w:val="24"/>
          <w:szCs w:val="24"/>
        </w:rPr>
        <w:t>登记业务的机构。本基金的登记机构为富</w:t>
      </w:r>
      <w:proofErr w:type="gramStart"/>
      <w:r>
        <w:rPr>
          <w:rFonts w:asciiTheme="minorEastAsia" w:hAnsiTheme="minorEastAsia" w:hint="eastAsia"/>
          <w:bCs/>
          <w:sz w:val="24"/>
          <w:szCs w:val="24"/>
        </w:rPr>
        <w:t>荣基金</w:t>
      </w:r>
      <w:proofErr w:type="gramEnd"/>
      <w:r>
        <w:rPr>
          <w:rFonts w:asciiTheme="minorEastAsia" w:hAnsiTheme="minorEastAsia" w:hint="eastAsia"/>
          <w:bCs/>
          <w:sz w:val="24"/>
          <w:szCs w:val="24"/>
        </w:rPr>
        <w:t>管理有限公司或接受富</w:t>
      </w:r>
      <w:proofErr w:type="gramStart"/>
      <w:r>
        <w:rPr>
          <w:rFonts w:asciiTheme="minorEastAsia" w:hAnsiTheme="minorEastAsia" w:hint="eastAsia"/>
          <w:bCs/>
          <w:sz w:val="24"/>
          <w:szCs w:val="24"/>
        </w:rPr>
        <w:t>荣基金</w:t>
      </w:r>
      <w:proofErr w:type="gramEnd"/>
      <w:r>
        <w:rPr>
          <w:rFonts w:asciiTheme="minorEastAsia" w:hAnsiTheme="minorEastAsia" w:hint="eastAsia"/>
          <w:bCs/>
          <w:sz w:val="24"/>
          <w:szCs w:val="24"/>
        </w:rPr>
        <w:t>管理有限公司委托代为办理登记业务的机构</w:t>
      </w:r>
    </w:p>
    <w:p w14:paraId="32A13905"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30</w:t>
      </w:r>
      <w:r>
        <w:rPr>
          <w:rFonts w:asciiTheme="minorEastAsia" w:hAnsiTheme="minorEastAsia" w:hint="eastAsia"/>
          <w:bCs/>
          <w:sz w:val="24"/>
          <w:szCs w:val="24"/>
        </w:rPr>
        <w:t>、基金账户：指登记机构为投资人开立的、记录其持有的、基金管理人所管理的基金份额余额及其变动情况的账户</w:t>
      </w:r>
    </w:p>
    <w:p w14:paraId="6E154C7B"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31</w:t>
      </w:r>
      <w:r>
        <w:rPr>
          <w:rFonts w:asciiTheme="minorEastAsia" w:hAnsiTheme="minorEastAsia" w:hint="eastAsia"/>
          <w:bCs/>
          <w:sz w:val="24"/>
          <w:szCs w:val="24"/>
        </w:rPr>
        <w:t>、基金交易账户：指销售机构为投资人开立的、记录投资人通过该销售机构办理认购、申购、赎回、转换、转托管及定期定额投资等业务而引起的基金份额变动及结余情况的账户</w:t>
      </w:r>
    </w:p>
    <w:p w14:paraId="4223F874" w14:textId="77777777" w:rsidR="00B51DEA" w:rsidRDefault="00000000">
      <w:pPr>
        <w:spacing w:line="360" w:lineRule="auto"/>
        <w:ind w:firstLineChars="200" w:firstLine="480"/>
        <w:rPr>
          <w:rFonts w:asciiTheme="minorEastAsia" w:hAnsiTheme="minorEastAsia" w:hint="eastAsia"/>
          <w:sz w:val="24"/>
        </w:rPr>
      </w:pPr>
      <w:r>
        <w:rPr>
          <w:rFonts w:asciiTheme="minorEastAsia" w:hAnsiTheme="minorEastAsia"/>
          <w:sz w:val="24"/>
        </w:rPr>
        <w:t>32</w:t>
      </w:r>
      <w:r>
        <w:rPr>
          <w:rFonts w:asciiTheme="minorEastAsia" w:hAnsiTheme="minorEastAsia" w:hint="eastAsia"/>
          <w:sz w:val="24"/>
        </w:rPr>
        <w:t>、基金</w:t>
      </w:r>
      <w:r>
        <w:rPr>
          <w:rFonts w:asciiTheme="minorEastAsia" w:hAnsiTheme="minorEastAsia" w:hint="eastAsia"/>
          <w:bCs/>
          <w:sz w:val="24"/>
        </w:rPr>
        <w:t>合同生效日</w:t>
      </w:r>
      <w:r>
        <w:rPr>
          <w:rFonts w:asciiTheme="minorEastAsia" w:hAnsiTheme="minorEastAsia" w:hint="eastAsia"/>
          <w:sz w:val="24"/>
        </w:rPr>
        <w:t>：指基金</w:t>
      </w:r>
      <w:r>
        <w:rPr>
          <w:rFonts w:asciiTheme="minorEastAsia" w:hAnsiTheme="minorEastAsia" w:hint="eastAsia"/>
          <w:bCs/>
          <w:sz w:val="24"/>
        </w:rPr>
        <w:t>募集达到法律法规规定及</w:t>
      </w:r>
      <w:r>
        <w:rPr>
          <w:rFonts w:asciiTheme="minorEastAsia" w:hAnsiTheme="minorEastAsia" w:hint="eastAsia"/>
          <w:sz w:val="24"/>
        </w:rPr>
        <w:t>基金</w:t>
      </w:r>
      <w:r>
        <w:rPr>
          <w:rFonts w:asciiTheme="minorEastAsia" w:hAnsiTheme="minorEastAsia" w:hint="eastAsia"/>
          <w:bCs/>
          <w:sz w:val="24"/>
        </w:rPr>
        <w:t>合同规定的条件，</w:t>
      </w:r>
      <w:r>
        <w:rPr>
          <w:rFonts w:asciiTheme="minorEastAsia" w:hAnsiTheme="minorEastAsia" w:hint="eastAsia"/>
          <w:sz w:val="24"/>
        </w:rPr>
        <w:t>基金</w:t>
      </w:r>
      <w:r>
        <w:rPr>
          <w:rFonts w:asciiTheme="minorEastAsia" w:hAnsiTheme="minorEastAsia" w:hint="eastAsia"/>
          <w:bCs/>
          <w:sz w:val="24"/>
        </w:rPr>
        <w:t>管理人向中国证监会办理</w:t>
      </w:r>
      <w:r>
        <w:rPr>
          <w:rFonts w:asciiTheme="minorEastAsia" w:hAnsiTheme="minorEastAsia" w:hint="eastAsia"/>
          <w:sz w:val="24"/>
        </w:rPr>
        <w:t>基金</w:t>
      </w:r>
      <w:r>
        <w:rPr>
          <w:rFonts w:asciiTheme="minorEastAsia" w:hAnsiTheme="minorEastAsia" w:hint="eastAsia"/>
          <w:bCs/>
          <w:sz w:val="24"/>
        </w:rPr>
        <w:t>备案手续完毕，并获得中国证监会书面确认</w:t>
      </w:r>
      <w:r>
        <w:rPr>
          <w:rFonts w:asciiTheme="minorEastAsia" w:hAnsiTheme="minorEastAsia" w:hint="eastAsia"/>
          <w:sz w:val="24"/>
        </w:rPr>
        <w:t>的</w:t>
      </w:r>
      <w:r>
        <w:rPr>
          <w:rFonts w:asciiTheme="minorEastAsia" w:hAnsiTheme="minorEastAsia" w:hint="eastAsia"/>
          <w:bCs/>
          <w:sz w:val="24"/>
        </w:rPr>
        <w:t>日期</w:t>
      </w:r>
    </w:p>
    <w:p w14:paraId="78FF5806"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33</w:t>
      </w:r>
      <w:r>
        <w:rPr>
          <w:rFonts w:asciiTheme="minorEastAsia" w:hAnsiTheme="minorEastAsia" w:hint="eastAsia"/>
          <w:bCs/>
          <w:sz w:val="24"/>
          <w:szCs w:val="24"/>
        </w:rPr>
        <w:t>、基金合同终止日：指基金合同规定的基金合同终止事由出现后，基金财产清算完毕，清算结果报中国证监会备案并予以公告的日期</w:t>
      </w:r>
    </w:p>
    <w:p w14:paraId="76E0CEDE" w14:textId="77777777" w:rsidR="00B51DEA" w:rsidRDefault="00000000">
      <w:pPr>
        <w:spacing w:line="360" w:lineRule="auto"/>
        <w:ind w:firstLineChars="200" w:firstLine="480"/>
        <w:rPr>
          <w:rFonts w:asciiTheme="minorEastAsia" w:hAnsiTheme="minorEastAsia" w:hint="eastAsia"/>
          <w:bCs/>
          <w:sz w:val="24"/>
        </w:rPr>
      </w:pPr>
      <w:r>
        <w:rPr>
          <w:rFonts w:asciiTheme="minorEastAsia" w:hAnsiTheme="minorEastAsia"/>
          <w:bCs/>
          <w:sz w:val="24"/>
        </w:rPr>
        <w:t>34</w:t>
      </w:r>
      <w:r>
        <w:rPr>
          <w:rFonts w:asciiTheme="minorEastAsia" w:hAnsiTheme="minorEastAsia" w:hint="eastAsia"/>
          <w:bCs/>
          <w:sz w:val="24"/>
        </w:rPr>
        <w:t>、基金募集期：指自基金份额发售之日起至发售结束之日止的期间，最长不得超过</w:t>
      </w:r>
      <w:r>
        <w:rPr>
          <w:rFonts w:asciiTheme="minorEastAsia" w:hAnsiTheme="minorEastAsia"/>
          <w:bCs/>
          <w:sz w:val="24"/>
        </w:rPr>
        <w:t>3</w:t>
      </w:r>
      <w:r>
        <w:rPr>
          <w:rFonts w:asciiTheme="minorEastAsia" w:hAnsiTheme="minorEastAsia" w:hint="eastAsia"/>
          <w:bCs/>
          <w:sz w:val="24"/>
        </w:rPr>
        <w:t>个月</w:t>
      </w:r>
    </w:p>
    <w:p w14:paraId="296D220C"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35</w:t>
      </w:r>
      <w:r>
        <w:rPr>
          <w:rFonts w:asciiTheme="minorEastAsia" w:hAnsiTheme="minorEastAsia" w:hint="eastAsia"/>
          <w:bCs/>
          <w:sz w:val="24"/>
          <w:szCs w:val="24"/>
        </w:rPr>
        <w:t>、存续期：指基金合同生效至终止之间的不定期期限</w:t>
      </w:r>
    </w:p>
    <w:p w14:paraId="5ABFE287"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36</w:t>
      </w:r>
      <w:r>
        <w:rPr>
          <w:rFonts w:asciiTheme="minorEastAsia" w:hAnsiTheme="minorEastAsia" w:hint="eastAsia"/>
          <w:bCs/>
          <w:sz w:val="24"/>
          <w:szCs w:val="24"/>
        </w:rPr>
        <w:t>、工作日：指上海证券交易所、深圳证券交易所的正常交易日</w:t>
      </w:r>
    </w:p>
    <w:p w14:paraId="0E62296A"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37</w:t>
      </w:r>
      <w:r>
        <w:rPr>
          <w:rFonts w:asciiTheme="minorEastAsia" w:hAnsiTheme="minorEastAsia" w:hint="eastAsia"/>
          <w:bCs/>
          <w:sz w:val="24"/>
          <w:szCs w:val="24"/>
        </w:rPr>
        <w:t>、T日：指销售机构在规定时间受理投资人申购、赎回或其他业务申请的开放日</w:t>
      </w:r>
    </w:p>
    <w:p w14:paraId="66DB8F36"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38</w:t>
      </w:r>
      <w:r>
        <w:rPr>
          <w:rFonts w:asciiTheme="minorEastAsia" w:hAnsiTheme="minorEastAsia" w:hint="eastAsia"/>
          <w:bCs/>
          <w:sz w:val="24"/>
          <w:szCs w:val="24"/>
        </w:rPr>
        <w:t>、</w:t>
      </w:r>
      <w:proofErr w:type="spellStart"/>
      <w:r>
        <w:rPr>
          <w:rFonts w:asciiTheme="minorEastAsia" w:hAnsiTheme="minorEastAsia" w:hint="eastAsia"/>
          <w:bCs/>
          <w:sz w:val="24"/>
          <w:szCs w:val="24"/>
        </w:rPr>
        <w:t>T+n</w:t>
      </w:r>
      <w:proofErr w:type="spellEnd"/>
      <w:r>
        <w:rPr>
          <w:rFonts w:asciiTheme="minorEastAsia" w:hAnsiTheme="minorEastAsia" w:hint="eastAsia"/>
          <w:bCs/>
          <w:sz w:val="24"/>
          <w:szCs w:val="24"/>
        </w:rPr>
        <w:t>日：指自T日起第n</w:t>
      </w:r>
      <w:proofErr w:type="gramStart"/>
      <w:r>
        <w:rPr>
          <w:rFonts w:asciiTheme="minorEastAsia" w:hAnsiTheme="minorEastAsia" w:hint="eastAsia"/>
          <w:bCs/>
          <w:sz w:val="24"/>
          <w:szCs w:val="24"/>
        </w:rPr>
        <w:t>个</w:t>
      </w:r>
      <w:proofErr w:type="gramEnd"/>
      <w:r>
        <w:rPr>
          <w:rFonts w:asciiTheme="minorEastAsia" w:hAnsiTheme="minorEastAsia" w:hint="eastAsia"/>
          <w:bCs/>
          <w:sz w:val="24"/>
          <w:szCs w:val="24"/>
        </w:rPr>
        <w:t>工作日（不包含T日）</w:t>
      </w:r>
    </w:p>
    <w:p w14:paraId="1012044E"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lastRenderedPageBreak/>
        <w:t>39</w:t>
      </w:r>
      <w:r>
        <w:rPr>
          <w:rFonts w:asciiTheme="minorEastAsia" w:hAnsiTheme="minorEastAsia" w:hint="eastAsia"/>
          <w:bCs/>
          <w:sz w:val="24"/>
          <w:szCs w:val="24"/>
        </w:rPr>
        <w:t>、开放日：指为投资人办理基金份额申购、赎回或其他业务的工作日</w:t>
      </w:r>
    </w:p>
    <w:p w14:paraId="1E3BD737"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40</w:t>
      </w:r>
      <w:r>
        <w:rPr>
          <w:rFonts w:asciiTheme="minorEastAsia" w:hAnsiTheme="minorEastAsia" w:hint="eastAsia"/>
          <w:bCs/>
          <w:sz w:val="24"/>
          <w:szCs w:val="24"/>
        </w:rPr>
        <w:t>、开放时间：指开放日基金接受申购、赎回或其他交易的时间段</w:t>
      </w:r>
    </w:p>
    <w:p w14:paraId="78BC1944"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41</w:t>
      </w:r>
      <w:r>
        <w:rPr>
          <w:rFonts w:asciiTheme="minorEastAsia" w:hAnsiTheme="minorEastAsia" w:hint="eastAsia"/>
          <w:bCs/>
          <w:sz w:val="24"/>
          <w:szCs w:val="24"/>
        </w:rPr>
        <w:t>、《业务规则》：指《富荣基金管理有限公司开放式基金业务规则》，是规范基金管理人所管理的开放式证券投资基金登记方面的业务规则，由基金管理人和投资人共同遵守</w:t>
      </w:r>
    </w:p>
    <w:p w14:paraId="6322400F" w14:textId="77777777" w:rsidR="00B51DEA" w:rsidRDefault="00000000">
      <w:pPr>
        <w:spacing w:line="360" w:lineRule="auto"/>
        <w:ind w:firstLineChars="200" w:firstLine="480"/>
        <w:rPr>
          <w:rFonts w:asciiTheme="minorEastAsia" w:hAnsiTheme="minorEastAsia" w:hint="eastAsia"/>
          <w:bCs/>
          <w:sz w:val="24"/>
        </w:rPr>
      </w:pPr>
      <w:r>
        <w:rPr>
          <w:rFonts w:asciiTheme="minorEastAsia" w:hAnsiTheme="minorEastAsia"/>
          <w:bCs/>
          <w:sz w:val="24"/>
        </w:rPr>
        <w:t>42</w:t>
      </w:r>
      <w:r>
        <w:rPr>
          <w:rFonts w:asciiTheme="minorEastAsia" w:hAnsiTheme="minorEastAsia" w:hint="eastAsia"/>
          <w:bCs/>
          <w:sz w:val="24"/>
        </w:rPr>
        <w:t>、认购：指在基金募集期内，投资人根据基金合同和招募说明书的规定申请购买基金份额的行为</w:t>
      </w:r>
    </w:p>
    <w:p w14:paraId="3400711E"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43</w:t>
      </w:r>
      <w:r>
        <w:rPr>
          <w:rFonts w:asciiTheme="minorEastAsia" w:hAnsiTheme="minorEastAsia" w:hint="eastAsia"/>
          <w:bCs/>
          <w:sz w:val="24"/>
          <w:szCs w:val="24"/>
        </w:rPr>
        <w:t>、申购：指基金合同生效后，投资人根据基金合同和招募说明书的规定申请购买基金份额的行为</w:t>
      </w:r>
    </w:p>
    <w:p w14:paraId="1000546F"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44</w:t>
      </w:r>
      <w:r>
        <w:rPr>
          <w:rFonts w:asciiTheme="minorEastAsia" w:hAnsiTheme="minorEastAsia" w:hint="eastAsia"/>
          <w:bCs/>
          <w:sz w:val="24"/>
          <w:szCs w:val="24"/>
        </w:rPr>
        <w:t>、赎回：指基金合同生效后，基金份额持有人按基金合同和招募说明书规定的条件要求将基金份额兑换为现金的行为</w:t>
      </w:r>
    </w:p>
    <w:p w14:paraId="77B3D334"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45</w:t>
      </w:r>
      <w:r>
        <w:rPr>
          <w:rFonts w:asciiTheme="minorEastAsia" w:hAnsiTheme="minorEastAsia" w:hint="eastAsia"/>
          <w:bCs/>
          <w:sz w:val="24"/>
          <w:szCs w:val="24"/>
        </w:rPr>
        <w:t>、基金转换：指基金份额持有人按照本基金合同和基金管理人届时有效公告规定的条件，申请将其持有基金管理人管理的、某一基金的基金份额转换为基金管理人管理的其他</w:t>
      </w:r>
      <w:proofErr w:type="gramStart"/>
      <w:r>
        <w:rPr>
          <w:rFonts w:asciiTheme="minorEastAsia" w:hAnsiTheme="minorEastAsia" w:hint="eastAsia"/>
          <w:bCs/>
          <w:sz w:val="24"/>
          <w:szCs w:val="24"/>
        </w:rPr>
        <w:t>基金基金</w:t>
      </w:r>
      <w:proofErr w:type="gramEnd"/>
      <w:r>
        <w:rPr>
          <w:rFonts w:asciiTheme="minorEastAsia" w:hAnsiTheme="minorEastAsia" w:hint="eastAsia"/>
          <w:bCs/>
          <w:sz w:val="24"/>
          <w:szCs w:val="24"/>
        </w:rPr>
        <w:t>份额的行为</w:t>
      </w:r>
    </w:p>
    <w:p w14:paraId="48BA6A86"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46</w:t>
      </w:r>
      <w:r>
        <w:rPr>
          <w:rFonts w:asciiTheme="minorEastAsia" w:hAnsiTheme="minorEastAsia" w:hint="eastAsia"/>
          <w:bCs/>
          <w:sz w:val="24"/>
          <w:szCs w:val="24"/>
        </w:rPr>
        <w:t>、转托管：指基金份额持有人在本基金的不同销售机构之间实施的变更所持基金份额销售机构的操作</w:t>
      </w:r>
    </w:p>
    <w:p w14:paraId="3295819A"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47</w:t>
      </w:r>
      <w:r>
        <w:rPr>
          <w:rFonts w:asciiTheme="minorEastAsia" w:hAnsiTheme="minorEastAsia" w:hint="eastAsia"/>
          <w:bCs/>
          <w:sz w:val="24"/>
          <w:szCs w:val="24"/>
        </w:rPr>
        <w:t>、定期定额投资计划：指投资人通过有关销售机构提出申请，约定每期申购日、扣款金额及扣款方式，由销售机构于每期约定扣款日在投资人指定银行账户内自动完成扣款及受理基金申购申请的一种投资方式</w:t>
      </w:r>
    </w:p>
    <w:p w14:paraId="2C99D281"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48</w:t>
      </w:r>
      <w:r>
        <w:rPr>
          <w:rFonts w:asciiTheme="minorEastAsia" w:hAnsiTheme="minorEastAsia" w:hint="eastAsia"/>
          <w:bCs/>
          <w:sz w:val="24"/>
          <w:szCs w:val="24"/>
        </w:rPr>
        <w:t>、巨额赎回：指本基金单个开放日，基金净赎回申请（赎回申请份额总数加上基金转换中转出申请份额总数后扣除申购申请份额总数及基金转换中转入申请份额总数后的余额）超过上一开放日基金总份额的</w:t>
      </w:r>
      <w:r>
        <w:rPr>
          <w:rFonts w:asciiTheme="minorEastAsia" w:hAnsiTheme="minorEastAsia"/>
          <w:bCs/>
          <w:sz w:val="24"/>
          <w:szCs w:val="24"/>
        </w:rPr>
        <w:t>10%</w:t>
      </w:r>
    </w:p>
    <w:p w14:paraId="242D655F"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49</w:t>
      </w:r>
      <w:r>
        <w:rPr>
          <w:rFonts w:asciiTheme="minorEastAsia" w:hAnsiTheme="minorEastAsia" w:hint="eastAsia"/>
          <w:bCs/>
          <w:sz w:val="24"/>
          <w:szCs w:val="24"/>
        </w:rPr>
        <w:t>、元：指人民币元</w:t>
      </w:r>
    </w:p>
    <w:p w14:paraId="7C96C46D"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50</w:t>
      </w:r>
      <w:r>
        <w:rPr>
          <w:rFonts w:asciiTheme="minorEastAsia" w:hAnsiTheme="minorEastAsia" w:hint="eastAsia"/>
          <w:bCs/>
          <w:sz w:val="24"/>
          <w:szCs w:val="24"/>
        </w:rPr>
        <w:t>、基金收益：指基金投资所得红利、股息、债券利息、买卖证券价差、银行存款利息、已实现的其他合法收入及因运用基金财产带来的成本和费用的节约</w:t>
      </w:r>
    </w:p>
    <w:p w14:paraId="3EFA7E69"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51</w:t>
      </w:r>
      <w:r>
        <w:rPr>
          <w:rFonts w:asciiTheme="minorEastAsia" w:hAnsiTheme="minorEastAsia" w:hint="eastAsia"/>
          <w:bCs/>
          <w:sz w:val="24"/>
          <w:szCs w:val="24"/>
        </w:rPr>
        <w:t>、销售服务费：指本基金用于持续销售和服务基金份额持有人的费用，该笔费用从C类份额的基金财产中计提，属于基金的营运费用</w:t>
      </w:r>
    </w:p>
    <w:p w14:paraId="2AD062E1"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52</w:t>
      </w:r>
      <w:r>
        <w:rPr>
          <w:rFonts w:asciiTheme="minorEastAsia" w:hAnsiTheme="minorEastAsia" w:hint="eastAsia"/>
          <w:bCs/>
          <w:sz w:val="24"/>
          <w:szCs w:val="24"/>
        </w:rPr>
        <w:t>、基金份额的类别：指本基金根据销售服务费收取方式的不同，将基金份额分为不同的类别</w:t>
      </w:r>
    </w:p>
    <w:p w14:paraId="176E1853"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lastRenderedPageBreak/>
        <w:t>53</w:t>
      </w:r>
      <w:r>
        <w:rPr>
          <w:rFonts w:asciiTheme="minorEastAsia" w:hAnsiTheme="minorEastAsia" w:hint="eastAsia"/>
          <w:bCs/>
          <w:sz w:val="24"/>
          <w:szCs w:val="24"/>
        </w:rPr>
        <w:t>、A类基金份额：指在投资者认购、申购时收取前端认购、申购费用，在赎回时根据持有期限收取赎回费用，</w:t>
      </w:r>
      <w:r>
        <w:rPr>
          <w:rFonts w:asciiTheme="minorEastAsia" w:hAnsiTheme="minorEastAsia" w:hint="eastAsia"/>
          <w:sz w:val="24"/>
        </w:rPr>
        <w:t>而不从本类别基金资产中计</w:t>
      </w:r>
      <w:proofErr w:type="gramStart"/>
      <w:r>
        <w:rPr>
          <w:rFonts w:asciiTheme="minorEastAsia" w:hAnsiTheme="minorEastAsia" w:hint="eastAsia"/>
          <w:sz w:val="24"/>
        </w:rPr>
        <w:t>提销售</w:t>
      </w:r>
      <w:proofErr w:type="gramEnd"/>
      <w:r>
        <w:rPr>
          <w:rFonts w:asciiTheme="minorEastAsia" w:hAnsiTheme="minorEastAsia" w:hint="eastAsia"/>
          <w:sz w:val="24"/>
        </w:rPr>
        <w:t>服务费</w:t>
      </w:r>
      <w:r>
        <w:rPr>
          <w:rFonts w:asciiTheme="minorEastAsia" w:hAnsiTheme="minorEastAsia" w:hint="eastAsia"/>
          <w:bCs/>
          <w:sz w:val="24"/>
          <w:szCs w:val="24"/>
        </w:rPr>
        <w:t>的基金份额类别</w:t>
      </w:r>
    </w:p>
    <w:p w14:paraId="75A7DFAC"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54</w:t>
      </w:r>
      <w:r>
        <w:rPr>
          <w:rFonts w:asciiTheme="minorEastAsia" w:hAnsiTheme="minorEastAsia" w:hint="eastAsia"/>
          <w:bCs/>
          <w:sz w:val="24"/>
          <w:szCs w:val="24"/>
        </w:rPr>
        <w:t>、C类基金份额：指不收取认购、申购费用，在赎回时根据持有期限收取赎回费用，且从本类别基金资产中计</w:t>
      </w:r>
      <w:proofErr w:type="gramStart"/>
      <w:r>
        <w:rPr>
          <w:rFonts w:asciiTheme="minorEastAsia" w:hAnsiTheme="minorEastAsia" w:hint="eastAsia"/>
          <w:bCs/>
          <w:sz w:val="24"/>
          <w:szCs w:val="24"/>
        </w:rPr>
        <w:t>提销售</w:t>
      </w:r>
      <w:proofErr w:type="gramEnd"/>
      <w:r>
        <w:rPr>
          <w:rFonts w:asciiTheme="minorEastAsia" w:hAnsiTheme="minorEastAsia" w:hint="eastAsia"/>
          <w:bCs/>
          <w:sz w:val="24"/>
          <w:szCs w:val="24"/>
        </w:rPr>
        <w:t>服务费的基金份额类别</w:t>
      </w:r>
    </w:p>
    <w:p w14:paraId="443CBA2D"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55</w:t>
      </w:r>
      <w:r>
        <w:rPr>
          <w:rFonts w:asciiTheme="minorEastAsia" w:hAnsiTheme="minorEastAsia" w:hint="eastAsia"/>
          <w:bCs/>
          <w:sz w:val="24"/>
          <w:szCs w:val="24"/>
        </w:rPr>
        <w:t>、基金资产总值：指基金拥有的各类有价证券、银行存款本息、基金应收申购款及其他资产的价值总和</w:t>
      </w:r>
    </w:p>
    <w:p w14:paraId="68BF3161"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56</w:t>
      </w:r>
      <w:r>
        <w:rPr>
          <w:rFonts w:asciiTheme="minorEastAsia" w:hAnsiTheme="minorEastAsia" w:hint="eastAsia"/>
          <w:bCs/>
          <w:sz w:val="24"/>
          <w:szCs w:val="24"/>
        </w:rPr>
        <w:t>、基金资产净值：指基金资产总值减去基金负债后的价值</w:t>
      </w:r>
    </w:p>
    <w:p w14:paraId="09D638B3"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57</w:t>
      </w:r>
      <w:r>
        <w:rPr>
          <w:rFonts w:asciiTheme="minorEastAsia" w:hAnsiTheme="minorEastAsia" w:hint="eastAsia"/>
          <w:bCs/>
          <w:sz w:val="24"/>
          <w:szCs w:val="24"/>
        </w:rPr>
        <w:t>、基金份额净值：指计算日基金资产净值除以计算日基金份额总数</w:t>
      </w:r>
    </w:p>
    <w:p w14:paraId="7A49D210"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58</w:t>
      </w:r>
      <w:r>
        <w:rPr>
          <w:rFonts w:asciiTheme="minorEastAsia" w:hAnsiTheme="minorEastAsia" w:hint="eastAsia"/>
          <w:bCs/>
          <w:sz w:val="24"/>
          <w:szCs w:val="24"/>
        </w:rPr>
        <w:t>、基金资产估值：指计算评估基金资产和负债的价值，以确定基金资产净值和基金份额净值的过程</w:t>
      </w:r>
    </w:p>
    <w:p w14:paraId="7D0CA200"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59</w:t>
      </w:r>
      <w:r>
        <w:rPr>
          <w:rFonts w:asciiTheme="minorEastAsia" w:hAnsiTheme="minorEastAsia" w:hint="eastAsia"/>
          <w:bCs/>
          <w:sz w:val="24"/>
          <w:szCs w:val="24"/>
        </w:rPr>
        <w:t>、流动性受限资产：是指由于法律法规、监管、合同或操作障碍等原因无法以合理价格予以变现的资产，包括但不限于到期日在10个交易日以上的逆回购与银行定期存款（</w:t>
      </w:r>
      <w:proofErr w:type="gramStart"/>
      <w:r>
        <w:rPr>
          <w:rFonts w:asciiTheme="minorEastAsia" w:hAnsiTheme="minorEastAsia" w:hint="eastAsia"/>
          <w:bCs/>
          <w:sz w:val="24"/>
          <w:szCs w:val="24"/>
        </w:rPr>
        <w:t>含协议</w:t>
      </w:r>
      <w:proofErr w:type="gramEnd"/>
      <w:r>
        <w:rPr>
          <w:rFonts w:asciiTheme="minorEastAsia" w:hAnsiTheme="minorEastAsia" w:hint="eastAsia"/>
          <w:bCs/>
          <w:sz w:val="24"/>
          <w:szCs w:val="24"/>
        </w:rPr>
        <w:t>约定有条件提前支取的银行存款）、停牌股票、流通受限的新股及非公开发行股票、资产支持证券、因发行人债务违约无法进行转让或交易的债券等</w:t>
      </w:r>
    </w:p>
    <w:p w14:paraId="68AFD34F"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60</w:t>
      </w:r>
      <w:r>
        <w:rPr>
          <w:rFonts w:asciiTheme="minorEastAsia" w:hAnsiTheme="minorEastAsia" w:hint="eastAsia"/>
          <w:bCs/>
          <w:sz w:val="24"/>
          <w:szCs w:val="24"/>
        </w:rPr>
        <w:t>、摆动定价机制：是指当开放式基金遭遇大额申购赎回时，通过调整基金份额净值的方式，将基金调整投资组合的市场冲击成本分配给实际申购、赎回的投资者，从而减少对存量基金份额持有人利益的不利影响，确保投资者的合法权益不受损害并得到公平对待</w:t>
      </w:r>
    </w:p>
    <w:p w14:paraId="3C4A5A89" w14:textId="77777777" w:rsidR="00B51DEA" w:rsidRDefault="00000000">
      <w:pPr>
        <w:spacing w:line="360" w:lineRule="auto"/>
        <w:ind w:firstLineChars="200" w:firstLine="460"/>
        <w:rPr>
          <w:rFonts w:asciiTheme="minorEastAsia" w:hAnsiTheme="minorEastAsia" w:hint="eastAsia"/>
          <w:bCs/>
          <w:sz w:val="24"/>
          <w:szCs w:val="24"/>
        </w:rPr>
      </w:pPr>
      <w:r>
        <w:rPr>
          <w:rFonts w:asciiTheme="minorEastAsia" w:hAnsiTheme="minorEastAsia"/>
          <w:kern w:val="0"/>
          <w:sz w:val="23"/>
          <w:szCs w:val="23"/>
        </w:rPr>
        <w:t>61</w:t>
      </w:r>
      <w:r>
        <w:rPr>
          <w:rFonts w:asciiTheme="minorEastAsia" w:hAnsiTheme="minorEastAsia" w:hint="eastAsia"/>
          <w:bCs/>
          <w:sz w:val="24"/>
          <w:szCs w:val="24"/>
        </w:rPr>
        <w:t>、指定媒介：指中国证监会指定的用以进行信息披露的全国性报刊及指定互联网网站（包括基金管理人网站、基金托管人网站、中国证监会基金电子披露网站）等媒介</w:t>
      </w:r>
    </w:p>
    <w:p w14:paraId="0B8015A3" w14:textId="77777777" w:rsidR="00B51DEA" w:rsidRDefault="00000000">
      <w:pPr>
        <w:spacing w:line="360" w:lineRule="auto"/>
        <w:ind w:firstLineChars="200" w:firstLine="480"/>
        <w:rPr>
          <w:rFonts w:asciiTheme="minorEastAsia" w:hAnsiTheme="minorEastAsia" w:hint="eastAsia"/>
          <w:b/>
          <w:bCs/>
        </w:rPr>
        <w:sectPr w:rsidR="00B51DEA">
          <w:footerReference w:type="default" r:id="rId20"/>
          <w:pgSz w:w="11906" w:h="16838"/>
          <w:pgMar w:top="1440" w:right="1800" w:bottom="1440" w:left="1800" w:header="851" w:footer="992" w:gutter="0"/>
          <w:cols w:space="720"/>
          <w:docGrid w:type="lines" w:linePitch="312"/>
        </w:sectPr>
      </w:pPr>
      <w:r>
        <w:rPr>
          <w:rFonts w:asciiTheme="minorEastAsia" w:hAnsiTheme="minorEastAsia"/>
          <w:bCs/>
          <w:sz w:val="24"/>
          <w:szCs w:val="24"/>
        </w:rPr>
        <w:t>62</w:t>
      </w:r>
      <w:r>
        <w:rPr>
          <w:rFonts w:asciiTheme="minorEastAsia" w:hAnsiTheme="minorEastAsia" w:hint="eastAsia"/>
          <w:bCs/>
          <w:sz w:val="24"/>
          <w:szCs w:val="24"/>
        </w:rPr>
        <w:t>、不可抗力：指本基金合同当事人不能预见、不能避免且不能克服的客观事件</w:t>
      </w:r>
    </w:p>
    <w:p w14:paraId="4BCAB5DA" w14:textId="77777777" w:rsidR="00B51DEA" w:rsidRDefault="00000000">
      <w:pPr>
        <w:pStyle w:val="1"/>
        <w:jc w:val="center"/>
        <w:rPr>
          <w:rFonts w:asciiTheme="minorEastAsia" w:eastAsiaTheme="minorEastAsia" w:hAnsiTheme="minorEastAsia" w:hint="eastAsia"/>
          <w:sz w:val="30"/>
          <w:szCs w:val="30"/>
        </w:rPr>
      </w:pPr>
      <w:bookmarkStart w:id="85" w:name="_Toc2677404"/>
      <w:r>
        <w:rPr>
          <w:rFonts w:asciiTheme="minorEastAsia" w:eastAsiaTheme="minorEastAsia" w:hAnsiTheme="minorEastAsia" w:hint="eastAsia"/>
          <w:sz w:val="30"/>
          <w:szCs w:val="30"/>
        </w:rPr>
        <w:lastRenderedPageBreak/>
        <w:t>第三部分</w:t>
      </w:r>
      <w:r>
        <w:rPr>
          <w:rFonts w:asciiTheme="minorEastAsia" w:eastAsiaTheme="minorEastAsia" w:hAnsiTheme="minorEastAsia"/>
          <w:sz w:val="30"/>
          <w:szCs w:val="30"/>
        </w:rPr>
        <w:t xml:space="preserve">  </w:t>
      </w:r>
      <w:r>
        <w:rPr>
          <w:rFonts w:asciiTheme="minorEastAsia" w:eastAsiaTheme="minorEastAsia" w:hAnsiTheme="minorEastAsia" w:hint="eastAsia"/>
          <w:sz w:val="30"/>
          <w:szCs w:val="30"/>
        </w:rPr>
        <w:t>基金管理人</w:t>
      </w:r>
      <w:bookmarkEnd w:id="67"/>
      <w:bookmarkEnd w:id="68"/>
      <w:bookmarkEnd w:id="85"/>
    </w:p>
    <w:p w14:paraId="3AAF4968" w14:textId="77777777" w:rsidR="00B51DEA" w:rsidRDefault="00000000">
      <w:pPr>
        <w:spacing w:line="360" w:lineRule="auto"/>
        <w:ind w:firstLineChars="200" w:firstLine="482"/>
        <w:rPr>
          <w:rFonts w:asciiTheme="minorEastAsia" w:hAnsiTheme="minorEastAsia" w:cs="Times New Roman" w:hint="eastAsia"/>
          <w:b/>
          <w:kern w:val="0"/>
          <w:sz w:val="24"/>
          <w:szCs w:val="24"/>
        </w:rPr>
      </w:pPr>
      <w:r>
        <w:rPr>
          <w:rFonts w:asciiTheme="minorEastAsia" w:hAnsiTheme="minorEastAsia" w:cs="Times New Roman" w:hint="eastAsia"/>
          <w:b/>
          <w:kern w:val="0"/>
          <w:sz w:val="24"/>
          <w:szCs w:val="24"/>
        </w:rPr>
        <w:t>一、基金管理人概况</w:t>
      </w:r>
    </w:p>
    <w:p w14:paraId="719FF31E" w14:textId="77777777" w:rsidR="00B51DEA" w:rsidRDefault="00000000">
      <w:pPr>
        <w:spacing w:line="360" w:lineRule="auto"/>
        <w:ind w:firstLineChars="200" w:firstLine="480"/>
        <w:rPr>
          <w:rFonts w:asciiTheme="minorEastAsia" w:hAnsiTheme="minorEastAsia" w:cs="Times New Roman" w:hint="eastAsia"/>
          <w:kern w:val="0"/>
          <w:sz w:val="24"/>
          <w:szCs w:val="24"/>
        </w:rPr>
      </w:pPr>
      <w:r>
        <w:rPr>
          <w:rFonts w:asciiTheme="minorEastAsia" w:hAnsiTheme="minorEastAsia" w:cs="Times New Roman" w:hint="eastAsia"/>
          <w:kern w:val="0"/>
          <w:sz w:val="24"/>
          <w:szCs w:val="24"/>
        </w:rPr>
        <w:t>名称：富</w:t>
      </w:r>
      <w:proofErr w:type="gramStart"/>
      <w:r>
        <w:rPr>
          <w:rFonts w:asciiTheme="minorEastAsia" w:hAnsiTheme="minorEastAsia" w:cs="Times New Roman" w:hint="eastAsia"/>
          <w:kern w:val="0"/>
          <w:sz w:val="24"/>
          <w:szCs w:val="24"/>
        </w:rPr>
        <w:t>荣基金</w:t>
      </w:r>
      <w:proofErr w:type="gramEnd"/>
      <w:r>
        <w:rPr>
          <w:rFonts w:asciiTheme="minorEastAsia" w:hAnsiTheme="minorEastAsia" w:cs="Times New Roman" w:hint="eastAsia"/>
          <w:kern w:val="0"/>
          <w:sz w:val="24"/>
          <w:szCs w:val="24"/>
        </w:rPr>
        <w:t>管理有限公司</w:t>
      </w:r>
    </w:p>
    <w:p w14:paraId="203ECC06" w14:textId="77777777" w:rsidR="00B51DEA" w:rsidRDefault="00000000">
      <w:pPr>
        <w:spacing w:line="360" w:lineRule="auto"/>
        <w:ind w:firstLineChars="200" w:firstLine="480"/>
        <w:rPr>
          <w:rFonts w:asciiTheme="minorEastAsia" w:hAnsiTheme="minorEastAsia" w:cs="Times New Roman" w:hint="eastAsia"/>
          <w:kern w:val="0"/>
          <w:sz w:val="24"/>
          <w:szCs w:val="24"/>
        </w:rPr>
      </w:pPr>
      <w:r>
        <w:rPr>
          <w:rFonts w:asciiTheme="minorEastAsia" w:hAnsiTheme="minorEastAsia" w:cs="Times New Roman" w:hint="eastAsia"/>
          <w:kern w:val="0"/>
          <w:sz w:val="24"/>
          <w:szCs w:val="24"/>
        </w:rPr>
        <w:t>住所：</w:t>
      </w:r>
      <w:r>
        <w:rPr>
          <w:rFonts w:asciiTheme="minorEastAsia" w:hAnsiTheme="minorEastAsia" w:hint="eastAsia"/>
          <w:kern w:val="0"/>
          <w:sz w:val="24"/>
        </w:rPr>
        <w:t>广东省广州市南沙区横</w:t>
      </w:r>
      <w:proofErr w:type="gramStart"/>
      <w:r>
        <w:rPr>
          <w:rFonts w:asciiTheme="minorEastAsia" w:hAnsiTheme="minorEastAsia" w:hint="eastAsia"/>
          <w:kern w:val="0"/>
          <w:sz w:val="24"/>
        </w:rPr>
        <w:t>沥</w:t>
      </w:r>
      <w:proofErr w:type="gramEnd"/>
      <w:r>
        <w:rPr>
          <w:rFonts w:asciiTheme="minorEastAsia" w:hAnsiTheme="minorEastAsia" w:hint="eastAsia"/>
          <w:kern w:val="0"/>
          <w:sz w:val="24"/>
        </w:rPr>
        <w:t>镇汇通二街2号3110房</w:t>
      </w:r>
    </w:p>
    <w:p w14:paraId="2425BB0D" w14:textId="77777777" w:rsidR="00B51DEA" w:rsidRDefault="00000000">
      <w:pPr>
        <w:spacing w:line="360" w:lineRule="auto"/>
        <w:ind w:firstLineChars="200" w:firstLine="480"/>
        <w:rPr>
          <w:rFonts w:asciiTheme="minorEastAsia" w:hAnsiTheme="minorEastAsia" w:cs="Times New Roman" w:hint="eastAsia"/>
          <w:kern w:val="0"/>
          <w:sz w:val="24"/>
          <w:szCs w:val="24"/>
        </w:rPr>
      </w:pPr>
      <w:r>
        <w:rPr>
          <w:rFonts w:asciiTheme="minorEastAsia" w:hAnsiTheme="minorEastAsia" w:cs="Times New Roman" w:hint="eastAsia"/>
          <w:kern w:val="0"/>
          <w:sz w:val="24"/>
          <w:szCs w:val="24"/>
        </w:rPr>
        <w:t>办公地址：广东省深圳市福田区八卦四路</w:t>
      </w:r>
      <w:r>
        <w:rPr>
          <w:rFonts w:asciiTheme="minorEastAsia" w:hAnsiTheme="minorEastAsia" w:cs="Times New Roman"/>
          <w:kern w:val="0"/>
          <w:sz w:val="24"/>
          <w:szCs w:val="24"/>
        </w:rPr>
        <w:t>52号安吉</w:t>
      </w:r>
      <w:proofErr w:type="gramStart"/>
      <w:r>
        <w:rPr>
          <w:rFonts w:asciiTheme="minorEastAsia" w:hAnsiTheme="minorEastAsia" w:cs="Times New Roman" w:hint="eastAsia"/>
          <w:kern w:val="0"/>
          <w:sz w:val="24"/>
          <w:szCs w:val="24"/>
        </w:rPr>
        <w:t>尔大厦</w:t>
      </w:r>
      <w:proofErr w:type="gramEnd"/>
      <w:r>
        <w:rPr>
          <w:rFonts w:asciiTheme="minorEastAsia" w:hAnsiTheme="minorEastAsia" w:cs="Times New Roman"/>
          <w:kern w:val="0"/>
          <w:sz w:val="24"/>
          <w:szCs w:val="24"/>
        </w:rPr>
        <w:t>24层</w:t>
      </w:r>
    </w:p>
    <w:p w14:paraId="5685B664" w14:textId="77777777" w:rsidR="00B51DEA" w:rsidRDefault="00000000">
      <w:pPr>
        <w:spacing w:line="360" w:lineRule="auto"/>
        <w:ind w:firstLineChars="200" w:firstLine="480"/>
        <w:rPr>
          <w:rFonts w:asciiTheme="minorEastAsia" w:hAnsiTheme="minorEastAsia" w:cs="Times New Roman" w:hint="eastAsia"/>
          <w:kern w:val="0"/>
          <w:sz w:val="24"/>
          <w:szCs w:val="24"/>
        </w:rPr>
      </w:pPr>
      <w:r>
        <w:rPr>
          <w:rFonts w:asciiTheme="minorEastAsia" w:hAnsiTheme="minorEastAsia" w:cs="Times New Roman" w:hint="eastAsia"/>
          <w:kern w:val="0"/>
          <w:sz w:val="24"/>
          <w:szCs w:val="24"/>
        </w:rPr>
        <w:t>法定代表人：王亦伟</w:t>
      </w:r>
    </w:p>
    <w:p w14:paraId="62B2FDE8" w14:textId="77777777" w:rsidR="00B51DEA" w:rsidRDefault="00000000">
      <w:pPr>
        <w:spacing w:line="360" w:lineRule="auto"/>
        <w:ind w:firstLineChars="200" w:firstLine="480"/>
        <w:rPr>
          <w:rFonts w:asciiTheme="minorEastAsia" w:hAnsiTheme="minorEastAsia" w:cs="Times New Roman" w:hint="eastAsia"/>
          <w:kern w:val="0"/>
          <w:sz w:val="24"/>
          <w:szCs w:val="24"/>
        </w:rPr>
      </w:pPr>
      <w:r>
        <w:rPr>
          <w:rFonts w:asciiTheme="minorEastAsia" w:hAnsiTheme="minorEastAsia" w:cs="Times New Roman" w:hint="eastAsia"/>
          <w:kern w:val="0"/>
          <w:sz w:val="24"/>
          <w:szCs w:val="24"/>
        </w:rPr>
        <w:t>成立时间：</w:t>
      </w:r>
      <w:r>
        <w:rPr>
          <w:rFonts w:asciiTheme="minorEastAsia" w:hAnsiTheme="minorEastAsia" w:cs="Times New Roman"/>
          <w:kern w:val="0"/>
          <w:sz w:val="24"/>
          <w:szCs w:val="24"/>
        </w:rPr>
        <w:t>2016年1月25日</w:t>
      </w:r>
    </w:p>
    <w:p w14:paraId="07C3967C" w14:textId="77777777" w:rsidR="00B51DEA" w:rsidRDefault="00000000">
      <w:pPr>
        <w:spacing w:line="360" w:lineRule="auto"/>
        <w:ind w:firstLineChars="200" w:firstLine="480"/>
        <w:rPr>
          <w:rFonts w:asciiTheme="minorEastAsia" w:hAnsiTheme="minorEastAsia" w:cs="Times New Roman" w:hint="eastAsia"/>
          <w:kern w:val="0"/>
          <w:sz w:val="24"/>
          <w:szCs w:val="24"/>
        </w:rPr>
      </w:pPr>
      <w:r>
        <w:rPr>
          <w:rFonts w:asciiTheme="minorEastAsia" w:hAnsiTheme="minorEastAsia" w:cs="Times New Roman" w:hint="eastAsia"/>
          <w:kern w:val="0"/>
          <w:sz w:val="24"/>
          <w:szCs w:val="24"/>
        </w:rPr>
        <w:t>注册资本：</w:t>
      </w:r>
      <w:r>
        <w:rPr>
          <w:rFonts w:asciiTheme="minorEastAsia" w:hAnsiTheme="minorEastAsia" w:cs="Times New Roman"/>
          <w:kern w:val="0"/>
          <w:sz w:val="24"/>
          <w:szCs w:val="24"/>
        </w:rPr>
        <w:t>2</w:t>
      </w:r>
      <w:r>
        <w:rPr>
          <w:rFonts w:asciiTheme="minorEastAsia" w:hAnsiTheme="minorEastAsia" w:cs="Times New Roman" w:hint="eastAsia"/>
          <w:kern w:val="0"/>
          <w:sz w:val="24"/>
          <w:szCs w:val="24"/>
        </w:rPr>
        <w:t>亿元人民币</w:t>
      </w:r>
    </w:p>
    <w:p w14:paraId="7570C76B" w14:textId="77777777" w:rsidR="00B51DEA" w:rsidRDefault="00000000">
      <w:pPr>
        <w:spacing w:line="360" w:lineRule="auto"/>
        <w:ind w:firstLineChars="200" w:firstLine="480"/>
        <w:rPr>
          <w:rFonts w:asciiTheme="minorEastAsia" w:hAnsiTheme="minorEastAsia" w:cs="Times New Roman" w:hint="eastAsia"/>
          <w:kern w:val="0"/>
          <w:sz w:val="24"/>
          <w:szCs w:val="24"/>
        </w:rPr>
      </w:pPr>
      <w:r>
        <w:rPr>
          <w:rFonts w:asciiTheme="minorEastAsia" w:hAnsiTheme="minorEastAsia" w:cs="Times New Roman" w:hint="eastAsia"/>
          <w:kern w:val="0"/>
          <w:sz w:val="24"/>
          <w:szCs w:val="24"/>
        </w:rPr>
        <w:t>存续期间：持续经营</w:t>
      </w:r>
    </w:p>
    <w:p w14:paraId="029F52CE" w14:textId="77777777" w:rsidR="00B51DEA" w:rsidRDefault="00000000">
      <w:pPr>
        <w:spacing w:line="360" w:lineRule="auto"/>
        <w:ind w:firstLineChars="200" w:firstLine="480"/>
        <w:rPr>
          <w:rFonts w:asciiTheme="minorEastAsia" w:hAnsiTheme="minorEastAsia" w:cs="Times New Roman" w:hint="eastAsia"/>
          <w:kern w:val="0"/>
          <w:sz w:val="24"/>
          <w:szCs w:val="24"/>
        </w:rPr>
      </w:pPr>
      <w:r>
        <w:rPr>
          <w:rFonts w:asciiTheme="minorEastAsia" w:hAnsiTheme="minorEastAsia" w:cs="Times New Roman" w:hint="eastAsia"/>
          <w:kern w:val="0"/>
          <w:sz w:val="24"/>
          <w:szCs w:val="24"/>
        </w:rPr>
        <w:t>联系人：</w:t>
      </w:r>
      <w:r>
        <w:rPr>
          <w:rFonts w:ascii="宋体" w:hAnsi="宋体" w:hint="eastAsia"/>
          <w:color w:val="000000"/>
          <w:kern w:val="0"/>
          <w:sz w:val="24"/>
        </w:rPr>
        <w:t>郭鑫</w:t>
      </w:r>
    </w:p>
    <w:p w14:paraId="353850EC" w14:textId="77777777" w:rsidR="00B51DEA" w:rsidRDefault="00000000">
      <w:pPr>
        <w:spacing w:line="360" w:lineRule="auto"/>
        <w:ind w:firstLineChars="200" w:firstLine="480"/>
        <w:rPr>
          <w:rFonts w:asciiTheme="minorEastAsia" w:hAnsiTheme="minorEastAsia" w:cs="Times New Roman" w:hint="eastAsia"/>
          <w:kern w:val="0"/>
          <w:sz w:val="24"/>
          <w:szCs w:val="24"/>
        </w:rPr>
      </w:pPr>
      <w:r>
        <w:rPr>
          <w:rFonts w:asciiTheme="minorEastAsia" w:hAnsiTheme="minorEastAsia" w:cs="Times New Roman" w:hint="eastAsia"/>
          <w:kern w:val="0"/>
          <w:sz w:val="24"/>
          <w:szCs w:val="24"/>
        </w:rPr>
        <w:t>联系电话：</w:t>
      </w:r>
      <w:r>
        <w:rPr>
          <w:rFonts w:asciiTheme="minorEastAsia" w:hAnsiTheme="minorEastAsia" w:cs="Times New Roman"/>
          <w:kern w:val="0"/>
          <w:sz w:val="24"/>
          <w:szCs w:val="24"/>
        </w:rPr>
        <w:t>0755-</w:t>
      </w:r>
      <w:r>
        <w:rPr>
          <w:rFonts w:asciiTheme="minorEastAsia" w:hAnsiTheme="minorEastAsia" w:cs="Times New Roman" w:hint="eastAsia"/>
          <w:kern w:val="0"/>
          <w:sz w:val="24"/>
          <w:szCs w:val="24"/>
        </w:rPr>
        <w:t>84356796</w:t>
      </w:r>
    </w:p>
    <w:p w14:paraId="311D4F4F" w14:textId="77777777" w:rsidR="00B51DEA" w:rsidRDefault="00000000">
      <w:pPr>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股权结构：</w:t>
      </w:r>
      <w:r>
        <w:rPr>
          <w:rFonts w:asciiTheme="minorEastAsia" w:hAnsiTheme="minorEastAsia" w:cs="Arial"/>
          <w:kern w:val="0"/>
          <w:sz w:val="24"/>
          <w:szCs w:val="24"/>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0"/>
        <w:gridCol w:w="1275"/>
      </w:tblGrid>
      <w:tr w:rsidR="00B51DEA" w14:paraId="0C809F8A" w14:textId="77777777">
        <w:trPr>
          <w:jc w:val="center"/>
        </w:trPr>
        <w:tc>
          <w:tcPr>
            <w:tcW w:w="4250" w:type="dxa"/>
            <w:tcBorders>
              <w:top w:val="single" w:sz="4" w:space="0" w:color="auto"/>
              <w:left w:val="single" w:sz="4" w:space="0" w:color="auto"/>
              <w:bottom w:val="single" w:sz="4" w:space="0" w:color="auto"/>
              <w:right w:val="single" w:sz="4" w:space="0" w:color="auto"/>
            </w:tcBorders>
            <w:vAlign w:val="center"/>
          </w:tcPr>
          <w:p w14:paraId="4C7862A3" w14:textId="77777777" w:rsidR="00B51DEA" w:rsidRDefault="00000000">
            <w:pPr>
              <w:spacing w:line="360" w:lineRule="auto"/>
              <w:jc w:val="center"/>
              <w:rPr>
                <w:rFonts w:asciiTheme="minorEastAsia" w:hAnsiTheme="minorEastAsia" w:cs="Arial" w:hint="eastAsia"/>
                <w:b/>
                <w:kern w:val="0"/>
                <w:szCs w:val="21"/>
              </w:rPr>
            </w:pPr>
            <w:r>
              <w:rPr>
                <w:rFonts w:asciiTheme="minorEastAsia" w:hAnsiTheme="minorEastAsia" w:cs="Arial" w:hint="eastAsia"/>
                <w:b/>
                <w:kern w:val="0"/>
                <w:szCs w:val="21"/>
              </w:rPr>
              <w:t>股东名称</w:t>
            </w:r>
          </w:p>
        </w:tc>
        <w:tc>
          <w:tcPr>
            <w:tcW w:w="1275" w:type="dxa"/>
            <w:tcBorders>
              <w:top w:val="single" w:sz="4" w:space="0" w:color="auto"/>
              <w:left w:val="single" w:sz="4" w:space="0" w:color="auto"/>
              <w:bottom w:val="single" w:sz="4" w:space="0" w:color="auto"/>
              <w:right w:val="single" w:sz="4" w:space="0" w:color="auto"/>
            </w:tcBorders>
            <w:vAlign w:val="center"/>
          </w:tcPr>
          <w:p w14:paraId="416CF85B" w14:textId="77777777" w:rsidR="00B51DEA" w:rsidRDefault="00000000">
            <w:pPr>
              <w:spacing w:line="360" w:lineRule="auto"/>
              <w:rPr>
                <w:rFonts w:asciiTheme="minorEastAsia" w:hAnsiTheme="minorEastAsia" w:cs="Arial" w:hint="eastAsia"/>
                <w:b/>
                <w:kern w:val="0"/>
                <w:szCs w:val="21"/>
              </w:rPr>
            </w:pPr>
            <w:r>
              <w:rPr>
                <w:rFonts w:asciiTheme="minorEastAsia" w:hAnsiTheme="minorEastAsia" w:cs="Arial" w:hint="eastAsia"/>
                <w:b/>
                <w:kern w:val="0"/>
                <w:szCs w:val="21"/>
              </w:rPr>
              <w:t>出资比例</w:t>
            </w:r>
          </w:p>
        </w:tc>
      </w:tr>
      <w:tr w:rsidR="00B51DEA" w14:paraId="5EEA50E2" w14:textId="77777777">
        <w:trPr>
          <w:jc w:val="center"/>
        </w:trPr>
        <w:tc>
          <w:tcPr>
            <w:tcW w:w="4250" w:type="dxa"/>
            <w:tcBorders>
              <w:top w:val="single" w:sz="4" w:space="0" w:color="auto"/>
              <w:left w:val="single" w:sz="4" w:space="0" w:color="auto"/>
              <w:bottom w:val="single" w:sz="4" w:space="0" w:color="auto"/>
              <w:right w:val="single" w:sz="4" w:space="0" w:color="auto"/>
            </w:tcBorders>
            <w:vAlign w:val="center"/>
          </w:tcPr>
          <w:p w14:paraId="3D753ADD" w14:textId="77777777" w:rsidR="00B51DEA" w:rsidRDefault="00000000">
            <w:pPr>
              <w:spacing w:line="360" w:lineRule="auto"/>
              <w:rPr>
                <w:rFonts w:asciiTheme="minorEastAsia" w:hAnsiTheme="minorEastAsia" w:cs="Arial" w:hint="eastAsia"/>
                <w:kern w:val="0"/>
                <w:szCs w:val="21"/>
              </w:rPr>
            </w:pPr>
            <w:r>
              <w:rPr>
                <w:rFonts w:asciiTheme="minorEastAsia" w:hAnsiTheme="minorEastAsia" w:cs="Arial" w:hint="eastAsia"/>
                <w:kern w:val="0"/>
                <w:szCs w:val="21"/>
              </w:rPr>
              <w:t>广州科技金融创新投资控股有限公司</w:t>
            </w:r>
          </w:p>
        </w:tc>
        <w:tc>
          <w:tcPr>
            <w:tcW w:w="1275" w:type="dxa"/>
            <w:tcBorders>
              <w:top w:val="single" w:sz="4" w:space="0" w:color="auto"/>
              <w:left w:val="single" w:sz="4" w:space="0" w:color="auto"/>
              <w:bottom w:val="single" w:sz="4" w:space="0" w:color="auto"/>
              <w:right w:val="single" w:sz="4" w:space="0" w:color="auto"/>
            </w:tcBorders>
            <w:vAlign w:val="center"/>
          </w:tcPr>
          <w:p w14:paraId="555FFFEF" w14:textId="77777777" w:rsidR="00B51DEA" w:rsidRDefault="00000000">
            <w:pPr>
              <w:spacing w:line="360" w:lineRule="auto"/>
              <w:rPr>
                <w:rFonts w:asciiTheme="minorEastAsia" w:hAnsiTheme="minorEastAsia" w:cs="Arial" w:hint="eastAsia"/>
                <w:kern w:val="0"/>
                <w:szCs w:val="21"/>
              </w:rPr>
            </w:pPr>
            <w:r>
              <w:rPr>
                <w:rFonts w:asciiTheme="minorEastAsia" w:hAnsiTheme="minorEastAsia" w:cs="Arial"/>
                <w:kern w:val="0"/>
                <w:szCs w:val="21"/>
              </w:rPr>
              <w:t>50%</w:t>
            </w:r>
          </w:p>
        </w:tc>
      </w:tr>
      <w:tr w:rsidR="00B51DEA" w14:paraId="465D08A4" w14:textId="77777777">
        <w:trPr>
          <w:jc w:val="center"/>
        </w:trPr>
        <w:tc>
          <w:tcPr>
            <w:tcW w:w="4250" w:type="dxa"/>
            <w:tcBorders>
              <w:top w:val="single" w:sz="4" w:space="0" w:color="auto"/>
              <w:left w:val="single" w:sz="4" w:space="0" w:color="auto"/>
              <w:bottom w:val="single" w:sz="4" w:space="0" w:color="auto"/>
              <w:right w:val="single" w:sz="4" w:space="0" w:color="auto"/>
            </w:tcBorders>
            <w:vAlign w:val="center"/>
          </w:tcPr>
          <w:p w14:paraId="5E2DDEDE" w14:textId="77777777" w:rsidR="00B51DEA" w:rsidRDefault="00000000">
            <w:pPr>
              <w:spacing w:line="360" w:lineRule="auto"/>
              <w:rPr>
                <w:rFonts w:asciiTheme="minorEastAsia" w:hAnsiTheme="minorEastAsia" w:cs="Arial" w:hint="eastAsia"/>
                <w:kern w:val="0"/>
                <w:szCs w:val="21"/>
              </w:rPr>
            </w:pPr>
            <w:r>
              <w:rPr>
                <w:rFonts w:asciiTheme="minorEastAsia" w:hAnsiTheme="minorEastAsia" w:cs="Arial" w:hint="eastAsia"/>
                <w:kern w:val="0"/>
                <w:szCs w:val="21"/>
              </w:rPr>
              <w:t>深圳嘉年实业股份有限公司</w:t>
            </w:r>
          </w:p>
        </w:tc>
        <w:tc>
          <w:tcPr>
            <w:tcW w:w="1275" w:type="dxa"/>
            <w:tcBorders>
              <w:top w:val="single" w:sz="4" w:space="0" w:color="auto"/>
              <w:left w:val="single" w:sz="4" w:space="0" w:color="auto"/>
              <w:bottom w:val="single" w:sz="4" w:space="0" w:color="auto"/>
              <w:right w:val="single" w:sz="4" w:space="0" w:color="auto"/>
            </w:tcBorders>
            <w:vAlign w:val="center"/>
          </w:tcPr>
          <w:p w14:paraId="20CBD2A7" w14:textId="77777777" w:rsidR="00B51DEA" w:rsidRDefault="00000000">
            <w:pPr>
              <w:spacing w:line="360" w:lineRule="auto"/>
              <w:rPr>
                <w:rFonts w:asciiTheme="minorEastAsia" w:hAnsiTheme="minorEastAsia" w:cs="Arial" w:hint="eastAsia"/>
                <w:kern w:val="0"/>
                <w:szCs w:val="21"/>
              </w:rPr>
            </w:pPr>
            <w:r>
              <w:rPr>
                <w:rFonts w:asciiTheme="minorEastAsia" w:hAnsiTheme="minorEastAsia" w:cs="Arial"/>
                <w:kern w:val="0"/>
                <w:szCs w:val="21"/>
              </w:rPr>
              <w:t>45.1%</w:t>
            </w:r>
          </w:p>
        </w:tc>
      </w:tr>
      <w:tr w:rsidR="00B51DEA" w14:paraId="4D9D0490" w14:textId="77777777">
        <w:trPr>
          <w:jc w:val="center"/>
        </w:trPr>
        <w:tc>
          <w:tcPr>
            <w:tcW w:w="4250" w:type="dxa"/>
            <w:tcBorders>
              <w:top w:val="single" w:sz="4" w:space="0" w:color="auto"/>
              <w:left w:val="single" w:sz="4" w:space="0" w:color="auto"/>
              <w:bottom w:val="single" w:sz="4" w:space="0" w:color="auto"/>
              <w:right w:val="single" w:sz="4" w:space="0" w:color="auto"/>
            </w:tcBorders>
            <w:vAlign w:val="center"/>
          </w:tcPr>
          <w:p w14:paraId="7A21495A" w14:textId="77777777" w:rsidR="00B51DEA" w:rsidRDefault="00000000">
            <w:pPr>
              <w:spacing w:line="360" w:lineRule="auto"/>
              <w:rPr>
                <w:rFonts w:asciiTheme="minorEastAsia" w:hAnsiTheme="minorEastAsia" w:cs="Arial" w:hint="eastAsia"/>
                <w:kern w:val="0"/>
                <w:szCs w:val="21"/>
              </w:rPr>
            </w:pPr>
            <w:proofErr w:type="gramStart"/>
            <w:r>
              <w:rPr>
                <w:rFonts w:asciiTheme="minorEastAsia" w:hAnsiTheme="minorEastAsia" w:cs="Arial" w:hint="eastAsia"/>
                <w:kern w:val="0"/>
                <w:szCs w:val="21"/>
              </w:rPr>
              <w:t>湖南省典勤投资</w:t>
            </w:r>
            <w:proofErr w:type="gramEnd"/>
            <w:r>
              <w:rPr>
                <w:rFonts w:asciiTheme="minorEastAsia" w:hAnsiTheme="minorEastAsia" w:cs="Arial" w:hint="eastAsia"/>
                <w:kern w:val="0"/>
                <w:szCs w:val="21"/>
              </w:rPr>
              <w:t>开发有限公司</w:t>
            </w:r>
          </w:p>
        </w:tc>
        <w:tc>
          <w:tcPr>
            <w:tcW w:w="1275" w:type="dxa"/>
            <w:tcBorders>
              <w:top w:val="single" w:sz="4" w:space="0" w:color="auto"/>
              <w:left w:val="single" w:sz="4" w:space="0" w:color="auto"/>
              <w:bottom w:val="single" w:sz="4" w:space="0" w:color="auto"/>
              <w:right w:val="single" w:sz="4" w:space="0" w:color="auto"/>
            </w:tcBorders>
            <w:vAlign w:val="center"/>
          </w:tcPr>
          <w:p w14:paraId="6A07F05D" w14:textId="77777777" w:rsidR="00B51DEA" w:rsidRDefault="00000000">
            <w:pPr>
              <w:spacing w:line="360" w:lineRule="auto"/>
              <w:rPr>
                <w:rFonts w:asciiTheme="minorEastAsia" w:hAnsiTheme="minorEastAsia" w:cs="Arial" w:hint="eastAsia"/>
                <w:kern w:val="0"/>
                <w:szCs w:val="21"/>
              </w:rPr>
            </w:pPr>
            <w:r>
              <w:rPr>
                <w:rFonts w:asciiTheme="minorEastAsia" w:hAnsiTheme="minorEastAsia" w:cs="Arial"/>
                <w:kern w:val="0"/>
                <w:szCs w:val="21"/>
              </w:rPr>
              <w:t>4.9%</w:t>
            </w:r>
          </w:p>
        </w:tc>
      </w:tr>
    </w:tbl>
    <w:p w14:paraId="1BC4EDEB" w14:textId="77777777" w:rsidR="00B51DEA" w:rsidRDefault="00B51DEA">
      <w:pPr>
        <w:adjustRightInd w:val="0"/>
        <w:snapToGrid w:val="0"/>
        <w:spacing w:line="360" w:lineRule="auto"/>
        <w:ind w:firstLineChars="200" w:firstLine="480"/>
        <w:rPr>
          <w:rFonts w:asciiTheme="minorEastAsia" w:hAnsiTheme="minorEastAsia" w:cs="Arial" w:hint="eastAsia"/>
          <w:kern w:val="0"/>
          <w:sz w:val="24"/>
          <w:szCs w:val="24"/>
        </w:rPr>
      </w:pPr>
    </w:p>
    <w:p w14:paraId="6CE80F89" w14:textId="77777777" w:rsidR="00B51DEA" w:rsidRDefault="00000000">
      <w:pPr>
        <w:spacing w:line="360" w:lineRule="auto"/>
        <w:ind w:firstLineChars="200" w:firstLine="482"/>
        <w:rPr>
          <w:rFonts w:asciiTheme="minorEastAsia" w:hAnsiTheme="minorEastAsia" w:cs="Times New Roman" w:hint="eastAsia"/>
          <w:b/>
          <w:kern w:val="0"/>
          <w:sz w:val="24"/>
          <w:szCs w:val="24"/>
        </w:rPr>
      </w:pPr>
      <w:r>
        <w:rPr>
          <w:rFonts w:asciiTheme="minorEastAsia" w:hAnsiTheme="minorEastAsia" w:cs="Times New Roman" w:hint="eastAsia"/>
          <w:b/>
          <w:kern w:val="0"/>
          <w:sz w:val="24"/>
          <w:szCs w:val="24"/>
        </w:rPr>
        <w:t>二、主要成员情况</w:t>
      </w:r>
    </w:p>
    <w:p w14:paraId="1DA8D955" w14:textId="77777777" w:rsidR="00B51DEA" w:rsidRDefault="00000000">
      <w:pPr>
        <w:spacing w:line="360" w:lineRule="auto"/>
        <w:ind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1、董事会成员</w:t>
      </w:r>
    </w:p>
    <w:p w14:paraId="71A64E58" w14:textId="772B999D" w:rsidR="00B51DEA" w:rsidRDefault="00000000">
      <w:pPr>
        <w:adjustRightInd w:val="0"/>
        <w:snapToGrid w:val="0"/>
        <w:spacing w:line="360" w:lineRule="auto"/>
        <w:ind w:firstLineChars="200" w:firstLine="480"/>
        <w:rPr>
          <w:rFonts w:asciiTheme="minorEastAsia" w:hAnsiTheme="minorEastAsia" w:cs="Arial" w:hint="eastAsia"/>
          <w:kern w:val="0"/>
          <w:sz w:val="24"/>
        </w:rPr>
      </w:pPr>
      <w:r>
        <w:rPr>
          <w:rFonts w:asciiTheme="minorEastAsia" w:hAnsiTheme="minorEastAsia" w:cs="Arial" w:hint="eastAsia"/>
          <w:kern w:val="0"/>
          <w:sz w:val="24"/>
        </w:rPr>
        <w:t>王亦伟先生，董事长，中山大学管理学院经济学学士。历任广州大学城投资经营管理有限公司财务部部长，平安信托有限责任公司财富管理事业部区域管理中心总监，广州市城市建设投资集团有限公司计划发展部部长、投资发展部部长，广州市城</w:t>
      </w:r>
      <w:proofErr w:type="gramStart"/>
      <w:r>
        <w:rPr>
          <w:rFonts w:asciiTheme="minorEastAsia" w:hAnsiTheme="minorEastAsia" w:cs="Arial" w:hint="eastAsia"/>
          <w:kern w:val="0"/>
          <w:sz w:val="24"/>
        </w:rPr>
        <w:t>投</w:t>
      </w:r>
      <w:proofErr w:type="gramEnd"/>
      <w:r>
        <w:rPr>
          <w:rFonts w:asciiTheme="minorEastAsia" w:hAnsiTheme="minorEastAsia" w:cs="Arial" w:hint="eastAsia"/>
          <w:kern w:val="0"/>
          <w:sz w:val="24"/>
        </w:rPr>
        <w:t>投资有限公司总经理、党支部书记、董事、董事长，广州新中轴建设有限公司财务总监、董事长、法人代表，中国文化产业投资</w:t>
      </w:r>
      <w:proofErr w:type="gramStart"/>
      <w:r>
        <w:rPr>
          <w:rFonts w:asciiTheme="minorEastAsia" w:hAnsiTheme="minorEastAsia" w:cs="Arial" w:hint="eastAsia"/>
          <w:kern w:val="0"/>
          <w:sz w:val="24"/>
        </w:rPr>
        <w:t>母基金</w:t>
      </w:r>
      <w:proofErr w:type="gramEnd"/>
      <w:r>
        <w:rPr>
          <w:rFonts w:asciiTheme="minorEastAsia" w:hAnsiTheme="minorEastAsia" w:cs="Arial" w:hint="eastAsia"/>
          <w:kern w:val="0"/>
          <w:sz w:val="24"/>
        </w:rPr>
        <w:t>管理有限公司董事，广州城</w:t>
      </w:r>
      <w:proofErr w:type="gramStart"/>
      <w:r>
        <w:rPr>
          <w:rFonts w:asciiTheme="minorEastAsia" w:hAnsiTheme="minorEastAsia" w:cs="Arial" w:hint="eastAsia"/>
          <w:kern w:val="0"/>
          <w:sz w:val="24"/>
        </w:rPr>
        <w:t>恒</w:t>
      </w:r>
      <w:proofErr w:type="gramEnd"/>
      <w:r>
        <w:rPr>
          <w:rFonts w:asciiTheme="minorEastAsia" w:hAnsiTheme="minorEastAsia" w:cs="Arial" w:hint="eastAsia"/>
          <w:kern w:val="0"/>
          <w:sz w:val="24"/>
        </w:rPr>
        <w:t>城市更新投资有限公司董事长、法定代表人。现任广州产业投资基金管理有限公司党委书记、法定代表人、董事长，广州汽车集团股份有限公司董事。富</w:t>
      </w:r>
      <w:proofErr w:type="gramStart"/>
      <w:r>
        <w:rPr>
          <w:rFonts w:asciiTheme="minorEastAsia" w:hAnsiTheme="minorEastAsia" w:cs="Arial" w:hint="eastAsia"/>
          <w:kern w:val="0"/>
          <w:sz w:val="24"/>
        </w:rPr>
        <w:t>荣基金</w:t>
      </w:r>
      <w:proofErr w:type="gramEnd"/>
      <w:r>
        <w:rPr>
          <w:rFonts w:asciiTheme="minorEastAsia" w:hAnsiTheme="minorEastAsia" w:cs="Arial" w:hint="eastAsia"/>
          <w:kern w:val="0"/>
          <w:sz w:val="24"/>
        </w:rPr>
        <w:t>管理有限公司董事长、法定代表人。</w:t>
      </w:r>
    </w:p>
    <w:p w14:paraId="14187637" w14:textId="77777777" w:rsidR="00B51DEA" w:rsidRDefault="00000000">
      <w:pPr>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杨小舟先生，董事，东北财经大学博士研究生。历任交通银行沈阳分行国际部国际结算员、信贷科科长、中信银行沈阳皇姑支行副行长、广发银行南湖支行</w:t>
      </w:r>
      <w:r>
        <w:rPr>
          <w:rFonts w:asciiTheme="minorEastAsia" w:hAnsiTheme="minorEastAsia" w:cs="Arial" w:hint="eastAsia"/>
          <w:kern w:val="0"/>
          <w:sz w:val="24"/>
          <w:szCs w:val="24"/>
        </w:rPr>
        <w:lastRenderedPageBreak/>
        <w:t>行长、广发银行沈阳直属支行行长助理、副行长、行长兼党委书记、广发银行沈阳分行行长兼党委书记、广发银行深圳分行行长兼党委书记、富荣基金管理有限公司董事长。现任富荣基金管理有限公司董事、总经理、首席信息官。</w:t>
      </w:r>
    </w:p>
    <w:p w14:paraId="66377CF2" w14:textId="77777777" w:rsidR="00B51DEA" w:rsidRDefault="00000000">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赵宏伟先生，董事，对外经济贸易大学硕士</w:t>
      </w:r>
      <w:r>
        <w:rPr>
          <w:rFonts w:asciiTheme="minorEastAsia" w:hAnsiTheme="minorEastAsia" w:cs="Arial" w:hint="eastAsia"/>
          <w:kern w:val="0"/>
          <w:sz w:val="24"/>
          <w:szCs w:val="24"/>
        </w:rPr>
        <w:t>研究生</w:t>
      </w:r>
      <w:r>
        <w:rPr>
          <w:rFonts w:asciiTheme="minorEastAsia" w:hAnsiTheme="minorEastAsia" w:cs="Arial"/>
          <w:kern w:val="0"/>
          <w:sz w:val="24"/>
          <w:szCs w:val="24"/>
        </w:rPr>
        <w:t>。历任北京大成律师事务所证券律师、当代北方（北京）投资有限公司总裁、黑龙江北美工业大麻科技有限公司总裁，广州产业投资基金管理有限公司风险管理部总经理、法</w:t>
      </w:r>
      <w:proofErr w:type="gramStart"/>
      <w:r>
        <w:rPr>
          <w:rFonts w:asciiTheme="minorEastAsia" w:hAnsiTheme="minorEastAsia" w:cs="Arial"/>
          <w:kern w:val="0"/>
          <w:sz w:val="24"/>
          <w:szCs w:val="24"/>
        </w:rPr>
        <w:t>务风控部</w:t>
      </w:r>
      <w:proofErr w:type="gramEnd"/>
      <w:r>
        <w:rPr>
          <w:rFonts w:asciiTheme="minorEastAsia" w:hAnsiTheme="minorEastAsia" w:cs="Arial"/>
          <w:kern w:val="0"/>
          <w:sz w:val="24"/>
          <w:szCs w:val="24"/>
        </w:rPr>
        <w:t>总经理，</w:t>
      </w:r>
      <w:r>
        <w:rPr>
          <w:rFonts w:asciiTheme="minorEastAsia" w:hAnsiTheme="minorEastAsia" w:cs="Arial" w:hint="eastAsia"/>
          <w:kern w:val="0"/>
          <w:sz w:val="24"/>
          <w:szCs w:val="24"/>
        </w:rPr>
        <w:t>广州产业投资基金管理有限公司投资管理部总经理，广州基金国际股权投资基金管理有限公司党支部副书记、总经理。</w:t>
      </w:r>
      <w:proofErr w:type="gramStart"/>
      <w:r>
        <w:rPr>
          <w:rFonts w:asciiTheme="minorEastAsia" w:hAnsiTheme="minorEastAsia" w:cs="Arial" w:hint="eastAsia"/>
          <w:kern w:val="0"/>
          <w:sz w:val="24"/>
          <w:szCs w:val="24"/>
        </w:rPr>
        <w:t>现任穗甬控股</w:t>
      </w:r>
      <w:proofErr w:type="gramEnd"/>
      <w:r>
        <w:rPr>
          <w:rFonts w:asciiTheme="minorEastAsia" w:hAnsiTheme="minorEastAsia" w:cs="Arial" w:hint="eastAsia"/>
          <w:kern w:val="0"/>
          <w:sz w:val="24"/>
          <w:szCs w:val="24"/>
        </w:rPr>
        <w:t>有限公司常务副总经理，黑龙江国瑞金融资产管理有限公司董事，富荣基金管理有限公司董事。</w:t>
      </w:r>
    </w:p>
    <w:p w14:paraId="6E680673" w14:textId="77777777" w:rsidR="00B51DEA" w:rsidRDefault="00000000">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郭涛先生，董事，上海交通大学高级管理人员工商管理专业硕士。现任</w:t>
      </w:r>
      <w:proofErr w:type="gramStart"/>
      <w:r>
        <w:rPr>
          <w:rFonts w:asciiTheme="minorEastAsia" w:hAnsiTheme="minorEastAsia" w:cs="Arial" w:hint="eastAsia"/>
          <w:kern w:val="0"/>
          <w:sz w:val="24"/>
          <w:szCs w:val="24"/>
        </w:rPr>
        <w:t>深圳市亿尔德</w:t>
      </w:r>
      <w:proofErr w:type="gramEnd"/>
      <w:r>
        <w:rPr>
          <w:rFonts w:asciiTheme="minorEastAsia" w:hAnsiTheme="minorEastAsia" w:cs="Arial" w:hint="eastAsia"/>
          <w:kern w:val="0"/>
          <w:sz w:val="24"/>
          <w:szCs w:val="24"/>
        </w:rPr>
        <w:t>投资有限公司总经理、执行董事、法定代表人；</w:t>
      </w:r>
      <w:proofErr w:type="gramStart"/>
      <w:r>
        <w:rPr>
          <w:rFonts w:asciiTheme="minorEastAsia" w:hAnsiTheme="minorEastAsia" w:cs="Arial" w:hint="eastAsia"/>
          <w:kern w:val="0"/>
          <w:sz w:val="24"/>
          <w:szCs w:val="24"/>
        </w:rPr>
        <w:t>深圳市盈投荣达</w:t>
      </w:r>
      <w:proofErr w:type="gramEnd"/>
      <w:r>
        <w:rPr>
          <w:rFonts w:asciiTheme="minorEastAsia" w:hAnsiTheme="minorEastAsia" w:cs="Arial" w:hint="eastAsia"/>
          <w:kern w:val="0"/>
          <w:sz w:val="24"/>
          <w:szCs w:val="24"/>
        </w:rPr>
        <w:t>科技有限公司董事长、总经理、法定代表人；深圳市嘉年印</w:t>
      </w:r>
      <w:proofErr w:type="gramStart"/>
      <w:r>
        <w:rPr>
          <w:rFonts w:asciiTheme="minorEastAsia" w:hAnsiTheme="minorEastAsia" w:cs="Arial" w:hint="eastAsia"/>
          <w:kern w:val="0"/>
          <w:sz w:val="24"/>
          <w:szCs w:val="24"/>
        </w:rPr>
        <w:t>务</w:t>
      </w:r>
      <w:proofErr w:type="gramEnd"/>
      <w:r>
        <w:rPr>
          <w:rFonts w:asciiTheme="minorEastAsia" w:hAnsiTheme="minorEastAsia" w:cs="Arial" w:hint="eastAsia"/>
          <w:kern w:val="0"/>
          <w:sz w:val="24"/>
          <w:szCs w:val="24"/>
        </w:rPr>
        <w:t>有限公司董事；深圳市盈实发展有限公司董事长、经理、法定代表人；深圳市</w:t>
      </w:r>
      <w:proofErr w:type="gramStart"/>
      <w:r>
        <w:rPr>
          <w:rFonts w:asciiTheme="minorEastAsia" w:hAnsiTheme="minorEastAsia" w:cs="Arial" w:hint="eastAsia"/>
          <w:kern w:val="0"/>
          <w:sz w:val="24"/>
          <w:szCs w:val="24"/>
        </w:rPr>
        <w:t>盈致未来文创管理</w:t>
      </w:r>
      <w:proofErr w:type="gramEnd"/>
      <w:r>
        <w:rPr>
          <w:rFonts w:asciiTheme="minorEastAsia" w:hAnsiTheme="minorEastAsia" w:cs="Arial" w:hint="eastAsia"/>
          <w:kern w:val="0"/>
          <w:sz w:val="24"/>
          <w:szCs w:val="24"/>
        </w:rPr>
        <w:t>有限公司董事长、经理、法定代表人；深圳市益德置业有限公司总经理、董事；</w:t>
      </w:r>
      <w:proofErr w:type="gramStart"/>
      <w:r>
        <w:rPr>
          <w:rFonts w:asciiTheme="minorEastAsia" w:hAnsiTheme="minorEastAsia" w:cs="Arial" w:hint="eastAsia"/>
          <w:kern w:val="0"/>
          <w:sz w:val="24"/>
          <w:szCs w:val="24"/>
        </w:rPr>
        <w:t>盈投科技</w:t>
      </w:r>
      <w:proofErr w:type="gramEnd"/>
      <w:r>
        <w:rPr>
          <w:rFonts w:asciiTheme="minorEastAsia" w:hAnsiTheme="minorEastAsia" w:cs="Arial" w:hint="eastAsia"/>
          <w:kern w:val="0"/>
          <w:sz w:val="24"/>
          <w:szCs w:val="24"/>
        </w:rPr>
        <w:t>控股集团有限公司总经理、董事；深圳市铭嘉达信息咨询有限公司董事；乐百氏（广东）饮用水有限公司董事；深圳安吉尔饮水产业集团有限公司董事；</w:t>
      </w:r>
      <w:proofErr w:type="gramStart"/>
      <w:r>
        <w:rPr>
          <w:rFonts w:asciiTheme="minorEastAsia" w:hAnsiTheme="minorEastAsia" w:cs="Arial" w:hint="eastAsia"/>
          <w:kern w:val="0"/>
          <w:sz w:val="24"/>
          <w:szCs w:val="24"/>
        </w:rPr>
        <w:t>昊</w:t>
      </w:r>
      <w:proofErr w:type="gramEnd"/>
      <w:r>
        <w:rPr>
          <w:rFonts w:asciiTheme="minorEastAsia" w:hAnsiTheme="minorEastAsia" w:cs="Arial" w:hint="eastAsia"/>
          <w:kern w:val="0"/>
          <w:sz w:val="24"/>
          <w:szCs w:val="24"/>
        </w:rPr>
        <w:t>华化工科技集团股份有限公司董事；深圳嘉年实业股份有限公司董事；深圳市</w:t>
      </w:r>
      <w:proofErr w:type="gramStart"/>
      <w:r>
        <w:rPr>
          <w:rFonts w:asciiTheme="minorEastAsia" w:hAnsiTheme="minorEastAsia" w:cs="Arial" w:hint="eastAsia"/>
          <w:kern w:val="0"/>
          <w:sz w:val="24"/>
          <w:szCs w:val="24"/>
        </w:rPr>
        <w:t>盈投发展</w:t>
      </w:r>
      <w:proofErr w:type="gramEnd"/>
      <w:r>
        <w:rPr>
          <w:rFonts w:asciiTheme="minorEastAsia" w:hAnsiTheme="minorEastAsia" w:cs="Arial" w:hint="eastAsia"/>
          <w:kern w:val="0"/>
          <w:sz w:val="24"/>
          <w:szCs w:val="24"/>
        </w:rPr>
        <w:t>有限公司董事；绍兴安吉尔环境科技有限公司董事；深圳市银珠塑料制品有限公司董事；深圳市润丰不动产运营服务有限公司董事；深圳乐百</w:t>
      </w:r>
      <w:proofErr w:type="gramStart"/>
      <w:r>
        <w:rPr>
          <w:rFonts w:asciiTheme="minorEastAsia" w:hAnsiTheme="minorEastAsia" w:cs="Arial" w:hint="eastAsia"/>
          <w:kern w:val="0"/>
          <w:sz w:val="24"/>
          <w:szCs w:val="24"/>
        </w:rPr>
        <w:t>氏健康</w:t>
      </w:r>
      <w:proofErr w:type="gramEnd"/>
      <w:r>
        <w:rPr>
          <w:rFonts w:asciiTheme="minorEastAsia" w:hAnsiTheme="minorEastAsia" w:cs="Arial" w:hint="eastAsia"/>
          <w:kern w:val="0"/>
          <w:sz w:val="24"/>
          <w:szCs w:val="24"/>
        </w:rPr>
        <w:t>饮品集团有限责任公司董事；深圳市安吉尔饮水事业发展有限公司董事；深圳市益景德实业有限公司董事；乐百氏（成都）饮用水有限公司董事；乐百氏（广东）饮品有限公司董事；乐百氏（沈阳）饮品有限公司董事；深圳市乐百氏实业发展有限公司董事；乐百氏（广州）健康科技有限公司董事；深圳市</w:t>
      </w:r>
      <w:proofErr w:type="gramStart"/>
      <w:r>
        <w:rPr>
          <w:rFonts w:asciiTheme="minorEastAsia" w:hAnsiTheme="minorEastAsia" w:cs="Arial" w:hint="eastAsia"/>
          <w:kern w:val="0"/>
          <w:sz w:val="24"/>
          <w:szCs w:val="24"/>
        </w:rPr>
        <w:t>久猪电子</w:t>
      </w:r>
      <w:proofErr w:type="gramEnd"/>
      <w:r>
        <w:rPr>
          <w:rFonts w:asciiTheme="minorEastAsia" w:hAnsiTheme="minorEastAsia" w:cs="Arial" w:hint="eastAsia"/>
          <w:kern w:val="0"/>
          <w:sz w:val="24"/>
          <w:szCs w:val="24"/>
        </w:rPr>
        <w:t>有限公司监事；乐百氏（广东）桶装水发展有限公司董事；富荣基金管理有限公司董事。</w:t>
      </w:r>
    </w:p>
    <w:p w14:paraId="28AF5F47" w14:textId="77777777" w:rsidR="00B51DEA" w:rsidRDefault="00000000">
      <w:pPr>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张刚先生，独立董事，内蒙古大学民</w:t>
      </w:r>
      <w:proofErr w:type="gramStart"/>
      <w:r>
        <w:rPr>
          <w:rFonts w:asciiTheme="minorEastAsia" w:hAnsiTheme="minorEastAsia" w:cs="Arial" w:hint="eastAsia"/>
          <w:kern w:val="0"/>
          <w:sz w:val="24"/>
          <w:szCs w:val="24"/>
        </w:rPr>
        <w:t>商法学</w:t>
      </w:r>
      <w:proofErr w:type="gramEnd"/>
      <w:r>
        <w:rPr>
          <w:rFonts w:asciiTheme="minorEastAsia" w:hAnsiTheme="minorEastAsia" w:cs="Arial" w:hint="eastAsia"/>
          <w:kern w:val="0"/>
          <w:sz w:val="24"/>
          <w:szCs w:val="24"/>
        </w:rPr>
        <w:t>硕士研究生。曾任内蒙古大学教师、北京王玉梅律师事务所律师、北京建元律师事务所合伙人、宁夏中银绒业股份有限公司独立董事。现任北京大成律师事务所高级合伙人、富荣基金管理有限公司独立董事。</w:t>
      </w:r>
    </w:p>
    <w:p w14:paraId="5D36D2AD" w14:textId="77777777" w:rsidR="00B51DEA" w:rsidRDefault="00000000">
      <w:pPr>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曹吉云先生，独立董事，南开大学经济学博士，历任中国建设银行福建省泉州分行行员，中国建设银行福建省石狮市支行行员，南开大学博士后流动</w:t>
      </w:r>
      <w:proofErr w:type="gramStart"/>
      <w:r>
        <w:rPr>
          <w:rFonts w:asciiTheme="minorEastAsia" w:hAnsiTheme="minorEastAsia" w:cs="Arial" w:hint="eastAsia"/>
          <w:kern w:val="0"/>
          <w:sz w:val="24"/>
          <w:szCs w:val="24"/>
        </w:rPr>
        <w:t>站科研</w:t>
      </w:r>
      <w:proofErr w:type="gramEnd"/>
      <w:r>
        <w:rPr>
          <w:rFonts w:asciiTheme="minorEastAsia" w:hAnsiTheme="minorEastAsia" w:cs="Arial" w:hint="eastAsia"/>
          <w:kern w:val="0"/>
          <w:sz w:val="24"/>
          <w:szCs w:val="24"/>
        </w:rPr>
        <w:lastRenderedPageBreak/>
        <w:t>人员，南开大学经济学院讲师、副教授。现任南开大学经济学院教授，富荣基金管理有限公司独立董事。</w:t>
      </w:r>
    </w:p>
    <w:p w14:paraId="6D34B90B" w14:textId="77777777" w:rsidR="00B51DEA" w:rsidRDefault="00000000">
      <w:pPr>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郝华女士，独立董事，吉林大学产业经济学博士，历任长春税务学院经济信息管理系助教，长春税务学院经济模拟研究所助教、讲师，吉林财经大学吉林经济研究中心讲师、副教授。现任天津财经大学商学院副教授，富荣基金管理有限公司独立董事。</w:t>
      </w:r>
    </w:p>
    <w:p w14:paraId="6AE6F158" w14:textId="77777777" w:rsidR="00B51DEA" w:rsidRDefault="00000000">
      <w:pPr>
        <w:spacing w:line="360" w:lineRule="auto"/>
        <w:ind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2、监事会成员</w:t>
      </w:r>
    </w:p>
    <w:p w14:paraId="670204F5" w14:textId="77777777" w:rsidR="00B51DEA" w:rsidRDefault="00000000">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基金管理人不设监事会，设一名职工监事。</w:t>
      </w:r>
    </w:p>
    <w:p w14:paraId="61EAA524" w14:textId="77777777" w:rsidR="00B51DEA" w:rsidRDefault="00000000">
      <w:pPr>
        <w:spacing w:line="360" w:lineRule="auto"/>
        <w:ind w:firstLineChars="200" w:firstLine="480"/>
        <w:rPr>
          <w:rFonts w:asciiTheme="minorEastAsia" w:hAnsiTheme="minorEastAsia" w:hint="eastAsia"/>
          <w:color w:val="000000"/>
          <w:sz w:val="24"/>
          <w:szCs w:val="24"/>
        </w:rPr>
      </w:pPr>
      <w:r>
        <w:rPr>
          <w:rFonts w:asciiTheme="minorEastAsia" w:hAnsiTheme="minorEastAsia" w:cs="Arial" w:hint="eastAsia"/>
          <w:kern w:val="0"/>
          <w:sz w:val="24"/>
          <w:szCs w:val="24"/>
        </w:rPr>
        <w:t>魏丽红女士，职工监事，大专。现任富荣基金管理有限公司职工监事。</w:t>
      </w:r>
    </w:p>
    <w:p w14:paraId="01CE3577" w14:textId="77777777" w:rsidR="00B51DEA" w:rsidRDefault="00000000">
      <w:pPr>
        <w:spacing w:line="360" w:lineRule="auto"/>
        <w:ind w:firstLineChars="200" w:firstLine="480"/>
        <w:rPr>
          <w:rFonts w:asciiTheme="minorEastAsia" w:hAnsiTheme="minorEastAsia" w:cs="Arial" w:hint="eastAsia"/>
          <w:kern w:val="0"/>
          <w:sz w:val="24"/>
        </w:rPr>
      </w:pPr>
      <w:r>
        <w:rPr>
          <w:rFonts w:asciiTheme="minorEastAsia" w:hAnsiTheme="minorEastAsia" w:cs="Arial"/>
          <w:kern w:val="0"/>
          <w:sz w:val="24"/>
          <w:szCs w:val="24"/>
        </w:rPr>
        <w:t>3、高级管理人员</w:t>
      </w:r>
    </w:p>
    <w:p w14:paraId="5EE5D279" w14:textId="77777777" w:rsidR="00B51DEA" w:rsidRDefault="00000000">
      <w:pPr>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杨小舟先生，总经理、兼任首席信息官，东北财经大学博士研究生。历任交通银行沈阳分行国际部国际结算员、信贷科科长、中信银行沈阳皇姑支行副行长、广发银行南湖支行行长、广发银行沈阳直属支行行长助理、副行长、行长兼党委书记、广发银行沈阳分行行长兼党委书记、广发银行深圳分行行长兼党委书记、富荣基金管理有限公司董事长。现任富荣基金管理有限公司董事、总经理、首席信息官。</w:t>
      </w:r>
    </w:p>
    <w:p w14:paraId="31C8474C" w14:textId="77777777" w:rsidR="00B51DEA" w:rsidRDefault="00000000">
      <w:pPr>
        <w:adjustRightInd w:val="0"/>
        <w:snapToGrid w:val="0"/>
        <w:spacing w:line="360" w:lineRule="auto"/>
        <w:ind w:firstLineChars="200" w:firstLine="480"/>
        <w:rPr>
          <w:rFonts w:asciiTheme="minorEastAsia" w:hAnsiTheme="minorEastAsia" w:cs="Arial" w:hint="eastAsia"/>
          <w:kern w:val="0"/>
          <w:sz w:val="24"/>
        </w:rPr>
      </w:pPr>
      <w:r>
        <w:rPr>
          <w:rFonts w:asciiTheme="minorEastAsia" w:hAnsiTheme="minorEastAsia" w:cs="Arial" w:hint="eastAsia"/>
          <w:kern w:val="0"/>
          <w:sz w:val="24"/>
        </w:rPr>
        <w:t>史克新先生，副总经理，EMBA硕士。历任珠海会计师事务所注册会计师，君安证券有限公司审计师，北大方正投资有限公司副总经理，兴安证券东莞营业部总经理，深圳丽晶生物技术有限公司董事长，金元证券股份有限公司副监事长、审计部总经理，金元顺</w:t>
      </w:r>
      <w:proofErr w:type="gramStart"/>
      <w:r>
        <w:rPr>
          <w:rFonts w:asciiTheme="minorEastAsia" w:hAnsiTheme="minorEastAsia" w:cs="Arial" w:hint="eastAsia"/>
          <w:kern w:val="0"/>
          <w:sz w:val="24"/>
        </w:rPr>
        <w:t>安基金</w:t>
      </w:r>
      <w:proofErr w:type="gramEnd"/>
      <w:r>
        <w:rPr>
          <w:rFonts w:asciiTheme="minorEastAsia" w:hAnsiTheme="minorEastAsia" w:cs="Arial" w:hint="eastAsia"/>
          <w:kern w:val="0"/>
          <w:sz w:val="24"/>
        </w:rPr>
        <w:t>管理有限公司董事，金元证券股份有限公司经纪管理总部总经理，金元证券股份有限公司深圳分公司总经理，金元证券股份有限公司互联网创新专项办公室总经理等。现任富荣基金管理有限公司副总经理，兼任深圳分公司总经理。</w:t>
      </w:r>
    </w:p>
    <w:p w14:paraId="6B640932" w14:textId="77777777" w:rsidR="00B51DEA" w:rsidRDefault="00000000">
      <w:pPr>
        <w:adjustRightInd w:val="0"/>
        <w:snapToGrid w:val="0"/>
        <w:spacing w:line="360" w:lineRule="auto"/>
        <w:ind w:firstLineChars="200" w:firstLine="480"/>
        <w:rPr>
          <w:rFonts w:asciiTheme="minorEastAsia" w:hAnsiTheme="minorEastAsia" w:cs="Arial" w:hint="eastAsia"/>
          <w:kern w:val="0"/>
          <w:sz w:val="24"/>
        </w:rPr>
      </w:pPr>
      <w:r>
        <w:rPr>
          <w:rFonts w:asciiTheme="minorEastAsia" w:hAnsiTheme="minorEastAsia" w:cs="Arial" w:hint="eastAsia"/>
          <w:kern w:val="0"/>
          <w:sz w:val="24"/>
        </w:rPr>
        <w:t>邱张斌先生，督察长，西安交通大学工商管理硕士。历任深圳中天会计师事务所审计员，安永会计师事务所审计经理，银华基金管理有限公司监察稽核主管，大成基金管理有限公司监察稽核部执行总监，大成创新资本管理有限公司副总经理兼监察稽核与风险管理部总监，前海联合基金管理有限公司督察长，中天国富证券有限公司总裁助理兼法律合</w:t>
      </w:r>
      <w:proofErr w:type="gramStart"/>
      <w:r>
        <w:rPr>
          <w:rFonts w:asciiTheme="minorEastAsia" w:hAnsiTheme="minorEastAsia" w:cs="Arial" w:hint="eastAsia"/>
          <w:kern w:val="0"/>
          <w:sz w:val="24"/>
        </w:rPr>
        <w:t>规</w:t>
      </w:r>
      <w:proofErr w:type="gramEnd"/>
      <w:r>
        <w:rPr>
          <w:rFonts w:asciiTheme="minorEastAsia" w:hAnsiTheme="minorEastAsia" w:cs="Arial" w:hint="eastAsia"/>
          <w:kern w:val="0"/>
          <w:sz w:val="24"/>
        </w:rPr>
        <w:t>部总经理。现任富荣基金管理有限公司督察长。</w:t>
      </w:r>
    </w:p>
    <w:p w14:paraId="77C1B427" w14:textId="77777777" w:rsidR="00B51DEA" w:rsidRDefault="00000000">
      <w:pPr>
        <w:spacing w:line="360" w:lineRule="auto"/>
        <w:ind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郑宇光先生，总经理助理，</w:t>
      </w:r>
      <w:r>
        <w:rPr>
          <w:rFonts w:asciiTheme="minorEastAsia" w:hAnsiTheme="minorEastAsia" w:cs="Arial" w:hint="eastAsia"/>
          <w:kern w:val="0"/>
          <w:sz w:val="24"/>
          <w:szCs w:val="24"/>
        </w:rPr>
        <w:t>上海交通大学MBA硕士。历任平安资产管理有限责任公司交易部/投资管理部经理，太平资产管理有限责任公司固定收益部投资</w:t>
      </w:r>
      <w:r>
        <w:rPr>
          <w:rFonts w:asciiTheme="minorEastAsia" w:hAnsiTheme="minorEastAsia" w:cs="Arial" w:hint="eastAsia"/>
          <w:kern w:val="0"/>
          <w:sz w:val="24"/>
          <w:szCs w:val="24"/>
        </w:rPr>
        <w:lastRenderedPageBreak/>
        <w:t>经理，上投摩根基金管理有限公司专户管理部投资经理，中</w:t>
      </w:r>
      <w:proofErr w:type="gramStart"/>
      <w:r>
        <w:rPr>
          <w:rFonts w:asciiTheme="minorEastAsia" w:hAnsiTheme="minorEastAsia" w:cs="Arial" w:hint="eastAsia"/>
          <w:kern w:val="0"/>
          <w:sz w:val="24"/>
          <w:szCs w:val="24"/>
        </w:rPr>
        <w:t>信保诚基金</w:t>
      </w:r>
      <w:proofErr w:type="gramEnd"/>
      <w:r>
        <w:rPr>
          <w:rFonts w:asciiTheme="minorEastAsia" w:hAnsiTheme="minorEastAsia" w:cs="Arial" w:hint="eastAsia"/>
          <w:kern w:val="0"/>
          <w:sz w:val="24"/>
          <w:szCs w:val="24"/>
        </w:rPr>
        <w:t>管理有限公司固定收益部投资经理、总监助理，长江证券资产管理有限责任公司投资经理，上海勤远投资管理中心（有限合伙）量化研究总监基金经理，</w:t>
      </w:r>
      <w:proofErr w:type="gramStart"/>
      <w:r>
        <w:rPr>
          <w:rFonts w:asciiTheme="minorEastAsia" w:hAnsiTheme="minorEastAsia" w:cs="Arial" w:hint="eastAsia"/>
          <w:kern w:val="0"/>
          <w:sz w:val="24"/>
          <w:szCs w:val="24"/>
        </w:rPr>
        <w:t>泰信基金</w:t>
      </w:r>
      <w:proofErr w:type="gramEnd"/>
      <w:r>
        <w:rPr>
          <w:rFonts w:asciiTheme="minorEastAsia" w:hAnsiTheme="minorEastAsia" w:cs="Arial" w:hint="eastAsia"/>
          <w:kern w:val="0"/>
          <w:sz w:val="24"/>
          <w:szCs w:val="24"/>
        </w:rPr>
        <w:t>管理有限公司专户投资部副总监，</w:t>
      </w:r>
      <w:proofErr w:type="gramStart"/>
      <w:r>
        <w:rPr>
          <w:rFonts w:asciiTheme="minorEastAsia" w:hAnsiTheme="minorEastAsia" w:cs="Arial" w:hint="eastAsia"/>
          <w:kern w:val="0"/>
          <w:sz w:val="24"/>
          <w:szCs w:val="24"/>
        </w:rPr>
        <w:t>固收投资部基金</w:t>
      </w:r>
      <w:proofErr w:type="gramEnd"/>
      <w:r>
        <w:rPr>
          <w:rFonts w:asciiTheme="minorEastAsia" w:hAnsiTheme="minorEastAsia" w:cs="Arial" w:hint="eastAsia"/>
          <w:kern w:val="0"/>
          <w:sz w:val="24"/>
          <w:szCs w:val="24"/>
        </w:rPr>
        <w:t>经理、总监。现任富荣基金管理有限公司总经理助理、基金经理。</w:t>
      </w:r>
    </w:p>
    <w:p w14:paraId="5D293912" w14:textId="77777777" w:rsidR="00B51DEA" w:rsidRDefault="00000000">
      <w:pPr>
        <w:spacing w:line="360" w:lineRule="auto"/>
        <w:ind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赵睿杨女士，总经理助理，</w:t>
      </w:r>
      <w:r>
        <w:rPr>
          <w:rFonts w:asciiTheme="minorEastAsia" w:hAnsiTheme="minorEastAsia" w:cs="Arial" w:hint="eastAsia"/>
          <w:kern w:val="0"/>
          <w:sz w:val="24"/>
          <w:szCs w:val="24"/>
        </w:rPr>
        <w:t>对外经济贸易大学会计学硕士研究生。历任合生创展集团有限公司集团财务与投资中心上市核算管理师、投资分析副经理，</w:t>
      </w:r>
      <w:proofErr w:type="gramStart"/>
      <w:r>
        <w:rPr>
          <w:rFonts w:asciiTheme="minorEastAsia" w:hAnsiTheme="minorEastAsia" w:cs="Arial" w:hint="eastAsia"/>
          <w:kern w:val="0"/>
          <w:sz w:val="24"/>
          <w:szCs w:val="24"/>
        </w:rPr>
        <w:t>慧富恒</w:t>
      </w:r>
      <w:proofErr w:type="gramEnd"/>
      <w:r>
        <w:rPr>
          <w:rFonts w:asciiTheme="minorEastAsia" w:hAnsiTheme="minorEastAsia" w:cs="Arial" w:hint="eastAsia"/>
          <w:kern w:val="0"/>
          <w:sz w:val="24"/>
          <w:szCs w:val="24"/>
        </w:rPr>
        <w:t>泰（北京）基金管理有限公司投融资一部总经理，北信瑞丰基金管理有限公司市场部高级经理、市场部总监助理、渠道部副总监、渠道部总监、专</w:t>
      </w:r>
      <w:proofErr w:type="gramStart"/>
      <w:r>
        <w:rPr>
          <w:rFonts w:asciiTheme="minorEastAsia" w:hAnsiTheme="minorEastAsia" w:cs="Arial" w:hint="eastAsia"/>
          <w:kern w:val="0"/>
          <w:sz w:val="24"/>
          <w:szCs w:val="24"/>
        </w:rPr>
        <w:t>户机构</w:t>
      </w:r>
      <w:proofErr w:type="gramEnd"/>
      <w:r>
        <w:rPr>
          <w:rFonts w:asciiTheme="minorEastAsia" w:hAnsiTheme="minorEastAsia" w:cs="Arial" w:hint="eastAsia"/>
          <w:kern w:val="0"/>
          <w:sz w:val="24"/>
          <w:szCs w:val="24"/>
        </w:rPr>
        <w:t>部总监、市场总监、公司总经理助理。现任富荣基金管理有限公司总经理助理，兼任北京分公司总经理。</w:t>
      </w:r>
    </w:p>
    <w:p w14:paraId="117F5FF4" w14:textId="77777777" w:rsidR="00B51DEA" w:rsidRDefault="00000000">
      <w:pPr>
        <w:spacing w:line="360" w:lineRule="auto"/>
        <w:ind w:firstLineChars="200" w:firstLine="480"/>
        <w:rPr>
          <w:rFonts w:asciiTheme="minorEastAsia" w:hAnsiTheme="minorEastAsia" w:hint="eastAsia"/>
          <w:color w:val="000000"/>
          <w:kern w:val="0"/>
          <w:sz w:val="24"/>
          <w:szCs w:val="24"/>
        </w:rPr>
      </w:pPr>
      <w:r>
        <w:rPr>
          <w:rFonts w:asciiTheme="minorEastAsia" w:hAnsiTheme="minorEastAsia"/>
          <w:color w:val="000000"/>
          <w:kern w:val="0"/>
          <w:sz w:val="24"/>
          <w:szCs w:val="24"/>
        </w:rPr>
        <w:t>4、本</w:t>
      </w:r>
      <w:proofErr w:type="gramStart"/>
      <w:r>
        <w:rPr>
          <w:rFonts w:asciiTheme="minorEastAsia" w:hAnsiTheme="minorEastAsia" w:hint="eastAsia"/>
          <w:color w:val="000000"/>
          <w:kern w:val="0"/>
          <w:sz w:val="24"/>
          <w:szCs w:val="24"/>
        </w:rPr>
        <w:t>基金基金</w:t>
      </w:r>
      <w:proofErr w:type="gramEnd"/>
      <w:r>
        <w:rPr>
          <w:rFonts w:asciiTheme="minorEastAsia" w:hAnsiTheme="minorEastAsia" w:hint="eastAsia"/>
          <w:color w:val="000000"/>
          <w:kern w:val="0"/>
          <w:sz w:val="24"/>
          <w:szCs w:val="24"/>
        </w:rPr>
        <w:t>经理</w:t>
      </w:r>
    </w:p>
    <w:p w14:paraId="729B426C" w14:textId="77777777" w:rsidR="00B51DEA" w:rsidRDefault="00000000">
      <w:pPr>
        <w:spacing w:line="360" w:lineRule="auto"/>
        <w:ind w:firstLineChars="200" w:firstLine="480"/>
        <w:rPr>
          <w:sz w:val="22"/>
        </w:rPr>
      </w:pPr>
      <w:r>
        <w:rPr>
          <w:rFonts w:asciiTheme="minorEastAsia" w:hAnsiTheme="minorEastAsia" w:hint="eastAsia"/>
          <w:color w:val="000000"/>
          <w:kern w:val="0"/>
          <w:sz w:val="24"/>
          <w:szCs w:val="24"/>
        </w:rPr>
        <w:t>陈政龙先生，</w:t>
      </w:r>
      <w:r>
        <w:rPr>
          <w:rFonts w:hint="eastAsia"/>
          <w:sz w:val="24"/>
        </w:rPr>
        <w:t>新加坡南洋理工大学金融硕士，</w:t>
      </w:r>
      <w:r>
        <w:rPr>
          <w:sz w:val="24"/>
        </w:rPr>
        <w:t>CFA</w:t>
      </w:r>
      <w:r>
        <w:rPr>
          <w:rFonts w:hint="eastAsia"/>
          <w:sz w:val="24"/>
        </w:rPr>
        <w:t>、</w:t>
      </w:r>
      <w:r>
        <w:rPr>
          <w:sz w:val="24"/>
        </w:rPr>
        <w:t>FRM</w:t>
      </w:r>
      <w:r>
        <w:rPr>
          <w:rFonts w:hint="eastAsia"/>
          <w:sz w:val="24"/>
        </w:rPr>
        <w:t>持证人。曾任职于中国平安人寿保险股份有限公司从事投资风险管理工作，后于生命保险资产管理有限公司、平安证券股份有限公司从事信用研究工作。</w:t>
      </w:r>
      <w:r>
        <w:rPr>
          <w:sz w:val="24"/>
        </w:rPr>
        <w:t>2022</w:t>
      </w:r>
      <w:r>
        <w:rPr>
          <w:rFonts w:hint="eastAsia"/>
          <w:sz w:val="24"/>
        </w:rPr>
        <w:t>年</w:t>
      </w:r>
      <w:r>
        <w:rPr>
          <w:sz w:val="24"/>
        </w:rPr>
        <w:t>12</w:t>
      </w:r>
      <w:r>
        <w:rPr>
          <w:rFonts w:hint="eastAsia"/>
          <w:sz w:val="24"/>
        </w:rPr>
        <w:t>月加入富荣基金管理有限公司，</w:t>
      </w:r>
      <w:r>
        <w:rPr>
          <w:sz w:val="24"/>
        </w:rPr>
        <w:t>曾任</w:t>
      </w:r>
      <w:r>
        <w:rPr>
          <w:rFonts w:hint="eastAsia"/>
          <w:sz w:val="24"/>
        </w:rPr>
        <w:t>富荣基金管理有限公司信评研究员，现任富荣</w:t>
      </w:r>
      <w:r>
        <w:rPr>
          <w:sz w:val="24"/>
        </w:rPr>
        <w:t>价值精选灵活配置混合型发起式证券投资</w:t>
      </w:r>
      <w:proofErr w:type="gramStart"/>
      <w:r>
        <w:rPr>
          <w:rFonts w:hint="eastAsia"/>
          <w:sz w:val="24"/>
        </w:rPr>
        <w:t>基金基金</w:t>
      </w:r>
      <w:proofErr w:type="gramEnd"/>
      <w:r>
        <w:rPr>
          <w:rFonts w:hint="eastAsia"/>
          <w:sz w:val="24"/>
        </w:rPr>
        <w:t>经理（自</w:t>
      </w:r>
      <w:r>
        <w:rPr>
          <w:rFonts w:hint="eastAsia"/>
          <w:sz w:val="24"/>
        </w:rPr>
        <w:t>2024</w:t>
      </w:r>
      <w:r>
        <w:rPr>
          <w:rFonts w:hint="eastAsia"/>
          <w:sz w:val="24"/>
        </w:rPr>
        <w:t>年</w:t>
      </w:r>
      <w:r>
        <w:rPr>
          <w:rFonts w:hint="eastAsia"/>
          <w:sz w:val="24"/>
        </w:rPr>
        <w:t>12</w:t>
      </w:r>
      <w:r>
        <w:rPr>
          <w:rFonts w:hint="eastAsia"/>
          <w:sz w:val="24"/>
        </w:rPr>
        <w:t>月</w:t>
      </w:r>
      <w:r>
        <w:rPr>
          <w:rFonts w:hint="eastAsia"/>
          <w:sz w:val="24"/>
        </w:rPr>
        <w:t>10</w:t>
      </w:r>
      <w:r>
        <w:rPr>
          <w:rFonts w:hint="eastAsia"/>
          <w:sz w:val="24"/>
        </w:rPr>
        <w:t>日起任职）</w:t>
      </w:r>
      <w:r>
        <w:rPr>
          <w:rFonts w:hint="eastAsia"/>
          <w:sz w:val="22"/>
        </w:rPr>
        <w:t>。</w:t>
      </w:r>
    </w:p>
    <w:p w14:paraId="49DFABCB" w14:textId="77777777" w:rsidR="00B51DEA" w:rsidRDefault="00000000">
      <w:pPr>
        <w:spacing w:line="360" w:lineRule="auto"/>
        <w:ind w:firstLineChars="200" w:firstLine="480"/>
        <w:rPr>
          <w:sz w:val="24"/>
        </w:rPr>
      </w:pPr>
      <w:r>
        <w:rPr>
          <w:rFonts w:asciiTheme="minorEastAsia" w:hAnsiTheme="minorEastAsia" w:hint="eastAsia"/>
          <w:color w:val="000000"/>
          <w:kern w:val="0"/>
          <w:sz w:val="24"/>
          <w:szCs w:val="24"/>
        </w:rPr>
        <w:t>孙哲先生，</w:t>
      </w:r>
      <w:r>
        <w:rPr>
          <w:sz w:val="24"/>
        </w:rPr>
        <w:t>财政部财政科学研究所</w:t>
      </w:r>
      <w:r>
        <w:rPr>
          <w:rFonts w:hint="eastAsia"/>
          <w:sz w:val="24"/>
        </w:rPr>
        <w:t>财政学硕士。</w:t>
      </w:r>
      <w:r>
        <w:rPr>
          <w:sz w:val="24"/>
        </w:rPr>
        <w:t>曾</w:t>
      </w:r>
      <w:proofErr w:type="gramStart"/>
      <w:r>
        <w:rPr>
          <w:sz w:val="24"/>
        </w:rPr>
        <w:t>担任日信证券</w:t>
      </w:r>
      <w:proofErr w:type="gramEnd"/>
      <w:r>
        <w:rPr>
          <w:sz w:val="24"/>
        </w:rPr>
        <w:t>有限责任公司交易员、厦门银行股份有限公司交易员、第一创业证券股份有限公司投资经理助理、新疆汇和银行债券交易主管。</w:t>
      </w:r>
      <w:r>
        <w:rPr>
          <w:sz w:val="24"/>
        </w:rPr>
        <w:t>2023</w:t>
      </w:r>
      <w:r>
        <w:rPr>
          <w:sz w:val="24"/>
        </w:rPr>
        <w:t>年</w:t>
      </w:r>
      <w:r>
        <w:rPr>
          <w:sz w:val="24"/>
        </w:rPr>
        <w:t>7</w:t>
      </w:r>
      <w:r>
        <w:rPr>
          <w:sz w:val="24"/>
        </w:rPr>
        <w:t>月加入富荣基金管理有限公司，曾任富荣基金管理有限公司投资经理，现任</w:t>
      </w:r>
      <w:r>
        <w:rPr>
          <w:rFonts w:hint="eastAsia"/>
          <w:sz w:val="24"/>
        </w:rPr>
        <w:t>富荣</w:t>
      </w:r>
      <w:r>
        <w:rPr>
          <w:sz w:val="24"/>
        </w:rPr>
        <w:t>价值精选灵活配置混合型发起式证券投资</w:t>
      </w:r>
      <w:proofErr w:type="gramStart"/>
      <w:r>
        <w:rPr>
          <w:rFonts w:hint="eastAsia"/>
          <w:sz w:val="24"/>
        </w:rPr>
        <w:t>基金</w:t>
      </w:r>
      <w:r>
        <w:rPr>
          <w:sz w:val="24"/>
        </w:rPr>
        <w:t>基金</w:t>
      </w:r>
      <w:proofErr w:type="gramEnd"/>
      <w:r>
        <w:rPr>
          <w:sz w:val="24"/>
        </w:rPr>
        <w:t>经理</w:t>
      </w:r>
      <w:r>
        <w:rPr>
          <w:rFonts w:hint="eastAsia"/>
          <w:sz w:val="24"/>
        </w:rPr>
        <w:t>（自</w:t>
      </w:r>
      <w:r>
        <w:rPr>
          <w:rFonts w:hint="eastAsia"/>
          <w:sz w:val="24"/>
        </w:rPr>
        <w:t>2026</w:t>
      </w:r>
      <w:r>
        <w:rPr>
          <w:rFonts w:hint="eastAsia"/>
          <w:sz w:val="24"/>
        </w:rPr>
        <w:t>年</w:t>
      </w:r>
      <w:r>
        <w:rPr>
          <w:rFonts w:hint="eastAsia"/>
          <w:sz w:val="24"/>
        </w:rPr>
        <w:t>10</w:t>
      </w:r>
      <w:r>
        <w:rPr>
          <w:rFonts w:hint="eastAsia"/>
          <w:sz w:val="24"/>
        </w:rPr>
        <w:t>月</w:t>
      </w:r>
      <w:r>
        <w:rPr>
          <w:rFonts w:hint="eastAsia"/>
          <w:sz w:val="24"/>
        </w:rPr>
        <w:t>14</w:t>
      </w:r>
      <w:r>
        <w:rPr>
          <w:rFonts w:hint="eastAsia"/>
          <w:sz w:val="24"/>
        </w:rPr>
        <w:t>日起任职）</w:t>
      </w:r>
      <w:r>
        <w:rPr>
          <w:sz w:val="24"/>
        </w:rPr>
        <w:t>。</w:t>
      </w:r>
    </w:p>
    <w:p w14:paraId="49501D39" w14:textId="77777777" w:rsidR="00B51DEA" w:rsidRDefault="00000000">
      <w:pPr>
        <w:spacing w:line="360" w:lineRule="auto"/>
        <w:ind w:firstLineChars="200" w:firstLine="480"/>
        <w:rPr>
          <w:rFonts w:asciiTheme="minorEastAsia" w:hAnsiTheme="minorEastAsia" w:hint="eastAsia"/>
          <w:color w:val="000000"/>
          <w:kern w:val="0"/>
          <w:sz w:val="24"/>
          <w:szCs w:val="24"/>
        </w:rPr>
      </w:pPr>
      <w:r>
        <w:rPr>
          <w:rFonts w:asciiTheme="minorEastAsia" w:hAnsiTheme="minorEastAsia" w:hint="eastAsia"/>
          <w:color w:val="000000"/>
          <w:kern w:val="0"/>
          <w:sz w:val="24"/>
          <w:szCs w:val="24"/>
        </w:rPr>
        <w:t>历任基金经理：胡长虹（自2018年3月16日至2018年11月26日）、邓宇翔（自2018年11月6日至2020年10月23日）、郎骋成（自2020年10月23日至2021年11月12日）、王丹（自2020年5月12日至2021年11月12日）、黄祥斌（自2021年11月12日至2023年7月31日）、李黄海（</w:t>
      </w:r>
      <w:r>
        <w:rPr>
          <w:rFonts w:asciiTheme="minorEastAsia" w:hAnsiTheme="minorEastAsia" w:cs="Arial" w:hint="eastAsia"/>
          <w:kern w:val="0"/>
          <w:sz w:val="24"/>
          <w:szCs w:val="24"/>
        </w:rPr>
        <w:t>自2023年7月31日至2025年10月30日</w:t>
      </w:r>
      <w:r>
        <w:rPr>
          <w:rFonts w:asciiTheme="minorEastAsia" w:hAnsiTheme="minorEastAsia" w:hint="eastAsia"/>
          <w:color w:val="000000"/>
          <w:kern w:val="0"/>
          <w:sz w:val="24"/>
          <w:szCs w:val="24"/>
        </w:rPr>
        <w:t>）。</w:t>
      </w:r>
    </w:p>
    <w:p w14:paraId="217DF471" w14:textId="77777777" w:rsidR="00B51DEA" w:rsidRDefault="00000000">
      <w:pPr>
        <w:spacing w:line="360" w:lineRule="auto"/>
        <w:ind w:firstLineChars="200" w:firstLine="480"/>
        <w:rPr>
          <w:rFonts w:asciiTheme="minorEastAsia" w:hAnsiTheme="minorEastAsia" w:hint="eastAsia"/>
          <w:color w:val="000000"/>
          <w:kern w:val="0"/>
          <w:sz w:val="24"/>
          <w:szCs w:val="24"/>
        </w:rPr>
      </w:pPr>
      <w:r>
        <w:rPr>
          <w:rFonts w:asciiTheme="minorEastAsia" w:hAnsiTheme="minorEastAsia"/>
          <w:color w:val="000000"/>
          <w:kern w:val="0"/>
          <w:sz w:val="24"/>
          <w:szCs w:val="24"/>
        </w:rPr>
        <w:t>5、投资决策委员会成员的姓名、职务</w:t>
      </w:r>
    </w:p>
    <w:p w14:paraId="781759A1" w14:textId="77777777" w:rsidR="00B51DEA" w:rsidRDefault="00000000">
      <w:pPr>
        <w:spacing w:line="360" w:lineRule="auto"/>
        <w:ind w:firstLineChars="200" w:firstLine="480"/>
        <w:rPr>
          <w:rFonts w:asciiTheme="minorEastAsia" w:hAnsiTheme="minorEastAsia" w:hint="eastAsia"/>
          <w:sz w:val="24"/>
        </w:rPr>
      </w:pPr>
      <w:r>
        <w:rPr>
          <w:rFonts w:asciiTheme="minorEastAsia" w:hAnsiTheme="minorEastAsia" w:hint="eastAsia"/>
          <w:sz w:val="24"/>
        </w:rPr>
        <w:t>杨小舟先生，投资决策委员会主任委员、公司总经理、兼任首席信息官。</w:t>
      </w:r>
    </w:p>
    <w:p w14:paraId="32D679BD" w14:textId="77777777" w:rsidR="00B51DEA" w:rsidRDefault="00000000">
      <w:pPr>
        <w:spacing w:line="360" w:lineRule="auto"/>
        <w:ind w:firstLineChars="200" w:firstLine="480"/>
        <w:rPr>
          <w:rFonts w:asciiTheme="minorEastAsia" w:hAnsiTheme="minorEastAsia" w:hint="eastAsia"/>
          <w:sz w:val="24"/>
        </w:rPr>
      </w:pPr>
      <w:r>
        <w:rPr>
          <w:rFonts w:asciiTheme="minorEastAsia" w:hAnsiTheme="minorEastAsia" w:hint="eastAsia"/>
          <w:sz w:val="24"/>
        </w:rPr>
        <w:lastRenderedPageBreak/>
        <w:t>郑宇光先生，投资决策委员会委员、公司总经理助理</w:t>
      </w:r>
      <w:r>
        <w:rPr>
          <w:rFonts w:asciiTheme="minorEastAsia" w:hAnsiTheme="minorEastAsia" w:cs="Arial" w:hint="eastAsia"/>
          <w:kern w:val="0"/>
          <w:sz w:val="24"/>
          <w:szCs w:val="24"/>
        </w:rPr>
        <w:t>、基金经理</w:t>
      </w:r>
      <w:r>
        <w:rPr>
          <w:rFonts w:asciiTheme="minorEastAsia" w:hAnsiTheme="minorEastAsia" w:hint="eastAsia"/>
          <w:sz w:val="24"/>
        </w:rPr>
        <w:t>。</w:t>
      </w:r>
    </w:p>
    <w:p w14:paraId="69091210" w14:textId="77777777" w:rsidR="00B51DEA" w:rsidRDefault="00000000">
      <w:pPr>
        <w:spacing w:line="360" w:lineRule="auto"/>
        <w:ind w:firstLineChars="200" w:firstLine="480"/>
        <w:rPr>
          <w:rFonts w:asciiTheme="minorEastAsia" w:hAnsiTheme="minorEastAsia" w:hint="eastAsia"/>
          <w:color w:val="000000"/>
          <w:kern w:val="0"/>
          <w:sz w:val="24"/>
          <w:szCs w:val="24"/>
        </w:rPr>
      </w:pPr>
      <w:r>
        <w:rPr>
          <w:rFonts w:asciiTheme="minorEastAsia" w:hAnsiTheme="minorEastAsia" w:hint="eastAsia"/>
          <w:color w:val="000000"/>
          <w:kern w:val="0"/>
          <w:sz w:val="24"/>
          <w:szCs w:val="24"/>
        </w:rPr>
        <w:t>郎骋成先生，投资决策委员会委员、研究部总经理、</w:t>
      </w:r>
      <w:r>
        <w:rPr>
          <w:rFonts w:asciiTheme="minorEastAsia" w:hAnsiTheme="minorEastAsia" w:cs="Arial" w:hint="eastAsia"/>
          <w:kern w:val="0"/>
          <w:sz w:val="24"/>
          <w:szCs w:val="24"/>
        </w:rPr>
        <w:t>权益投资部总经理、专户投资经理、</w:t>
      </w:r>
      <w:r>
        <w:rPr>
          <w:rFonts w:asciiTheme="minorEastAsia" w:hAnsiTheme="minorEastAsia" w:hint="eastAsia"/>
          <w:color w:val="000000"/>
          <w:kern w:val="0"/>
          <w:sz w:val="24"/>
          <w:szCs w:val="24"/>
        </w:rPr>
        <w:t>基金经理。</w:t>
      </w:r>
    </w:p>
    <w:p w14:paraId="1C06D7D1" w14:textId="77777777" w:rsidR="00B51DEA" w:rsidRDefault="00000000">
      <w:pPr>
        <w:spacing w:line="360" w:lineRule="auto"/>
        <w:ind w:firstLineChars="200" w:firstLine="480"/>
        <w:rPr>
          <w:rFonts w:asciiTheme="minorEastAsia" w:hAnsiTheme="minorEastAsia" w:hint="eastAsia"/>
          <w:color w:val="000000"/>
          <w:kern w:val="0"/>
          <w:sz w:val="24"/>
          <w:szCs w:val="24"/>
        </w:rPr>
      </w:pPr>
      <w:r>
        <w:rPr>
          <w:rFonts w:asciiTheme="minorEastAsia" w:hAnsiTheme="minorEastAsia" w:hint="eastAsia"/>
          <w:color w:val="000000"/>
          <w:kern w:val="0"/>
          <w:sz w:val="24"/>
          <w:szCs w:val="24"/>
        </w:rPr>
        <w:t>吴敏先生，投资决策委员会委员、固定收益部总经理、基金经理。</w:t>
      </w:r>
    </w:p>
    <w:p w14:paraId="4D9224E6" w14:textId="77777777" w:rsidR="00B51DEA" w:rsidRDefault="00000000">
      <w:pPr>
        <w:spacing w:line="360" w:lineRule="auto"/>
        <w:ind w:firstLineChars="200" w:firstLine="480"/>
        <w:rPr>
          <w:rFonts w:asciiTheme="minorEastAsia" w:hAnsiTheme="minorEastAsia" w:hint="eastAsia"/>
          <w:color w:val="000000"/>
          <w:kern w:val="0"/>
          <w:sz w:val="24"/>
          <w:szCs w:val="24"/>
        </w:rPr>
      </w:pPr>
      <w:r>
        <w:rPr>
          <w:rFonts w:asciiTheme="minorEastAsia" w:hAnsiTheme="minorEastAsia" w:hint="eastAsia"/>
          <w:color w:val="000000"/>
          <w:kern w:val="0"/>
          <w:sz w:val="24"/>
          <w:szCs w:val="24"/>
        </w:rPr>
        <w:t>孟亚强先生，投资决策委员会委员、权益投资部副总经理、基金经理。</w:t>
      </w:r>
    </w:p>
    <w:p w14:paraId="7A9E5954" w14:textId="77777777" w:rsidR="00B51DEA" w:rsidRDefault="00000000">
      <w:pPr>
        <w:spacing w:line="360" w:lineRule="auto"/>
        <w:ind w:firstLineChars="200" w:firstLine="480"/>
        <w:rPr>
          <w:rFonts w:asciiTheme="minorEastAsia" w:hAnsiTheme="minorEastAsia" w:hint="eastAsia"/>
          <w:color w:val="000000"/>
          <w:kern w:val="0"/>
          <w:sz w:val="24"/>
          <w:szCs w:val="24"/>
        </w:rPr>
      </w:pPr>
      <w:r>
        <w:rPr>
          <w:rFonts w:asciiTheme="minorEastAsia" w:hAnsiTheme="minorEastAsia" w:hint="eastAsia"/>
          <w:color w:val="000000"/>
          <w:kern w:val="0"/>
          <w:sz w:val="24"/>
          <w:szCs w:val="24"/>
        </w:rPr>
        <w:t>李延峥先生，投资决策委员会委员、投资决策委员会秘书、</w:t>
      </w:r>
      <w:r>
        <w:rPr>
          <w:rFonts w:asciiTheme="minorEastAsia" w:hAnsiTheme="minorEastAsia" w:cs="Arial" w:hint="eastAsia"/>
          <w:kern w:val="0"/>
          <w:sz w:val="24"/>
          <w:szCs w:val="24"/>
        </w:rPr>
        <w:t>研究部总经理助理、</w:t>
      </w:r>
      <w:r>
        <w:rPr>
          <w:rFonts w:asciiTheme="minorEastAsia" w:hAnsiTheme="minorEastAsia" w:hint="eastAsia"/>
          <w:color w:val="000000"/>
          <w:kern w:val="0"/>
          <w:sz w:val="24"/>
          <w:szCs w:val="24"/>
        </w:rPr>
        <w:t>基金经理。</w:t>
      </w:r>
    </w:p>
    <w:p w14:paraId="522021DA" w14:textId="0EB37922" w:rsidR="00B51DEA" w:rsidRDefault="00000000" w:rsidP="00BD0A88">
      <w:pPr>
        <w:spacing w:line="360" w:lineRule="auto"/>
        <w:ind w:firstLineChars="200" w:firstLine="480"/>
        <w:rPr>
          <w:rFonts w:asciiTheme="minorEastAsia" w:hAnsiTheme="minorEastAsia" w:cs="Arial" w:hint="eastAsia"/>
          <w:sz w:val="24"/>
          <w:szCs w:val="24"/>
        </w:rPr>
      </w:pPr>
      <w:r>
        <w:rPr>
          <w:rFonts w:asciiTheme="minorEastAsia" w:hAnsiTheme="minorEastAsia"/>
          <w:color w:val="000000"/>
          <w:kern w:val="0"/>
          <w:sz w:val="24"/>
          <w:szCs w:val="24"/>
        </w:rPr>
        <w:t>6、上述人员之间不存在近亲属关系。</w:t>
      </w:r>
    </w:p>
    <w:p w14:paraId="35BF8DCD" w14:textId="77777777" w:rsidR="00B51DEA" w:rsidRDefault="00000000">
      <w:pPr>
        <w:tabs>
          <w:tab w:val="left" w:pos="3780"/>
        </w:tabs>
        <w:autoSpaceDE w:val="0"/>
        <w:autoSpaceDN w:val="0"/>
        <w:adjustRightInd w:val="0"/>
        <w:snapToGrid w:val="0"/>
        <w:spacing w:line="360" w:lineRule="auto"/>
        <w:ind w:firstLineChars="200" w:firstLine="482"/>
        <w:textAlignment w:val="bottom"/>
        <w:rPr>
          <w:rFonts w:asciiTheme="minorEastAsia" w:hAnsiTheme="minorEastAsia" w:cs="Arial" w:hint="eastAsia"/>
          <w:b/>
          <w:bCs/>
          <w:sz w:val="24"/>
          <w:szCs w:val="24"/>
        </w:rPr>
      </w:pPr>
      <w:r>
        <w:rPr>
          <w:rFonts w:asciiTheme="minorEastAsia" w:hAnsiTheme="minorEastAsia" w:cs="Arial" w:hint="eastAsia"/>
          <w:b/>
          <w:bCs/>
          <w:sz w:val="24"/>
          <w:szCs w:val="24"/>
        </w:rPr>
        <w:t>三、基金管理人的职责</w:t>
      </w:r>
    </w:p>
    <w:p w14:paraId="10AFB0A4" w14:textId="77777777" w:rsidR="00B51DEA" w:rsidRDefault="00000000">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1、依法募集资金，办理或者委托经中国证监会认定的其他机构代为办理基金份额的发售、申购、赎回和登记事宜；</w:t>
      </w:r>
    </w:p>
    <w:p w14:paraId="3F183BC6" w14:textId="77777777" w:rsidR="00B51DEA" w:rsidRDefault="00000000">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2、办理基金备案手续；</w:t>
      </w:r>
    </w:p>
    <w:p w14:paraId="1FB9FD9D" w14:textId="77777777" w:rsidR="00B51DEA" w:rsidRDefault="00000000">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3、自《基金合同》生效之日起，以诚实信用、谨慎勤勉的原则管理和运用基金财产；</w:t>
      </w:r>
    </w:p>
    <w:p w14:paraId="3D432BFA" w14:textId="77777777" w:rsidR="00B51DEA" w:rsidRDefault="00000000">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4、配备足够的具有专业资格的人员进行基金投资分析、决策，以专业化的经营方式管理和运作基金财产；</w:t>
      </w:r>
    </w:p>
    <w:p w14:paraId="54FAFBA6" w14:textId="77777777" w:rsidR="00B51DEA" w:rsidRDefault="00000000">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5、建立健全内部风险控制、监察与稽核、财务管理及人事管理等制度，保证所管理的基金财产和基金管理人的财产相互独立，对所管理的不同基金分别管理，分别记账，进行证券投资；</w:t>
      </w:r>
    </w:p>
    <w:p w14:paraId="3B94E360" w14:textId="77777777" w:rsidR="00B51DEA" w:rsidRDefault="00000000">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6、除依据《基金法》、《基金合同》及其他有关规定外，不得利用基金财产为自己及任何第三人</w:t>
      </w:r>
      <w:r>
        <w:rPr>
          <w:rFonts w:asciiTheme="minorEastAsia" w:hAnsiTheme="minorEastAsia" w:cs="Times New Roman" w:hint="eastAsia"/>
          <w:sz w:val="24"/>
          <w:szCs w:val="24"/>
        </w:rPr>
        <w:t>牟取利益，不得委托第三人运作基金财产；</w:t>
      </w:r>
    </w:p>
    <w:p w14:paraId="59E3AC12" w14:textId="77777777" w:rsidR="00B51DEA" w:rsidRDefault="00000000">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7、依法接受基金托管人的监督；</w:t>
      </w:r>
    </w:p>
    <w:p w14:paraId="0E4D1259" w14:textId="77777777" w:rsidR="00B51DEA" w:rsidRDefault="00000000">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8、采取适当合理的措施使计算基金份额认购、申购、赎回和注销价格的方法符合《基金合同》等法律文件的规定，按有关规定计算并公告</w:t>
      </w:r>
      <w:r>
        <w:rPr>
          <w:rFonts w:asciiTheme="minorEastAsia" w:hAnsiTheme="minorEastAsia" w:cs="Times New Roman" w:hint="eastAsia"/>
          <w:sz w:val="24"/>
          <w:szCs w:val="24"/>
        </w:rPr>
        <w:t>基金净值信息，确定基金份额申购、赎回对价，编制申购赎回清单；</w:t>
      </w:r>
    </w:p>
    <w:p w14:paraId="3DC591B6" w14:textId="77777777" w:rsidR="00B51DEA" w:rsidRDefault="00000000">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9、进行基金会计核算并编制基金财务会计报告；</w:t>
      </w:r>
    </w:p>
    <w:p w14:paraId="5F73C17E" w14:textId="77777777" w:rsidR="00B51DEA" w:rsidRDefault="00000000">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10、编制季度</w:t>
      </w:r>
      <w:r>
        <w:rPr>
          <w:rFonts w:asciiTheme="minorEastAsia" w:hAnsiTheme="minorEastAsia" w:cs="Times New Roman" w:hint="eastAsia"/>
          <w:sz w:val="24"/>
          <w:szCs w:val="24"/>
        </w:rPr>
        <w:t>报告、中期</w:t>
      </w:r>
      <w:r>
        <w:rPr>
          <w:rFonts w:asciiTheme="minorEastAsia" w:hAnsiTheme="minorEastAsia" w:cs="Times New Roman"/>
          <w:sz w:val="24"/>
          <w:szCs w:val="24"/>
        </w:rPr>
        <w:t>报告</w:t>
      </w:r>
      <w:r>
        <w:rPr>
          <w:rFonts w:asciiTheme="minorEastAsia" w:hAnsiTheme="minorEastAsia" w:cs="Times New Roman" w:hint="eastAsia"/>
          <w:sz w:val="24"/>
          <w:szCs w:val="24"/>
        </w:rPr>
        <w:t>和年度报告；</w:t>
      </w:r>
    </w:p>
    <w:p w14:paraId="76D2D876" w14:textId="77777777" w:rsidR="00B51DEA" w:rsidRDefault="00000000">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11、严格按照《基金法》、《基金合同》及其他有关规定，履行信息披露及报告义务；</w:t>
      </w:r>
    </w:p>
    <w:p w14:paraId="11C710F8" w14:textId="77777777" w:rsidR="00B51DEA" w:rsidRDefault="00000000">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lastRenderedPageBreak/>
        <w:t>12、保守基金商业秘密，不泄露基金投资计划、投资意向等。除《基金法》、《基金合同》及其他有关规定另有规定外，在基金信息公开披露前应予保密，不向他人泄露；</w:t>
      </w:r>
    </w:p>
    <w:p w14:paraId="1CE2B55D" w14:textId="77777777" w:rsidR="00B51DEA" w:rsidRDefault="00000000">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13、按《基金合同》的约定确定基金收益分配方案，及时向基金份额持有人分配基金收益；</w:t>
      </w:r>
    </w:p>
    <w:p w14:paraId="40547E43" w14:textId="77777777" w:rsidR="00B51DEA" w:rsidRDefault="00000000">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14、按规定受理申购与赎回申请，及时、足额支付赎回款项；</w:t>
      </w:r>
    </w:p>
    <w:p w14:paraId="047CA324" w14:textId="77777777" w:rsidR="00B51DEA" w:rsidRDefault="00000000">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15、依据《基金法》、《基金合同》及其他有关规定召集基金份额持有人大会或配合基金托管人、基金份额持有人依法召集基金份额持有人大会；</w:t>
      </w:r>
    </w:p>
    <w:p w14:paraId="3C8B448A" w14:textId="77777777" w:rsidR="00B51DEA" w:rsidRDefault="00000000">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16、按规定保存基金财产管理业务活动的会计账册、报表、记录和其他相关资料15年以上；</w:t>
      </w:r>
    </w:p>
    <w:p w14:paraId="45D13F45" w14:textId="77777777" w:rsidR="00B51DEA" w:rsidRDefault="00000000">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17、确保需要向基金投资者提供的各项文件或资料在规定时间发出，并且保证投资者能够按照《基金合同》规定的时间和方式，随时查阅到与基金有关的公</w:t>
      </w:r>
      <w:r>
        <w:rPr>
          <w:rFonts w:asciiTheme="minorEastAsia" w:hAnsiTheme="minorEastAsia" w:cs="Times New Roman" w:hint="eastAsia"/>
          <w:sz w:val="24"/>
          <w:szCs w:val="24"/>
        </w:rPr>
        <w:t>开资料，并在支付合理成本的条件下得到有关资料的复印件；</w:t>
      </w:r>
    </w:p>
    <w:p w14:paraId="07750B71" w14:textId="77777777" w:rsidR="00B51DEA" w:rsidRDefault="00000000">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18、组织并参加基金财产清算小组，参与基金财产的保管、清理、估价、变现和分配；</w:t>
      </w:r>
    </w:p>
    <w:p w14:paraId="3044AB91" w14:textId="77777777" w:rsidR="00B51DEA" w:rsidRDefault="00000000">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19、面临解散、依法被撤销或者被依法宣告破产时，及时报告中国证监会并通知基金托管人；</w:t>
      </w:r>
    </w:p>
    <w:p w14:paraId="5576B862" w14:textId="77777777" w:rsidR="00B51DEA" w:rsidRDefault="00000000">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20、因违反《基金合同》导致基金财产的损失或损害基金份额持有人合法权益时，应当承担赔偿责任，其赔偿责任不因其退任而免除；</w:t>
      </w:r>
    </w:p>
    <w:p w14:paraId="468C7838" w14:textId="77777777" w:rsidR="00B51DEA" w:rsidRDefault="00000000">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21、监督基金托管人按法律法规和《基金合同》规定履行自己的义务，基金托管人违反《基金合同》造成基金财产损失时，基金管理人应为基金份额持有人利益向基金托管人追偿；</w:t>
      </w:r>
    </w:p>
    <w:p w14:paraId="15ECD669" w14:textId="77777777" w:rsidR="00B51DEA" w:rsidRDefault="00000000">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22、当基金管理人将其义务委托第三方处理时，应当对第三方处理有关基金事务的行为承担责任；</w:t>
      </w:r>
    </w:p>
    <w:p w14:paraId="39EA3A5C" w14:textId="77777777" w:rsidR="00B51DEA" w:rsidRDefault="00000000">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23、以基金管理人名义，代表基金份额持有人利益行使诉讼权利或实施其他法律行为；</w:t>
      </w:r>
    </w:p>
    <w:p w14:paraId="69CDA872" w14:textId="77777777" w:rsidR="00B51DEA" w:rsidRDefault="00000000">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24、基金管理人在募集期间未能达到基金的备案条件，《基金合同》不能生效，基金管理人承担全部募集费用，将已募集资金加计银行同期存款利息在基金募集期结束后30日内退还基金认购人；</w:t>
      </w:r>
    </w:p>
    <w:p w14:paraId="11C41321" w14:textId="77777777" w:rsidR="00B51DEA" w:rsidRDefault="00000000">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lastRenderedPageBreak/>
        <w:t>25、执行生效的基金份额持有人大会的决议；</w:t>
      </w:r>
    </w:p>
    <w:p w14:paraId="2A1E9A2D" w14:textId="77777777" w:rsidR="00B51DEA" w:rsidRDefault="00000000">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26、建立并保存基金份额持有人名册；</w:t>
      </w:r>
    </w:p>
    <w:p w14:paraId="730D8B3C" w14:textId="77777777" w:rsidR="00B51DEA" w:rsidRDefault="00000000">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27、法律法规及中国证监会规定的和《基金合同》约定的其他义务。</w:t>
      </w:r>
    </w:p>
    <w:p w14:paraId="69A3634C" w14:textId="77777777" w:rsidR="00B51DEA" w:rsidRDefault="00B51DEA">
      <w:pPr>
        <w:autoSpaceDE w:val="0"/>
        <w:autoSpaceDN w:val="0"/>
        <w:adjustRightInd w:val="0"/>
        <w:spacing w:line="360" w:lineRule="auto"/>
        <w:ind w:firstLineChars="200" w:firstLine="480"/>
        <w:rPr>
          <w:rFonts w:asciiTheme="minorEastAsia" w:hAnsiTheme="minorEastAsia" w:cs="Times New Roman" w:hint="eastAsia"/>
          <w:sz w:val="24"/>
          <w:szCs w:val="24"/>
        </w:rPr>
      </w:pPr>
    </w:p>
    <w:p w14:paraId="3C254708" w14:textId="77777777" w:rsidR="00B51DEA" w:rsidRDefault="00000000">
      <w:pPr>
        <w:tabs>
          <w:tab w:val="left" w:pos="3780"/>
        </w:tabs>
        <w:autoSpaceDE w:val="0"/>
        <w:autoSpaceDN w:val="0"/>
        <w:adjustRightInd w:val="0"/>
        <w:snapToGrid w:val="0"/>
        <w:spacing w:line="360" w:lineRule="auto"/>
        <w:ind w:firstLineChars="200" w:firstLine="482"/>
        <w:textAlignment w:val="bottom"/>
        <w:rPr>
          <w:rFonts w:asciiTheme="minorEastAsia" w:hAnsiTheme="minorEastAsia" w:cs="Arial" w:hint="eastAsia"/>
          <w:b/>
          <w:bCs/>
          <w:sz w:val="24"/>
          <w:szCs w:val="24"/>
        </w:rPr>
      </w:pPr>
      <w:r>
        <w:rPr>
          <w:rFonts w:asciiTheme="minorEastAsia" w:hAnsiTheme="minorEastAsia" w:cs="Arial" w:hint="eastAsia"/>
          <w:b/>
          <w:bCs/>
          <w:sz w:val="24"/>
          <w:szCs w:val="24"/>
        </w:rPr>
        <w:t>四、基金管理人的承诺</w:t>
      </w:r>
    </w:p>
    <w:p w14:paraId="7D22D15F" w14:textId="77777777" w:rsidR="00B51DEA" w:rsidRDefault="00000000">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 xml:space="preserve">1、基金管理人承诺不从事违反《中华人民共和国证券法》的行为，并承诺建立健全内部控制制度，采取有效措施，防止违反《中华人民共和国证券法》行为的发生； </w:t>
      </w:r>
    </w:p>
    <w:p w14:paraId="3BC7370D" w14:textId="77777777" w:rsidR="00B51DEA" w:rsidRDefault="00000000">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2、基金管理人承诺不从事违反《基金法》的行为，并承诺建立健全内部风险控制制度，采取有效措施，防止下列行为的发生：</w:t>
      </w:r>
    </w:p>
    <w:p w14:paraId="6497CC35" w14:textId="77777777" w:rsidR="00B51DEA" w:rsidRDefault="00000000">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w:t>
      </w:r>
      <w:r>
        <w:rPr>
          <w:rFonts w:asciiTheme="minorEastAsia" w:hAnsiTheme="minorEastAsia" w:cs="Times New Roman"/>
          <w:sz w:val="24"/>
          <w:szCs w:val="24"/>
        </w:rPr>
        <w:t>1）将基金管理人固有财产或者他人财产混同于基金财产从事证券投资；</w:t>
      </w:r>
    </w:p>
    <w:p w14:paraId="2E81E8F8" w14:textId="77777777" w:rsidR="00B51DEA" w:rsidRDefault="00000000">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w:t>
      </w:r>
      <w:r>
        <w:rPr>
          <w:rFonts w:asciiTheme="minorEastAsia" w:hAnsiTheme="minorEastAsia" w:cs="Times New Roman"/>
          <w:sz w:val="24"/>
          <w:szCs w:val="24"/>
        </w:rPr>
        <w:t>2）不公平地对待管理的不同基金财产；</w:t>
      </w:r>
    </w:p>
    <w:p w14:paraId="48D33228" w14:textId="77777777" w:rsidR="00B51DEA" w:rsidRDefault="00000000">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w:t>
      </w:r>
      <w:r>
        <w:rPr>
          <w:rFonts w:asciiTheme="minorEastAsia" w:hAnsiTheme="minorEastAsia" w:cs="Times New Roman"/>
          <w:sz w:val="24"/>
          <w:szCs w:val="24"/>
        </w:rPr>
        <w:t>3）利用基金财产或者职务之便为基金份额持有人以外的第三人牟取利益；</w:t>
      </w:r>
    </w:p>
    <w:p w14:paraId="69380DFB" w14:textId="77777777" w:rsidR="00B51DEA" w:rsidRDefault="00000000">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w:t>
      </w:r>
      <w:r>
        <w:rPr>
          <w:rFonts w:asciiTheme="minorEastAsia" w:hAnsiTheme="minorEastAsia" w:cs="Times New Roman"/>
          <w:sz w:val="24"/>
          <w:szCs w:val="24"/>
        </w:rPr>
        <w:t>4）向基金份额持有人违规承诺收益或者承担损失；</w:t>
      </w:r>
    </w:p>
    <w:p w14:paraId="267D5424" w14:textId="77777777" w:rsidR="00B51DEA" w:rsidRDefault="00000000">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w:t>
      </w:r>
      <w:r>
        <w:rPr>
          <w:rFonts w:asciiTheme="minorEastAsia" w:hAnsiTheme="minorEastAsia" w:cs="Times New Roman"/>
          <w:sz w:val="24"/>
          <w:szCs w:val="24"/>
        </w:rPr>
        <w:t>5）侵占、挪用基金财产；</w:t>
      </w:r>
    </w:p>
    <w:p w14:paraId="3111A985" w14:textId="77777777" w:rsidR="00B51DEA" w:rsidRDefault="00000000">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w:t>
      </w:r>
      <w:r>
        <w:rPr>
          <w:rFonts w:asciiTheme="minorEastAsia" w:hAnsiTheme="minorEastAsia" w:cs="Times New Roman"/>
          <w:sz w:val="24"/>
          <w:szCs w:val="24"/>
        </w:rPr>
        <w:t>6）泄露因职务便利获取的未公开信息、利用该信息从事或者明示、暗示他人从事相关的交易活动；</w:t>
      </w:r>
    </w:p>
    <w:p w14:paraId="0DA10EE3" w14:textId="77777777" w:rsidR="00B51DEA" w:rsidRDefault="00000000">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w:t>
      </w:r>
      <w:r>
        <w:rPr>
          <w:rFonts w:asciiTheme="minorEastAsia" w:hAnsiTheme="minorEastAsia" w:cs="Times New Roman"/>
          <w:sz w:val="24"/>
          <w:szCs w:val="24"/>
        </w:rPr>
        <w:t>7）玩忽职守，不按照规定履行职责；</w:t>
      </w:r>
    </w:p>
    <w:p w14:paraId="76C4DD73" w14:textId="77777777" w:rsidR="00B51DEA" w:rsidRDefault="00000000">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w:t>
      </w:r>
      <w:r>
        <w:rPr>
          <w:rFonts w:asciiTheme="minorEastAsia" w:hAnsiTheme="minorEastAsia" w:cs="Times New Roman"/>
          <w:sz w:val="24"/>
          <w:szCs w:val="24"/>
        </w:rPr>
        <w:t xml:space="preserve">8）法律、行政法规和中国证监会规定禁止的其他行为。 </w:t>
      </w:r>
    </w:p>
    <w:p w14:paraId="79706D73" w14:textId="77777777" w:rsidR="00B51DEA" w:rsidRDefault="00000000">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 xml:space="preserve">3、基金管理人承诺严格遵守基金合同，并承诺建立健全内部控制制度，采取有效措施，防止违反基金合同行为的发生； </w:t>
      </w:r>
    </w:p>
    <w:p w14:paraId="6923CB89" w14:textId="77777777" w:rsidR="00B51DEA" w:rsidRDefault="00000000">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4、基金管理人承诺加强人员管理，强化职业操守，督促和约束员工遵守国家有关法律法规及行业规范，诚实信用、勤勉尽责；</w:t>
      </w:r>
    </w:p>
    <w:p w14:paraId="1D44433A" w14:textId="77777777" w:rsidR="00B51DEA" w:rsidRDefault="00000000">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 xml:space="preserve">5、基金管理人承诺不从事其他法规规定禁止从事的行为。 </w:t>
      </w:r>
    </w:p>
    <w:p w14:paraId="5ED3D698" w14:textId="77777777" w:rsidR="00B51DEA" w:rsidRDefault="00B51DEA">
      <w:pPr>
        <w:autoSpaceDE w:val="0"/>
        <w:autoSpaceDN w:val="0"/>
        <w:adjustRightInd w:val="0"/>
        <w:spacing w:line="360" w:lineRule="auto"/>
        <w:ind w:firstLineChars="200" w:firstLine="480"/>
        <w:rPr>
          <w:rFonts w:asciiTheme="minorEastAsia" w:hAnsiTheme="minorEastAsia" w:cs="Times New Roman" w:hint="eastAsia"/>
          <w:sz w:val="24"/>
          <w:szCs w:val="24"/>
        </w:rPr>
      </w:pPr>
    </w:p>
    <w:p w14:paraId="7FDC6CD7" w14:textId="77777777" w:rsidR="00B51DEA" w:rsidRDefault="00000000">
      <w:pPr>
        <w:tabs>
          <w:tab w:val="left" w:pos="3780"/>
        </w:tabs>
        <w:autoSpaceDE w:val="0"/>
        <w:autoSpaceDN w:val="0"/>
        <w:adjustRightInd w:val="0"/>
        <w:snapToGrid w:val="0"/>
        <w:spacing w:line="360" w:lineRule="auto"/>
        <w:ind w:firstLineChars="200" w:firstLine="482"/>
        <w:textAlignment w:val="bottom"/>
        <w:rPr>
          <w:rFonts w:asciiTheme="minorEastAsia" w:hAnsiTheme="minorEastAsia" w:cs="Arial" w:hint="eastAsia"/>
          <w:b/>
          <w:sz w:val="24"/>
          <w:szCs w:val="24"/>
        </w:rPr>
      </w:pPr>
      <w:r>
        <w:rPr>
          <w:rFonts w:asciiTheme="minorEastAsia" w:hAnsiTheme="minorEastAsia" w:cs="Arial" w:hint="eastAsia"/>
          <w:b/>
          <w:sz w:val="24"/>
          <w:szCs w:val="24"/>
        </w:rPr>
        <w:t>五、基金经理承诺</w:t>
      </w:r>
    </w:p>
    <w:p w14:paraId="46487C53" w14:textId="77777777" w:rsidR="00B51DEA" w:rsidRDefault="00000000">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1、依照有关法律法规和基金合同的规定，本着谨慎的原则为基金份额持有人谋取最大利益；</w:t>
      </w:r>
    </w:p>
    <w:p w14:paraId="65D65EAE" w14:textId="77777777" w:rsidR="00B51DEA" w:rsidRDefault="00000000">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 xml:space="preserve">2、不利用职务之便为自己、受雇人或任何第三者牟取利益； </w:t>
      </w:r>
    </w:p>
    <w:p w14:paraId="6BFB33F1" w14:textId="77777777" w:rsidR="00B51DEA" w:rsidRDefault="00000000">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lastRenderedPageBreak/>
        <w:t>3、不泄露在任职期间知悉的有关证券、基金的商业秘密，尚未依法公开的基金投资内容、基金投资计划等信息，或利用该信息从事或者明示、暗示他人从事相关的交易活动；</w:t>
      </w:r>
    </w:p>
    <w:p w14:paraId="1F04929F" w14:textId="77777777" w:rsidR="00B51DEA" w:rsidRDefault="00000000">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4、不以任何形式为其他组织或个人进行证券交易。</w:t>
      </w:r>
    </w:p>
    <w:p w14:paraId="0D79B129" w14:textId="77777777" w:rsidR="00B51DEA" w:rsidRDefault="00B51DEA">
      <w:pPr>
        <w:autoSpaceDE w:val="0"/>
        <w:autoSpaceDN w:val="0"/>
        <w:adjustRightInd w:val="0"/>
        <w:spacing w:line="360" w:lineRule="auto"/>
        <w:ind w:firstLineChars="200" w:firstLine="480"/>
        <w:rPr>
          <w:rFonts w:asciiTheme="minorEastAsia" w:hAnsiTheme="minorEastAsia" w:cs="Times New Roman" w:hint="eastAsia"/>
          <w:sz w:val="24"/>
          <w:szCs w:val="24"/>
        </w:rPr>
      </w:pPr>
    </w:p>
    <w:p w14:paraId="108E2BBE" w14:textId="77777777" w:rsidR="00B51DEA" w:rsidRDefault="00000000">
      <w:pPr>
        <w:tabs>
          <w:tab w:val="left" w:pos="3780"/>
        </w:tabs>
        <w:autoSpaceDE w:val="0"/>
        <w:autoSpaceDN w:val="0"/>
        <w:adjustRightInd w:val="0"/>
        <w:snapToGrid w:val="0"/>
        <w:spacing w:line="360" w:lineRule="auto"/>
        <w:ind w:firstLineChars="200" w:firstLine="482"/>
        <w:textAlignment w:val="bottom"/>
        <w:rPr>
          <w:rFonts w:asciiTheme="minorEastAsia" w:hAnsiTheme="minorEastAsia" w:cs="Arial" w:hint="eastAsia"/>
          <w:b/>
          <w:bCs/>
          <w:sz w:val="24"/>
          <w:szCs w:val="24"/>
        </w:rPr>
      </w:pPr>
      <w:r>
        <w:rPr>
          <w:rFonts w:asciiTheme="minorEastAsia" w:hAnsiTheme="minorEastAsia" w:cs="Arial" w:hint="eastAsia"/>
          <w:b/>
          <w:bCs/>
          <w:sz w:val="24"/>
          <w:szCs w:val="24"/>
        </w:rPr>
        <w:t>六、基金管理人的内部控制制度</w:t>
      </w:r>
    </w:p>
    <w:p w14:paraId="3930D431" w14:textId="77777777" w:rsidR="00B51DEA" w:rsidRDefault="00000000">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bookmarkStart w:id="86" w:name="_Toc416264540"/>
      <w:bookmarkStart w:id="87" w:name="_Toc352229750"/>
      <w:bookmarkStart w:id="88" w:name="_Toc263092312"/>
      <w:bookmarkStart w:id="89" w:name="_Toc410197818"/>
      <w:bookmarkEnd w:id="69"/>
      <w:bookmarkEnd w:id="70"/>
      <w:bookmarkEnd w:id="71"/>
      <w:r>
        <w:rPr>
          <w:rFonts w:asciiTheme="minorEastAsia" w:hAnsiTheme="minorEastAsia" w:cs="Arial"/>
          <w:sz w:val="24"/>
          <w:szCs w:val="24"/>
        </w:rPr>
        <w:t>1、风险控制目标</w:t>
      </w:r>
    </w:p>
    <w:p w14:paraId="2149302C" w14:textId="77777777" w:rsidR="00B51DEA" w:rsidRDefault="00000000">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1）在有效控制风险的前提下，实现基金份额持有人利益最大化；</w:t>
      </w:r>
    </w:p>
    <w:p w14:paraId="0FC9CFB2" w14:textId="77777777" w:rsidR="00B51DEA" w:rsidRDefault="00000000">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2）确保国家有关法律法规、行业规章和公司各项规章制度的贯彻执行；</w:t>
      </w:r>
    </w:p>
    <w:p w14:paraId="4C318C9F" w14:textId="77777777" w:rsidR="00B51DEA" w:rsidRDefault="00000000">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3）建立符合现代企业制度要求的法人治理结构，形成科学合理的决策机制、执行机制和监督机制；</w:t>
      </w:r>
    </w:p>
    <w:p w14:paraId="23EC8901" w14:textId="77777777" w:rsidR="00B51DEA" w:rsidRDefault="00000000">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4）将各种风险控制在合理的范围内，保障公司发展战略和经营目标的全面实施，维护基金份额持有人、公司及公司股东的合法权益；</w:t>
      </w:r>
    </w:p>
    <w:p w14:paraId="4450ABA7" w14:textId="77777777" w:rsidR="00B51DEA" w:rsidRDefault="00000000">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5）建立行之有效的风险控制系统，保障业务稳健运行，减轻或规避各种风险对公司发展战略和经营目标的干扰。</w:t>
      </w:r>
    </w:p>
    <w:p w14:paraId="65D5F9A9" w14:textId="77777777" w:rsidR="00B51DEA" w:rsidRDefault="00000000">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sz w:val="24"/>
          <w:szCs w:val="24"/>
        </w:rPr>
        <w:t>2、建立风险控制制度应遵循的原则</w:t>
      </w:r>
    </w:p>
    <w:p w14:paraId="5CD7B9FC" w14:textId="77777777" w:rsidR="00B51DEA" w:rsidRDefault="00000000">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1）全面性原则：风险控制制度应覆盖公司的各项业务、各个部门和各级人员，并渗透到决策、执行、监督、反馈等各个经营环节；</w:t>
      </w:r>
    </w:p>
    <w:p w14:paraId="5B06E079" w14:textId="77777777" w:rsidR="00B51DEA" w:rsidRDefault="00000000">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sz w:val="24"/>
          <w:szCs w:val="24"/>
        </w:rPr>
        <w:t xml:space="preserve"> （2）审慎性原则：内部风险控制的核心是有效防范各种风险，公司组织体系的构成、内部管理制度的建立都要以防范风险、审慎经营为出发点；</w:t>
      </w:r>
    </w:p>
    <w:p w14:paraId="31DE5953" w14:textId="77777777" w:rsidR="00B51DEA" w:rsidRDefault="00000000">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sz w:val="24"/>
          <w:szCs w:val="24"/>
        </w:rPr>
        <w:t xml:space="preserve"> （3）独立性原则：公司风险控制的检查、评价部门应当独立于风险控制的建立和执行部门；风险控制委员会、督察长和监察稽核部应保持高度的独立性和权威性，负责对公司各部门风险控制工作进行评价和检查；</w:t>
      </w:r>
    </w:p>
    <w:p w14:paraId="3A15970D" w14:textId="77777777" w:rsidR="00B51DEA" w:rsidRDefault="00000000">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sz w:val="24"/>
          <w:szCs w:val="24"/>
        </w:rPr>
        <w:t xml:space="preserve"> （4）有效性原则：风险控制制度应当符合国家法律法规和监管部门的规章，具有高度的权威性，成为所有员工严格遵守的行动指南；执行风险控制制度不能存在任何例外，公司任何员工不得拥有超越制度或违反规章的权力；</w:t>
      </w:r>
    </w:p>
    <w:p w14:paraId="695095A7" w14:textId="77777777" w:rsidR="00B51DEA" w:rsidRDefault="00000000">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sz w:val="24"/>
          <w:szCs w:val="24"/>
        </w:rPr>
        <w:t xml:space="preserve"> （5）适时性原则：内部风险控制应随着公司经营战略、经营方针、经营理念等内部环境的变化和国家法律、法规、政策制度等外部环境的改变及时进行相应的修改和完善；</w:t>
      </w:r>
    </w:p>
    <w:p w14:paraId="538A0FE4" w14:textId="77777777" w:rsidR="00B51DEA" w:rsidRDefault="00000000">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sz w:val="24"/>
          <w:szCs w:val="24"/>
        </w:rPr>
        <w:t>3、风险控制体系</w:t>
      </w:r>
    </w:p>
    <w:p w14:paraId="72909111" w14:textId="77777777" w:rsidR="00B51DEA" w:rsidRDefault="00000000">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lastRenderedPageBreak/>
        <w:t>（</w:t>
      </w:r>
      <w:r>
        <w:rPr>
          <w:rFonts w:asciiTheme="minorEastAsia" w:hAnsiTheme="minorEastAsia" w:cs="Arial"/>
          <w:sz w:val="24"/>
          <w:szCs w:val="24"/>
        </w:rPr>
        <w:t>1）风险控制制度体系</w:t>
      </w:r>
    </w:p>
    <w:p w14:paraId="2F1A20F4" w14:textId="77777777" w:rsidR="00B51DEA" w:rsidRDefault="00000000">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公司风险控制制度体系由三个不同层次的制度构成：第一个层次是公司章程、内部控制大纲；第二个层次是基本管理制度；第三个层次是部门管理制度及各项业务规则。</w:t>
      </w:r>
    </w:p>
    <w:p w14:paraId="186EFA26" w14:textId="77777777" w:rsidR="00B51DEA" w:rsidRDefault="00000000">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2）风险控制组织体系</w:t>
      </w:r>
    </w:p>
    <w:p w14:paraId="747F3E8C" w14:textId="77777777" w:rsidR="00B51DEA" w:rsidRDefault="00000000">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风险控制组织体系包括两个层次：</w:t>
      </w:r>
    </w:p>
    <w:p w14:paraId="508F6A48" w14:textId="77777777" w:rsidR="00B51DEA" w:rsidRDefault="00000000">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第一层次：公司董事会层面对公司经营管理过程中的各类风险进行预防和控制的组织，主要是通过董事会下设的风险控制委员会和督察长来实现的。</w:t>
      </w:r>
    </w:p>
    <w:p w14:paraId="28ED3BE0" w14:textId="77777777" w:rsidR="00B51DEA" w:rsidRDefault="00000000">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①风险控制委员会的主要职责是：审议并批准公司内部风险控制制度；检查公司内部风险控制制度的执行情况，对公司出现的风险问题和存在的风险隐患进行研究并提出处理意见；提议聘请或更换外部审计机构；对重大关联交易进行审计；指导经理层所设立的风险管理委员会的工作；董事会赋予的其他职责。</w:t>
      </w:r>
    </w:p>
    <w:p w14:paraId="301ED38C" w14:textId="77777777" w:rsidR="00B51DEA" w:rsidRDefault="00000000">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②督察</w:t>
      </w:r>
      <w:proofErr w:type="gramStart"/>
      <w:r>
        <w:rPr>
          <w:rFonts w:asciiTheme="minorEastAsia" w:hAnsiTheme="minorEastAsia" w:cs="Arial" w:hint="eastAsia"/>
          <w:sz w:val="24"/>
          <w:szCs w:val="24"/>
        </w:rPr>
        <w:t>长履行</w:t>
      </w:r>
      <w:proofErr w:type="gramEnd"/>
      <w:r>
        <w:rPr>
          <w:rFonts w:asciiTheme="minorEastAsia" w:hAnsiTheme="minorEastAsia" w:cs="Arial" w:hint="eastAsia"/>
          <w:sz w:val="24"/>
          <w:szCs w:val="24"/>
        </w:rPr>
        <w:t>的职责包括对基金运作、内部管理、制度执行及遵规守法情况进行内部监察、稽核；就以上监察、稽核中发现的问题向公司经营管理层通报并提出整改和处理意见；定期向风险管理委员会提交工作报告；发现公司的违规行为，应立即向董事长和中国证监会报告。</w:t>
      </w:r>
    </w:p>
    <w:p w14:paraId="29A66D2A" w14:textId="77777777" w:rsidR="00B51DEA" w:rsidRDefault="00000000">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第二层次：公司经营管理层包括风险管理委员会、监察稽核部及各职能部门对经营风险的预防和控制。</w:t>
      </w:r>
    </w:p>
    <w:p w14:paraId="70B6ACC9" w14:textId="77777777" w:rsidR="00B51DEA" w:rsidRDefault="00000000">
      <w:pPr>
        <w:tabs>
          <w:tab w:val="left" w:pos="3675"/>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①风险管理委员会的主要职责是：审议公司各业务部门提出的风险管理和控制问题，决定公司相应的风险管理和控制政策；就公司经营和受托资产投资运作中存在的风险及风险隐患，向公司相关部门提出整改要求；决定公司重大风险事件的处理方案；总结、安排风险管理和控制工作，研究、评估新出现的风险因素；评估新产品、新业务的合</w:t>
      </w:r>
      <w:proofErr w:type="gramStart"/>
      <w:r>
        <w:rPr>
          <w:rFonts w:asciiTheme="minorEastAsia" w:hAnsiTheme="minorEastAsia" w:cs="Arial" w:hint="eastAsia"/>
          <w:sz w:val="24"/>
          <w:szCs w:val="24"/>
        </w:rPr>
        <w:t>规</w:t>
      </w:r>
      <w:proofErr w:type="gramEnd"/>
      <w:r>
        <w:rPr>
          <w:rFonts w:asciiTheme="minorEastAsia" w:hAnsiTheme="minorEastAsia" w:cs="Arial" w:hint="eastAsia"/>
          <w:sz w:val="24"/>
          <w:szCs w:val="24"/>
        </w:rPr>
        <w:t>风险、市场风险和操作风险等重大风险，确保公司各项业务符合法律法规、监管要求、公司制度及受托资产合同的规定；审批基金投资的关联方证券名单和关联交易；风险管理委员会认为其他需关注的事项。</w:t>
      </w:r>
    </w:p>
    <w:p w14:paraId="2B0F94A1" w14:textId="77777777" w:rsidR="00B51DEA" w:rsidRDefault="00000000">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②监察稽核部的主要职责是在督察长的领导下，组织和协调公司内部控制制度的编写、修订工作，确保公司内部控制制度合</w:t>
      </w:r>
      <w:proofErr w:type="gramStart"/>
      <w:r>
        <w:rPr>
          <w:rFonts w:asciiTheme="minorEastAsia" w:hAnsiTheme="minorEastAsia" w:cs="Arial" w:hint="eastAsia"/>
          <w:sz w:val="24"/>
          <w:szCs w:val="24"/>
        </w:rPr>
        <w:t>规</w:t>
      </w:r>
      <w:proofErr w:type="gramEnd"/>
      <w:r>
        <w:rPr>
          <w:rFonts w:asciiTheme="minorEastAsia" w:hAnsiTheme="minorEastAsia" w:cs="Arial" w:hint="eastAsia"/>
          <w:sz w:val="24"/>
          <w:szCs w:val="24"/>
        </w:rPr>
        <w:t>、完善；检查公司内部控制制度和业务流程的执行情况，出具监察稽核报告；负责信息披露事务的管理；调查基金及其他类型产品的异常投资和交易以及对违规行为的调查；负责公司的法律事务、合</w:t>
      </w:r>
      <w:proofErr w:type="gramStart"/>
      <w:r>
        <w:rPr>
          <w:rFonts w:asciiTheme="minorEastAsia" w:hAnsiTheme="minorEastAsia" w:cs="Arial" w:hint="eastAsia"/>
          <w:sz w:val="24"/>
          <w:szCs w:val="24"/>
        </w:rPr>
        <w:t>规</w:t>
      </w:r>
      <w:proofErr w:type="gramEnd"/>
      <w:r>
        <w:rPr>
          <w:rFonts w:asciiTheme="minorEastAsia" w:hAnsiTheme="minorEastAsia" w:cs="Arial" w:hint="eastAsia"/>
          <w:sz w:val="24"/>
          <w:szCs w:val="24"/>
        </w:rPr>
        <w:t>咨询、合</w:t>
      </w:r>
      <w:proofErr w:type="gramStart"/>
      <w:r>
        <w:rPr>
          <w:rFonts w:asciiTheme="minorEastAsia" w:hAnsiTheme="minorEastAsia" w:cs="Arial" w:hint="eastAsia"/>
          <w:sz w:val="24"/>
          <w:szCs w:val="24"/>
        </w:rPr>
        <w:t>规</w:t>
      </w:r>
      <w:proofErr w:type="gramEnd"/>
      <w:r>
        <w:rPr>
          <w:rFonts w:asciiTheme="minorEastAsia" w:hAnsiTheme="minorEastAsia" w:cs="Arial" w:hint="eastAsia"/>
          <w:sz w:val="24"/>
          <w:szCs w:val="24"/>
        </w:rPr>
        <w:t>培训、离任审查等工作。</w:t>
      </w:r>
    </w:p>
    <w:p w14:paraId="0FC5B6D6" w14:textId="77777777" w:rsidR="00B51DEA" w:rsidRDefault="00000000">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lastRenderedPageBreak/>
        <w:t>③公司各职能部门的主要职责是对自身工作中潜在风险的自我检查和控制，各业务部门作为公司风险控制的具体实施单位，应在公司各项基本管理制度的基础上，根据具体情况制订本部门的业务管理规定、操作流程及内部控制规定并严格执行。</w:t>
      </w:r>
    </w:p>
    <w:p w14:paraId="2F03FB1F" w14:textId="77777777" w:rsidR="00B51DEA" w:rsidRDefault="00000000">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sz w:val="24"/>
          <w:szCs w:val="24"/>
        </w:rPr>
        <w:t>4、关于授权、研究、投资、交易等方面的控制点</w:t>
      </w:r>
    </w:p>
    <w:p w14:paraId="46C5A3C3" w14:textId="77777777" w:rsidR="00B51DEA" w:rsidRDefault="00000000">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1）授权制度</w:t>
      </w:r>
    </w:p>
    <w:p w14:paraId="27283EF7" w14:textId="77777777" w:rsidR="00B51DEA" w:rsidRDefault="00000000">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公司的授权制度贯穿于整个公司业务。股东会、董事会、监事和经营管理层必须充分履行各自的职权，健全公司逐级授权制度，确保公司各项规章制度的贯彻执行；各项经营业务和管理程序必须遵从管理层制定的操作规程，经办人员的每一项工作必须是在业务授权范围内进行；公司重大业务的授权必须采取书面形式，授权书应当明确授权内容和时效；公司授权要适当，对已获授权的部门和人员应建立有效的评价和反馈机制，对已不适用的授权应及时修改或取消授权。</w:t>
      </w:r>
    </w:p>
    <w:p w14:paraId="4E045C60" w14:textId="77777777" w:rsidR="00B51DEA" w:rsidRDefault="00000000">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2）研究业务</w:t>
      </w:r>
    </w:p>
    <w:p w14:paraId="1858B621" w14:textId="77777777" w:rsidR="00B51DEA" w:rsidRDefault="00000000">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研究工作应保持独立、客观，不受任何部门及个人的不正当影响；建立严密的研究工作业务流程，形成科学、有效的研究方法；建立投资对象备选库制度，研究部门根据投资产品的特征，在充分研究的基础上建立和维护备选库；建立研究与投资的业务交流制度，保持畅通的交流渠道；建立研究报告质量评价体系，不断提高研究水平。</w:t>
      </w:r>
    </w:p>
    <w:p w14:paraId="1E4FCF01" w14:textId="77777777" w:rsidR="00B51DEA" w:rsidRDefault="00000000">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3）基金投资业务</w:t>
      </w:r>
    </w:p>
    <w:p w14:paraId="76C529FC" w14:textId="77777777" w:rsidR="00B51DEA" w:rsidRDefault="00000000">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基金投资应确立科学的投资理念，根据决策的风险防范原则和效率性原则制定合理的决策程序；在进行投资时应有明确的投资授权制度，并应建立与所授权</w:t>
      </w:r>
      <w:proofErr w:type="gramStart"/>
      <w:r>
        <w:rPr>
          <w:rFonts w:asciiTheme="minorEastAsia" w:hAnsiTheme="minorEastAsia" w:cs="Arial" w:hint="eastAsia"/>
          <w:sz w:val="24"/>
          <w:szCs w:val="24"/>
        </w:rPr>
        <w:t>限相应</w:t>
      </w:r>
      <w:proofErr w:type="gramEnd"/>
      <w:r>
        <w:rPr>
          <w:rFonts w:asciiTheme="minorEastAsia" w:hAnsiTheme="minorEastAsia" w:cs="Arial" w:hint="eastAsia"/>
          <w:sz w:val="24"/>
          <w:szCs w:val="24"/>
        </w:rPr>
        <w:t>的约束制度和考核制度；建立严格的投资禁止和投资限制制度，保证基金投资的合法合</w:t>
      </w:r>
      <w:proofErr w:type="gramStart"/>
      <w:r>
        <w:rPr>
          <w:rFonts w:asciiTheme="minorEastAsia" w:hAnsiTheme="minorEastAsia" w:cs="Arial" w:hint="eastAsia"/>
          <w:sz w:val="24"/>
          <w:szCs w:val="24"/>
        </w:rPr>
        <w:t>规</w:t>
      </w:r>
      <w:proofErr w:type="gramEnd"/>
      <w:r>
        <w:rPr>
          <w:rFonts w:asciiTheme="minorEastAsia" w:hAnsiTheme="minorEastAsia" w:cs="Arial" w:hint="eastAsia"/>
          <w:sz w:val="24"/>
          <w:szCs w:val="24"/>
        </w:rPr>
        <w:t>性；建立投资风险评估与管理制度，将重点投资限制在一定的风险权限额度内；对于投资结果建立科学的投资管理业绩评价体系。</w:t>
      </w:r>
    </w:p>
    <w:p w14:paraId="04E89379" w14:textId="77777777" w:rsidR="00B51DEA" w:rsidRDefault="00000000">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4）交易业务</w:t>
      </w:r>
    </w:p>
    <w:p w14:paraId="696E4439" w14:textId="77777777" w:rsidR="00B51DEA" w:rsidRDefault="00000000">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实行集中交易制度，投资指令通过交易部完成；建立交易监测系统、预警系统和交易反馈系统，完善相关的安全设施；交易部应对交易指令进行审核，建立公平的交易分配制度，确保各基金利益的公平；交易记录应完善，并及时进行反馈、核对和存档保管；建立科学的投资交易绩效评价体系。</w:t>
      </w:r>
    </w:p>
    <w:p w14:paraId="463C328C" w14:textId="77777777" w:rsidR="00B51DEA" w:rsidRDefault="00000000">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5）基金会计核算</w:t>
      </w:r>
    </w:p>
    <w:p w14:paraId="0E6BF7A9" w14:textId="77777777" w:rsidR="00B51DEA" w:rsidRDefault="00000000">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lastRenderedPageBreak/>
        <w:t>根据法律法规及业务的要求建立会计制度，并根据风险控制点建立严密的会计系统，对于不同基金、不同客户独立建账，独立核算；通过复核制度、凭证制度、合理的估值方法和估值程序等会计措施真实、完整、及时地记载每一笔业务并正确进行会计核算和业务核算；建立会计档案保管制度，确保档案真实完整。</w:t>
      </w:r>
    </w:p>
    <w:p w14:paraId="5F08B6DB" w14:textId="77777777" w:rsidR="00B51DEA" w:rsidRDefault="00000000">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6）信息披露</w:t>
      </w:r>
    </w:p>
    <w:p w14:paraId="6C5BCCB1" w14:textId="77777777" w:rsidR="00B51DEA" w:rsidRDefault="00000000">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建立了完善的信息披露制度，保证公开披露的信息真实、准确、完整；设立了信息披露负责人，并建立了相应的程序进行信息的收集、组织、审核和发布，加强对信息的审查核对，使所公布的信息符合法律法规的规定；加强对信息披露的检查和评价，对存在的问题及时提出改进方法。</w:t>
      </w:r>
    </w:p>
    <w:p w14:paraId="18C89A0A" w14:textId="77777777" w:rsidR="00B51DEA" w:rsidRDefault="00000000">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7）监察稽核</w:t>
      </w:r>
    </w:p>
    <w:p w14:paraId="62CA2F4C" w14:textId="77777777" w:rsidR="00B51DEA" w:rsidRDefault="00000000">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公司设立督察长。督察长由董事会聘任或解聘，报中国证监会或其指定的机构备案，并向董事会负责。督察</w:t>
      </w:r>
      <w:proofErr w:type="gramStart"/>
      <w:r>
        <w:rPr>
          <w:rFonts w:asciiTheme="minorEastAsia" w:hAnsiTheme="minorEastAsia" w:cs="Arial" w:hint="eastAsia"/>
          <w:sz w:val="24"/>
          <w:szCs w:val="24"/>
        </w:rPr>
        <w:t>长依据</w:t>
      </w:r>
      <w:proofErr w:type="gramEnd"/>
      <w:r>
        <w:rPr>
          <w:rFonts w:asciiTheme="minorEastAsia" w:hAnsiTheme="minorEastAsia" w:cs="Arial" w:hint="eastAsia"/>
          <w:sz w:val="24"/>
          <w:szCs w:val="24"/>
        </w:rPr>
        <w:t>法律法规和公司章程的规定履行职责，可以列席公司任何相关会议，调阅公司任何相关制度、文件；要求被督察部门对所提出的问题提供有关材料和做出口头或书面说明；行使中国证监会赋予的其他报告权和监督权。</w:t>
      </w:r>
    </w:p>
    <w:p w14:paraId="01856342" w14:textId="77777777" w:rsidR="00B51DEA" w:rsidRDefault="00000000">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公司设立监察稽核部，开展监察稽核工作，并保证监察稽核部的独立性和权威性。公司明确了监察稽核部及内部各岗位的具体职责，配备了充足的人员，严格制订了监察稽核工作的专业任职条件、操作程序和组织纪律；监察稽核部强化内部检查制度，通过定期或不定期检查内部控制制度的执行情况，确保公司各项经营管理活动的有效运行；公司董事会和经营管理层充分重视和支持监察稽核工作，对违反法律、法规和公司内部控制制度的，追究相关部门和人员的责任。</w:t>
      </w:r>
    </w:p>
    <w:p w14:paraId="753D9CFC" w14:textId="77777777" w:rsidR="00B51DEA" w:rsidRDefault="00000000">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sz w:val="24"/>
          <w:szCs w:val="24"/>
        </w:rPr>
        <w:t>5、风险管理和内部控制的措施</w:t>
      </w:r>
    </w:p>
    <w:p w14:paraId="57BC70B9" w14:textId="77777777" w:rsidR="00B51DEA" w:rsidRDefault="00000000">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1）建立内控结构，完善内控制度：公司建立、健全了内控结构，高管人员具有明确的内控分工，确保各项业务活动有恰当的组织和授权，确保监察活动的独立进行，并得到高管人员的支持。</w:t>
      </w:r>
    </w:p>
    <w:p w14:paraId="733D5447" w14:textId="77777777" w:rsidR="00B51DEA" w:rsidRDefault="00000000">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2）建立相互分离、相互制衡的内控机制：建立、健全了各项制度，做到基金经理、投资经理分开，研究、决策分开，基金交易集中，形成不同部门、不同岗位之间的制衡机制，从制度上减少和防范风险。</w:t>
      </w:r>
    </w:p>
    <w:p w14:paraId="12D7174A" w14:textId="77777777" w:rsidR="00B51DEA" w:rsidRDefault="00000000">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3）建立、健全岗位责任制：建立、健全了岗位责任制，使每个员工都明确自己的任务、职责，并及时将各自工作领域中的风险隐患上报，以防范和减少</w:t>
      </w:r>
      <w:r>
        <w:rPr>
          <w:rFonts w:asciiTheme="minorEastAsia" w:hAnsiTheme="minorEastAsia" w:cs="Arial"/>
          <w:sz w:val="24"/>
          <w:szCs w:val="24"/>
        </w:rPr>
        <w:lastRenderedPageBreak/>
        <w:t>风险。</w:t>
      </w:r>
    </w:p>
    <w:p w14:paraId="60A53026" w14:textId="77777777" w:rsidR="00B51DEA" w:rsidRDefault="00000000">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4）建立风险分类、识别、评估、报告、提示程序：建立了风险管理委员会，使用适合的程序，确认和评估与公司运作有关的风险；建立了自下而上的风险报告程序，对风险隐患进行层层汇报，使各个层次的人员及时掌握风险状况，从而以最快速度做出决策。</w:t>
      </w:r>
    </w:p>
    <w:p w14:paraId="3C34F979" w14:textId="77777777" w:rsidR="00B51DEA" w:rsidRDefault="00000000">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5）建立有效的内部监控系统：建立了足够、有效的内部监控系统，如计算机预警系统、投资监控系统，能对可能出现的各种风险进行全面和实时的监控。</w:t>
      </w:r>
    </w:p>
    <w:p w14:paraId="57535E5D" w14:textId="77777777" w:rsidR="00B51DEA" w:rsidRDefault="00000000">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6）使用数量化的风险管理手段：采取数量化、技术化的风险控制手段，建立数量化的风险管理模型，用以提示市场风险，以便公司及时采取有效的措施，对风险进行分散、控制和规避，尽可能地减少损失。</w:t>
      </w:r>
    </w:p>
    <w:p w14:paraId="3457F399" w14:textId="77777777" w:rsidR="00B51DEA" w:rsidRDefault="00000000">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7）提供足够的培训：制定了完整的培训计划，为所有员工提供足够和适当的培训，使员工明确其职责所在，控制风险。</w:t>
      </w:r>
    </w:p>
    <w:p w14:paraId="2D28F7F2" w14:textId="77777777" w:rsidR="00B51DEA" w:rsidRDefault="00000000">
      <w:pPr>
        <w:widowControl/>
        <w:adjustRightInd w:val="0"/>
        <w:snapToGrid w:val="0"/>
        <w:spacing w:line="360" w:lineRule="auto"/>
        <w:ind w:firstLineChars="200" w:firstLine="480"/>
        <w:rPr>
          <w:rFonts w:asciiTheme="minorEastAsia" w:hAnsiTheme="minorEastAsia" w:cs="Arial" w:hint="eastAsia"/>
          <w:b/>
          <w:bCs/>
          <w:kern w:val="0"/>
          <w:sz w:val="28"/>
          <w:szCs w:val="28"/>
        </w:rPr>
        <w:sectPr w:rsidR="00B51DEA">
          <w:pgSz w:w="11906" w:h="16838"/>
          <w:pgMar w:top="1440" w:right="1800" w:bottom="1440" w:left="1800" w:header="851" w:footer="992" w:gutter="0"/>
          <w:pgNumType w:chapStyle="1"/>
          <w:cols w:space="720"/>
          <w:docGrid w:type="lines" w:linePitch="312"/>
        </w:sectPr>
      </w:pPr>
      <w:r>
        <w:rPr>
          <w:rFonts w:asciiTheme="minorEastAsia" w:hAnsiTheme="minorEastAsia" w:cs="Arial"/>
          <w:sz w:val="24"/>
          <w:szCs w:val="24"/>
        </w:rPr>
        <w:t>6、基金管理人承诺上述关于内部控制的披露真实、准确，并承诺将根据市场环境的变化及公司的发展不断完善合</w:t>
      </w:r>
      <w:proofErr w:type="gramStart"/>
      <w:r>
        <w:rPr>
          <w:rFonts w:asciiTheme="minorEastAsia" w:hAnsiTheme="minorEastAsia" w:cs="Arial" w:hint="eastAsia"/>
          <w:sz w:val="24"/>
          <w:szCs w:val="24"/>
        </w:rPr>
        <w:t>规</w:t>
      </w:r>
      <w:proofErr w:type="gramEnd"/>
      <w:r>
        <w:rPr>
          <w:rFonts w:asciiTheme="minorEastAsia" w:hAnsiTheme="minorEastAsia" w:cs="Arial" w:hint="eastAsia"/>
          <w:sz w:val="24"/>
          <w:szCs w:val="24"/>
        </w:rPr>
        <w:t>控制。</w:t>
      </w:r>
      <w:bookmarkStart w:id="90" w:name="_Toc238013745"/>
      <w:bookmarkStart w:id="91" w:name="_Toc238027832"/>
      <w:bookmarkEnd w:id="90"/>
      <w:bookmarkEnd w:id="91"/>
    </w:p>
    <w:p w14:paraId="17BCBDB5" w14:textId="77777777" w:rsidR="00B51DEA" w:rsidRDefault="00000000">
      <w:pPr>
        <w:pStyle w:val="1"/>
        <w:jc w:val="center"/>
        <w:rPr>
          <w:rFonts w:asciiTheme="minorEastAsia" w:eastAsiaTheme="minorEastAsia" w:hAnsiTheme="minorEastAsia" w:hint="eastAsia"/>
          <w:sz w:val="30"/>
          <w:szCs w:val="30"/>
        </w:rPr>
      </w:pPr>
      <w:bookmarkStart w:id="92" w:name="_Toc2677405"/>
      <w:r>
        <w:rPr>
          <w:rFonts w:asciiTheme="minorEastAsia" w:eastAsiaTheme="minorEastAsia" w:hAnsiTheme="minorEastAsia" w:hint="eastAsia"/>
          <w:sz w:val="30"/>
          <w:szCs w:val="30"/>
        </w:rPr>
        <w:lastRenderedPageBreak/>
        <w:t>第四部分</w:t>
      </w:r>
      <w:r>
        <w:rPr>
          <w:rFonts w:asciiTheme="minorEastAsia" w:eastAsiaTheme="minorEastAsia" w:hAnsiTheme="minorEastAsia"/>
          <w:sz w:val="30"/>
          <w:szCs w:val="30"/>
        </w:rPr>
        <w:t xml:space="preserve">  </w:t>
      </w:r>
      <w:r>
        <w:rPr>
          <w:rFonts w:asciiTheme="minorEastAsia" w:eastAsiaTheme="minorEastAsia" w:hAnsiTheme="minorEastAsia" w:hint="eastAsia"/>
          <w:sz w:val="30"/>
          <w:szCs w:val="30"/>
        </w:rPr>
        <w:t>基金托管人</w:t>
      </w:r>
      <w:bookmarkEnd w:id="92"/>
    </w:p>
    <w:p w14:paraId="3EC68479" w14:textId="77777777" w:rsidR="00B51DEA" w:rsidRDefault="00000000">
      <w:pPr>
        <w:tabs>
          <w:tab w:val="left" w:pos="2160"/>
        </w:tabs>
        <w:adjustRightInd w:val="0"/>
        <w:snapToGrid w:val="0"/>
        <w:spacing w:line="360" w:lineRule="auto"/>
        <w:ind w:firstLineChars="200" w:firstLine="482"/>
        <w:rPr>
          <w:rFonts w:asciiTheme="minorEastAsia" w:hAnsiTheme="minorEastAsia" w:cs="宋体" w:hint="eastAsia"/>
          <w:b/>
          <w:bCs/>
          <w:color w:val="000000"/>
          <w:sz w:val="24"/>
          <w:szCs w:val="24"/>
        </w:rPr>
      </w:pPr>
      <w:r>
        <w:rPr>
          <w:rFonts w:asciiTheme="minorEastAsia" w:hAnsiTheme="minorEastAsia" w:cs="宋体" w:hint="eastAsia"/>
          <w:b/>
          <w:bCs/>
          <w:color w:val="000000"/>
          <w:sz w:val="24"/>
          <w:szCs w:val="24"/>
        </w:rPr>
        <w:t>一、基本情况</w:t>
      </w:r>
    </w:p>
    <w:p w14:paraId="32EA7C63" w14:textId="77777777" w:rsidR="00B51DEA" w:rsidRDefault="00000000">
      <w:pPr>
        <w:tabs>
          <w:tab w:val="left" w:pos="2160"/>
        </w:tabs>
        <w:adjustRightInd w:val="0"/>
        <w:snapToGrid w:val="0"/>
        <w:spacing w:line="360" w:lineRule="auto"/>
        <w:ind w:firstLineChars="200" w:firstLine="480"/>
        <w:rPr>
          <w:rFonts w:ascii="宋体" w:hAnsi="宋体" w:cs="宋体" w:hint="eastAsia"/>
          <w:sz w:val="24"/>
          <w:szCs w:val="24"/>
        </w:rPr>
      </w:pPr>
      <w:r>
        <w:rPr>
          <w:rFonts w:ascii="宋体" w:hAnsi="宋体" w:cs="宋体" w:hint="eastAsia"/>
          <w:sz w:val="24"/>
          <w:szCs w:val="24"/>
        </w:rPr>
        <w:t>名称：中国光大银行股份有限公司</w:t>
      </w:r>
    </w:p>
    <w:p w14:paraId="68B2C34B" w14:textId="77777777" w:rsidR="00B51DEA" w:rsidRDefault="00000000">
      <w:pPr>
        <w:tabs>
          <w:tab w:val="left" w:pos="2160"/>
        </w:tabs>
        <w:adjustRightInd w:val="0"/>
        <w:snapToGrid w:val="0"/>
        <w:spacing w:line="360" w:lineRule="auto"/>
        <w:ind w:firstLineChars="200" w:firstLine="480"/>
        <w:rPr>
          <w:rFonts w:ascii="宋体" w:hAnsi="宋体" w:cs="宋体" w:hint="eastAsia"/>
          <w:sz w:val="24"/>
          <w:szCs w:val="24"/>
        </w:rPr>
      </w:pPr>
      <w:r>
        <w:rPr>
          <w:rFonts w:ascii="宋体" w:hAnsi="宋体" w:cs="宋体" w:hint="eastAsia"/>
          <w:sz w:val="24"/>
          <w:szCs w:val="24"/>
        </w:rPr>
        <w:t>住所及办公地址：北京市西城区太平桥大街25 号、甲25 号中国光大中心</w:t>
      </w:r>
    </w:p>
    <w:p w14:paraId="2CFB1294" w14:textId="77777777" w:rsidR="00B51DEA" w:rsidRDefault="00000000">
      <w:pPr>
        <w:tabs>
          <w:tab w:val="left" w:pos="2160"/>
        </w:tabs>
        <w:adjustRightInd w:val="0"/>
        <w:snapToGrid w:val="0"/>
        <w:spacing w:line="360" w:lineRule="auto"/>
        <w:ind w:firstLineChars="200" w:firstLine="480"/>
        <w:rPr>
          <w:rFonts w:ascii="宋体" w:hAnsi="宋体" w:cs="宋体" w:hint="eastAsia"/>
          <w:sz w:val="24"/>
          <w:szCs w:val="24"/>
        </w:rPr>
      </w:pPr>
      <w:r>
        <w:rPr>
          <w:rFonts w:ascii="宋体" w:hAnsi="宋体" w:cs="宋体" w:hint="eastAsia"/>
          <w:sz w:val="24"/>
          <w:szCs w:val="24"/>
        </w:rPr>
        <w:t>成立日期：1992年6月18日</w:t>
      </w:r>
    </w:p>
    <w:p w14:paraId="370474AF" w14:textId="77777777" w:rsidR="00B51DEA" w:rsidRDefault="00000000">
      <w:pPr>
        <w:tabs>
          <w:tab w:val="left" w:pos="2160"/>
        </w:tabs>
        <w:adjustRightInd w:val="0"/>
        <w:snapToGrid w:val="0"/>
        <w:spacing w:line="360" w:lineRule="auto"/>
        <w:ind w:firstLineChars="200" w:firstLine="480"/>
        <w:rPr>
          <w:rFonts w:ascii="宋体" w:hAnsi="宋体" w:cs="宋体" w:hint="eastAsia"/>
          <w:sz w:val="24"/>
          <w:szCs w:val="24"/>
        </w:rPr>
      </w:pPr>
      <w:r>
        <w:rPr>
          <w:rFonts w:ascii="宋体" w:hAnsi="宋体" w:cs="宋体" w:hint="eastAsia"/>
          <w:sz w:val="24"/>
          <w:szCs w:val="24"/>
        </w:rPr>
        <w:t>批准设立机关和批准设立文号：国务院、国函[1992]7号</w:t>
      </w:r>
    </w:p>
    <w:p w14:paraId="40FD2AE7" w14:textId="77777777" w:rsidR="00B51DEA" w:rsidRDefault="00000000">
      <w:pPr>
        <w:tabs>
          <w:tab w:val="left" w:pos="2160"/>
        </w:tabs>
        <w:adjustRightInd w:val="0"/>
        <w:snapToGrid w:val="0"/>
        <w:spacing w:line="360" w:lineRule="auto"/>
        <w:ind w:firstLineChars="200" w:firstLine="480"/>
        <w:rPr>
          <w:rFonts w:ascii="宋体" w:hAnsi="宋体" w:cs="宋体" w:hint="eastAsia"/>
          <w:sz w:val="24"/>
          <w:szCs w:val="24"/>
        </w:rPr>
      </w:pPr>
      <w:r>
        <w:rPr>
          <w:rFonts w:ascii="宋体" w:hAnsi="宋体" w:cs="宋体" w:hint="eastAsia"/>
          <w:sz w:val="24"/>
          <w:szCs w:val="24"/>
        </w:rPr>
        <w:t>组织形式：股份有限公司</w:t>
      </w:r>
    </w:p>
    <w:p w14:paraId="4B63A4C7" w14:textId="77777777" w:rsidR="00B51DEA" w:rsidRDefault="00000000">
      <w:pPr>
        <w:tabs>
          <w:tab w:val="left" w:pos="2160"/>
        </w:tabs>
        <w:adjustRightInd w:val="0"/>
        <w:snapToGrid w:val="0"/>
        <w:spacing w:line="360" w:lineRule="auto"/>
        <w:ind w:firstLineChars="200" w:firstLine="480"/>
        <w:rPr>
          <w:rFonts w:ascii="宋体" w:hAnsi="宋体" w:cs="宋体" w:hint="eastAsia"/>
          <w:sz w:val="24"/>
          <w:szCs w:val="24"/>
        </w:rPr>
      </w:pPr>
      <w:r>
        <w:rPr>
          <w:rFonts w:ascii="宋体" w:hAnsi="宋体" w:cs="宋体" w:hint="eastAsia"/>
          <w:sz w:val="24"/>
          <w:szCs w:val="24"/>
        </w:rPr>
        <w:t>注册资本：590.85551亿元人民币</w:t>
      </w:r>
    </w:p>
    <w:p w14:paraId="48B53D5C" w14:textId="77777777" w:rsidR="00B51DEA" w:rsidRDefault="00000000">
      <w:pPr>
        <w:tabs>
          <w:tab w:val="left" w:pos="2160"/>
        </w:tabs>
        <w:adjustRightInd w:val="0"/>
        <w:snapToGrid w:val="0"/>
        <w:spacing w:line="360" w:lineRule="auto"/>
        <w:ind w:firstLineChars="200" w:firstLine="480"/>
        <w:rPr>
          <w:rFonts w:ascii="宋体" w:hAnsi="宋体" w:cs="宋体" w:hint="eastAsia"/>
          <w:sz w:val="24"/>
          <w:szCs w:val="24"/>
        </w:rPr>
      </w:pPr>
      <w:r>
        <w:rPr>
          <w:rFonts w:ascii="宋体" w:hAnsi="宋体" w:cs="宋体" w:hint="eastAsia"/>
          <w:sz w:val="24"/>
          <w:szCs w:val="24"/>
        </w:rPr>
        <w:t>法定代表人：吴利军</w:t>
      </w:r>
    </w:p>
    <w:p w14:paraId="6BFFCECE" w14:textId="77777777" w:rsidR="00B51DEA" w:rsidRDefault="00000000">
      <w:pPr>
        <w:tabs>
          <w:tab w:val="left" w:pos="2160"/>
        </w:tabs>
        <w:adjustRightInd w:val="0"/>
        <w:snapToGrid w:val="0"/>
        <w:spacing w:line="360" w:lineRule="auto"/>
        <w:ind w:firstLineChars="200" w:firstLine="480"/>
        <w:rPr>
          <w:rFonts w:ascii="宋体" w:hAnsi="宋体" w:cs="宋体" w:hint="eastAsia"/>
          <w:sz w:val="24"/>
          <w:szCs w:val="24"/>
        </w:rPr>
      </w:pPr>
      <w:r>
        <w:rPr>
          <w:rFonts w:ascii="宋体" w:hAnsi="宋体" w:cs="宋体" w:hint="eastAsia"/>
          <w:sz w:val="24"/>
          <w:szCs w:val="24"/>
        </w:rPr>
        <w:t>基金托管资格批文及文号：证</w:t>
      </w:r>
      <w:proofErr w:type="gramStart"/>
      <w:r>
        <w:rPr>
          <w:rFonts w:ascii="宋体" w:hAnsi="宋体" w:cs="宋体" w:hint="eastAsia"/>
          <w:sz w:val="24"/>
          <w:szCs w:val="24"/>
        </w:rPr>
        <w:t>监基金字</w:t>
      </w:r>
      <w:proofErr w:type="gramEnd"/>
      <w:r>
        <w:rPr>
          <w:rFonts w:ascii="宋体" w:hAnsi="宋体" w:cs="宋体" w:hint="eastAsia"/>
          <w:sz w:val="24"/>
          <w:szCs w:val="24"/>
        </w:rPr>
        <w:t>[2002]75号</w:t>
      </w:r>
    </w:p>
    <w:p w14:paraId="4FADB39D" w14:textId="77777777" w:rsidR="00B51DEA" w:rsidRDefault="00000000">
      <w:pPr>
        <w:tabs>
          <w:tab w:val="left" w:pos="2160"/>
        </w:tabs>
        <w:adjustRightInd w:val="0"/>
        <w:snapToGrid w:val="0"/>
        <w:spacing w:line="360" w:lineRule="auto"/>
        <w:ind w:firstLineChars="200" w:firstLine="480"/>
        <w:rPr>
          <w:rFonts w:ascii="宋体" w:hAnsi="宋体" w:cs="宋体" w:hint="eastAsia"/>
          <w:sz w:val="24"/>
          <w:szCs w:val="24"/>
        </w:rPr>
      </w:pPr>
      <w:r>
        <w:rPr>
          <w:rFonts w:ascii="宋体" w:hAnsi="宋体" w:cs="宋体" w:hint="eastAsia"/>
          <w:sz w:val="24"/>
          <w:szCs w:val="24"/>
        </w:rPr>
        <w:t>资产托管部总经理：贾光华</w:t>
      </w:r>
    </w:p>
    <w:p w14:paraId="55D074C3" w14:textId="77777777" w:rsidR="00B51DEA" w:rsidRDefault="00000000">
      <w:pPr>
        <w:tabs>
          <w:tab w:val="left" w:pos="2160"/>
        </w:tabs>
        <w:adjustRightInd w:val="0"/>
        <w:snapToGrid w:val="0"/>
        <w:spacing w:line="360" w:lineRule="auto"/>
        <w:ind w:firstLineChars="200" w:firstLine="480"/>
        <w:rPr>
          <w:rFonts w:ascii="宋体" w:hAnsi="宋体" w:cs="宋体" w:hint="eastAsia"/>
          <w:sz w:val="24"/>
          <w:szCs w:val="24"/>
        </w:rPr>
      </w:pPr>
      <w:r>
        <w:rPr>
          <w:rFonts w:ascii="宋体" w:hAnsi="宋体" w:cs="宋体" w:hint="eastAsia"/>
          <w:sz w:val="24"/>
          <w:szCs w:val="24"/>
        </w:rPr>
        <w:t>电话：（010） 63636363</w:t>
      </w:r>
    </w:p>
    <w:p w14:paraId="391C37CE" w14:textId="77777777" w:rsidR="00B51DEA" w:rsidRDefault="00000000">
      <w:pPr>
        <w:tabs>
          <w:tab w:val="left" w:pos="2160"/>
        </w:tabs>
        <w:adjustRightInd w:val="0"/>
        <w:snapToGrid w:val="0"/>
        <w:spacing w:line="360" w:lineRule="auto"/>
        <w:ind w:firstLineChars="200" w:firstLine="480"/>
        <w:rPr>
          <w:rFonts w:ascii="宋体" w:hAnsi="宋体" w:cs="宋体" w:hint="eastAsia"/>
          <w:sz w:val="24"/>
          <w:szCs w:val="24"/>
        </w:rPr>
      </w:pPr>
      <w:r>
        <w:rPr>
          <w:rFonts w:ascii="宋体" w:hAnsi="宋体" w:cs="宋体" w:hint="eastAsia"/>
          <w:sz w:val="24"/>
          <w:szCs w:val="24"/>
        </w:rPr>
        <w:t>传真：（010） 63639132</w:t>
      </w:r>
    </w:p>
    <w:p w14:paraId="55EA5314" w14:textId="77777777" w:rsidR="00B51DEA" w:rsidRDefault="00000000">
      <w:pPr>
        <w:tabs>
          <w:tab w:val="left" w:pos="2160"/>
        </w:tabs>
        <w:adjustRightInd w:val="0"/>
        <w:snapToGrid w:val="0"/>
        <w:spacing w:line="360" w:lineRule="auto"/>
        <w:ind w:firstLineChars="200" w:firstLine="480"/>
        <w:rPr>
          <w:rFonts w:asciiTheme="minorEastAsia" w:hAnsiTheme="minorEastAsia" w:cs="Times New Roman" w:hint="eastAsia"/>
          <w:color w:val="000000"/>
          <w:sz w:val="24"/>
          <w:szCs w:val="24"/>
        </w:rPr>
      </w:pPr>
      <w:r>
        <w:rPr>
          <w:rFonts w:ascii="宋体" w:hAnsi="宋体" w:cs="宋体" w:hint="eastAsia"/>
          <w:sz w:val="24"/>
          <w:szCs w:val="24"/>
        </w:rPr>
        <w:t>网址：www.cebbank.com</w:t>
      </w:r>
    </w:p>
    <w:p w14:paraId="198213AA" w14:textId="77777777" w:rsidR="00B51DEA" w:rsidRDefault="00000000">
      <w:pPr>
        <w:tabs>
          <w:tab w:val="left" w:pos="2160"/>
        </w:tabs>
        <w:adjustRightInd w:val="0"/>
        <w:snapToGrid w:val="0"/>
        <w:spacing w:line="360" w:lineRule="auto"/>
        <w:ind w:firstLineChars="200" w:firstLine="482"/>
        <w:rPr>
          <w:rFonts w:asciiTheme="minorEastAsia" w:hAnsiTheme="minorEastAsia" w:cs="宋体" w:hint="eastAsia"/>
          <w:b/>
          <w:bCs/>
          <w:color w:val="000000"/>
          <w:sz w:val="24"/>
          <w:szCs w:val="24"/>
        </w:rPr>
      </w:pPr>
      <w:r>
        <w:rPr>
          <w:rFonts w:asciiTheme="minorEastAsia" w:hAnsiTheme="minorEastAsia" w:cs="宋体" w:hint="eastAsia"/>
          <w:b/>
          <w:bCs/>
          <w:color w:val="000000"/>
          <w:sz w:val="24"/>
          <w:szCs w:val="24"/>
        </w:rPr>
        <w:t>二、主要人员情况</w:t>
      </w:r>
    </w:p>
    <w:p w14:paraId="477429F1" w14:textId="77777777" w:rsidR="00B51DEA" w:rsidRDefault="00000000">
      <w:pPr>
        <w:tabs>
          <w:tab w:val="left" w:pos="2160"/>
        </w:tabs>
        <w:adjustRightInd w:val="0"/>
        <w:snapToGrid w:val="0"/>
        <w:spacing w:line="360" w:lineRule="auto"/>
        <w:ind w:firstLineChars="200" w:firstLine="480"/>
        <w:rPr>
          <w:rFonts w:ascii="宋体" w:hAnsi="宋体" w:cs="宋体" w:hint="eastAsia"/>
          <w:sz w:val="24"/>
          <w:szCs w:val="24"/>
        </w:rPr>
      </w:pPr>
      <w:r>
        <w:rPr>
          <w:rFonts w:ascii="宋体" w:hAnsi="宋体" w:cs="宋体" w:hint="eastAsia"/>
          <w:sz w:val="24"/>
          <w:szCs w:val="24"/>
        </w:rPr>
        <w:t>董事长吴利军先生，自2020年3月起任</w:t>
      </w:r>
      <w:proofErr w:type="gramStart"/>
      <w:r>
        <w:rPr>
          <w:rFonts w:ascii="宋体" w:hAnsi="宋体" w:cs="宋体" w:hint="eastAsia"/>
          <w:sz w:val="24"/>
          <w:szCs w:val="24"/>
        </w:rPr>
        <w:t>本行副</w:t>
      </w:r>
      <w:proofErr w:type="gramEnd"/>
      <w:r>
        <w:rPr>
          <w:rFonts w:ascii="宋体" w:hAnsi="宋体" w:cs="宋体" w:hint="eastAsia"/>
          <w:sz w:val="24"/>
          <w:szCs w:val="24"/>
        </w:rPr>
        <w:t>董事长、2024年1月起任本行董事长。现任中国光大集团股份公司党委书记、董事长。曾任国内贸易部国家物资储备调节中心副主任(副局级)，中国证券监督管理委员会信息中心负责人，培训中心副主任(主持工作)，人事教育部主任、党委组织部部长，中国证券监督管理委员会党委委员、主席助理，深圳证券交易所理事会理事长、党委书记(副部长级)，中国光大集团股份公司党委副书记、副董事长、总经理。获经济学博士学位，高级经济师。</w:t>
      </w:r>
    </w:p>
    <w:p w14:paraId="4E79E202" w14:textId="77777777" w:rsidR="00B51DEA" w:rsidRDefault="00000000">
      <w:pPr>
        <w:tabs>
          <w:tab w:val="left" w:pos="2160"/>
        </w:tabs>
        <w:adjustRightInd w:val="0"/>
        <w:snapToGrid w:val="0"/>
        <w:spacing w:line="360" w:lineRule="auto"/>
        <w:ind w:firstLineChars="200" w:firstLine="480"/>
        <w:rPr>
          <w:rFonts w:ascii="宋体" w:hAnsi="宋体" w:cs="宋体" w:hint="eastAsia"/>
          <w:sz w:val="24"/>
          <w:szCs w:val="24"/>
        </w:rPr>
      </w:pPr>
      <w:r>
        <w:rPr>
          <w:rFonts w:ascii="宋体" w:hAnsi="宋体" w:cs="宋体" w:hint="eastAsia"/>
          <w:sz w:val="24"/>
          <w:szCs w:val="24"/>
        </w:rPr>
        <w:t>行长郝成先生，自2024年6月起任本行党委书记，2024年8月起任本行执行董事、行长。现任中国光大集团股份公司党委委员、执行董事。历任国家开发银行天津分行党委委员、副行长，国家开发银行人事局副局长、党委组织部副部长，国家开发银行吉林分行党委书记、行长，交通银行党委委员、副行长。获管理学博士学位，高级工程师。</w:t>
      </w:r>
    </w:p>
    <w:p w14:paraId="1CDB190D" w14:textId="77777777" w:rsidR="00B51DEA" w:rsidRDefault="00000000">
      <w:pPr>
        <w:tabs>
          <w:tab w:val="left" w:pos="1680"/>
        </w:tabs>
        <w:adjustRightInd w:val="0"/>
        <w:snapToGrid w:val="0"/>
        <w:spacing w:line="360" w:lineRule="auto"/>
        <w:ind w:firstLineChars="200" w:firstLine="480"/>
        <w:rPr>
          <w:rFonts w:ascii="宋体" w:hAnsi="宋体" w:cs="宋体" w:hint="eastAsia"/>
          <w:sz w:val="24"/>
          <w:szCs w:val="24"/>
        </w:rPr>
      </w:pPr>
      <w:r>
        <w:rPr>
          <w:rFonts w:ascii="宋体" w:hAnsi="宋体" w:cs="宋体" w:hint="eastAsia"/>
          <w:sz w:val="24"/>
          <w:szCs w:val="24"/>
        </w:rPr>
        <w:t>资产托管部总经理贾光华先生，1994年7月在光大银行总行营业部参加工作，2005年10月调入同业机构部（后更名为金融同业部）后，先后任处长、总</w:t>
      </w:r>
      <w:r>
        <w:rPr>
          <w:rFonts w:ascii="宋体" w:hAnsi="宋体" w:cs="宋体" w:hint="eastAsia"/>
          <w:sz w:val="24"/>
          <w:szCs w:val="24"/>
        </w:rPr>
        <w:lastRenderedPageBreak/>
        <w:t>经理助理、副总经理、副总经理（主持工作），2018年5月</w:t>
      </w:r>
      <w:proofErr w:type="gramStart"/>
      <w:r>
        <w:rPr>
          <w:rFonts w:ascii="宋体" w:hAnsi="宋体" w:cs="宋体" w:hint="eastAsia"/>
          <w:sz w:val="24"/>
          <w:szCs w:val="24"/>
        </w:rPr>
        <w:t>任金融</w:t>
      </w:r>
      <w:proofErr w:type="gramEnd"/>
      <w:r>
        <w:rPr>
          <w:rFonts w:ascii="宋体" w:hAnsi="宋体" w:cs="宋体" w:hint="eastAsia"/>
          <w:sz w:val="24"/>
          <w:szCs w:val="24"/>
        </w:rPr>
        <w:t>同业部总经理，2025年1月</w:t>
      </w:r>
      <w:proofErr w:type="gramStart"/>
      <w:r>
        <w:rPr>
          <w:rFonts w:ascii="宋体" w:hAnsi="宋体" w:cs="宋体" w:hint="eastAsia"/>
          <w:sz w:val="24"/>
          <w:szCs w:val="24"/>
        </w:rPr>
        <w:t>任资产</w:t>
      </w:r>
      <w:proofErr w:type="gramEnd"/>
      <w:r>
        <w:rPr>
          <w:rFonts w:ascii="宋体" w:hAnsi="宋体" w:cs="宋体" w:hint="eastAsia"/>
          <w:sz w:val="24"/>
          <w:szCs w:val="24"/>
        </w:rPr>
        <w:t>托管部总经理。</w:t>
      </w:r>
    </w:p>
    <w:p w14:paraId="1C5CD50D" w14:textId="77777777" w:rsidR="00B51DEA" w:rsidRDefault="00000000">
      <w:pPr>
        <w:tabs>
          <w:tab w:val="left" w:pos="2160"/>
        </w:tabs>
        <w:adjustRightInd w:val="0"/>
        <w:snapToGrid w:val="0"/>
        <w:spacing w:line="360" w:lineRule="auto"/>
        <w:ind w:firstLineChars="200" w:firstLine="482"/>
        <w:rPr>
          <w:rFonts w:asciiTheme="minorEastAsia" w:hAnsiTheme="minorEastAsia" w:cs="宋体" w:hint="eastAsia"/>
          <w:b/>
          <w:bCs/>
          <w:color w:val="000000"/>
          <w:sz w:val="24"/>
          <w:szCs w:val="24"/>
        </w:rPr>
      </w:pPr>
      <w:r>
        <w:rPr>
          <w:rFonts w:asciiTheme="minorEastAsia" w:hAnsiTheme="minorEastAsia" w:cs="宋体" w:hint="eastAsia"/>
          <w:b/>
          <w:bCs/>
          <w:color w:val="000000"/>
          <w:sz w:val="24"/>
          <w:szCs w:val="24"/>
        </w:rPr>
        <w:t>三、证券投资基金托管情况</w:t>
      </w:r>
    </w:p>
    <w:p w14:paraId="30661895" w14:textId="77777777" w:rsidR="00B51DEA" w:rsidRDefault="00000000">
      <w:pPr>
        <w:spacing w:line="360" w:lineRule="auto"/>
        <w:ind w:firstLine="420"/>
        <w:rPr>
          <w:rFonts w:ascii="宋体" w:hAnsi="宋体" w:cs="宋体" w:hint="eastAsia"/>
          <w:sz w:val="24"/>
          <w:szCs w:val="24"/>
          <w:lang w:val="zh-CN"/>
        </w:rPr>
      </w:pPr>
      <w:r>
        <w:rPr>
          <w:rFonts w:ascii="宋体" w:hAnsi="宋体" w:cs="宋体" w:hint="eastAsia"/>
          <w:sz w:val="24"/>
          <w:szCs w:val="24"/>
          <w:lang w:val="zh-CN"/>
        </w:rPr>
        <w:t>截至2026年6月30日，中国光大银行股份有限公司托管公开募集证券投资基金共346只，托管基金资产规模6,909.71亿元。同时，开展了证券公司资产管理计划、基金公司客户资产管理计划、职业年金、企业年金、QDII、QFII、银行理财、保险债权投资计划等资产的托管及信托公司资金信托计划、产业投资基金、股权基金等产品的保管业务。</w:t>
      </w:r>
    </w:p>
    <w:p w14:paraId="57C9E332" w14:textId="77777777" w:rsidR="00B51DEA" w:rsidRDefault="00000000">
      <w:pPr>
        <w:tabs>
          <w:tab w:val="left" w:pos="2160"/>
        </w:tabs>
        <w:adjustRightInd w:val="0"/>
        <w:snapToGrid w:val="0"/>
        <w:spacing w:line="360" w:lineRule="auto"/>
        <w:ind w:firstLineChars="200" w:firstLine="482"/>
        <w:rPr>
          <w:rFonts w:asciiTheme="minorEastAsia" w:hAnsiTheme="minorEastAsia" w:cs="宋体" w:hint="eastAsia"/>
          <w:b/>
          <w:bCs/>
          <w:color w:val="000000"/>
          <w:sz w:val="24"/>
          <w:szCs w:val="24"/>
        </w:rPr>
      </w:pPr>
      <w:r>
        <w:rPr>
          <w:rFonts w:asciiTheme="minorEastAsia" w:hAnsiTheme="minorEastAsia" w:cs="宋体" w:hint="eastAsia"/>
          <w:b/>
          <w:bCs/>
          <w:color w:val="000000"/>
          <w:sz w:val="24"/>
          <w:szCs w:val="24"/>
        </w:rPr>
        <w:t>四、托管业务的内部控制制度</w:t>
      </w:r>
    </w:p>
    <w:p w14:paraId="581B3148" w14:textId="77777777" w:rsidR="00B51DEA" w:rsidRDefault="00000000">
      <w:pPr>
        <w:tabs>
          <w:tab w:val="left" w:pos="2160"/>
        </w:tabs>
        <w:adjustRightInd w:val="0"/>
        <w:snapToGrid w:val="0"/>
        <w:spacing w:line="360" w:lineRule="auto"/>
        <w:ind w:firstLineChars="200" w:firstLine="480"/>
        <w:rPr>
          <w:rFonts w:ascii="宋体" w:hAnsi="宋体" w:cs="宋体" w:hint="eastAsia"/>
          <w:sz w:val="24"/>
          <w:szCs w:val="24"/>
          <w:lang w:val="zh-CN"/>
        </w:rPr>
      </w:pPr>
      <w:r>
        <w:rPr>
          <w:rFonts w:ascii="宋体" w:hAnsi="宋体" w:cs="宋体" w:hint="eastAsia"/>
          <w:sz w:val="24"/>
          <w:szCs w:val="24"/>
          <w:lang w:val="zh-CN"/>
        </w:rPr>
        <w:t>1、内部控制目标</w:t>
      </w:r>
    </w:p>
    <w:p w14:paraId="263E8D05" w14:textId="77777777" w:rsidR="00B51DEA" w:rsidRDefault="00000000">
      <w:pPr>
        <w:tabs>
          <w:tab w:val="left" w:pos="2160"/>
        </w:tabs>
        <w:adjustRightInd w:val="0"/>
        <w:snapToGrid w:val="0"/>
        <w:spacing w:line="360" w:lineRule="auto"/>
        <w:ind w:firstLineChars="200" w:firstLine="480"/>
        <w:rPr>
          <w:rFonts w:ascii="宋体" w:hAnsi="宋体" w:cs="宋体" w:hint="eastAsia"/>
          <w:sz w:val="24"/>
          <w:szCs w:val="24"/>
          <w:lang w:val="zh-CN"/>
        </w:rPr>
      </w:pPr>
      <w:r>
        <w:rPr>
          <w:rFonts w:ascii="宋体" w:hAnsi="宋体" w:cs="宋体" w:hint="eastAsia"/>
          <w:sz w:val="24"/>
          <w:szCs w:val="24"/>
          <w:lang w:val="zh-CN"/>
        </w:rPr>
        <w:t>确保有关法律法规在基金托管业务中得到全面严格的贯彻执行；确保基金托管人有关基金托管的各项管理制度和业务操作规程在基金托管业务中得到全面严格的贯彻执行；确保基金财产安全；保证基金托管业务稳健运行；保护基金份额持有人、基金管理公司及基金托管人的合法权益。</w:t>
      </w:r>
    </w:p>
    <w:p w14:paraId="48B4C7F1" w14:textId="77777777" w:rsidR="00B51DEA" w:rsidRDefault="00000000">
      <w:pPr>
        <w:tabs>
          <w:tab w:val="left" w:pos="2160"/>
        </w:tabs>
        <w:adjustRightInd w:val="0"/>
        <w:snapToGrid w:val="0"/>
        <w:spacing w:line="360" w:lineRule="auto"/>
        <w:ind w:firstLineChars="200" w:firstLine="480"/>
        <w:rPr>
          <w:rFonts w:ascii="宋体" w:hAnsi="宋体" w:cs="宋体" w:hint="eastAsia"/>
          <w:sz w:val="24"/>
          <w:szCs w:val="24"/>
          <w:lang w:val="zh-CN"/>
        </w:rPr>
      </w:pPr>
      <w:r>
        <w:rPr>
          <w:rFonts w:ascii="宋体" w:hAnsi="宋体" w:cs="宋体" w:hint="eastAsia"/>
          <w:sz w:val="24"/>
          <w:szCs w:val="24"/>
          <w:lang w:val="zh-CN"/>
        </w:rPr>
        <w:t>2、内部控制的原则</w:t>
      </w:r>
    </w:p>
    <w:p w14:paraId="5A673B32" w14:textId="77777777" w:rsidR="00B51DEA" w:rsidRDefault="00000000">
      <w:pPr>
        <w:tabs>
          <w:tab w:val="left" w:pos="2160"/>
        </w:tabs>
        <w:adjustRightInd w:val="0"/>
        <w:snapToGrid w:val="0"/>
        <w:spacing w:line="360" w:lineRule="auto"/>
        <w:ind w:firstLineChars="200" w:firstLine="480"/>
        <w:rPr>
          <w:rFonts w:ascii="宋体" w:hAnsi="宋体" w:cs="宋体" w:hint="eastAsia"/>
          <w:sz w:val="24"/>
          <w:szCs w:val="24"/>
          <w:lang w:val="zh-CN"/>
        </w:rPr>
      </w:pPr>
      <w:r>
        <w:rPr>
          <w:rFonts w:ascii="宋体" w:hAnsi="宋体" w:cs="宋体" w:hint="eastAsia"/>
          <w:sz w:val="24"/>
          <w:szCs w:val="24"/>
          <w:lang w:val="zh-CN"/>
        </w:rPr>
        <w:t>（1）全面性原则。内部控制必须渗透到基金托管业务的各个操作环节，覆盖所有的岗位，不留任何死角。</w:t>
      </w:r>
    </w:p>
    <w:p w14:paraId="4556D46A" w14:textId="77777777" w:rsidR="00B51DEA" w:rsidRDefault="00000000">
      <w:pPr>
        <w:tabs>
          <w:tab w:val="left" w:pos="2160"/>
        </w:tabs>
        <w:adjustRightInd w:val="0"/>
        <w:snapToGrid w:val="0"/>
        <w:spacing w:line="360" w:lineRule="auto"/>
        <w:ind w:firstLineChars="200" w:firstLine="480"/>
        <w:rPr>
          <w:rFonts w:ascii="宋体" w:hAnsi="宋体" w:cs="宋体" w:hint="eastAsia"/>
          <w:sz w:val="24"/>
          <w:szCs w:val="24"/>
          <w:lang w:val="zh-CN"/>
        </w:rPr>
      </w:pPr>
      <w:r>
        <w:rPr>
          <w:rFonts w:ascii="宋体" w:hAnsi="宋体" w:cs="宋体" w:hint="eastAsia"/>
          <w:sz w:val="24"/>
          <w:szCs w:val="24"/>
          <w:lang w:val="zh-CN"/>
        </w:rPr>
        <w:t>（2）预防性原则。树立“预防为主”的管理理念，从风险发生的源头加强内部控制，防患于未然，尽量避免业务操作中各种问题的产生。</w:t>
      </w:r>
    </w:p>
    <w:p w14:paraId="2F1FCBE3" w14:textId="77777777" w:rsidR="00B51DEA" w:rsidRDefault="00000000">
      <w:pPr>
        <w:tabs>
          <w:tab w:val="left" w:pos="2160"/>
        </w:tabs>
        <w:adjustRightInd w:val="0"/>
        <w:snapToGrid w:val="0"/>
        <w:spacing w:line="360" w:lineRule="auto"/>
        <w:ind w:firstLineChars="200" w:firstLine="480"/>
        <w:rPr>
          <w:rFonts w:ascii="宋体" w:hAnsi="宋体" w:cs="宋体" w:hint="eastAsia"/>
          <w:sz w:val="24"/>
          <w:szCs w:val="24"/>
          <w:lang w:val="zh-CN"/>
        </w:rPr>
      </w:pPr>
      <w:r>
        <w:rPr>
          <w:rFonts w:ascii="宋体" w:hAnsi="宋体" w:cs="宋体" w:hint="eastAsia"/>
          <w:sz w:val="24"/>
          <w:szCs w:val="24"/>
          <w:lang w:val="zh-CN"/>
        </w:rPr>
        <w:t>（3）及时性原则。建立健全各项规章制度，采取有效措施加强内部控制。发现问题，及时处理，堵塞漏洞。</w:t>
      </w:r>
    </w:p>
    <w:p w14:paraId="71DD9416" w14:textId="77777777" w:rsidR="00B51DEA" w:rsidRDefault="00000000">
      <w:pPr>
        <w:tabs>
          <w:tab w:val="left" w:pos="2160"/>
        </w:tabs>
        <w:adjustRightInd w:val="0"/>
        <w:snapToGrid w:val="0"/>
        <w:spacing w:line="360" w:lineRule="auto"/>
        <w:ind w:firstLineChars="200" w:firstLine="480"/>
        <w:rPr>
          <w:rFonts w:ascii="宋体" w:hAnsi="宋体" w:cs="宋体" w:hint="eastAsia"/>
          <w:sz w:val="24"/>
          <w:szCs w:val="24"/>
          <w:lang w:val="zh-CN"/>
        </w:rPr>
      </w:pPr>
      <w:r>
        <w:rPr>
          <w:rFonts w:ascii="宋体" w:hAnsi="宋体" w:cs="宋体" w:hint="eastAsia"/>
          <w:sz w:val="24"/>
          <w:szCs w:val="24"/>
          <w:lang w:val="zh-CN"/>
        </w:rPr>
        <w:t>（4）独立性原则。基金托管业务内部控制机构独立于基金托管业务执行机构，业务操作人员和内控人员分开，以保证内控机构的工作不受干扰。</w:t>
      </w:r>
    </w:p>
    <w:p w14:paraId="5C86FAEA" w14:textId="77777777" w:rsidR="00B51DEA" w:rsidRDefault="00000000">
      <w:pPr>
        <w:tabs>
          <w:tab w:val="left" w:pos="2160"/>
        </w:tabs>
        <w:adjustRightInd w:val="0"/>
        <w:snapToGrid w:val="0"/>
        <w:spacing w:line="360" w:lineRule="auto"/>
        <w:ind w:firstLineChars="200" w:firstLine="480"/>
        <w:rPr>
          <w:rFonts w:ascii="宋体" w:hAnsi="宋体" w:cs="宋体" w:hint="eastAsia"/>
          <w:sz w:val="24"/>
          <w:szCs w:val="24"/>
          <w:lang w:val="zh-CN"/>
        </w:rPr>
      </w:pPr>
      <w:r>
        <w:rPr>
          <w:rFonts w:ascii="宋体" w:hAnsi="宋体" w:cs="宋体" w:hint="eastAsia"/>
          <w:sz w:val="24"/>
          <w:szCs w:val="24"/>
          <w:lang w:val="zh-CN"/>
        </w:rPr>
        <w:t>3、内部控制组织结构</w:t>
      </w:r>
    </w:p>
    <w:p w14:paraId="6C08950D" w14:textId="77777777" w:rsidR="00B51DEA" w:rsidRDefault="00000000">
      <w:pPr>
        <w:tabs>
          <w:tab w:val="left" w:pos="2160"/>
        </w:tabs>
        <w:adjustRightInd w:val="0"/>
        <w:snapToGrid w:val="0"/>
        <w:spacing w:line="360" w:lineRule="auto"/>
        <w:ind w:firstLineChars="200" w:firstLine="480"/>
        <w:rPr>
          <w:rFonts w:ascii="宋体" w:hAnsi="宋体" w:cs="宋体" w:hint="eastAsia"/>
          <w:sz w:val="24"/>
          <w:szCs w:val="24"/>
          <w:lang w:val="zh-CN"/>
        </w:rPr>
      </w:pPr>
      <w:r>
        <w:rPr>
          <w:rFonts w:ascii="宋体" w:hAnsi="宋体" w:cs="宋体" w:hint="eastAsia"/>
          <w:sz w:val="24"/>
          <w:szCs w:val="24"/>
          <w:lang w:val="zh-CN"/>
        </w:rPr>
        <w:t>中国光大银行股份有限公司设有风险管理与内控合</w:t>
      </w:r>
      <w:proofErr w:type="gramStart"/>
      <w:r>
        <w:rPr>
          <w:rFonts w:ascii="宋体" w:hAnsi="宋体" w:cs="宋体" w:hint="eastAsia"/>
          <w:sz w:val="24"/>
          <w:szCs w:val="24"/>
          <w:lang w:val="zh-CN"/>
        </w:rPr>
        <w:t>规</w:t>
      </w:r>
      <w:proofErr w:type="gramEnd"/>
      <w:r>
        <w:rPr>
          <w:rFonts w:ascii="宋体" w:hAnsi="宋体" w:cs="宋体" w:hint="eastAsia"/>
          <w:sz w:val="24"/>
          <w:szCs w:val="24"/>
          <w:lang w:val="zh-CN"/>
        </w:rPr>
        <w:t>委员会，负责全行风险管理与内部控制工作。资产托管部建立了严密的内控监督体系，设立了投资监督与内控合</w:t>
      </w:r>
      <w:proofErr w:type="gramStart"/>
      <w:r>
        <w:rPr>
          <w:rFonts w:ascii="宋体" w:hAnsi="宋体" w:cs="宋体" w:hint="eastAsia"/>
          <w:sz w:val="24"/>
          <w:szCs w:val="24"/>
          <w:lang w:val="zh-CN"/>
        </w:rPr>
        <w:t>规</w:t>
      </w:r>
      <w:proofErr w:type="gramEnd"/>
      <w:r>
        <w:rPr>
          <w:rFonts w:ascii="宋体" w:hAnsi="宋体" w:cs="宋体" w:hint="eastAsia"/>
          <w:sz w:val="24"/>
          <w:szCs w:val="24"/>
          <w:lang w:val="zh-CN"/>
        </w:rPr>
        <w:t>处，配备了专职内控合</w:t>
      </w:r>
      <w:proofErr w:type="gramStart"/>
      <w:r>
        <w:rPr>
          <w:rFonts w:ascii="宋体" w:hAnsi="宋体" w:cs="宋体" w:hint="eastAsia"/>
          <w:sz w:val="24"/>
          <w:szCs w:val="24"/>
          <w:lang w:val="zh-CN"/>
        </w:rPr>
        <w:t>规</w:t>
      </w:r>
      <w:proofErr w:type="gramEnd"/>
      <w:r>
        <w:rPr>
          <w:rFonts w:ascii="宋体" w:hAnsi="宋体" w:cs="宋体" w:hint="eastAsia"/>
          <w:sz w:val="24"/>
          <w:szCs w:val="24"/>
          <w:lang w:val="zh-CN"/>
        </w:rPr>
        <w:t>人员，负责证券投资基金托管业务的内控管理工作。</w:t>
      </w:r>
    </w:p>
    <w:p w14:paraId="204B0CE2" w14:textId="77777777" w:rsidR="00B51DEA" w:rsidRDefault="00000000">
      <w:pPr>
        <w:tabs>
          <w:tab w:val="left" w:pos="2160"/>
        </w:tabs>
        <w:adjustRightInd w:val="0"/>
        <w:snapToGrid w:val="0"/>
        <w:spacing w:line="360" w:lineRule="auto"/>
        <w:ind w:firstLineChars="200" w:firstLine="480"/>
        <w:rPr>
          <w:rFonts w:ascii="宋体" w:hAnsi="宋体" w:cs="宋体" w:hint="eastAsia"/>
          <w:sz w:val="24"/>
          <w:szCs w:val="24"/>
          <w:lang w:val="zh-CN"/>
        </w:rPr>
      </w:pPr>
      <w:r>
        <w:rPr>
          <w:rFonts w:ascii="宋体" w:hAnsi="宋体" w:cs="宋体" w:hint="eastAsia"/>
          <w:sz w:val="24"/>
          <w:szCs w:val="24"/>
          <w:lang w:val="zh-CN"/>
        </w:rPr>
        <w:t>4、内部控制制度</w:t>
      </w:r>
    </w:p>
    <w:p w14:paraId="4DF157A2" w14:textId="77777777" w:rsidR="00B51DEA" w:rsidRDefault="00000000">
      <w:pPr>
        <w:tabs>
          <w:tab w:val="left" w:pos="2160"/>
        </w:tabs>
        <w:adjustRightInd w:val="0"/>
        <w:snapToGrid w:val="0"/>
        <w:spacing w:line="360" w:lineRule="auto"/>
        <w:ind w:firstLineChars="200" w:firstLine="480"/>
        <w:rPr>
          <w:rFonts w:ascii="宋体" w:hAnsi="宋体" w:cs="宋体" w:hint="eastAsia"/>
          <w:sz w:val="24"/>
          <w:szCs w:val="24"/>
          <w:lang w:val="zh-CN"/>
        </w:rPr>
      </w:pPr>
      <w:r>
        <w:rPr>
          <w:rFonts w:ascii="宋体" w:hAnsi="宋体" w:cs="宋体" w:hint="eastAsia"/>
          <w:sz w:val="24"/>
          <w:szCs w:val="24"/>
          <w:lang w:val="zh-CN"/>
        </w:rPr>
        <w:t>中国光大银行股份有限公司资产托管部自成立以来严格遵照《基金法》、《中</w:t>
      </w:r>
      <w:r>
        <w:rPr>
          <w:rFonts w:ascii="宋体" w:hAnsi="宋体" w:cs="宋体" w:hint="eastAsia"/>
          <w:sz w:val="24"/>
          <w:szCs w:val="24"/>
          <w:lang w:val="zh-CN"/>
        </w:rPr>
        <w:lastRenderedPageBreak/>
        <w:t>华人民共和国商业银行法》、《信息披露管理办法》、《运作办法》、《销售办法》等法律、法规的要求，并根据相关法律法规制订、完善了《中国光大银行资产托管业务内部控制管理办法》、《中国光大银行资产托管业务保密办法》等十余项规章制度和实施细则，将风险控制落实到每一个工作环节。中国光大银行资产托管部以控制和防范基金托管业务风险为主线，在重要岗位（基金清算、基金核算、投资监督）还建立了安全保密区，安装了录像监视系统和录音监听系统，以保障基金信息的安全。</w:t>
      </w:r>
    </w:p>
    <w:p w14:paraId="3EBBD205" w14:textId="77777777" w:rsidR="00B51DEA" w:rsidRDefault="00000000">
      <w:pPr>
        <w:tabs>
          <w:tab w:val="left" w:pos="2160"/>
        </w:tabs>
        <w:adjustRightInd w:val="0"/>
        <w:snapToGrid w:val="0"/>
        <w:spacing w:line="360" w:lineRule="auto"/>
        <w:ind w:firstLineChars="200" w:firstLine="482"/>
        <w:rPr>
          <w:rFonts w:asciiTheme="minorEastAsia" w:hAnsiTheme="minorEastAsia" w:cs="宋体" w:hint="eastAsia"/>
          <w:b/>
          <w:bCs/>
          <w:color w:val="000000"/>
          <w:sz w:val="24"/>
          <w:szCs w:val="24"/>
        </w:rPr>
      </w:pPr>
      <w:r>
        <w:rPr>
          <w:rFonts w:asciiTheme="minorEastAsia" w:hAnsiTheme="minorEastAsia" w:cs="宋体" w:hint="eastAsia"/>
          <w:b/>
          <w:bCs/>
          <w:color w:val="000000"/>
          <w:sz w:val="24"/>
          <w:szCs w:val="24"/>
        </w:rPr>
        <w:t>五、托管人对管理人运作基金进行监督的方法和程序</w:t>
      </w:r>
    </w:p>
    <w:p w14:paraId="0FA74692" w14:textId="77777777" w:rsidR="00B51DEA" w:rsidRDefault="00000000">
      <w:pPr>
        <w:tabs>
          <w:tab w:val="left" w:pos="2160"/>
        </w:tabs>
        <w:adjustRightInd w:val="0"/>
        <w:snapToGrid w:val="0"/>
        <w:spacing w:line="360" w:lineRule="auto"/>
        <w:ind w:firstLineChars="200" w:firstLine="480"/>
        <w:rPr>
          <w:rFonts w:ascii="宋体" w:hAnsi="宋体" w:cs="宋体" w:hint="eastAsia"/>
          <w:sz w:val="24"/>
          <w:szCs w:val="24"/>
          <w:lang w:val="zh-CN"/>
        </w:rPr>
      </w:pPr>
      <w:r>
        <w:rPr>
          <w:rFonts w:ascii="宋体" w:hAnsi="宋体" w:cs="宋体" w:hint="eastAsia"/>
          <w:sz w:val="24"/>
          <w:szCs w:val="24"/>
          <w:lang w:val="zh-CN"/>
        </w:rPr>
        <w:t>根据法律、法规和基金合同等的要求，基金托管人主要通过定性和定量相结合、事前事中和事后监督相结合、技术与人工监督相结合等方式方法，对基金投资范围、投资组合比例等每日进行监督；同时，对基金管理人就基金资产净值的计算、基金管理人和基金托管人报酬的计提和支付、基金收益分配、基金费用支付等行为的合法性、合</w:t>
      </w:r>
      <w:proofErr w:type="gramStart"/>
      <w:r>
        <w:rPr>
          <w:rFonts w:ascii="宋体" w:hAnsi="宋体" w:cs="宋体" w:hint="eastAsia"/>
          <w:sz w:val="24"/>
          <w:szCs w:val="24"/>
          <w:lang w:val="zh-CN"/>
        </w:rPr>
        <w:t>规</w:t>
      </w:r>
      <w:proofErr w:type="gramEnd"/>
      <w:r>
        <w:rPr>
          <w:rFonts w:ascii="宋体" w:hAnsi="宋体" w:cs="宋体" w:hint="eastAsia"/>
          <w:sz w:val="24"/>
          <w:szCs w:val="24"/>
          <w:lang w:val="zh-CN"/>
        </w:rPr>
        <w:t>性进行监督和核查。</w:t>
      </w:r>
    </w:p>
    <w:p w14:paraId="0CD2DB44" w14:textId="77777777" w:rsidR="00B51DEA" w:rsidRDefault="00000000">
      <w:pPr>
        <w:spacing w:line="360" w:lineRule="auto"/>
        <w:ind w:firstLine="420"/>
        <w:rPr>
          <w:rFonts w:ascii="宋体" w:hAnsi="宋体" w:cs="宋体" w:hint="eastAsia"/>
          <w:sz w:val="24"/>
          <w:szCs w:val="24"/>
          <w:lang w:val="zh-CN"/>
        </w:rPr>
      </w:pPr>
      <w:r>
        <w:rPr>
          <w:rFonts w:ascii="宋体" w:hAnsi="宋体" w:cs="宋体" w:hint="eastAsia"/>
          <w:sz w:val="24"/>
          <w:szCs w:val="24"/>
          <w:lang w:val="zh-CN"/>
        </w:rPr>
        <w:t>基金托管人发现基金管理人有违反法律、法规和基金合同等规定的行为，及时以邮件、电话或书面等形式通知基金管理人限期纠正，基金管理人收到通知后应及时核对确认并以邮件或书面形式对基金托管人发出回函。在限期内，基金托管人有权随时对通知事项进行复查。基金管理人对基金托管人通知的违规事项未能在限期内纠正的，基金托管人应报告中国证监会。</w:t>
      </w:r>
    </w:p>
    <w:p w14:paraId="10328A7C" w14:textId="77777777" w:rsidR="00B51DEA" w:rsidRDefault="00000000">
      <w:pPr>
        <w:widowControl/>
        <w:spacing w:line="360" w:lineRule="auto"/>
        <w:ind w:firstLine="420"/>
        <w:jc w:val="left"/>
        <w:rPr>
          <w:rFonts w:asciiTheme="minorEastAsia" w:hAnsiTheme="minorEastAsia" w:cs="Arial" w:hint="eastAsia"/>
          <w:bCs/>
          <w:color w:val="000000"/>
          <w:kern w:val="0"/>
          <w:sz w:val="24"/>
          <w:szCs w:val="24"/>
        </w:rPr>
      </w:pPr>
      <w:r>
        <w:rPr>
          <w:rFonts w:asciiTheme="minorEastAsia" w:hAnsiTheme="minorEastAsia" w:cs="Arial"/>
          <w:b/>
          <w:bCs/>
          <w:sz w:val="24"/>
          <w:szCs w:val="24"/>
        </w:rPr>
        <w:br w:type="page"/>
      </w:r>
    </w:p>
    <w:p w14:paraId="7DF77529" w14:textId="77777777" w:rsidR="00B51DEA" w:rsidRDefault="00000000">
      <w:pPr>
        <w:pStyle w:val="1"/>
        <w:jc w:val="center"/>
        <w:rPr>
          <w:rFonts w:asciiTheme="minorEastAsia" w:eastAsiaTheme="minorEastAsia" w:hAnsiTheme="minorEastAsia" w:hint="eastAsia"/>
          <w:sz w:val="30"/>
          <w:szCs w:val="30"/>
        </w:rPr>
      </w:pPr>
      <w:bookmarkStart w:id="93" w:name="_Toc214873594"/>
      <w:bookmarkStart w:id="94" w:name="_Toc2677406"/>
      <w:bookmarkStart w:id="95" w:name="_Toc263092313"/>
      <w:bookmarkStart w:id="96" w:name="_Toc416264541"/>
      <w:bookmarkStart w:id="97" w:name="_Toc23822"/>
      <w:bookmarkStart w:id="98" w:name="_Toc98560352"/>
      <w:bookmarkStart w:id="99" w:name="_Toc4003"/>
      <w:bookmarkStart w:id="100" w:name="_Toc352229751"/>
      <w:bookmarkStart w:id="101" w:name="_Toc123051452"/>
      <w:bookmarkStart w:id="102" w:name="_Toc48649707"/>
      <w:bookmarkStart w:id="103" w:name="_Toc11081"/>
      <w:bookmarkStart w:id="104" w:name="_Toc17244"/>
      <w:bookmarkStart w:id="105" w:name="_Toc7920"/>
      <w:bookmarkStart w:id="106" w:name="_Toc79392606"/>
      <w:bookmarkStart w:id="107" w:name="_Toc1270"/>
      <w:bookmarkStart w:id="108" w:name="_Toc23261"/>
      <w:bookmarkStart w:id="109" w:name="_Toc20733"/>
      <w:bookmarkStart w:id="110" w:name="_Toc123112234"/>
      <w:bookmarkStart w:id="111" w:name="_Toc1427"/>
      <w:bookmarkStart w:id="112" w:name="_Toc352229752"/>
      <w:bookmarkStart w:id="113" w:name="_Toc123102453"/>
      <w:bookmarkStart w:id="114" w:name="_Toc10463"/>
      <w:bookmarkStart w:id="115" w:name="_Toc141703886"/>
      <w:bookmarkStart w:id="116" w:name="_Toc139991736"/>
      <w:bookmarkStart w:id="117" w:name="_Toc610"/>
      <w:bookmarkEnd w:id="72"/>
      <w:bookmarkEnd w:id="73"/>
      <w:bookmarkEnd w:id="74"/>
      <w:bookmarkEnd w:id="75"/>
      <w:bookmarkEnd w:id="76"/>
      <w:bookmarkEnd w:id="77"/>
      <w:bookmarkEnd w:id="78"/>
      <w:bookmarkEnd w:id="79"/>
      <w:bookmarkEnd w:id="80"/>
      <w:bookmarkEnd w:id="81"/>
      <w:bookmarkEnd w:id="82"/>
      <w:bookmarkEnd w:id="83"/>
      <w:bookmarkEnd w:id="84"/>
      <w:bookmarkEnd w:id="86"/>
      <w:bookmarkEnd w:id="87"/>
      <w:bookmarkEnd w:id="88"/>
      <w:bookmarkEnd w:id="89"/>
      <w:r>
        <w:rPr>
          <w:rFonts w:asciiTheme="minorEastAsia" w:eastAsiaTheme="minorEastAsia" w:hAnsiTheme="minorEastAsia" w:hint="eastAsia"/>
          <w:sz w:val="30"/>
          <w:szCs w:val="30"/>
        </w:rPr>
        <w:lastRenderedPageBreak/>
        <w:t>第五部分</w:t>
      </w:r>
      <w:r>
        <w:rPr>
          <w:rFonts w:asciiTheme="minorEastAsia" w:eastAsiaTheme="minorEastAsia" w:hAnsiTheme="minorEastAsia"/>
          <w:sz w:val="30"/>
          <w:szCs w:val="30"/>
        </w:rPr>
        <w:t xml:space="preserve">  </w:t>
      </w:r>
      <w:r>
        <w:rPr>
          <w:rFonts w:asciiTheme="minorEastAsia" w:eastAsiaTheme="minorEastAsia" w:hAnsiTheme="minorEastAsia" w:hint="eastAsia"/>
          <w:sz w:val="30"/>
          <w:szCs w:val="30"/>
        </w:rPr>
        <w:t>相关服务机构</w:t>
      </w:r>
      <w:bookmarkEnd w:id="93"/>
      <w:bookmarkEnd w:id="94"/>
      <w:bookmarkEnd w:id="95"/>
      <w:bookmarkEnd w:id="96"/>
    </w:p>
    <w:p w14:paraId="195695FD" w14:textId="77777777" w:rsidR="00B51DEA" w:rsidRDefault="00000000">
      <w:pPr>
        <w:tabs>
          <w:tab w:val="left" w:pos="540"/>
        </w:tabs>
        <w:adjustRightInd w:val="0"/>
        <w:snapToGrid w:val="0"/>
        <w:spacing w:line="360" w:lineRule="auto"/>
        <w:ind w:firstLineChars="200" w:firstLine="482"/>
        <w:rPr>
          <w:rFonts w:asciiTheme="minorEastAsia" w:hAnsiTheme="minorEastAsia" w:cs="Arial" w:hint="eastAsia"/>
          <w:b/>
          <w:bCs/>
          <w:sz w:val="24"/>
          <w:szCs w:val="24"/>
        </w:rPr>
      </w:pPr>
      <w:r>
        <w:rPr>
          <w:rFonts w:asciiTheme="minorEastAsia" w:hAnsiTheme="minorEastAsia" w:cs="Arial" w:hint="eastAsia"/>
          <w:b/>
          <w:bCs/>
          <w:sz w:val="24"/>
          <w:szCs w:val="24"/>
        </w:rPr>
        <w:t>一、基金份额发售机构</w:t>
      </w:r>
    </w:p>
    <w:p w14:paraId="29C4DA90" w14:textId="77777777" w:rsidR="00B51DEA" w:rsidRDefault="00000000">
      <w:pPr>
        <w:tabs>
          <w:tab w:val="left" w:pos="54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1、直销机构：富荣基金管理有限公司直销中心</w:t>
      </w:r>
    </w:p>
    <w:p w14:paraId="00017D04" w14:textId="77777777" w:rsidR="00B51DEA" w:rsidRDefault="00000000">
      <w:pPr>
        <w:tabs>
          <w:tab w:val="left" w:pos="540"/>
        </w:tabs>
        <w:adjustRightInd w:val="0"/>
        <w:snapToGrid w:val="0"/>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注册地址：</w:t>
      </w:r>
      <w:r>
        <w:rPr>
          <w:rFonts w:asciiTheme="minorEastAsia" w:hAnsiTheme="minorEastAsia" w:hint="eastAsia"/>
          <w:kern w:val="0"/>
          <w:sz w:val="24"/>
        </w:rPr>
        <w:t>广东省广州市南沙区横</w:t>
      </w:r>
      <w:proofErr w:type="gramStart"/>
      <w:r>
        <w:rPr>
          <w:rFonts w:asciiTheme="minorEastAsia" w:hAnsiTheme="minorEastAsia" w:hint="eastAsia"/>
          <w:kern w:val="0"/>
          <w:sz w:val="24"/>
        </w:rPr>
        <w:t>沥</w:t>
      </w:r>
      <w:proofErr w:type="gramEnd"/>
      <w:r>
        <w:rPr>
          <w:rFonts w:asciiTheme="minorEastAsia" w:hAnsiTheme="minorEastAsia" w:hint="eastAsia"/>
          <w:kern w:val="0"/>
          <w:sz w:val="24"/>
        </w:rPr>
        <w:t>镇汇通二街2号3110房</w:t>
      </w:r>
    </w:p>
    <w:p w14:paraId="5425A67E" w14:textId="77777777" w:rsidR="00B51DEA" w:rsidRDefault="00000000">
      <w:pPr>
        <w:tabs>
          <w:tab w:val="left" w:pos="540"/>
        </w:tabs>
        <w:adjustRightInd w:val="0"/>
        <w:snapToGrid w:val="0"/>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办公地址：广东省深圳市福田区八卦四路52号安吉尔大厦24层</w:t>
      </w:r>
    </w:p>
    <w:p w14:paraId="437117C7" w14:textId="77777777" w:rsidR="00B51DEA" w:rsidRDefault="00000000">
      <w:pPr>
        <w:tabs>
          <w:tab w:val="left" w:pos="54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法定代表人：</w:t>
      </w:r>
      <w:r>
        <w:rPr>
          <w:rFonts w:asciiTheme="minorEastAsia" w:hAnsiTheme="minorEastAsia" w:cs="Arial"/>
          <w:sz w:val="24"/>
          <w:szCs w:val="24"/>
        </w:rPr>
        <w:t xml:space="preserve"> </w:t>
      </w:r>
      <w:r>
        <w:rPr>
          <w:rFonts w:asciiTheme="minorEastAsia" w:hAnsiTheme="minorEastAsia" w:cs="Arial" w:hint="eastAsia"/>
          <w:sz w:val="24"/>
          <w:szCs w:val="24"/>
        </w:rPr>
        <w:t>王亦伟</w:t>
      </w:r>
    </w:p>
    <w:p w14:paraId="64A9F320" w14:textId="77777777" w:rsidR="00B51DEA" w:rsidRDefault="00000000">
      <w:pPr>
        <w:tabs>
          <w:tab w:val="left" w:pos="54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电话：</w:t>
      </w:r>
      <w:r>
        <w:rPr>
          <w:rFonts w:asciiTheme="minorEastAsia" w:hAnsiTheme="minorEastAsia" w:cs="Arial"/>
          <w:sz w:val="24"/>
          <w:szCs w:val="24"/>
        </w:rPr>
        <w:t>0755-84356629</w:t>
      </w:r>
    </w:p>
    <w:p w14:paraId="66E0F78D" w14:textId="77777777" w:rsidR="00B51DEA" w:rsidRDefault="00000000">
      <w:pPr>
        <w:tabs>
          <w:tab w:val="left" w:pos="54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传真：</w:t>
      </w:r>
      <w:r>
        <w:rPr>
          <w:rFonts w:asciiTheme="minorEastAsia" w:hAnsiTheme="minorEastAsia" w:cs="Arial"/>
          <w:sz w:val="24"/>
          <w:szCs w:val="24"/>
        </w:rPr>
        <w:t>0755-83230902</w:t>
      </w:r>
    </w:p>
    <w:p w14:paraId="5F85CFC3" w14:textId="77777777" w:rsidR="00B51DEA" w:rsidRDefault="00000000">
      <w:pPr>
        <w:tabs>
          <w:tab w:val="left" w:pos="54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客服电话：</w:t>
      </w:r>
      <w:r>
        <w:rPr>
          <w:rFonts w:asciiTheme="minorEastAsia" w:hAnsiTheme="minorEastAsia" w:cs="Arial"/>
          <w:sz w:val="24"/>
          <w:szCs w:val="24"/>
        </w:rPr>
        <w:t>4006855600</w:t>
      </w:r>
    </w:p>
    <w:p w14:paraId="2B804921" w14:textId="77777777" w:rsidR="00B51DEA" w:rsidRDefault="00000000">
      <w:pPr>
        <w:tabs>
          <w:tab w:val="left" w:pos="54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网址：</w:t>
      </w:r>
      <w:r>
        <w:rPr>
          <w:rFonts w:asciiTheme="minorEastAsia" w:hAnsiTheme="minorEastAsia" w:cs="Arial"/>
          <w:sz w:val="24"/>
          <w:szCs w:val="24"/>
        </w:rPr>
        <w:t>www.furamc.com.cn</w:t>
      </w:r>
    </w:p>
    <w:p w14:paraId="73822FEE" w14:textId="77777777" w:rsidR="00B51DEA" w:rsidRDefault="00000000">
      <w:pPr>
        <w:tabs>
          <w:tab w:val="left" w:pos="54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2、</w:t>
      </w:r>
      <w:r>
        <w:rPr>
          <w:rFonts w:asciiTheme="minorEastAsia" w:hAnsiTheme="minorEastAsia" w:cs="Arial" w:hint="eastAsia"/>
          <w:sz w:val="24"/>
          <w:szCs w:val="24"/>
        </w:rPr>
        <w:t>其他销售机构：</w:t>
      </w:r>
    </w:p>
    <w:p w14:paraId="6475BF76" w14:textId="77777777" w:rsidR="00B51DEA" w:rsidRDefault="00000000">
      <w:pPr>
        <w:tabs>
          <w:tab w:val="left" w:pos="54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具体名单详见基金管理人官方网站。</w:t>
      </w:r>
    </w:p>
    <w:p w14:paraId="143EF167" w14:textId="77777777" w:rsidR="00B51DEA" w:rsidRDefault="00000000">
      <w:pPr>
        <w:tabs>
          <w:tab w:val="left" w:pos="540"/>
        </w:tabs>
        <w:adjustRightInd w:val="0"/>
        <w:snapToGrid w:val="0"/>
        <w:spacing w:line="360" w:lineRule="auto"/>
        <w:ind w:firstLineChars="200" w:firstLine="482"/>
        <w:rPr>
          <w:rFonts w:asciiTheme="minorEastAsia" w:hAnsiTheme="minorEastAsia" w:cs="Arial" w:hint="eastAsia"/>
          <w:b/>
          <w:bCs/>
          <w:kern w:val="0"/>
          <w:sz w:val="24"/>
          <w:szCs w:val="24"/>
        </w:rPr>
      </w:pPr>
      <w:r>
        <w:rPr>
          <w:rFonts w:asciiTheme="minorEastAsia" w:hAnsiTheme="minorEastAsia" w:cs="Arial" w:hint="eastAsia"/>
          <w:b/>
          <w:bCs/>
          <w:sz w:val="24"/>
          <w:szCs w:val="24"/>
        </w:rPr>
        <w:t>二、登记机构</w:t>
      </w:r>
    </w:p>
    <w:p w14:paraId="4DBFC699" w14:textId="77777777" w:rsidR="00B51DEA" w:rsidRDefault="00000000">
      <w:pPr>
        <w:snapToGrid w:val="0"/>
        <w:spacing w:line="360" w:lineRule="auto"/>
        <w:ind w:firstLineChars="200" w:firstLine="480"/>
        <w:rPr>
          <w:rFonts w:asciiTheme="minorEastAsia" w:hAnsiTheme="minorEastAsia" w:cs="Arial" w:hint="eastAsia"/>
          <w:color w:val="000000"/>
          <w:kern w:val="0"/>
          <w:sz w:val="24"/>
          <w:szCs w:val="24"/>
        </w:rPr>
      </w:pPr>
      <w:r>
        <w:rPr>
          <w:rFonts w:asciiTheme="minorEastAsia" w:hAnsiTheme="minorEastAsia" w:cs="Arial" w:hint="eastAsia"/>
          <w:color w:val="000000"/>
          <w:kern w:val="0"/>
          <w:sz w:val="24"/>
          <w:szCs w:val="24"/>
        </w:rPr>
        <w:t>名称：富荣基金管理有限公司</w:t>
      </w:r>
      <w:r>
        <w:rPr>
          <w:rFonts w:asciiTheme="minorEastAsia" w:hAnsiTheme="minorEastAsia" w:cs="Arial"/>
          <w:color w:val="000000"/>
          <w:kern w:val="0"/>
          <w:sz w:val="24"/>
          <w:szCs w:val="24"/>
        </w:rPr>
        <w:t xml:space="preserve"> </w:t>
      </w:r>
    </w:p>
    <w:p w14:paraId="5132AEAD" w14:textId="77777777" w:rsidR="00B51DEA" w:rsidRDefault="00000000">
      <w:pPr>
        <w:snapToGrid w:val="0"/>
        <w:spacing w:line="360" w:lineRule="auto"/>
        <w:ind w:firstLineChars="200" w:firstLine="480"/>
        <w:rPr>
          <w:rFonts w:asciiTheme="minorEastAsia" w:hAnsiTheme="minorEastAsia" w:cs="Arial" w:hint="eastAsia"/>
          <w:color w:val="000000"/>
          <w:kern w:val="0"/>
          <w:sz w:val="24"/>
          <w:szCs w:val="24"/>
        </w:rPr>
      </w:pPr>
      <w:r>
        <w:rPr>
          <w:rFonts w:asciiTheme="minorEastAsia" w:hAnsiTheme="minorEastAsia" w:cs="Arial" w:hint="eastAsia"/>
          <w:color w:val="000000"/>
          <w:kern w:val="0"/>
          <w:sz w:val="24"/>
          <w:szCs w:val="24"/>
        </w:rPr>
        <w:t>住所：</w:t>
      </w:r>
      <w:r>
        <w:rPr>
          <w:rFonts w:asciiTheme="minorEastAsia" w:hAnsiTheme="minorEastAsia" w:hint="eastAsia"/>
          <w:kern w:val="0"/>
          <w:sz w:val="24"/>
        </w:rPr>
        <w:t>广东省广州市南沙区横</w:t>
      </w:r>
      <w:proofErr w:type="gramStart"/>
      <w:r>
        <w:rPr>
          <w:rFonts w:asciiTheme="minorEastAsia" w:hAnsiTheme="minorEastAsia" w:hint="eastAsia"/>
          <w:kern w:val="0"/>
          <w:sz w:val="24"/>
        </w:rPr>
        <w:t>沥</w:t>
      </w:r>
      <w:proofErr w:type="gramEnd"/>
      <w:r>
        <w:rPr>
          <w:rFonts w:asciiTheme="minorEastAsia" w:hAnsiTheme="minorEastAsia" w:hint="eastAsia"/>
          <w:kern w:val="0"/>
          <w:sz w:val="24"/>
        </w:rPr>
        <w:t>镇汇通二街2号3110房</w:t>
      </w:r>
    </w:p>
    <w:p w14:paraId="20640D8C" w14:textId="77777777" w:rsidR="00B51DEA" w:rsidRDefault="00000000">
      <w:pPr>
        <w:snapToGrid w:val="0"/>
        <w:spacing w:line="360" w:lineRule="auto"/>
        <w:ind w:firstLineChars="200" w:firstLine="480"/>
        <w:rPr>
          <w:rFonts w:asciiTheme="minorEastAsia" w:hAnsiTheme="minorEastAsia" w:cs="Arial" w:hint="eastAsia"/>
          <w:color w:val="000000"/>
          <w:kern w:val="0"/>
          <w:sz w:val="24"/>
          <w:szCs w:val="24"/>
        </w:rPr>
      </w:pPr>
      <w:r>
        <w:rPr>
          <w:rFonts w:asciiTheme="minorEastAsia" w:hAnsiTheme="minorEastAsia" w:cs="Arial" w:hint="eastAsia"/>
          <w:color w:val="000000"/>
          <w:kern w:val="0"/>
          <w:sz w:val="24"/>
          <w:szCs w:val="24"/>
        </w:rPr>
        <w:t>办公地址：广东省深圳市福田区八卦四路52号安吉尔大厦24层</w:t>
      </w:r>
      <w:r>
        <w:rPr>
          <w:rFonts w:asciiTheme="minorEastAsia" w:hAnsiTheme="minorEastAsia" w:cs="Arial"/>
          <w:color w:val="000000"/>
          <w:kern w:val="0"/>
          <w:sz w:val="24"/>
          <w:szCs w:val="24"/>
        </w:rPr>
        <w:t xml:space="preserve"> </w:t>
      </w:r>
    </w:p>
    <w:p w14:paraId="39688083" w14:textId="77777777" w:rsidR="00B51DEA" w:rsidRDefault="00000000">
      <w:pPr>
        <w:snapToGrid w:val="0"/>
        <w:spacing w:line="360" w:lineRule="auto"/>
        <w:ind w:firstLineChars="200" w:firstLine="480"/>
        <w:rPr>
          <w:rFonts w:asciiTheme="minorEastAsia" w:hAnsiTheme="minorEastAsia" w:cs="Arial" w:hint="eastAsia"/>
          <w:color w:val="000000"/>
          <w:kern w:val="0"/>
          <w:sz w:val="24"/>
          <w:szCs w:val="24"/>
        </w:rPr>
      </w:pPr>
      <w:r>
        <w:rPr>
          <w:rFonts w:asciiTheme="minorEastAsia" w:hAnsiTheme="minorEastAsia" w:cs="Arial" w:hint="eastAsia"/>
          <w:color w:val="000000"/>
          <w:kern w:val="0"/>
          <w:sz w:val="24"/>
          <w:szCs w:val="24"/>
        </w:rPr>
        <w:t>法定代表人：王亦伟</w:t>
      </w:r>
      <w:r>
        <w:rPr>
          <w:rFonts w:asciiTheme="minorEastAsia" w:hAnsiTheme="minorEastAsia" w:cs="Arial"/>
          <w:color w:val="000000"/>
          <w:kern w:val="0"/>
          <w:sz w:val="24"/>
          <w:szCs w:val="24"/>
        </w:rPr>
        <w:t xml:space="preserve"> </w:t>
      </w:r>
    </w:p>
    <w:p w14:paraId="7916F475" w14:textId="77777777" w:rsidR="00B51DEA" w:rsidRDefault="00000000">
      <w:pPr>
        <w:snapToGrid w:val="0"/>
        <w:spacing w:line="360" w:lineRule="auto"/>
        <w:ind w:firstLineChars="200" w:firstLine="480"/>
        <w:rPr>
          <w:rFonts w:asciiTheme="minorEastAsia" w:hAnsiTheme="minorEastAsia" w:cs="Arial" w:hint="eastAsia"/>
          <w:color w:val="000000"/>
          <w:kern w:val="0"/>
          <w:sz w:val="24"/>
          <w:szCs w:val="24"/>
        </w:rPr>
      </w:pPr>
      <w:r>
        <w:rPr>
          <w:rFonts w:asciiTheme="minorEastAsia" w:hAnsiTheme="minorEastAsia" w:cs="Arial" w:hint="eastAsia"/>
          <w:color w:val="000000"/>
          <w:kern w:val="0"/>
          <w:sz w:val="24"/>
          <w:szCs w:val="24"/>
        </w:rPr>
        <w:t>联系人：黄文飞</w:t>
      </w:r>
    </w:p>
    <w:p w14:paraId="00AD28AA" w14:textId="77777777" w:rsidR="00B51DEA" w:rsidRDefault="00000000">
      <w:pPr>
        <w:snapToGrid w:val="0"/>
        <w:spacing w:line="360" w:lineRule="auto"/>
        <w:ind w:firstLineChars="200" w:firstLine="480"/>
        <w:rPr>
          <w:rFonts w:asciiTheme="minorEastAsia" w:hAnsiTheme="minorEastAsia" w:cs="Arial" w:hint="eastAsia"/>
          <w:color w:val="000000"/>
          <w:kern w:val="0"/>
          <w:sz w:val="24"/>
          <w:szCs w:val="24"/>
        </w:rPr>
      </w:pPr>
      <w:r>
        <w:rPr>
          <w:rFonts w:asciiTheme="minorEastAsia" w:hAnsiTheme="minorEastAsia" w:cs="Arial" w:hint="eastAsia"/>
          <w:color w:val="000000"/>
          <w:kern w:val="0"/>
          <w:sz w:val="24"/>
          <w:szCs w:val="24"/>
        </w:rPr>
        <w:t>电话：</w:t>
      </w:r>
      <w:r>
        <w:rPr>
          <w:rFonts w:asciiTheme="minorEastAsia" w:hAnsiTheme="minorEastAsia" w:cs="Arial"/>
          <w:color w:val="000000"/>
          <w:kern w:val="0"/>
          <w:sz w:val="24"/>
          <w:szCs w:val="24"/>
        </w:rPr>
        <w:t xml:space="preserve"> 0755-84356604</w:t>
      </w:r>
    </w:p>
    <w:p w14:paraId="0DFDB47D" w14:textId="77777777" w:rsidR="00B51DEA" w:rsidRDefault="00000000">
      <w:pPr>
        <w:adjustRightInd w:val="0"/>
        <w:snapToGrid w:val="0"/>
        <w:spacing w:line="360" w:lineRule="auto"/>
        <w:ind w:firstLineChars="200" w:firstLine="480"/>
        <w:rPr>
          <w:rFonts w:asciiTheme="minorEastAsia" w:hAnsiTheme="minorEastAsia" w:cs="Arial" w:hint="eastAsia"/>
          <w:color w:val="000000"/>
          <w:kern w:val="0"/>
          <w:sz w:val="24"/>
          <w:szCs w:val="24"/>
        </w:rPr>
      </w:pPr>
      <w:r>
        <w:rPr>
          <w:rFonts w:asciiTheme="minorEastAsia" w:hAnsiTheme="minorEastAsia" w:cs="Arial" w:hint="eastAsia"/>
          <w:color w:val="000000"/>
          <w:kern w:val="0"/>
          <w:sz w:val="24"/>
          <w:szCs w:val="24"/>
        </w:rPr>
        <w:t>传真：</w:t>
      </w:r>
      <w:r>
        <w:rPr>
          <w:rFonts w:asciiTheme="minorEastAsia" w:hAnsiTheme="minorEastAsia" w:cs="Arial"/>
          <w:color w:val="000000"/>
          <w:kern w:val="0"/>
          <w:sz w:val="24"/>
          <w:szCs w:val="24"/>
        </w:rPr>
        <w:t xml:space="preserve"> 0755-83230787</w:t>
      </w:r>
    </w:p>
    <w:p w14:paraId="5901D1C3" w14:textId="77777777" w:rsidR="00B51DEA" w:rsidRDefault="00B51DEA">
      <w:pPr>
        <w:adjustRightInd w:val="0"/>
        <w:snapToGrid w:val="0"/>
        <w:spacing w:line="360" w:lineRule="auto"/>
        <w:ind w:firstLineChars="200" w:firstLine="480"/>
        <w:rPr>
          <w:rFonts w:asciiTheme="minorEastAsia" w:hAnsiTheme="minorEastAsia" w:cs="Arial" w:hint="eastAsia"/>
          <w:color w:val="000000"/>
          <w:kern w:val="0"/>
          <w:sz w:val="24"/>
          <w:szCs w:val="24"/>
        </w:rPr>
      </w:pPr>
    </w:p>
    <w:p w14:paraId="35D90D94" w14:textId="77777777" w:rsidR="00B51DEA" w:rsidRDefault="00000000">
      <w:pPr>
        <w:tabs>
          <w:tab w:val="left" w:pos="540"/>
        </w:tabs>
        <w:adjustRightInd w:val="0"/>
        <w:snapToGrid w:val="0"/>
        <w:spacing w:line="360" w:lineRule="auto"/>
        <w:ind w:firstLineChars="200" w:firstLine="482"/>
        <w:rPr>
          <w:rFonts w:asciiTheme="minorEastAsia" w:hAnsiTheme="minorEastAsia" w:cs="Arial" w:hint="eastAsia"/>
          <w:b/>
          <w:bCs/>
          <w:sz w:val="24"/>
          <w:szCs w:val="24"/>
        </w:rPr>
      </w:pPr>
      <w:r>
        <w:rPr>
          <w:rFonts w:asciiTheme="minorEastAsia" w:hAnsiTheme="minorEastAsia" w:cs="Arial" w:hint="eastAsia"/>
          <w:b/>
          <w:bCs/>
          <w:sz w:val="24"/>
          <w:szCs w:val="24"/>
        </w:rPr>
        <w:t>三、</w:t>
      </w:r>
      <w:r>
        <w:rPr>
          <w:rFonts w:asciiTheme="minorEastAsia" w:hAnsiTheme="minorEastAsia" w:cs="Times New Roman" w:hint="eastAsia"/>
          <w:b/>
          <w:bCs/>
          <w:color w:val="000000"/>
          <w:sz w:val="24"/>
          <w:szCs w:val="24"/>
        </w:rPr>
        <w:t>出具法律意见书的律师事务所</w:t>
      </w:r>
    </w:p>
    <w:p w14:paraId="62EABFEE" w14:textId="77777777" w:rsidR="00B51DEA" w:rsidRDefault="00000000">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名称：上海市通力律师事务所</w:t>
      </w:r>
    </w:p>
    <w:p w14:paraId="62D1ED24" w14:textId="77777777" w:rsidR="00B51DEA" w:rsidRDefault="00000000">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住所：上海市银城中路</w:t>
      </w:r>
      <w:r>
        <w:rPr>
          <w:rFonts w:asciiTheme="minorEastAsia" w:hAnsiTheme="minorEastAsia" w:cs="Arial"/>
          <w:kern w:val="0"/>
          <w:sz w:val="24"/>
          <w:szCs w:val="24"/>
        </w:rPr>
        <w:t>68号时代金融中心19楼</w:t>
      </w:r>
    </w:p>
    <w:p w14:paraId="2A837C8F" w14:textId="77777777" w:rsidR="00B51DEA" w:rsidRDefault="00000000">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办公地址：上海市银城中路</w:t>
      </w:r>
      <w:r>
        <w:rPr>
          <w:rFonts w:asciiTheme="minorEastAsia" w:hAnsiTheme="minorEastAsia" w:cs="Arial"/>
          <w:kern w:val="0"/>
          <w:sz w:val="24"/>
          <w:szCs w:val="24"/>
        </w:rPr>
        <w:t>68号时代金融中心19楼</w:t>
      </w:r>
    </w:p>
    <w:p w14:paraId="114E44CE" w14:textId="77777777" w:rsidR="00B51DEA" w:rsidRDefault="00000000">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负责人：俞卫锋</w:t>
      </w:r>
    </w:p>
    <w:p w14:paraId="02B257ED" w14:textId="77777777" w:rsidR="00B51DEA" w:rsidRDefault="00000000">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电话：</w:t>
      </w:r>
      <w:r>
        <w:rPr>
          <w:rFonts w:asciiTheme="minorEastAsia" w:hAnsiTheme="minorEastAsia" w:cs="Arial"/>
          <w:kern w:val="0"/>
          <w:sz w:val="24"/>
          <w:szCs w:val="24"/>
        </w:rPr>
        <w:t>021-31358666</w:t>
      </w:r>
    </w:p>
    <w:p w14:paraId="0EE3BE59" w14:textId="77777777" w:rsidR="00B51DEA" w:rsidRDefault="00000000">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传真：</w:t>
      </w:r>
      <w:r>
        <w:rPr>
          <w:rFonts w:asciiTheme="minorEastAsia" w:hAnsiTheme="minorEastAsia" w:cs="Arial"/>
          <w:kern w:val="0"/>
          <w:sz w:val="24"/>
          <w:szCs w:val="24"/>
        </w:rPr>
        <w:t>021-31358600</w:t>
      </w:r>
    </w:p>
    <w:p w14:paraId="520A05FE" w14:textId="77777777" w:rsidR="00B51DEA" w:rsidRDefault="00000000">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经办律师：陆奇、安冬</w:t>
      </w:r>
    </w:p>
    <w:p w14:paraId="6594D1D0" w14:textId="77777777" w:rsidR="00B51DEA" w:rsidRDefault="00000000">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lastRenderedPageBreak/>
        <w:t>联系人：</w:t>
      </w:r>
      <w:r>
        <w:rPr>
          <w:rFonts w:asciiTheme="minorEastAsia" w:hAnsiTheme="minorEastAsia" w:cs="Arial"/>
          <w:kern w:val="0"/>
          <w:sz w:val="24"/>
          <w:szCs w:val="24"/>
        </w:rPr>
        <w:t xml:space="preserve"> </w:t>
      </w:r>
      <w:r>
        <w:rPr>
          <w:rFonts w:asciiTheme="minorEastAsia" w:hAnsiTheme="minorEastAsia" w:cs="Arial" w:hint="eastAsia"/>
          <w:kern w:val="0"/>
          <w:sz w:val="24"/>
          <w:szCs w:val="24"/>
        </w:rPr>
        <w:t>陆奇</w:t>
      </w:r>
    </w:p>
    <w:p w14:paraId="19421206" w14:textId="77777777" w:rsidR="00B51DEA" w:rsidRDefault="00B51DEA">
      <w:pPr>
        <w:adjustRightInd w:val="0"/>
        <w:snapToGrid w:val="0"/>
        <w:spacing w:line="360" w:lineRule="auto"/>
        <w:ind w:firstLineChars="200" w:firstLine="480"/>
        <w:rPr>
          <w:rFonts w:asciiTheme="minorEastAsia" w:hAnsiTheme="minorEastAsia" w:cs="Arial" w:hint="eastAsia"/>
          <w:kern w:val="0"/>
          <w:sz w:val="24"/>
          <w:szCs w:val="24"/>
        </w:rPr>
      </w:pPr>
    </w:p>
    <w:p w14:paraId="16BA3484" w14:textId="77777777" w:rsidR="00B51DEA" w:rsidRDefault="00000000">
      <w:pPr>
        <w:adjustRightInd w:val="0"/>
        <w:snapToGrid w:val="0"/>
        <w:spacing w:line="360" w:lineRule="auto"/>
        <w:ind w:firstLineChars="200" w:firstLine="482"/>
        <w:rPr>
          <w:rFonts w:asciiTheme="minorEastAsia" w:hAnsiTheme="minorEastAsia" w:cs="Arial" w:hint="eastAsia"/>
          <w:b/>
          <w:bCs/>
          <w:kern w:val="0"/>
          <w:sz w:val="24"/>
          <w:szCs w:val="24"/>
        </w:rPr>
      </w:pPr>
      <w:r>
        <w:rPr>
          <w:rFonts w:asciiTheme="minorEastAsia" w:hAnsiTheme="minorEastAsia" w:cs="Arial" w:hint="eastAsia"/>
          <w:b/>
          <w:bCs/>
          <w:kern w:val="0"/>
          <w:sz w:val="24"/>
          <w:szCs w:val="24"/>
        </w:rPr>
        <w:t>四、</w:t>
      </w:r>
      <w:r>
        <w:rPr>
          <w:rFonts w:asciiTheme="minorEastAsia" w:hAnsiTheme="minorEastAsia" w:cs="Times New Roman" w:hint="eastAsia"/>
          <w:b/>
          <w:bCs/>
          <w:color w:val="000000"/>
          <w:sz w:val="24"/>
          <w:szCs w:val="24"/>
        </w:rPr>
        <w:t>审计基金财产的会计师事务所</w:t>
      </w:r>
    </w:p>
    <w:p w14:paraId="007D789C" w14:textId="77777777" w:rsidR="00B51DEA" w:rsidRDefault="00000000">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名称：安永华明会计师事务所（特殊普通合伙）</w:t>
      </w:r>
    </w:p>
    <w:p w14:paraId="6888A52D" w14:textId="77777777" w:rsidR="00B51DEA" w:rsidRDefault="00000000">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住所：中国北京市东城区东长安街</w:t>
      </w:r>
      <w:r>
        <w:rPr>
          <w:rFonts w:asciiTheme="minorEastAsia" w:hAnsiTheme="minorEastAsia" w:cs="Arial"/>
          <w:kern w:val="0"/>
          <w:sz w:val="24"/>
          <w:szCs w:val="24"/>
        </w:rPr>
        <w:t>1号东方广场安永大楼16层</w:t>
      </w:r>
    </w:p>
    <w:p w14:paraId="5D35AB81" w14:textId="77777777" w:rsidR="00B51DEA" w:rsidRDefault="00000000">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办公地址：中国北京市东城区东长安街</w:t>
      </w:r>
      <w:r>
        <w:rPr>
          <w:rFonts w:asciiTheme="minorEastAsia" w:hAnsiTheme="minorEastAsia" w:cs="Arial"/>
          <w:kern w:val="0"/>
          <w:sz w:val="24"/>
          <w:szCs w:val="24"/>
        </w:rPr>
        <w:t>1号东方广场安永大楼16层</w:t>
      </w:r>
    </w:p>
    <w:p w14:paraId="6F015857" w14:textId="77777777" w:rsidR="00B51DEA" w:rsidRDefault="00000000">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法定代表人：</w:t>
      </w:r>
      <w:proofErr w:type="gramStart"/>
      <w:r>
        <w:rPr>
          <w:rFonts w:asciiTheme="minorEastAsia" w:hAnsiTheme="minorEastAsia" w:cs="Arial" w:hint="eastAsia"/>
          <w:kern w:val="0"/>
          <w:sz w:val="24"/>
          <w:szCs w:val="24"/>
        </w:rPr>
        <w:t>毛鞍宁</w:t>
      </w:r>
      <w:proofErr w:type="gramEnd"/>
    </w:p>
    <w:p w14:paraId="21A6F1B3" w14:textId="77777777" w:rsidR="00B51DEA" w:rsidRDefault="00000000">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电话：</w:t>
      </w:r>
      <w:r>
        <w:rPr>
          <w:rFonts w:asciiTheme="minorEastAsia" w:hAnsiTheme="minorEastAsia" w:cs="Arial"/>
          <w:kern w:val="0"/>
          <w:sz w:val="24"/>
          <w:szCs w:val="24"/>
        </w:rPr>
        <w:t>+86 10 58153000</w:t>
      </w:r>
    </w:p>
    <w:p w14:paraId="1C932FAE" w14:textId="77777777" w:rsidR="00B51DEA" w:rsidRDefault="00000000">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传真：</w:t>
      </w:r>
      <w:r>
        <w:rPr>
          <w:rFonts w:asciiTheme="minorEastAsia" w:hAnsiTheme="minorEastAsia" w:cs="Arial"/>
          <w:kern w:val="0"/>
          <w:sz w:val="24"/>
          <w:szCs w:val="24"/>
        </w:rPr>
        <w:t>+86 10 85188298</w:t>
      </w:r>
    </w:p>
    <w:p w14:paraId="5598DCE8" w14:textId="77777777" w:rsidR="00B51DEA" w:rsidRDefault="00000000">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签字注册会计师：吴翠蓉、高鹤</w:t>
      </w:r>
    </w:p>
    <w:p w14:paraId="645FA10C" w14:textId="77777777" w:rsidR="00B51DEA" w:rsidRDefault="00000000">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联系人：吴翠蓉</w:t>
      </w:r>
    </w:p>
    <w:p w14:paraId="43B2315C" w14:textId="77777777" w:rsidR="00B51DEA" w:rsidRDefault="00B51DEA">
      <w:pPr>
        <w:keepNext/>
        <w:keepLines/>
        <w:autoSpaceDE w:val="0"/>
        <w:autoSpaceDN w:val="0"/>
        <w:adjustRightInd w:val="0"/>
        <w:snapToGrid w:val="0"/>
        <w:spacing w:line="360" w:lineRule="auto"/>
        <w:ind w:firstLineChars="150" w:firstLine="422"/>
        <w:jc w:val="center"/>
        <w:textAlignment w:val="baseline"/>
        <w:outlineLvl w:val="0"/>
        <w:rPr>
          <w:rFonts w:asciiTheme="minorEastAsia" w:hAnsiTheme="minorEastAsia" w:cs="Arial" w:hint="eastAsia"/>
          <w:b/>
          <w:bCs/>
          <w:kern w:val="0"/>
          <w:sz w:val="28"/>
          <w:szCs w:val="28"/>
        </w:rPr>
        <w:sectPr w:rsidR="00B51DEA">
          <w:pgSz w:w="11906" w:h="16838"/>
          <w:pgMar w:top="1440" w:right="1800" w:bottom="1440" w:left="1800" w:header="851" w:footer="992" w:gutter="0"/>
          <w:pgNumType w:chapStyle="1"/>
          <w:cols w:space="720"/>
          <w:docGrid w:type="lines" w:linePitch="312"/>
        </w:sectPr>
      </w:pPr>
      <w:bookmarkStart w:id="118" w:name="_Toc263092314"/>
      <w:bookmarkStart w:id="119" w:name="_Toc416264542"/>
      <w:bookmarkStart w:id="120" w:name="_Toc31653"/>
      <w:bookmarkStart w:id="121" w:name="_Toc31235"/>
      <w:bookmarkStart w:id="122" w:name="_Toc6405"/>
      <w:bookmarkStart w:id="123" w:name="_Toc123112235"/>
      <w:bookmarkStart w:id="124" w:name="_Toc16859"/>
      <w:bookmarkStart w:id="125" w:name="_Toc141703887"/>
      <w:bookmarkStart w:id="126" w:name="_Toc98560353"/>
      <w:bookmarkStart w:id="127" w:name="_Toc123102454"/>
      <w:bookmarkStart w:id="128" w:name="_Toc31644"/>
      <w:bookmarkStart w:id="129" w:name="_Toc29251"/>
      <w:bookmarkStart w:id="130" w:name="_Toc3601"/>
      <w:bookmarkStart w:id="131" w:name="_Toc352229753"/>
      <w:bookmarkStart w:id="132" w:name="_Toc26207"/>
      <w:bookmarkStart w:id="133" w:name="_Toc14835"/>
      <w:bookmarkStart w:id="134" w:name="_Toc12245"/>
      <w:bookmarkStart w:id="135" w:name="_Toc15143"/>
      <w:bookmarkStart w:id="136" w:name="_Toc139991737"/>
      <w:bookmarkStart w:id="137" w:name="_Toc123051453"/>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14:paraId="261C74C2" w14:textId="77777777" w:rsidR="00B51DEA" w:rsidRDefault="00000000">
      <w:pPr>
        <w:pStyle w:val="1"/>
        <w:jc w:val="center"/>
        <w:rPr>
          <w:rFonts w:asciiTheme="minorEastAsia" w:eastAsiaTheme="minorEastAsia" w:hAnsiTheme="minorEastAsia" w:hint="eastAsia"/>
          <w:sz w:val="30"/>
          <w:szCs w:val="30"/>
        </w:rPr>
      </w:pPr>
      <w:bookmarkStart w:id="138" w:name="_Toc2677407"/>
      <w:r>
        <w:rPr>
          <w:rFonts w:asciiTheme="minorEastAsia" w:eastAsiaTheme="minorEastAsia" w:hAnsiTheme="minorEastAsia" w:hint="eastAsia"/>
          <w:sz w:val="30"/>
          <w:szCs w:val="30"/>
        </w:rPr>
        <w:lastRenderedPageBreak/>
        <w:t>第六部分</w:t>
      </w:r>
      <w:r>
        <w:rPr>
          <w:rFonts w:asciiTheme="minorEastAsia" w:eastAsiaTheme="minorEastAsia" w:hAnsiTheme="minorEastAsia"/>
          <w:sz w:val="30"/>
          <w:szCs w:val="30"/>
        </w:rPr>
        <w:t xml:space="preserve">  </w:t>
      </w:r>
      <w:r>
        <w:rPr>
          <w:rFonts w:asciiTheme="minorEastAsia" w:eastAsiaTheme="minorEastAsia" w:hAnsiTheme="minorEastAsia" w:hint="eastAsia"/>
          <w:sz w:val="30"/>
          <w:szCs w:val="30"/>
        </w:rPr>
        <w:t>基金的募集</w:t>
      </w:r>
      <w:bookmarkEnd w:id="118"/>
      <w:bookmarkEnd w:id="119"/>
      <w:bookmarkEnd w:id="138"/>
    </w:p>
    <w:p w14:paraId="2CB80441" w14:textId="77777777" w:rsidR="00B51DEA" w:rsidRDefault="00000000">
      <w:pPr>
        <w:spacing w:line="360" w:lineRule="auto"/>
        <w:ind w:firstLine="420"/>
        <w:rPr>
          <w:rFonts w:asciiTheme="minorEastAsia" w:hAnsiTheme="minorEastAsia" w:hint="eastAsia"/>
          <w:sz w:val="24"/>
          <w:szCs w:val="24"/>
        </w:rPr>
      </w:pPr>
      <w:r>
        <w:rPr>
          <w:rFonts w:asciiTheme="minorEastAsia" w:hAnsiTheme="minorEastAsia" w:hint="eastAsia"/>
          <w:sz w:val="24"/>
          <w:szCs w:val="24"/>
        </w:rPr>
        <w:t>基金管理人按照《基金法》、《运作办法》、《销售办法》、基金合同及其他有关规定募集本基金，并于</w:t>
      </w:r>
      <w:r>
        <w:rPr>
          <w:rFonts w:asciiTheme="minorEastAsia" w:hAnsiTheme="minorEastAsia"/>
          <w:sz w:val="24"/>
          <w:szCs w:val="24"/>
        </w:rPr>
        <w:t>2017年【12】月【28】日经中国证监会证监许可[2017]2431号文准予注册募集。本基金于2018年6月25日起通过各销售机构向社会公开募集，截至2018年8月7日，基金募集工作已顺利结束。</w:t>
      </w:r>
    </w:p>
    <w:p w14:paraId="2A87F9EC" w14:textId="77777777" w:rsidR="00B51DEA" w:rsidRDefault="00000000">
      <w:pPr>
        <w:widowControl/>
        <w:jc w:val="left"/>
        <w:rPr>
          <w:rFonts w:asciiTheme="minorEastAsia" w:hAnsiTheme="minorEastAsia" w:hint="eastAsia"/>
          <w:sz w:val="24"/>
          <w:szCs w:val="24"/>
        </w:rPr>
      </w:pPr>
      <w:r>
        <w:rPr>
          <w:rFonts w:asciiTheme="minorEastAsia" w:hAnsiTheme="minorEastAsia"/>
          <w:sz w:val="24"/>
          <w:szCs w:val="24"/>
        </w:rPr>
        <w:br w:type="page"/>
      </w:r>
    </w:p>
    <w:p w14:paraId="3D8B9113" w14:textId="77777777" w:rsidR="00B51DEA" w:rsidRDefault="00000000">
      <w:pPr>
        <w:pStyle w:val="1"/>
        <w:jc w:val="center"/>
        <w:rPr>
          <w:rFonts w:asciiTheme="minorEastAsia" w:eastAsiaTheme="minorEastAsia" w:hAnsiTheme="minorEastAsia" w:hint="eastAsia"/>
          <w:sz w:val="30"/>
          <w:szCs w:val="30"/>
        </w:rPr>
      </w:pPr>
      <w:bookmarkStart w:id="139" w:name="_Toc214873596"/>
      <w:bookmarkStart w:id="140" w:name="_Toc263092315"/>
      <w:bookmarkStart w:id="141" w:name="_Toc416264543"/>
      <w:bookmarkStart w:id="142" w:name="_Toc2677408"/>
      <w:bookmarkStart w:id="143" w:name="_Toc11030"/>
      <w:bookmarkStart w:id="144" w:name="_Toc20768"/>
      <w:bookmarkStart w:id="145" w:name="_Toc7058"/>
      <w:bookmarkStart w:id="146" w:name="_Toc141703888"/>
      <w:bookmarkStart w:id="147" w:name="_Toc123112236"/>
      <w:bookmarkStart w:id="148" w:name="_Toc352229754"/>
      <w:bookmarkStart w:id="149" w:name="_Toc18567"/>
      <w:bookmarkStart w:id="150" w:name="_Toc10650"/>
      <w:bookmarkStart w:id="151" w:name="_Toc79392583"/>
      <w:bookmarkStart w:id="152" w:name="_Toc3321"/>
      <w:bookmarkStart w:id="153" w:name="_Toc25783"/>
      <w:bookmarkStart w:id="154" w:name="_Toc6447"/>
      <w:bookmarkStart w:id="155" w:name="_Toc4559"/>
      <w:bookmarkStart w:id="156" w:name="_Toc98560354"/>
      <w:bookmarkStart w:id="157" w:name="_Toc139991738"/>
      <w:bookmarkStart w:id="158" w:name="_Toc9706"/>
      <w:bookmarkStart w:id="159" w:name="_Toc123051454"/>
      <w:bookmarkStart w:id="160" w:name="_Toc3771"/>
      <w:bookmarkStart w:id="161" w:name="_Toc123102455"/>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r>
        <w:rPr>
          <w:rFonts w:asciiTheme="minorEastAsia" w:eastAsiaTheme="minorEastAsia" w:hAnsiTheme="minorEastAsia" w:hint="eastAsia"/>
          <w:sz w:val="30"/>
          <w:szCs w:val="30"/>
        </w:rPr>
        <w:lastRenderedPageBreak/>
        <w:t>第七部分</w:t>
      </w:r>
      <w:r>
        <w:rPr>
          <w:rFonts w:asciiTheme="minorEastAsia" w:eastAsiaTheme="minorEastAsia" w:hAnsiTheme="minorEastAsia"/>
          <w:sz w:val="30"/>
          <w:szCs w:val="30"/>
        </w:rPr>
        <w:t xml:space="preserve">  </w:t>
      </w:r>
      <w:r>
        <w:rPr>
          <w:rFonts w:asciiTheme="minorEastAsia" w:eastAsiaTheme="minorEastAsia" w:hAnsiTheme="minorEastAsia" w:hint="eastAsia"/>
          <w:sz w:val="30"/>
          <w:szCs w:val="30"/>
        </w:rPr>
        <w:t>基金</w:t>
      </w:r>
      <w:bookmarkEnd w:id="139"/>
      <w:bookmarkEnd w:id="140"/>
      <w:r>
        <w:rPr>
          <w:rFonts w:asciiTheme="minorEastAsia" w:eastAsiaTheme="minorEastAsia" w:hAnsiTheme="minorEastAsia" w:hint="eastAsia"/>
          <w:sz w:val="30"/>
          <w:szCs w:val="30"/>
        </w:rPr>
        <w:t>合同的生效</w:t>
      </w:r>
      <w:bookmarkEnd w:id="141"/>
      <w:bookmarkEnd w:id="142"/>
    </w:p>
    <w:p w14:paraId="2E49648A"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根据《基金法》、《运作办法》以及基金合同、招募说明书、基金份额发售公告的有关规定，本基金募集结果符合有关条件，本基金管理人于</w:t>
      </w:r>
      <w:r>
        <w:rPr>
          <w:rFonts w:asciiTheme="minorEastAsia" w:hAnsiTheme="minorEastAsia"/>
          <w:bCs/>
          <w:sz w:val="24"/>
          <w:szCs w:val="24"/>
        </w:rPr>
        <w:t>2018</w:t>
      </w:r>
      <w:r>
        <w:rPr>
          <w:rFonts w:asciiTheme="minorEastAsia" w:hAnsiTheme="minorEastAsia" w:hint="eastAsia"/>
          <w:bCs/>
          <w:sz w:val="24"/>
          <w:szCs w:val="24"/>
        </w:rPr>
        <w:t>年8月</w:t>
      </w:r>
      <w:r>
        <w:rPr>
          <w:rFonts w:asciiTheme="minorEastAsia" w:hAnsiTheme="minorEastAsia"/>
          <w:bCs/>
          <w:sz w:val="24"/>
          <w:szCs w:val="24"/>
        </w:rPr>
        <w:t>10</w:t>
      </w:r>
      <w:r>
        <w:rPr>
          <w:rFonts w:asciiTheme="minorEastAsia" w:hAnsiTheme="minorEastAsia" w:hint="eastAsia"/>
          <w:bCs/>
          <w:sz w:val="24"/>
          <w:szCs w:val="24"/>
        </w:rPr>
        <w:t>日向中国证监会办理完毕基金备案手续并已获书面确认，基金合同自该日期正式生效。自基金合同生效之日起，本基金管理人正式开始管理本基金。</w:t>
      </w:r>
    </w:p>
    <w:p w14:paraId="50A2C56B"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基金合同生效满三年之日（指自然日），</w:t>
      </w:r>
      <w:proofErr w:type="gramStart"/>
      <w:r>
        <w:rPr>
          <w:rFonts w:asciiTheme="minorEastAsia" w:hAnsiTheme="minorEastAsia" w:hint="eastAsia"/>
          <w:bCs/>
          <w:sz w:val="24"/>
          <w:szCs w:val="24"/>
        </w:rPr>
        <w:t>若基金</w:t>
      </w:r>
      <w:proofErr w:type="gramEnd"/>
      <w:r>
        <w:rPr>
          <w:rFonts w:asciiTheme="minorEastAsia" w:hAnsiTheme="minorEastAsia" w:hint="eastAsia"/>
          <w:bCs/>
          <w:sz w:val="24"/>
          <w:szCs w:val="24"/>
        </w:rPr>
        <w:t>规模低于2亿元的，基金合同应当终止，并不得通过召开基金份额持有人大会延续基金合同期限。</w:t>
      </w:r>
    </w:p>
    <w:p w14:paraId="0F7C780F"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 xml:space="preserve"> 《基金合同》生效三年后继续存续的，连续二十个工作日出现基金份额持有人数量</w:t>
      </w:r>
      <w:proofErr w:type="gramStart"/>
      <w:r>
        <w:rPr>
          <w:rFonts w:asciiTheme="minorEastAsia" w:hAnsiTheme="minorEastAsia" w:hint="eastAsia"/>
          <w:bCs/>
          <w:sz w:val="24"/>
          <w:szCs w:val="24"/>
        </w:rPr>
        <w:t>不满二百</w:t>
      </w:r>
      <w:proofErr w:type="gramEnd"/>
      <w:r>
        <w:rPr>
          <w:rFonts w:asciiTheme="minorEastAsia" w:hAnsiTheme="minorEastAsia" w:hint="eastAsia"/>
          <w:bCs/>
          <w:sz w:val="24"/>
          <w:szCs w:val="24"/>
        </w:rPr>
        <w:t>人或者基金资产净值低于五千万元情形的，基金管理人应当在定期报告中予以披露；连续六十个工作日出现前述情形的，本基金应当按照基金合同的约定程序进行清算后终止，且无需召开基金份额持有人大会。</w:t>
      </w:r>
    </w:p>
    <w:p w14:paraId="3516974A"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法律法规另有规定时，从其规定。</w:t>
      </w:r>
    </w:p>
    <w:p w14:paraId="3EB6C26E" w14:textId="77777777" w:rsidR="00B51DEA" w:rsidRDefault="00000000">
      <w:pPr>
        <w:widowControl/>
        <w:jc w:val="left"/>
        <w:rPr>
          <w:rFonts w:asciiTheme="minorEastAsia" w:hAnsiTheme="minorEastAsia" w:cs="Times New Roman" w:hint="eastAsia"/>
          <w:szCs w:val="20"/>
        </w:rPr>
      </w:pPr>
      <w:r>
        <w:rPr>
          <w:rFonts w:asciiTheme="minorEastAsia" w:hAnsiTheme="minorEastAsia" w:cs="Times New Roman"/>
          <w:szCs w:val="20"/>
        </w:rPr>
        <w:br w:type="page"/>
      </w:r>
    </w:p>
    <w:p w14:paraId="044DD9EB" w14:textId="77777777" w:rsidR="00B51DEA" w:rsidRDefault="00000000">
      <w:pPr>
        <w:pStyle w:val="1"/>
        <w:jc w:val="center"/>
        <w:rPr>
          <w:rFonts w:asciiTheme="minorEastAsia" w:eastAsiaTheme="minorEastAsia" w:hAnsiTheme="minorEastAsia" w:cs="Arial" w:hint="eastAsia"/>
          <w:bCs/>
          <w:sz w:val="30"/>
          <w:szCs w:val="30"/>
        </w:rPr>
      </w:pPr>
      <w:bookmarkStart w:id="162" w:name="_Toc21073391"/>
      <w:bookmarkStart w:id="163" w:name="_Toc263092316"/>
      <w:bookmarkStart w:id="164" w:name="_Toc2677409"/>
      <w:bookmarkStart w:id="165" w:name="_Toc416264544"/>
      <w:bookmarkStart w:id="166" w:name="_Toc12357171"/>
      <w:bookmarkStart w:id="167" w:name="_Toc147463118"/>
      <w:bookmarkStart w:id="168" w:name="_Toc214873597"/>
      <w:bookmarkStart w:id="169" w:name="_Toc123051455"/>
      <w:bookmarkStart w:id="170" w:name="_Toc123112237"/>
      <w:bookmarkStart w:id="171" w:name="_Toc123102456"/>
      <w:bookmarkStart w:id="172" w:name="_Toc21735"/>
      <w:bookmarkStart w:id="173" w:name="_Toc98560355"/>
      <w:bookmarkStart w:id="174" w:name="_Toc3572"/>
      <w:bookmarkStart w:id="175" w:name="_Toc18206"/>
      <w:bookmarkStart w:id="176" w:name="_Toc141703889"/>
      <w:bookmarkStart w:id="177" w:name="_Toc18769"/>
      <w:bookmarkStart w:id="178" w:name="_Toc16164"/>
      <w:bookmarkStart w:id="179" w:name="_Toc31821"/>
      <w:bookmarkStart w:id="180" w:name="_Toc725"/>
      <w:bookmarkStart w:id="181" w:name="_Toc352229755"/>
      <w:bookmarkStart w:id="182" w:name="_Toc3963"/>
      <w:bookmarkStart w:id="183" w:name="_Toc3080"/>
      <w:bookmarkStart w:id="184" w:name="_Toc139991739"/>
      <w:bookmarkStart w:id="185" w:name="_Toc10398"/>
      <w:bookmarkStart w:id="186" w:name="_Toc1745"/>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r>
        <w:rPr>
          <w:rFonts w:asciiTheme="minorEastAsia" w:eastAsiaTheme="minorEastAsia" w:hAnsiTheme="minorEastAsia" w:hint="eastAsia"/>
          <w:sz w:val="30"/>
          <w:szCs w:val="30"/>
        </w:rPr>
        <w:lastRenderedPageBreak/>
        <w:t>第八部分</w:t>
      </w:r>
      <w:r>
        <w:rPr>
          <w:rFonts w:asciiTheme="minorEastAsia" w:eastAsiaTheme="minorEastAsia" w:hAnsiTheme="minorEastAsia"/>
          <w:sz w:val="30"/>
          <w:szCs w:val="30"/>
        </w:rPr>
        <w:t xml:space="preserve">  </w:t>
      </w:r>
      <w:r>
        <w:rPr>
          <w:rFonts w:asciiTheme="minorEastAsia" w:eastAsiaTheme="minorEastAsia" w:hAnsiTheme="minorEastAsia" w:hint="eastAsia"/>
          <w:sz w:val="30"/>
          <w:szCs w:val="30"/>
        </w:rPr>
        <w:t>基金份额的申购与赎回</w:t>
      </w:r>
      <w:bookmarkEnd w:id="162"/>
      <w:bookmarkEnd w:id="163"/>
      <w:bookmarkEnd w:id="164"/>
      <w:bookmarkEnd w:id="165"/>
      <w:bookmarkEnd w:id="166"/>
      <w:bookmarkEnd w:id="167"/>
      <w:bookmarkEnd w:id="168"/>
    </w:p>
    <w:p w14:paraId="39ADCBB0" w14:textId="77777777" w:rsidR="00B51DEA" w:rsidRDefault="00000000">
      <w:pPr>
        <w:adjustRightInd w:val="0"/>
        <w:snapToGrid w:val="0"/>
        <w:spacing w:line="360" w:lineRule="auto"/>
        <w:ind w:firstLineChars="200" w:firstLine="482"/>
        <w:rPr>
          <w:rFonts w:asciiTheme="minorEastAsia" w:hAnsiTheme="minorEastAsia" w:cs="Arial" w:hint="eastAsia"/>
          <w:b/>
          <w:bCs/>
          <w:kern w:val="0"/>
          <w:sz w:val="24"/>
          <w:szCs w:val="24"/>
        </w:rPr>
      </w:pPr>
      <w:r>
        <w:rPr>
          <w:rFonts w:asciiTheme="minorEastAsia" w:hAnsiTheme="minorEastAsia" w:cs="Arial" w:hint="eastAsia"/>
          <w:b/>
          <w:bCs/>
          <w:kern w:val="0"/>
          <w:sz w:val="24"/>
          <w:szCs w:val="24"/>
        </w:rPr>
        <w:t>一、申购和赎回场所</w:t>
      </w:r>
    </w:p>
    <w:p w14:paraId="5B6BE512"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本基金的申购与赎回将通过销售机构进行。具体的销售网点将由基金管理人在其他相关公告中列明。基金管理人可根据情况变更或增减销售机构，并在管理人网站公示。基金投资者应当在销售机构办理基金销售业务的营业场所或按销售机构提供的其他方式办理基金份额的申购与赎回。</w:t>
      </w:r>
    </w:p>
    <w:p w14:paraId="553FBDFA" w14:textId="77777777" w:rsidR="00B51DEA" w:rsidRDefault="00B51DEA">
      <w:pPr>
        <w:spacing w:line="360" w:lineRule="auto"/>
        <w:ind w:firstLineChars="200" w:firstLine="480"/>
        <w:rPr>
          <w:rFonts w:asciiTheme="minorEastAsia" w:hAnsiTheme="minorEastAsia" w:hint="eastAsia"/>
          <w:bCs/>
          <w:sz w:val="24"/>
          <w:szCs w:val="24"/>
        </w:rPr>
      </w:pPr>
    </w:p>
    <w:p w14:paraId="096802E1" w14:textId="77777777" w:rsidR="00B51DEA" w:rsidRDefault="00000000">
      <w:pPr>
        <w:tabs>
          <w:tab w:val="left" w:pos="1110"/>
        </w:tabs>
        <w:adjustRightInd w:val="0"/>
        <w:snapToGrid w:val="0"/>
        <w:spacing w:line="360" w:lineRule="auto"/>
        <w:ind w:firstLineChars="200" w:firstLine="482"/>
        <w:rPr>
          <w:rFonts w:asciiTheme="minorEastAsia" w:hAnsiTheme="minorEastAsia" w:cs="Arial" w:hint="eastAsia"/>
          <w:b/>
          <w:bCs/>
          <w:sz w:val="24"/>
          <w:szCs w:val="24"/>
        </w:rPr>
      </w:pPr>
      <w:r>
        <w:rPr>
          <w:rFonts w:asciiTheme="minorEastAsia" w:hAnsiTheme="minorEastAsia" w:cs="Arial" w:hint="eastAsia"/>
          <w:b/>
          <w:bCs/>
          <w:sz w:val="24"/>
          <w:szCs w:val="24"/>
        </w:rPr>
        <w:t>二、申购和赎回的开放日及时间</w:t>
      </w:r>
    </w:p>
    <w:p w14:paraId="76432A28"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1</w:t>
      </w:r>
      <w:r>
        <w:rPr>
          <w:rFonts w:asciiTheme="minorEastAsia" w:hAnsiTheme="minorEastAsia" w:hint="eastAsia"/>
          <w:bCs/>
          <w:sz w:val="24"/>
          <w:szCs w:val="24"/>
        </w:rPr>
        <w:t>、开放日及开放时间</w:t>
      </w:r>
    </w:p>
    <w:p w14:paraId="09B5381F"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投资人在开放日办理基金份额的申购和赎回，具体办理时间为上海证券交易所、深圳证券交易所的正常交易日的交易时间，但基金管理人根据法律法规、中国证监会的要求或基金合同的规定公告暂停申购、赎回时除外。</w:t>
      </w:r>
    </w:p>
    <w:p w14:paraId="0836ACD8"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基金合同生效后，若出现新的证券/期货交易市场、证券/期货交易所交易时间变更或其他特殊情况，基金管理人将视情况对前述开放日及开放时间进行相应的调整，但应在实施日前依照《信息披露办法》的有关规定在指定媒介上公告。</w:t>
      </w:r>
    </w:p>
    <w:p w14:paraId="34919B0F"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2</w:t>
      </w:r>
      <w:r>
        <w:rPr>
          <w:rFonts w:asciiTheme="minorEastAsia" w:hAnsiTheme="minorEastAsia" w:hint="eastAsia"/>
          <w:bCs/>
          <w:sz w:val="24"/>
          <w:szCs w:val="24"/>
        </w:rPr>
        <w:t>、申购、赎回开始日及业务办理时间</w:t>
      </w:r>
    </w:p>
    <w:p w14:paraId="50F657F4"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本基金已于2018年11月9日开始办理申购、赎回业务。</w:t>
      </w:r>
    </w:p>
    <w:p w14:paraId="15990CC0"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基金管理人不得在基金合同约定之外的日期或者时间办理基金份额的申购、赎回或者转换。投资人在基金合同约定之外的日期和时间提出申购、赎回或转换申请</w:t>
      </w:r>
      <w:proofErr w:type="gramStart"/>
      <w:r>
        <w:rPr>
          <w:rFonts w:asciiTheme="minorEastAsia" w:hAnsiTheme="minorEastAsia" w:hint="eastAsia"/>
          <w:bCs/>
          <w:sz w:val="24"/>
          <w:szCs w:val="24"/>
        </w:rPr>
        <w:t>且登记</w:t>
      </w:r>
      <w:proofErr w:type="gramEnd"/>
      <w:r>
        <w:rPr>
          <w:rFonts w:asciiTheme="minorEastAsia" w:hAnsiTheme="minorEastAsia" w:hint="eastAsia"/>
          <w:bCs/>
          <w:sz w:val="24"/>
          <w:szCs w:val="24"/>
        </w:rPr>
        <w:t>机构确认接受的，其基金份额申购、赎回价格为下一开放日该类别基金份额申购、赎回的价格。</w:t>
      </w:r>
    </w:p>
    <w:p w14:paraId="2B8AE4D0" w14:textId="77777777" w:rsidR="00B51DEA" w:rsidRDefault="00B51DEA">
      <w:pPr>
        <w:spacing w:line="360" w:lineRule="auto"/>
        <w:ind w:firstLineChars="200" w:firstLine="480"/>
        <w:rPr>
          <w:rFonts w:asciiTheme="minorEastAsia" w:hAnsiTheme="minorEastAsia" w:hint="eastAsia"/>
          <w:bCs/>
          <w:sz w:val="24"/>
          <w:szCs w:val="24"/>
        </w:rPr>
      </w:pPr>
    </w:p>
    <w:p w14:paraId="0A78C8D9" w14:textId="77777777" w:rsidR="00B51DEA" w:rsidRDefault="00000000">
      <w:pPr>
        <w:tabs>
          <w:tab w:val="left" w:pos="1110"/>
        </w:tabs>
        <w:adjustRightInd w:val="0"/>
        <w:snapToGrid w:val="0"/>
        <w:spacing w:line="360" w:lineRule="auto"/>
        <w:ind w:firstLineChars="200" w:firstLine="482"/>
        <w:rPr>
          <w:rFonts w:asciiTheme="minorEastAsia" w:hAnsiTheme="minorEastAsia" w:cs="Arial" w:hint="eastAsia"/>
          <w:sz w:val="24"/>
          <w:szCs w:val="24"/>
        </w:rPr>
      </w:pPr>
      <w:r>
        <w:rPr>
          <w:rFonts w:asciiTheme="minorEastAsia" w:hAnsiTheme="minorEastAsia" w:cs="Arial" w:hint="eastAsia"/>
          <w:b/>
          <w:bCs/>
          <w:sz w:val="24"/>
          <w:szCs w:val="24"/>
        </w:rPr>
        <w:t>三、申购与赎回的原则</w:t>
      </w:r>
    </w:p>
    <w:p w14:paraId="56BDD2AB"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1</w:t>
      </w:r>
      <w:r>
        <w:rPr>
          <w:rFonts w:asciiTheme="minorEastAsia" w:hAnsiTheme="minorEastAsia" w:hint="eastAsia"/>
          <w:bCs/>
          <w:sz w:val="24"/>
          <w:szCs w:val="24"/>
        </w:rPr>
        <w:t>、“未知价”原则，即申购、赎回价格以申请当日收市后计算的某一类别基金份额净值为基准进行计算；</w:t>
      </w:r>
    </w:p>
    <w:p w14:paraId="4B47DFE8"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2</w:t>
      </w:r>
      <w:r>
        <w:rPr>
          <w:rFonts w:asciiTheme="minorEastAsia" w:hAnsiTheme="minorEastAsia" w:hint="eastAsia"/>
          <w:bCs/>
          <w:sz w:val="24"/>
          <w:szCs w:val="24"/>
        </w:rPr>
        <w:t>、“金额申购、份额赎回”原则，即申购以金额申请，赎回以份额申请；</w:t>
      </w:r>
    </w:p>
    <w:p w14:paraId="1F65B5CE"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3</w:t>
      </w:r>
      <w:r>
        <w:rPr>
          <w:rFonts w:asciiTheme="minorEastAsia" w:hAnsiTheme="minorEastAsia" w:hint="eastAsia"/>
          <w:bCs/>
          <w:sz w:val="24"/>
          <w:szCs w:val="24"/>
        </w:rPr>
        <w:t>、当日的申购与赎回申请可以在基金管理人规定的时间以内撤销；</w:t>
      </w:r>
    </w:p>
    <w:p w14:paraId="1BFC503E"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4</w:t>
      </w:r>
      <w:r>
        <w:rPr>
          <w:rFonts w:asciiTheme="minorEastAsia" w:hAnsiTheme="minorEastAsia" w:hint="eastAsia"/>
          <w:bCs/>
          <w:sz w:val="24"/>
          <w:szCs w:val="24"/>
        </w:rPr>
        <w:t>、赎回遵循“先进先出”原则，即按照投资人认购、申购的先后次序进行顺序赎回；</w:t>
      </w:r>
    </w:p>
    <w:p w14:paraId="399F1B0A" w14:textId="77777777" w:rsidR="00B51DEA" w:rsidRDefault="00000000">
      <w:pPr>
        <w:spacing w:line="360" w:lineRule="auto"/>
        <w:ind w:firstLineChars="200" w:firstLine="480"/>
        <w:rPr>
          <w:rFonts w:asciiTheme="minorEastAsia" w:hAnsiTheme="minorEastAsia" w:hint="eastAsia"/>
          <w:bCs/>
          <w:sz w:val="24"/>
        </w:rPr>
      </w:pPr>
      <w:r>
        <w:rPr>
          <w:rFonts w:asciiTheme="minorEastAsia" w:hAnsiTheme="minorEastAsia" w:hint="eastAsia"/>
          <w:bCs/>
          <w:sz w:val="24"/>
          <w:szCs w:val="24"/>
        </w:rPr>
        <w:lastRenderedPageBreak/>
        <w:t>5、投资者办理申购、赎回等业务时应提交的文件和办理手续、办理时间、处理规则等在遵守基金合同和招募说明书规定的前提下，以各销售</w:t>
      </w:r>
      <w:r>
        <w:rPr>
          <w:rFonts w:asciiTheme="minorEastAsia" w:hAnsiTheme="minorEastAsia" w:hint="eastAsia"/>
          <w:bCs/>
          <w:sz w:val="24"/>
        </w:rPr>
        <w:t>机构的具体规定为准。</w:t>
      </w:r>
    </w:p>
    <w:p w14:paraId="27DD112C"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基金管理人可在法律法规允许的情况下，对上述原则进行调整。基金管理人必须在新规则开始实施前依照《信息披露办法》的有关规定在指定媒介上公告。</w:t>
      </w:r>
    </w:p>
    <w:p w14:paraId="66E883D9" w14:textId="77777777" w:rsidR="00B51DEA" w:rsidRDefault="00B51DEA">
      <w:pPr>
        <w:spacing w:line="360" w:lineRule="auto"/>
        <w:ind w:firstLineChars="200" w:firstLine="480"/>
        <w:rPr>
          <w:rFonts w:asciiTheme="minorEastAsia" w:hAnsiTheme="minorEastAsia" w:hint="eastAsia"/>
          <w:bCs/>
          <w:sz w:val="24"/>
          <w:szCs w:val="24"/>
        </w:rPr>
      </w:pPr>
    </w:p>
    <w:p w14:paraId="011704E3" w14:textId="77777777" w:rsidR="00B51DEA" w:rsidRDefault="00000000">
      <w:pPr>
        <w:tabs>
          <w:tab w:val="left" w:pos="1110"/>
        </w:tabs>
        <w:adjustRightInd w:val="0"/>
        <w:snapToGrid w:val="0"/>
        <w:spacing w:line="360" w:lineRule="auto"/>
        <w:ind w:firstLineChars="200" w:firstLine="482"/>
        <w:rPr>
          <w:rFonts w:asciiTheme="minorEastAsia" w:hAnsiTheme="minorEastAsia" w:cs="Arial" w:hint="eastAsia"/>
          <w:b/>
          <w:bCs/>
          <w:sz w:val="24"/>
          <w:szCs w:val="24"/>
        </w:rPr>
      </w:pPr>
      <w:r>
        <w:rPr>
          <w:rFonts w:asciiTheme="minorEastAsia" w:hAnsiTheme="minorEastAsia" w:cs="Arial" w:hint="eastAsia"/>
          <w:b/>
          <w:bCs/>
          <w:sz w:val="24"/>
          <w:szCs w:val="24"/>
        </w:rPr>
        <w:t>四、申购与赎回的程序</w:t>
      </w:r>
    </w:p>
    <w:p w14:paraId="6B231EE7"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1</w:t>
      </w:r>
      <w:r>
        <w:rPr>
          <w:rFonts w:asciiTheme="minorEastAsia" w:hAnsiTheme="minorEastAsia" w:hint="eastAsia"/>
          <w:bCs/>
          <w:sz w:val="24"/>
          <w:szCs w:val="24"/>
        </w:rPr>
        <w:t>、申购和赎回的申请方式</w:t>
      </w:r>
    </w:p>
    <w:p w14:paraId="3D6564BA"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投资人必须根据销售机构规定的程序，在开放日的具体业务办理时间内提出申购或赎回的申请。</w:t>
      </w:r>
    </w:p>
    <w:p w14:paraId="75D60CA8"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2</w:t>
      </w:r>
      <w:r>
        <w:rPr>
          <w:rFonts w:asciiTheme="minorEastAsia" w:hAnsiTheme="minorEastAsia" w:hint="eastAsia"/>
          <w:bCs/>
          <w:sz w:val="24"/>
          <w:szCs w:val="24"/>
        </w:rPr>
        <w:t>、申购和赎回的款项支付</w:t>
      </w:r>
    </w:p>
    <w:p w14:paraId="2FB0881C"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lang w:val="zh-CN"/>
        </w:rPr>
        <w:t>投资人申购基金份额时，必须全额交付申购款项，投资人在规定时间前全额交付申购款项，申购成立；登记机构确认基金份额时，申购生效。</w:t>
      </w:r>
    </w:p>
    <w:p w14:paraId="22627669"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基金份额持有人递交赎回申请，赎回成立；登记机构确认赎回时，赎回生效。</w:t>
      </w:r>
      <w:r>
        <w:rPr>
          <w:rFonts w:asciiTheme="minorEastAsia" w:hAnsiTheme="minorEastAsia"/>
          <w:bCs/>
          <w:sz w:val="24"/>
          <w:szCs w:val="24"/>
        </w:rPr>
        <w:t>投资人赎回申请成功后，基金管理人将在T＋7日</w:t>
      </w:r>
      <w:r>
        <w:rPr>
          <w:rFonts w:asciiTheme="minorEastAsia" w:hAnsiTheme="minorEastAsia" w:hint="eastAsia"/>
          <w:bCs/>
          <w:sz w:val="24"/>
          <w:szCs w:val="24"/>
        </w:rPr>
        <w:t>（</w:t>
      </w:r>
      <w:r>
        <w:rPr>
          <w:rFonts w:asciiTheme="minorEastAsia" w:hAnsiTheme="minorEastAsia"/>
          <w:bCs/>
          <w:sz w:val="24"/>
          <w:szCs w:val="24"/>
        </w:rPr>
        <w:t>包括该日</w:t>
      </w:r>
      <w:r>
        <w:rPr>
          <w:rFonts w:asciiTheme="minorEastAsia" w:hAnsiTheme="minorEastAsia" w:hint="eastAsia"/>
          <w:bCs/>
          <w:sz w:val="24"/>
          <w:szCs w:val="24"/>
        </w:rPr>
        <w:t>）</w:t>
      </w:r>
      <w:r>
        <w:rPr>
          <w:rFonts w:asciiTheme="minorEastAsia" w:hAnsiTheme="minorEastAsia"/>
          <w:bCs/>
          <w:sz w:val="24"/>
          <w:szCs w:val="24"/>
        </w:rPr>
        <w:t>内支付赎回款项。</w:t>
      </w:r>
      <w:r>
        <w:rPr>
          <w:rFonts w:asciiTheme="minorEastAsia" w:hAnsiTheme="minorEastAsia"/>
          <w:sz w:val="24"/>
          <w:szCs w:val="24"/>
        </w:rPr>
        <w:t>遇交易所或交易市场数据传输延迟、通讯系统故障、银行数据交换系统故障或其它</w:t>
      </w:r>
      <w:proofErr w:type="gramStart"/>
      <w:r>
        <w:rPr>
          <w:rFonts w:asciiTheme="minorEastAsia" w:hAnsiTheme="minorEastAsia"/>
          <w:sz w:val="24"/>
          <w:szCs w:val="24"/>
        </w:rPr>
        <w:t>非基金</w:t>
      </w:r>
      <w:proofErr w:type="gramEnd"/>
      <w:r>
        <w:rPr>
          <w:rFonts w:asciiTheme="minorEastAsia" w:hAnsiTheme="minorEastAsia"/>
          <w:sz w:val="24"/>
          <w:szCs w:val="24"/>
        </w:rPr>
        <w:t>管理人及基金托管人所能控制的因素影响业务处理流程，则</w:t>
      </w:r>
      <w:proofErr w:type="gramStart"/>
      <w:r>
        <w:rPr>
          <w:rFonts w:asciiTheme="minorEastAsia" w:hAnsiTheme="minorEastAsia"/>
          <w:sz w:val="24"/>
          <w:szCs w:val="24"/>
        </w:rPr>
        <w:t>赎回款</w:t>
      </w:r>
      <w:proofErr w:type="gramEnd"/>
      <w:r>
        <w:rPr>
          <w:rFonts w:asciiTheme="minorEastAsia" w:hAnsiTheme="minorEastAsia"/>
          <w:sz w:val="24"/>
          <w:szCs w:val="24"/>
        </w:rPr>
        <w:t>顺延至上述因素消除后的下一个工作日划出。</w:t>
      </w:r>
      <w:r>
        <w:rPr>
          <w:rFonts w:asciiTheme="minorEastAsia" w:hAnsiTheme="minorEastAsia"/>
          <w:bCs/>
          <w:sz w:val="24"/>
          <w:szCs w:val="24"/>
        </w:rPr>
        <w:t>在发生巨额赎回</w:t>
      </w:r>
      <w:r>
        <w:rPr>
          <w:rFonts w:asciiTheme="minorEastAsia" w:hAnsiTheme="minorEastAsia" w:hint="eastAsia"/>
          <w:bCs/>
          <w:sz w:val="24"/>
          <w:szCs w:val="24"/>
        </w:rPr>
        <w:t>或延缓支付赎回款项的情形</w:t>
      </w:r>
      <w:r>
        <w:rPr>
          <w:rFonts w:asciiTheme="minorEastAsia" w:hAnsiTheme="minorEastAsia"/>
          <w:bCs/>
          <w:sz w:val="24"/>
          <w:szCs w:val="24"/>
        </w:rPr>
        <w:t>时，款项的支付办法参照本基金合同有关条款处理。</w:t>
      </w:r>
    </w:p>
    <w:p w14:paraId="366564A0"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3</w:t>
      </w:r>
      <w:r>
        <w:rPr>
          <w:rFonts w:asciiTheme="minorEastAsia" w:hAnsiTheme="minorEastAsia" w:hint="eastAsia"/>
          <w:bCs/>
          <w:sz w:val="24"/>
          <w:szCs w:val="24"/>
        </w:rPr>
        <w:t>、申购和赎回申请的确认</w:t>
      </w:r>
    </w:p>
    <w:p w14:paraId="6AD216BA"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基金管理人应以交易时间结束前受理有效申购和赎回申请的当天作为申购或赎回申请日（T日），在正常情况下，本基金登记机构在T+</w:t>
      </w:r>
      <w:r>
        <w:rPr>
          <w:rFonts w:asciiTheme="minorEastAsia" w:hAnsiTheme="minorEastAsia"/>
          <w:bCs/>
          <w:sz w:val="24"/>
          <w:szCs w:val="24"/>
        </w:rPr>
        <w:t>1</w:t>
      </w:r>
      <w:r>
        <w:rPr>
          <w:rFonts w:asciiTheme="minorEastAsia" w:hAnsiTheme="minorEastAsia" w:hint="eastAsia"/>
          <w:bCs/>
          <w:sz w:val="24"/>
          <w:szCs w:val="24"/>
        </w:rPr>
        <w:t>日内对该交易的有效性进行确认。T日提交的有效申请，投资人应在T+</w:t>
      </w:r>
      <w:r>
        <w:rPr>
          <w:rFonts w:asciiTheme="minorEastAsia" w:hAnsiTheme="minorEastAsia"/>
          <w:bCs/>
          <w:sz w:val="24"/>
          <w:szCs w:val="24"/>
        </w:rPr>
        <w:t>2</w:t>
      </w:r>
      <w:r>
        <w:rPr>
          <w:rFonts w:asciiTheme="minorEastAsia" w:hAnsiTheme="minorEastAsia" w:hint="eastAsia"/>
          <w:bCs/>
          <w:sz w:val="24"/>
          <w:szCs w:val="24"/>
        </w:rPr>
        <w:t>日后（包括该日）及时到销售网点柜台或以销售机构规定的其他方式查询申请的确认情况。若申购不成功，则申购款项退还给投资人。</w:t>
      </w:r>
    </w:p>
    <w:p w14:paraId="18BEDE26"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bCs/>
          <w:sz w:val="24"/>
          <w:szCs w:val="24"/>
        </w:rPr>
        <w:t>基金销售机构对申购、赎回申请的受理并不代表申请一定成功，而仅代表销售机构确实接收到申请。申购、赎回申请的确认以登记机构的确认结果为准。对于</w:t>
      </w:r>
      <w:r>
        <w:rPr>
          <w:rFonts w:asciiTheme="minorEastAsia" w:hAnsiTheme="minorEastAsia" w:hint="eastAsia"/>
          <w:sz w:val="24"/>
          <w:szCs w:val="24"/>
        </w:rPr>
        <w:t>申请</w:t>
      </w:r>
      <w:r>
        <w:rPr>
          <w:rFonts w:asciiTheme="minorEastAsia" w:hAnsiTheme="minorEastAsia" w:hint="eastAsia"/>
          <w:bCs/>
          <w:sz w:val="24"/>
          <w:szCs w:val="24"/>
        </w:rPr>
        <w:t>的</w:t>
      </w:r>
      <w:r>
        <w:rPr>
          <w:rFonts w:asciiTheme="minorEastAsia" w:hAnsiTheme="minorEastAsia" w:hint="eastAsia"/>
          <w:sz w:val="24"/>
          <w:szCs w:val="24"/>
        </w:rPr>
        <w:t>确认</w:t>
      </w:r>
      <w:r>
        <w:rPr>
          <w:rFonts w:asciiTheme="minorEastAsia" w:hAnsiTheme="minorEastAsia" w:hint="eastAsia"/>
          <w:bCs/>
          <w:sz w:val="24"/>
          <w:szCs w:val="24"/>
        </w:rPr>
        <w:t>情况，投资者应及时查询</w:t>
      </w:r>
      <w:r>
        <w:rPr>
          <w:rFonts w:asciiTheme="minorEastAsia" w:hAnsiTheme="minorEastAsia" w:hint="eastAsia"/>
          <w:sz w:val="24"/>
          <w:szCs w:val="24"/>
        </w:rPr>
        <w:t>。</w:t>
      </w:r>
    </w:p>
    <w:p w14:paraId="6D5D25F4" w14:textId="77777777" w:rsidR="00B51DEA" w:rsidRDefault="00000000">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基金管理人可以在法律法规和基金合同允许的范围内，对上述业务办理时间</w:t>
      </w:r>
      <w:r>
        <w:rPr>
          <w:rFonts w:asciiTheme="minorEastAsia" w:hAnsiTheme="minorEastAsia" w:hint="eastAsia"/>
          <w:bCs/>
          <w:sz w:val="24"/>
        </w:rPr>
        <w:lastRenderedPageBreak/>
        <w:t>进行调整，并在调整实施前依照《信息披露办法》的有关规定在指定媒介上公告。</w:t>
      </w:r>
    </w:p>
    <w:p w14:paraId="2985ECCA" w14:textId="77777777" w:rsidR="00B51DEA" w:rsidRDefault="00B51DEA">
      <w:pPr>
        <w:spacing w:line="360" w:lineRule="auto"/>
        <w:ind w:firstLineChars="200" w:firstLine="480"/>
        <w:rPr>
          <w:rFonts w:asciiTheme="minorEastAsia" w:hAnsiTheme="minorEastAsia" w:hint="eastAsia"/>
          <w:bCs/>
          <w:sz w:val="24"/>
          <w:szCs w:val="24"/>
        </w:rPr>
      </w:pPr>
    </w:p>
    <w:p w14:paraId="11D9D1A2" w14:textId="77777777" w:rsidR="00B51DEA" w:rsidRDefault="00000000">
      <w:pPr>
        <w:tabs>
          <w:tab w:val="left" w:pos="1110"/>
        </w:tabs>
        <w:adjustRightInd w:val="0"/>
        <w:snapToGrid w:val="0"/>
        <w:spacing w:line="360" w:lineRule="auto"/>
        <w:ind w:firstLineChars="200" w:firstLine="482"/>
        <w:rPr>
          <w:rFonts w:asciiTheme="minorEastAsia" w:hAnsiTheme="minorEastAsia" w:cs="Arial" w:hint="eastAsia"/>
          <w:sz w:val="24"/>
          <w:szCs w:val="24"/>
        </w:rPr>
      </w:pPr>
      <w:r>
        <w:rPr>
          <w:rFonts w:asciiTheme="minorEastAsia" w:hAnsiTheme="minorEastAsia" w:cs="Arial" w:hint="eastAsia"/>
          <w:b/>
          <w:bCs/>
          <w:sz w:val="24"/>
          <w:szCs w:val="24"/>
        </w:rPr>
        <w:t>五、申购与赎回的数额限制</w:t>
      </w:r>
    </w:p>
    <w:p w14:paraId="6C4BFBEE" w14:textId="77777777" w:rsidR="00B51DEA" w:rsidRDefault="00000000">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1、投资人申购 A 类基金份额，首次单笔最低申购金额为人民币 1.00 元，追加申购单笔最低金额为人民币 1.00 元。投资人申购 C 类基金份额，首次单笔最低申购金额为人民币 1.00元，追加申购单笔最低金额为人民币 1.00元。各销售机构在不低于上述规定的前提下， 可根据自己的情况调整首次最低申购金额和追加最低申购金额和追加最低申购金额限制，具体以销售机构公布的为准。</w:t>
      </w:r>
    </w:p>
    <w:p w14:paraId="3A0CCFA0" w14:textId="77777777" w:rsidR="00B51DEA" w:rsidRDefault="00000000">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2、基金份额持有人在销售机构赎回时，每个交易账户最低持有某一类别基金份额余额为</w:t>
      </w:r>
      <w:r>
        <w:rPr>
          <w:rFonts w:asciiTheme="minorEastAsia" w:hAnsiTheme="minorEastAsia" w:cs="Arial"/>
          <w:sz w:val="24"/>
          <w:szCs w:val="24"/>
        </w:rPr>
        <w:t>1</w:t>
      </w:r>
      <w:r>
        <w:rPr>
          <w:rFonts w:asciiTheme="minorEastAsia" w:hAnsiTheme="minorEastAsia" w:cs="Arial" w:hint="eastAsia"/>
          <w:sz w:val="24"/>
          <w:szCs w:val="24"/>
        </w:rPr>
        <w:t xml:space="preserve">份，若某笔赎回导致单个交易账户的某一类别基金份额余额少于 </w:t>
      </w:r>
      <w:r>
        <w:rPr>
          <w:rFonts w:asciiTheme="minorEastAsia" w:hAnsiTheme="minorEastAsia" w:cs="Arial"/>
          <w:sz w:val="24"/>
          <w:szCs w:val="24"/>
        </w:rPr>
        <w:t>1</w:t>
      </w:r>
      <w:r>
        <w:rPr>
          <w:rFonts w:asciiTheme="minorEastAsia" w:hAnsiTheme="minorEastAsia" w:cs="Arial" w:hint="eastAsia"/>
          <w:sz w:val="24"/>
          <w:szCs w:val="24"/>
        </w:rPr>
        <w:t>份时，该类份额余额部分基金份额必须一同赎回。</w:t>
      </w:r>
    </w:p>
    <w:p w14:paraId="1885F1D6" w14:textId="77777777" w:rsidR="00B51DEA" w:rsidRDefault="00000000">
      <w:pPr>
        <w:tabs>
          <w:tab w:val="left" w:pos="1110"/>
          <w:tab w:val="left" w:pos="630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3、基金管理人可以规定单个投资者累计持有的某一类别基金份额数量限制，具体规定见定期更新的招募说明书或相关公告。</w:t>
      </w:r>
    </w:p>
    <w:p w14:paraId="659B67DF"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4、当接受申购申请对存量基金份额持有人利益构成潜在重大不利影响时，基金管理人有权采取设定单一投资者申购金额上限或基金单日净申购比例上限、拒绝大额申购、暂停基金申购等措施，切实保护存量基金份额持有人的合法权益，具体规定请参见相关公告。</w:t>
      </w:r>
    </w:p>
    <w:p w14:paraId="15ECBAA5"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5、基金管理人可在法律法规允许的情况下，调整上述规定申购金额和赎回份额等数量限制。基金管理人必须在调整实施前依照《信息披露办法》的有关规定在指定媒介上公告并报中国证监会备案。</w:t>
      </w:r>
    </w:p>
    <w:p w14:paraId="35C0FD3F"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6、基金管理人有权决定基金份额持有人持有本基金的最高限额和本基金的总规模限额，但最迟应在新的限额实施前依照《信息披露办法》的有关规定在指定媒介上公告。</w:t>
      </w:r>
    </w:p>
    <w:p w14:paraId="47C0214B" w14:textId="77777777" w:rsidR="00B51DEA" w:rsidRDefault="00B51DEA">
      <w:pPr>
        <w:spacing w:line="360" w:lineRule="auto"/>
        <w:ind w:firstLineChars="200" w:firstLine="480"/>
        <w:rPr>
          <w:rFonts w:asciiTheme="minorEastAsia" w:hAnsiTheme="minorEastAsia" w:hint="eastAsia"/>
          <w:bCs/>
          <w:sz w:val="24"/>
          <w:szCs w:val="24"/>
        </w:rPr>
      </w:pPr>
    </w:p>
    <w:p w14:paraId="30CA180F" w14:textId="77777777" w:rsidR="00B51DEA" w:rsidRDefault="00000000">
      <w:pPr>
        <w:tabs>
          <w:tab w:val="left" w:pos="1110"/>
          <w:tab w:val="left" w:pos="6300"/>
        </w:tabs>
        <w:adjustRightInd w:val="0"/>
        <w:snapToGrid w:val="0"/>
        <w:spacing w:line="360" w:lineRule="auto"/>
        <w:ind w:firstLineChars="200" w:firstLine="482"/>
        <w:rPr>
          <w:rFonts w:asciiTheme="minorEastAsia" w:hAnsiTheme="minorEastAsia" w:cs="Arial" w:hint="eastAsia"/>
          <w:b/>
          <w:bCs/>
          <w:sz w:val="24"/>
          <w:szCs w:val="24"/>
        </w:rPr>
      </w:pPr>
      <w:r>
        <w:rPr>
          <w:rFonts w:asciiTheme="minorEastAsia" w:hAnsiTheme="minorEastAsia" w:cs="Arial" w:hint="eastAsia"/>
          <w:b/>
          <w:bCs/>
          <w:sz w:val="24"/>
          <w:szCs w:val="24"/>
        </w:rPr>
        <w:t>六、申购费用、赎回费用</w:t>
      </w:r>
    </w:p>
    <w:p w14:paraId="5409BACF" w14:textId="77777777" w:rsidR="00B51DEA" w:rsidRDefault="00000000">
      <w:pPr>
        <w:tabs>
          <w:tab w:val="left" w:pos="1110"/>
          <w:tab w:val="left" w:pos="630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1</w:t>
      </w:r>
      <w:r>
        <w:rPr>
          <w:rFonts w:asciiTheme="minorEastAsia" w:hAnsiTheme="minorEastAsia" w:cs="Arial" w:hint="eastAsia"/>
          <w:sz w:val="24"/>
          <w:szCs w:val="24"/>
        </w:rPr>
        <w:t>、申购费用</w:t>
      </w:r>
    </w:p>
    <w:p w14:paraId="14507C5B" w14:textId="77777777" w:rsidR="00B51DEA" w:rsidRDefault="00000000">
      <w:pPr>
        <w:tabs>
          <w:tab w:val="left" w:pos="1110"/>
          <w:tab w:val="left" w:pos="630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本基金</w:t>
      </w:r>
      <w:r>
        <w:rPr>
          <w:rFonts w:asciiTheme="minorEastAsia" w:hAnsiTheme="minorEastAsia" w:cs="Arial"/>
          <w:sz w:val="24"/>
          <w:szCs w:val="24"/>
        </w:rPr>
        <w:t>A</w:t>
      </w:r>
      <w:r>
        <w:rPr>
          <w:rFonts w:asciiTheme="minorEastAsia" w:hAnsiTheme="minorEastAsia" w:cs="Arial" w:hint="eastAsia"/>
          <w:sz w:val="24"/>
          <w:szCs w:val="24"/>
        </w:rPr>
        <w:t>类基金份额、</w:t>
      </w:r>
      <w:r>
        <w:rPr>
          <w:rFonts w:asciiTheme="minorEastAsia" w:hAnsiTheme="minorEastAsia" w:cs="Arial"/>
          <w:sz w:val="24"/>
          <w:szCs w:val="24"/>
        </w:rPr>
        <w:t>C</w:t>
      </w:r>
      <w:r>
        <w:rPr>
          <w:rFonts w:asciiTheme="minorEastAsia" w:hAnsiTheme="minorEastAsia" w:cs="Arial" w:hint="eastAsia"/>
          <w:sz w:val="24"/>
          <w:szCs w:val="24"/>
        </w:rPr>
        <w:t>类基金份额申购均采用金额申购方式，申购费率如下表。投资者在一天之内如果有多笔申购，费率按单笔分别计算。</w:t>
      </w:r>
    </w:p>
    <w:p w14:paraId="6EBF6AC6" w14:textId="77777777" w:rsidR="00B51DEA" w:rsidRDefault="00B51DEA">
      <w:pPr>
        <w:tabs>
          <w:tab w:val="left" w:pos="1110"/>
          <w:tab w:val="left" w:pos="6300"/>
        </w:tabs>
        <w:adjustRightInd w:val="0"/>
        <w:snapToGrid w:val="0"/>
        <w:spacing w:line="360" w:lineRule="auto"/>
        <w:ind w:firstLineChars="200" w:firstLine="480"/>
        <w:rPr>
          <w:rFonts w:asciiTheme="minorEastAsia" w:hAnsiTheme="minorEastAsia" w:cs="Arial" w:hint="eastAsia"/>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92"/>
        <w:gridCol w:w="4430"/>
      </w:tblGrid>
      <w:tr w:rsidR="00B51DEA" w14:paraId="29508F6A" w14:textId="77777777">
        <w:trPr>
          <w:trHeight w:val="190"/>
          <w:jc w:val="center"/>
        </w:trPr>
        <w:tc>
          <w:tcPr>
            <w:tcW w:w="5000" w:type="pct"/>
            <w:gridSpan w:val="2"/>
            <w:tcBorders>
              <w:top w:val="single" w:sz="4" w:space="0" w:color="auto"/>
              <w:left w:val="single" w:sz="4" w:space="0" w:color="auto"/>
              <w:bottom w:val="single" w:sz="4" w:space="0" w:color="auto"/>
              <w:right w:val="single" w:sz="4" w:space="0" w:color="auto"/>
            </w:tcBorders>
          </w:tcPr>
          <w:p w14:paraId="40702537" w14:textId="77777777" w:rsidR="00B51DEA" w:rsidRDefault="00000000">
            <w:pPr>
              <w:widowControl/>
              <w:spacing w:line="264" w:lineRule="auto"/>
              <w:jc w:val="center"/>
              <w:rPr>
                <w:rFonts w:asciiTheme="minorEastAsia" w:hAnsiTheme="minorEastAsia" w:cs="Arial" w:hint="eastAsia"/>
                <w:bCs/>
                <w:kern w:val="0"/>
                <w:szCs w:val="24"/>
              </w:rPr>
            </w:pPr>
            <w:r>
              <w:rPr>
                <w:rFonts w:asciiTheme="minorEastAsia" w:hAnsiTheme="minorEastAsia" w:cs="Arial"/>
                <w:b/>
                <w:bCs/>
                <w:kern w:val="0"/>
                <w:szCs w:val="24"/>
              </w:rPr>
              <w:t>A类基金份额</w:t>
            </w:r>
          </w:p>
        </w:tc>
      </w:tr>
      <w:tr w:rsidR="00B51DEA" w14:paraId="4EF5898B" w14:textId="77777777">
        <w:trPr>
          <w:trHeight w:val="190"/>
          <w:jc w:val="center"/>
        </w:trPr>
        <w:tc>
          <w:tcPr>
            <w:tcW w:w="2401" w:type="pct"/>
            <w:tcBorders>
              <w:top w:val="single" w:sz="4" w:space="0" w:color="auto"/>
              <w:left w:val="single" w:sz="4" w:space="0" w:color="auto"/>
              <w:bottom w:val="single" w:sz="4" w:space="0" w:color="auto"/>
              <w:right w:val="single" w:sz="4" w:space="0" w:color="auto"/>
            </w:tcBorders>
          </w:tcPr>
          <w:p w14:paraId="129AA695" w14:textId="77777777" w:rsidR="00B51DEA" w:rsidRDefault="00000000">
            <w:pPr>
              <w:widowControl/>
              <w:spacing w:line="336" w:lineRule="auto"/>
              <w:jc w:val="center"/>
              <w:rPr>
                <w:rFonts w:asciiTheme="minorEastAsia" w:hAnsiTheme="minorEastAsia" w:cs="Arial" w:hint="eastAsia"/>
                <w:bCs/>
                <w:kern w:val="0"/>
                <w:sz w:val="24"/>
                <w:szCs w:val="24"/>
              </w:rPr>
            </w:pPr>
            <w:r>
              <w:rPr>
                <w:rFonts w:asciiTheme="minorEastAsia" w:hAnsiTheme="minorEastAsia" w:cs="Arial" w:hint="eastAsia"/>
                <w:bCs/>
                <w:kern w:val="0"/>
                <w:sz w:val="24"/>
                <w:szCs w:val="24"/>
              </w:rPr>
              <w:lastRenderedPageBreak/>
              <w:t>申购金额（</w:t>
            </w:r>
            <w:r>
              <w:rPr>
                <w:rFonts w:asciiTheme="minorEastAsia" w:hAnsiTheme="minorEastAsia" w:cs="Arial"/>
                <w:bCs/>
                <w:kern w:val="0"/>
                <w:sz w:val="24"/>
                <w:szCs w:val="24"/>
              </w:rPr>
              <w:t>M）</w:t>
            </w:r>
          </w:p>
        </w:tc>
        <w:tc>
          <w:tcPr>
            <w:tcW w:w="2599" w:type="pct"/>
            <w:tcBorders>
              <w:top w:val="single" w:sz="4" w:space="0" w:color="auto"/>
              <w:left w:val="single" w:sz="4" w:space="0" w:color="auto"/>
              <w:bottom w:val="single" w:sz="4" w:space="0" w:color="auto"/>
              <w:right w:val="single" w:sz="4" w:space="0" w:color="auto"/>
            </w:tcBorders>
          </w:tcPr>
          <w:p w14:paraId="51F56A22" w14:textId="77777777" w:rsidR="00B51DEA" w:rsidRDefault="00000000">
            <w:pPr>
              <w:widowControl/>
              <w:spacing w:line="336" w:lineRule="auto"/>
              <w:ind w:firstLineChars="200" w:firstLine="420"/>
              <w:jc w:val="center"/>
              <w:rPr>
                <w:rFonts w:asciiTheme="minorEastAsia" w:hAnsiTheme="minorEastAsia" w:cs="Arial" w:hint="eastAsia"/>
                <w:bCs/>
                <w:kern w:val="0"/>
                <w:szCs w:val="24"/>
              </w:rPr>
            </w:pPr>
            <w:r>
              <w:rPr>
                <w:rFonts w:asciiTheme="minorEastAsia" w:hAnsiTheme="minorEastAsia" w:cs="Arial" w:hint="eastAsia"/>
                <w:bCs/>
                <w:kern w:val="0"/>
                <w:szCs w:val="24"/>
              </w:rPr>
              <w:t>申购费率</w:t>
            </w:r>
          </w:p>
        </w:tc>
      </w:tr>
      <w:tr w:rsidR="00B51DEA" w14:paraId="60171258" w14:textId="77777777">
        <w:trPr>
          <w:trHeight w:val="190"/>
          <w:jc w:val="center"/>
        </w:trPr>
        <w:tc>
          <w:tcPr>
            <w:tcW w:w="2401" w:type="pct"/>
            <w:tcBorders>
              <w:top w:val="single" w:sz="4" w:space="0" w:color="auto"/>
              <w:left w:val="single" w:sz="4" w:space="0" w:color="auto"/>
              <w:bottom w:val="single" w:sz="4" w:space="0" w:color="auto"/>
              <w:right w:val="single" w:sz="4" w:space="0" w:color="auto"/>
            </w:tcBorders>
          </w:tcPr>
          <w:p w14:paraId="3CAA889E" w14:textId="77777777" w:rsidR="00B51DEA" w:rsidRDefault="00000000">
            <w:pPr>
              <w:widowControl/>
              <w:spacing w:line="336" w:lineRule="auto"/>
              <w:jc w:val="center"/>
              <w:rPr>
                <w:rFonts w:asciiTheme="minorEastAsia" w:hAnsiTheme="minorEastAsia" w:cs="Arial" w:hint="eastAsia"/>
                <w:kern w:val="0"/>
                <w:sz w:val="24"/>
                <w:szCs w:val="24"/>
              </w:rPr>
            </w:pPr>
            <w:r>
              <w:rPr>
                <w:rFonts w:asciiTheme="minorEastAsia" w:hAnsiTheme="minorEastAsia" w:cs="Arial"/>
                <w:kern w:val="0"/>
                <w:sz w:val="24"/>
                <w:szCs w:val="24"/>
              </w:rPr>
              <w:t>M＜100万元</w:t>
            </w:r>
          </w:p>
        </w:tc>
        <w:tc>
          <w:tcPr>
            <w:tcW w:w="2599" w:type="pct"/>
            <w:tcBorders>
              <w:top w:val="single" w:sz="4" w:space="0" w:color="auto"/>
              <w:left w:val="single" w:sz="4" w:space="0" w:color="auto"/>
              <w:bottom w:val="single" w:sz="4" w:space="0" w:color="auto"/>
              <w:right w:val="single" w:sz="4" w:space="0" w:color="auto"/>
            </w:tcBorders>
          </w:tcPr>
          <w:p w14:paraId="7547D72F" w14:textId="77777777" w:rsidR="00B51DEA" w:rsidRDefault="00000000">
            <w:pPr>
              <w:widowControl/>
              <w:spacing w:line="336" w:lineRule="auto"/>
              <w:ind w:firstLineChars="200" w:firstLine="420"/>
              <w:jc w:val="center"/>
              <w:rPr>
                <w:rFonts w:asciiTheme="minorEastAsia" w:hAnsiTheme="minorEastAsia" w:cs="Arial" w:hint="eastAsia"/>
                <w:kern w:val="0"/>
                <w:szCs w:val="24"/>
              </w:rPr>
            </w:pPr>
            <w:r>
              <w:rPr>
                <w:rFonts w:asciiTheme="minorEastAsia" w:hAnsiTheme="minorEastAsia" w:cs="Arial"/>
                <w:kern w:val="0"/>
                <w:szCs w:val="24"/>
              </w:rPr>
              <w:t>1.00%</w:t>
            </w:r>
          </w:p>
        </w:tc>
      </w:tr>
      <w:tr w:rsidR="00B51DEA" w14:paraId="2E0886F1" w14:textId="77777777">
        <w:trPr>
          <w:trHeight w:val="190"/>
          <w:jc w:val="center"/>
        </w:trPr>
        <w:tc>
          <w:tcPr>
            <w:tcW w:w="2401" w:type="pct"/>
            <w:tcBorders>
              <w:top w:val="single" w:sz="4" w:space="0" w:color="auto"/>
              <w:left w:val="single" w:sz="4" w:space="0" w:color="auto"/>
              <w:bottom w:val="single" w:sz="4" w:space="0" w:color="auto"/>
              <w:right w:val="single" w:sz="4" w:space="0" w:color="auto"/>
            </w:tcBorders>
          </w:tcPr>
          <w:p w14:paraId="7027A5F0" w14:textId="77777777" w:rsidR="00B51DEA" w:rsidRDefault="00000000">
            <w:pPr>
              <w:widowControl/>
              <w:spacing w:line="336" w:lineRule="auto"/>
              <w:ind w:firstLineChars="200" w:firstLine="480"/>
              <w:jc w:val="center"/>
              <w:rPr>
                <w:rFonts w:asciiTheme="minorEastAsia" w:hAnsiTheme="minorEastAsia" w:cs="Arial" w:hint="eastAsia"/>
                <w:kern w:val="0"/>
                <w:sz w:val="24"/>
                <w:szCs w:val="24"/>
              </w:rPr>
            </w:pPr>
            <w:r>
              <w:rPr>
                <w:rFonts w:asciiTheme="minorEastAsia" w:hAnsiTheme="minorEastAsia" w:cs="Arial"/>
                <w:kern w:val="0"/>
                <w:sz w:val="24"/>
                <w:szCs w:val="24"/>
              </w:rPr>
              <w:t>100万元≤M＜200万元</w:t>
            </w:r>
          </w:p>
        </w:tc>
        <w:tc>
          <w:tcPr>
            <w:tcW w:w="2599" w:type="pct"/>
            <w:tcBorders>
              <w:top w:val="single" w:sz="4" w:space="0" w:color="auto"/>
              <w:left w:val="single" w:sz="4" w:space="0" w:color="auto"/>
              <w:bottom w:val="single" w:sz="4" w:space="0" w:color="auto"/>
              <w:right w:val="single" w:sz="4" w:space="0" w:color="auto"/>
            </w:tcBorders>
          </w:tcPr>
          <w:p w14:paraId="3C15DE93" w14:textId="77777777" w:rsidR="00B51DEA" w:rsidRDefault="00000000">
            <w:pPr>
              <w:widowControl/>
              <w:spacing w:line="336" w:lineRule="auto"/>
              <w:ind w:firstLineChars="200" w:firstLine="420"/>
              <w:jc w:val="center"/>
              <w:rPr>
                <w:rFonts w:asciiTheme="minorEastAsia" w:hAnsiTheme="minorEastAsia" w:cs="Arial" w:hint="eastAsia"/>
                <w:kern w:val="0"/>
                <w:szCs w:val="24"/>
              </w:rPr>
            </w:pPr>
            <w:r>
              <w:rPr>
                <w:rFonts w:asciiTheme="minorEastAsia" w:hAnsiTheme="minorEastAsia" w:cs="Arial"/>
                <w:kern w:val="0"/>
                <w:szCs w:val="24"/>
              </w:rPr>
              <w:t>0.80%</w:t>
            </w:r>
          </w:p>
        </w:tc>
      </w:tr>
      <w:tr w:rsidR="00B51DEA" w14:paraId="38E90F00" w14:textId="77777777">
        <w:trPr>
          <w:trHeight w:val="190"/>
          <w:jc w:val="center"/>
        </w:trPr>
        <w:tc>
          <w:tcPr>
            <w:tcW w:w="2401" w:type="pct"/>
            <w:tcBorders>
              <w:top w:val="single" w:sz="4" w:space="0" w:color="auto"/>
              <w:left w:val="single" w:sz="4" w:space="0" w:color="auto"/>
              <w:bottom w:val="single" w:sz="4" w:space="0" w:color="auto"/>
              <w:right w:val="single" w:sz="4" w:space="0" w:color="auto"/>
            </w:tcBorders>
          </w:tcPr>
          <w:p w14:paraId="182DA7B7" w14:textId="77777777" w:rsidR="00B51DEA" w:rsidRDefault="00000000">
            <w:pPr>
              <w:widowControl/>
              <w:spacing w:line="336" w:lineRule="auto"/>
              <w:ind w:firstLineChars="200" w:firstLine="480"/>
              <w:jc w:val="center"/>
              <w:rPr>
                <w:rFonts w:asciiTheme="minorEastAsia" w:hAnsiTheme="minorEastAsia" w:cs="Arial" w:hint="eastAsia"/>
                <w:kern w:val="0"/>
                <w:sz w:val="24"/>
                <w:szCs w:val="24"/>
              </w:rPr>
            </w:pPr>
            <w:r>
              <w:rPr>
                <w:rFonts w:asciiTheme="minorEastAsia" w:hAnsiTheme="minorEastAsia" w:cs="Arial"/>
                <w:kern w:val="0"/>
                <w:sz w:val="24"/>
                <w:szCs w:val="24"/>
              </w:rPr>
              <w:t>200万元≤M＜500万元</w:t>
            </w:r>
          </w:p>
        </w:tc>
        <w:tc>
          <w:tcPr>
            <w:tcW w:w="2599" w:type="pct"/>
            <w:tcBorders>
              <w:top w:val="single" w:sz="4" w:space="0" w:color="auto"/>
              <w:left w:val="single" w:sz="4" w:space="0" w:color="auto"/>
              <w:bottom w:val="single" w:sz="4" w:space="0" w:color="auto"/>
              <w:right w:val="single" w:sz="4" w:space="0" w:color="auto"/>
            </w:tcBorders>
          </w:tcPr>
          <w:p w14:paraId="2A87DAFE" w14:textId="77777777" w:rsidR="00B51DEA" w:rsidRDefault="00000000">
            <w:pPr>
              <w:widowControl/>
              <w:spacing w:line="336" w:lineRule="auto"/>
              <w:ind w:firstLineChars="200" w:firstLine="420"/>
              <w:jc w:val="center"/>
              <w:rPr>
                <w:rFonts w:asciiTheme="minorEastAsia" w:hAnsiTheme="minorEastAsia" w:cs="Arial" w:hint="eastAsia"/>
                <w:kern w:val="0"/>
                <w:szCs w:val="24"/>
              </w:rPr>
            </w:pPr>
            <w:r>
              <w:rPr>
                <w:rFonts w:asciiTheme="minorEastAsia" w:hAnsiTheme="minorEastAsia" w:cs="Arial"/>
                <w:kern w:val="0"/>
                <w:szCs w:val="24"/>
              </w:rPr>
              <w:t>0.40%</w:t>
            </w:r>
          </w:p>
        </w:tc>
      </w:tr>
      <w:tr w:rsidR="00B51DEA" w14:paraId="576D9CAE" w14:textId="77777777">
        <w:trPr>
          <w:trHeight w:val="190"/>
          <w:jc w:val="center"/>
        </w:trPr>
        <w:tc>
          <w:tcPr>
            <w:tcW w:w="2401" w:type="pct"/>
            <w:tcBorders>
              <w:top w:val="single" w:sz="4" w:space="0" w:color="auto"/>
              <w:left w:val="single" w:sz="4" w:space="0" w:color="auto"/>
              <w:bottom w:val="single" w:sz="4" w:space="0" w:color="auto"/>
              <w:right w:val="single" w:sz="4" w:space="0" w:color="auto"/>
            </w:tcBorders>
          </w:tcPr>
          <w:p w14:paraId="5FF14CD6" w14:textId="77777777" w:rsidR="00B51DEA" w:rsidRDefault="00000000">
            <w:pPr>
              <w:widowControl/>
              <w:spacing w:line="336" w:lineRule="auto"/>
              <w:ind w:firstLineChars="200" w:firstLine="480"/>
              <w:jc w:val="center"/>
              <w:rPr>
                <w:rFonts w:asciiTheme="minorEastAsia" w:hAnsiTheme="minorEastAsia" w:cs="Arial" w:hint="eastAsia"/>
                <w:kern w:val="0"/>
                <w:sz w:val="24"/>
                <w:szCs w:val="24"/>
              </w:rPr>
            </w:pPr>
            <w:r>
              <w:rPr>
                <w:rFonts w:asciiTheme="minorEastAsia" w:hAnsiTheme="minorEastAsia" w:cs="Arial"/>
                <w:kern w:val="0"/>
                <w:sz w:val="24"/>
                <w:szCs w:val="24"/>
              </w:rPr>
              <w:t>M≥500万元</w:t>
            </w:r>
          </w:p>
        </w:tc>
        <w:tc>
          <w:tcPr>
            <w:tcW w:w="2599" w:type="pct"/>
            <w:tcBorders>
              <w:top w:val="single" w:sz="4" w:space="0" w:color="auto"/>
              <w:left w:val="single" w:sz="4" w:space="0" w:color="auto"/>
              <w:bottom w:val="single" w:sz="4" w:space="0" w:color="auto"/>
              <w:right w:val="single" w:sz="4" w:space="0" w:color="auto"/>
            </w:tcBorders>
          </w:tcPr>
          <w:p w14:paraId="471DA5C7" w14:textId="77777777" w:rsidR="00B51DEA" w:rsidRDefault="00000000">
            <w:pPr>
              <w:widowControl/>
              <w:spacing w:line="336" w:lineRule="auto"/>
              <w:ind w:firstLineChars="200" w:firstLine="420"/>
              <w:jc w:val="center"/>
              <w:rPr>
                <w:rFonts w:asciiTheme="minorEastAsia" w:hAnsiTheme="minorEastAsia" w:cs="Arial" w:hint="eastAsia"/>
                <w:kern w:val="0"/>
                <w:szCs w:val="24"/>
              </w:rPr>
            </w:pPr>
            <w:r>
              <w:rPr>
                <w:rFonts w:asciiTheme="minorEastAsia" w:hAnsiTheme="minorEastAsia" w:cs="Arial"/>
                <w:kern w:val="0"/>
                <w:szCs w:val="24"/>
              </w:rPr>
              <w:t>1000元/笔</w:t>
            </w:r>
          </w:p>
        </w:tc>
      </w:tr>
      <w:tr w:rsidR="00B51DEA" w14:paraId="389E8B3A" w14:textId="77777777">
        <w:trPr>
          <w:trHeight w:val="415"/>
          <w:jc w:val="center"/>
        </w:trPr>
        <w:tc>
          <w:tcPr>
            <w:tcW w:w="5000" w:type="pct"/>
            <w:gridSpan w:val="2"/>
            <w:tcBorders>
              <w:top w:val="single" w:sz="4" w:space="0" w:color="auto"/>
              <w:left w:val="single" w:sz="4" w:space="0" w:color="auto"/>
              <w:bottom w:val="single" w:sz="4" w:space="0" w:color="auto"/>
              <w:right w:val="single" w:sz="4" w:space="0" w:color="auto"/>
            </w:tcBorders>
            <w:vAlign w:val="center"/>
          </w:tcPr>
          <w:p w14:paraId="2320B3CD" w14:textId="77777777" w:rsidR="00B51DEA" w:rsidRDefault="00000000">
            <w:pPr>
              <w:widowControl/>
              <w:spacing w:line="264" w:lineRule="auto"/>
              <w:ind w:firstLineChars="200" w:firstLine="422"/>
              <w:jc w:val="center"/>
              <w:rPr>
                <w:rFonts w:asciiTheme="minorEastAsia" w:hAnsiTheme="minorEastAsia" w:cs="Arial" w:hint="eastAsia"/>
                <w:b/>
                <w:kern w:val="0"/>
                <w:szCs w:val="24"/>
              </w:rPr>
            </w:pPr>
            <w:r>
              <w:rPr>
                <w:rFonts w:asciiTheme="minorEastAsia" w:hAnsiTheme="minorEastAsia" w:cs="Arial"/>
                <w:b/>
                <w:bCs/>
                <w:kern w:val="0"/>
                <w:szCs w:val="24"/>
              </w:rPr>
              <w:t>C类基金份额</w:t>
            </w:r>
          </w:p>
        </w:tc>
      </w:tr>
      <w:tr w:rsidR="00B51DEA" w14:paraId="5885393E" w14:textId="77777777">
        <w:trPr>
          <w:trHeight w:val="415"/>
          <w:jc w:val="center"/>
        </w:trPr>
        <w:tc>
          <w:tcPr>
            <w:tcW w:w="5000" w:type="pct"/>
            <w:gridSpan w:val="2"/>
            <w:tcBorders>
              <w:top w:val="single" w:sz="4" w:space="0" w:color="auto"/>
              <w:left w:val="single" w:sz="4" w:space="0" w:color="auto"/>
              <w:bottom w:val="single" w:sz="4" w:space="0" w:color="auto"/>
              <w:right w:val="single" w:sz="4" w:space="0" w:color="auto"/>
            </w:tcBorders>
            <w:vAlign w:val="center"/>
          </w:tcPr>
          <w:p w14:paraId="354FFC0C" w14:textId="77777777" w:rsidR="00B51DEA" w:rsidRDefault="00000000">
            <w:pPr>
              <w:widowControl/>
              <w:spacing w:line="264" w:lineRule="auto"/>
              <w:ind w:firstLineChars="200" w:firstLine="420"/>
              <w:jc w:val="center"/>
              <w:rPr>
                <w:rFonts w:asciiTheme="minorEastAsia" w:hAnsiTheme="minorEastAsia" w:cs="Arial" w:hint="eastAsia"/>
                <w:kern w:val="0"/>
                <w:szCs w:val="24"/>
              </w:rPr>
            </w:pPr>
            <w:r>
              <w:rPr>
                <w:rFonts w:asciiTheme="minorEastAsia" w:hAnsiTheme="minorEastAsia" w:cs="Arial" w:hint="eastAsia"/>
                <w:bCs/>
                <w:kern w:val="0"/>
                <w:szCs w:val="24"/>
              </w:rPr>
              <w:t>申</w:t>
            </w:r>
            <w:r>
              <w:rPr>
                <w:rFonts w:asciiTheme="minorEastAsia" w:hAnsiTheme="minorEastAsia" w:cs="Arial" w:hint="eastAsia"/>
                <w:kern w:val="0"/>
                <w:szCs w:val="24"/>
              </w:rPr>
              <w:t>购费率为零</w:t>
            </w:r>
          </w:p>
        </w:tc>
      </w:tr>
    </w:tbl>
    <w:p w14:paraId="09F1D40C" w14:textId="77777777" w:rsidR="00B51DEA" w:rsidRDefault="00B51DEA">
      <w:pPr>
        <w:tabs>
          <w:tab w:val="left" w:pos="1110"/>
          <w:tab w:val="left" w:pos="6300"/>
        </w:tabs>
        <w:adjustRightInd w:val="0"/>
        <w:snapToGrid w:val="0"/>
        <w:spacing w:line="360" w:lineRule="auto"/>
        <w:ind w:firstLineChars="200" w:firstLine="480"/>
        <w:rPr>
          <w:rFonts w:asciiTheme="minorEastAsia" w:hAnsiTheme="minorEastAsia" w:cs="Arial" w:hint="eastAsia"/>
          <w:sz w:val="24"/>
          <w:szCs w:val="24"/>
        </w:rPr>
      </w:pPr>
    </w:p>
    <w:p w14:paraId="1D607FA4" w14:textId="77777777" w:rsidR="00B51DEA" w:rsidRDefault="00000000">
      <w:pPr>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本基金的申购费用由申购基金份额的投资人承担，不列入基金资产，用于基金的市场推广、销售、登记等各项费用。</w:t>
      </w:r>
    </w:p>
    <w:p w14:paraId="1A0D81A9" w14:textId="77777777" w:rsidR="00B51DEA" w:rsidRDefault="00000000">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2</w:t>
      </w:r>
      <w:r>
        <w:rPr>
          <w:rFonts w:asciiTheme="minorEastAsia" w:hAnsiTheme="minorEastAsia" w:cs="Arial" w:hint="eastAsia"/>
          <w:sz w:val="24"/>
          <w:szCs w:val="24"/>
        </w:rPr>
        <w:t>、赎回费用</w:t>
      </w:r>
    </w:p>
    <w:p w14:paraId="1333E406" w14:textId="77777777" w:rsidR="00B51DEA" w:rsidRDefault="00000000">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本基金的</w:t>
      </w:r>
      <w:r>
        <w:rPr>
          <w:rFonts w:asciiTheme="minorEastAsia" w:hAnsiTheme="minorEastAsia" w:cs="Arial"/>
          <w:sz w:val="24"/>
          <w:szCs w:val="24"/>
        </w:rPr>
        <w:t>A</w:t>
      </w:r>
      <w:r>
        <w:rPr>
          <w:rFonts w:asciiTheme="minorEastAsia" w:hAnsiTheme="minorEastAsia" w:cs="Arial" w:hint="eastAsia"/>
          <w:sz w:val="24"/>
          <w:szCs w:val="24"/>
        </w:rPr>
        <w:t>类基金份额、</w:t>
      </w:r>
      <w:r>
        <w:rPr>
          <w:rFonts w:asciiTheme="minorEastAsia" w:hAnsiTheme="minorEastAsia" w:cs="Arial"/>
          <w:sz w:val="24"/>
          <w:szCs w:val="24"/>
        </w:rPr>
        <w:t>C</w:t>
      </w:r>
      <w:r>
        <w:rPr>
          <w:rFonts w:asciiTheme="minorEastAsia" w:hAnsiTheme="minorEastAsia" w:cs="Arial" w:hint="eastAsia"/>
          <w:sz w:val="24"/>
          <w:szCs w:val="24"/>
        </w:rPr>
        <w:t>类基金份额的赎回费率按基金份额持有期限递减，费率如下：</w:t>
      </w:r>
    </w:p>
    <w:tbl>
      <w:tblPr>
        <w:tblW w:w="84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3"/>
        <w:gridCol w:w="2127"/>
        <w:gridCol w:w="2284"/>
      </w:tblGrid>
      <w:tr w:rsidR="00B51DEA" w14:paraId="0F01BFA6" w14:textId="77777777">
        <w:trPr>
          <w:trHeight w:val="113"/>
          <w:jc w:val="center"/>
        </w:trPr>
        <w:tc>
          <w:tcPr>
            <w:tcW w:w="4043" w:type="dxa"/>
            <w:tcBorders>
              <w:top w:val="single" w:sz="4" w:space="0" w:color="auto"/>
              <w:left w:val="single" w:sz="4" w:space="0" w:color="auto"/>
              <w:bottom w:val="single" w:sz="4" w:space="0" w:color="auto"/>
              <w:right w:val="single" w:sz="4" w:space="0" w:color="auto"/>
            </w:tcBorders>
          </w:tcPr>
          <w:p w14:paraId="48BF736D" w14:textId="77777777" w:rsidR="00B51DEA" w:rsidRDefault="00000000">
            <w:pPr>
              <w:jc w:val="center"/>
              <w:rPr>
                <w:rFonts w:asciiTheme="minorEastAsia" w:hAnsiTheme="minorEastAsia" w:cs="Arial" w:hint="eastAsia"/>
                <w:color w:val="000000"/>
                <w:szCs w:val="24"/>
              </w:rPr>
            </w:pPr>
            <w:r>
              <w:rPr>
                <w:rFonts w:asciiTheme="minorEastAsia" w:hAnsiTheme="minorEastAsia" w:cs="Arial" w:hint="eastAsia"/>
                <w:color w:val="000000"/>
                <w:szCs w:val="24"/>
              </w:rPr>
              <w:t>持有基金份额期限（</w:t>
            </w:r>
            <w:r>
              <w:rPr>
                <w:rFonts w:asciiTheme="minorEastAsia" w:hAnsiTheme="minorEastAsia" w:cs="Arial"/>
                <w:color w:val="000000"/>
                <w:szCs w:val="24"/>
              </w:rPr>
              <w:t>Y）</w:t>
            </w:r>
          </w:p>
        </w:tc>
        <w:tc>
          <w:tcPr>
            <w:tcW w:w="2127" w:type="dxa"/>
            <w:tcBorders>
              <w:top w:val="single" w:sz="4" w:space="0" w:color="auto"/>
              <w:left w:val="single" w:sz="4" w:space="0" w:color="auto"/>
              <w:bottom w:val="single" w:sz="4" w:space="0" w:color="auto"/>
              <w:right w:val="single" w:sz="4" w:space="0" w:color="auto"/>
            </w:tcBorders>
          </w:tcPr>
          <w:p w14:paraId="73BBEDBE" w14:textId="77777777" w:rsidR="00B51DEA" w:rsidRDefault="00000000">
            <w:pPr>
              <w:jc w:val="center"/>
              <w:rPr>
                <w:rFonts w:asciiTheme="minorEastAsia" w:hAnsiTheme="minorEastAsia" w:cs="Arial" w:hint="eastAsia"/>
                <w:color w:val="000000"/>
                <w:szCs w:val="24"/>
              </w:rPr>
            </w:pPr>
            <w:r>
              <w:rPr>
                <w:rFonts w:asciiTheme="minorEastAsia" w:hAnsiTheme="minorEastAsia" w:cs="Arial"/>
                <w:color w:val="000000"/>
                <w:szCs w:val="24"/>
              </w:rPr>
              <w:t>A类份额赎回费</w:t>
            </w:r>
            <w:r>
              <w:rPr>
                <w:rFonts w:asciiTheme="minorEastAsia" w:hAnsiTheme="minorEastAsia" w:cs="Arial" w:hint="eastAsia"/>
                <w:color w:val="000000"/>
                <w:szCs w:val="24"/>
              </w:rPr>
              <w:t>率</w:t>
            </w:r>
          </w:p>
        </w:tc>
        <w:tc>
          <w:tcPr>
            <w:tcW w:w="2284" w:type="dxa"/>
            <w:tcBorders>
              <w:top w:val="single" w:sz="4" w:space="0" w:color="auto"/>
              <w:left w:val="single" w:sz="4" w:space="0" w:color="auto"/>
              <w:bottom w:val="single" w:sz="4" w:space="0" w:color="auto"/>
              <w:right w:val="single" w:sz="4" w:space="0" w:color="auto"/>
            </w:tcBorders>
          </w:tcPr>
          <w:p w14:paraId="0B9C875D" w14:textId="77777777" w:rsidR="00B51DEA" w:rsidRDefault="00000000">
            <w:pPr>
              <w:jc w:val="center"/>
              <w:rPr>
                <w:rFonts w:asciiTheme="minorEastAsia" w:hAnsiTheme="minorEastAsia" w:cs="Arial" w:hint="eastAsia"/>
                <w:color w:val="000000"/>
                <w:szCs w:val="24"/>
              </w:rPr>
            </w:pPr>
            <w:r>
              <w:rPr>
                <w:rFonts w:asciiTheme="minorEastAsia" w:hAnsiTheme="minorEastAsia" w:cs="Arial"/>
                <w:color w:val="000000"/>
                <w:szCs w:val="24"/>
              </w:rPr>
              <w:t>C类份额赎回费率</w:t>
            </w:r>
          </w:p>
        </w:tc>
      </w:tr>
      <w:tr w:rsidR="00B51DEA" w14:paraId="4173B601" w14:textId="77777777">
        <w:trPr>
          <w:trHeight w:val="113"/>
          <w:jc w:val="center"/>
        </w:trPr>
        <w:tc>
          <w:tcPr>
            <w:tcW w:w="4043" w:type="dxa"/>
            <w:tcBorders>
              <w:top w:val="single" w:sz="4" w:space="0" w:color="auto"/>
              <w:left w:val="single" w:sz="4" w:space="0" w:color="auto"/>
              <w:bottom w:val="single" w:sz="4" w:space="0" w:color="auto"/>
              <w:right w:val="single" w:sz="4" w:space="0" w:color="auto"/>
            </w:tcBorders>
          </w:tcPr>
          <w:p w14:paraId="5121F402" w14:textId="77777777" w:rsidR="00B51DEA" w:rsidRDefault="00000000">
            <w:pPr>
              <w:widowControl/>
              <w:spacing w:line="336" w:lineRule="auto"/>
              <w:jc w:val="center"/>
              <w:rPr>
                <w:rFonts w:asciiTheme="minorEastAsia" w:hAnsiTheme="minorEastAsia" w:cs="Arial" w:hint="eastAsia"/>
                <w:bCs/>
                <w:kern w:val="0"/>
                <w:szCs w:val="24"/>
              </w:rPr>
            </w:pPr>
            <w:r>
              <w:rPr>
                <w:rFonts w:asciiTheme="minorEastAsia" w:hAnsiTheme="minorEastAsia" w:cs="Arial"/>
                <w:bCs/>
                <w:kern w:val="0"/>
                <w:szCs w:val="24"/>
              </w:rPr>
              <w:t>Y＜7日</w:t>
            </w:r>
          </w:p>
        </w:tc>
        <w:tc>
          <w:tcPr>
            <w:tcW w:w="2127" w:type="dxa"/>
            <w:tcBorders>
              <w:top w:val="single" w:sz="4" w:space="0" w:color="auto"/>
              <w:left w:val="single" w:sz="4" w:space="0" w:color="auto"/>
              <w:bottom w:val="single" w:sz="4" w:space="0" w:color="auto"/>
              <w:right w:val="single" w:sz="4" w:space="0" w:color="auto"/>
            </w:tcBorders>
          </w:tcPr>
          <w:p w14:paraId="1E9ACD1E" w14:textId="77777777" w:rsidR="00B51DEA" w:rsidRDefault="00000000">
            <w:pPr>
              <w:widowControl/>
              <w:spacing w:line="336" w:lineRule="auto"/>
              <w:ind w:firstLineChars="200" w:firstLine="420"/>
              <w:jc w:val="center"/>
              <w:rPr>
                <w:rFonts w:asciiTheme="minorEastAsia" w:hAnsiTheme="minorEastAsia" w:cs="Arial" w:hint="eastAsia"/>
                <w:bCs/>
                <w:kern w:val="0"/>
                <w:szCs w:val="24"/>
              </w:rPr>
            </w:pPr>
            <w:r>
              <w:rPr>
                <w:rFonts w:asciiTheme="minorEastAsia" w:hAnsiTheme="minorEastAsia" w:cs="Arial"/>
                <w:bCs/>
                <w:kern w:val="0"/>
                <w:szCs w:val="24"/>
              </w:rPr>
              <w:t>1.50%</w:t>
            </w:r>
          </w:p>
        </w:tc>
        <w:tc>
          <w:tcPr>
            <w:tcW w:w="2284" w:type="dxa"/>
            <w:tcBorders>
              <w:top w:val="single" w:sz="4" w:space="0" w:color="auto"/>
              <w:left w:val="single" w:sz="4" w:space="0" w:color="auto"/>
              <w:bottom w:val="single" w:sz="4" w:space="0" w:color="auto"/>
              <w:right w:val="single" w:sz="4" w:space="0" w:color="auto"/>
            </w:tcBorders>
          </w:tcPr>
          <w:p w14:paraId="33BBA9F4" w14:textId="77777777" w:rsidR="00B51DEA" w:rsidRDefault="00000000">
            <w:pPr>
              <w:ind w:firstLineChars="200" w:firstLine="420"/>
              <w:jc w:val="center"/>
              <w:rPr>
                <w:rFonts w:asciiTheme="minorEastAsia" w:hAnsiTheme="minorEastAsia" w:cs="Arial" w:hint="eastAsia"/>
                <w:bCs/>
                <w:kern w:val="0"/>
                <w:szCs w:val="24"/>
              </w:rPr>
            </w:pPr>
            <w:r>
              <w:rPr>
                <w:rFonts w:asciiTheme="minorEastAsia" w:hAnsiTheme="minorEastAsia" w:cs="Arial"/>
                <w:bCs/>
                <w:kern w:val="0"/>
                <w:szCs w:val="24"/>
              </w:rPr>
              <w:t>1.50%</w:t>
            </w:r>
          </w:p>
        </w:tc>
      </w:tr>
      <w:tr w:rsidR="00B51DEA" w14:paraId="0F9D25A9" w14:textId="77777777">
        <w:trPr>
          <w:trHeight w:val="113"/>
          <w:jc w:val="center"/>
        </w:trPr>
        <w:tc>
          <w:tcPr>
            <w:tcW w:w="4043" w:type="dxa"/>
            <w:tcBorders>
              <w:top w:val="single" w:sz="4" w:space="0" w:color="auto"/>
              <w:left w:val="single" w:sz="4" w:space="0" w:color="auto"/>
              <w:bottom w:val="single" w:sz="4" w:space="0" w:color="auto"/>
              <w:right w:val="single" w:sz="4" w:space="0" w:color="auto"/>
            </w:tcBorders>
          </w:tcPr>
          <w:p w14:paraId="0F1A1F54" w14:textId="77777777" w:rsidR="00B51DEA" w:rsidRDefault="00000000">
            <w:pPr>
              <w:widowControl/>
              <w:spacing w:line="336" w:lineRule="auto"/>
              <w:ind w:firstLineChars="200" w:firstLine="420"/>
              <w:jc w:val="center"/>
              <w:rPr>
                <w:rFonts w:asciiTheme="minorEastAsia" w:hAnsiTheme="minorEastAsia" w:cs="Arial" w:hint="eastAsia"/>
                <w:bCs/>
                <w:kern w:val="0"/>
                <w:szCs w:val="24"/>
              </w:rPr>
            </w:pPr>
            <w:r>
              <w:rPr>
                <w:rFonts w:asciiTheme="minorEastAsia" w:hAnsiTheme="minorEastAsia" w:cs="Arial"/>
                <w:bCs/>
                <w:kern w:val="0"/>
                <w:szCs w:val="24"/>
              </w:rPr>
              <w:t xml:space="preserve">7日 ≤ Y </w:t>
            </w:r>
            <w:r>
              <w:rPr>
                <w:rFonts w:asciiTheme="minorEastAsia" w:hAnsiTheme="minorEastAsia" w:cs="Arial" w:hint="eastAsia"/>
                <w:bCs/>
                <w:kern w:val="0"/>
                <w:szCs w:val="24"/>
              </w:rPr>
              <w:t>＜</w:t>
            </w:r>
            <w:r>
              <w:rPr>
                <w:rFonts w:asciiTheme="minorEastAsia" w:hAnsiTheme="minorEastAsia" w:cs="Arial"/>
                <w:bCs/>
                <w:kern w:val="0"/>
                <w:szCs w:val="24"/>
              </w:rPr>
              <w:t xml:space="preserve"> 30日</w:t>
            </w:r>
          </w:p>
        </w:tc>
        <w:tc>
          <w:tcPr>
            <w:tcW w:w="2127" w:type="dxa"/>
            <w:tcBorders>
              <w:top w:val="single" w:sz="4" w:space="0" w:color="auto"/>
              <w:left w:val="single" w:sz="4" w:space="0" w:color="auto"/>
              <w:bottom w:val="single" w:sz="4" w:space="0" w:color="auto"/>
              <w:right w:val="single" w:sz="4" w:space="0" w:color="auto"/>
            </w:tcBorders>
          </w:tcPr>
          <w:p w14:paraId="7830A09F" w14:textId="77777777" w:rsidR="00B51DEA" w:rsidRDefault="00000000">
            <w:pPr>
              <w:widowControl/>
              <w:spacing w:line="336" w:lineRule="auto"/>
              <w:ind w:firstLineChars="200" w:firstLine="420"/>
              <w:jc w:val="center"/>
              <w:rPr>
                <w:rFonts w:asciiTheme="minorEastAsia" w:hAnsiTheme="minorEastAsia" w:cs="Arial" w:hint="eastAsia"/>
                <w:bCs/>
                <w:kern w:val="0"/>
                <w:szCs w:val="24"/>
              </w:rPr>
            </w:pPr>
            <w:r>
              <w:rPr>
                <w:rFonts w:asciiTheme="minorEastAsia" w:hAnsiTheme="minorEastAsia" w:cs="Arial"/>
                <w:bCs/>
                <w:kern w:val="0"/>
                <w:szCs w:val="24"/>
              </w:rPr>
              <w:t>0.75%</w:t>
            </w:r>
          </w:p>
        </w:tc>
        <w:tc>
          <w:tcPr>
            <w:tcW w:w="2284" w:type="dxa"/>
            <w:tcBorders>
              <w:top w:val="single" w:sz="4" w:space="0" w:color="auto"/>
              <w:left w:val="single" w:sz="4" w:space="0" w:color="auto"/>
              <w:bottom w:val="single" w:sz="4" w:space="0" w:color="auto"/>
              <w:right w:val="single" w:sz="4" w:space="0" w:color="auto"/>
            </w:tcBorders>
          </w:tcPr>
          <w:p w14:paraId="7C8EDC0F" w14:textId="77777777" w:rsidR="00B51DEA" w:rsidRDefault="00000000">
            <w:pPr>
              <w:ind w:firstLineChars="200" w:firstLine="420"/>
              <w:jc w:val="center"/>
              <w:rPr>
                <w:rFonts w:asciiTheme="minorEastAsia" w:hAnsiTheme="minorEastAsia" w:cs="Arial" w:hint="eastAsia"/>
                <w:bCs/>
                <w:kern w:val="0"/>
                <w:szCs w:val="24"/>
              </w:rPr>
            </w:pPr>
            <w:r>
              <w:rPr>
                <w:rFonts w:asciiTheme="minorEastAsia" w:hAnsiTheme="minorEastAsia" w:cs="Arial"/>
                <w:bCs/>
                <w:kern w:val="0"/>
                <w:szCs w:val="24"/>
              </w:rPr>
              <w:t>0.50%</w:t>
            </w:r>
          </w:p>
        </w:tc>
      </w:tr>
      <w:tr w:rsidR="00B51DEA" w14:paraId="7D9E25B8" w14:textId="77777777">
        <w:trPr>
          <w:trHeight w:val="113"/>
          <w:jc w:val="center"/>
        </w:trPr>
        <w:tc>
          <w:tcPr>
            <w:tcW w:w="4043" w:type="dxa"/>
            <w:tcBorders>
              <w:top w:val="single" w:sz="4" w:space="0" w:color="auto"/>
              <w:left w:val="single" w:sz="4" w:space="0" w:color="auto"/>
              <w:bottom w:val="single" w:sz="4" w:space="0" w:color="auto"/>
              <w:right w:val="single" w:sz="4" w:space="0" w:color="auto"/>
            </w:tcBorders>
          </w:tcPr>
          <w:p w14:paraId="1ABA81C3" w14:textId="77777777" w:rsidR="00B51DEA" w:rsidRDefault="00000000">
            <w:pPr>
              <w:widowControl/>
              <w:spacing w:line="336" w:lineRule="auto"/>
              <w:ind w:firstLineChars="200" w:firstLine="420"/>
              <w:jc w:val="center"/>
              <w:rPr>
                <w:rFonts w:asciiTheme="minorEastAsia" w:hAnsiTheme="minorEastAsia" w:cs="Arial" w:hint="eastAsia"/>
                <w:bCs/>
                <w:kern w:val="0"/>
                <w:szCs w:val="24"/>
              </w:rPr>
            </w:pPr>
            <w:r>
              <w:rPr>
                <w:rFonts w:asciiTheme="minorEastAsia" w:hAnsiTheme="minorEastAsia" w:cs="Arial"/>
                <w:bCs/>
                <w:kern w:val="0"/>
                <w:szCs w:val="24"/>
              </w:rPr>
              <w:t xml:space="preserve">30日 ≤ Y </w:t>
            </w:r>
            <w:r>
              <w:rPr>
                <w:rFonts w:asciiTheme="minorEastAsia" w:hAnsiTheme="minorEastAsia" w:cs="Arial" w:hint="eastAsia"/>
                <w:bCs/>
                <w:kern w:val="0"/>
                <w:szCs w:val="24"/>
              </w:rPr>
              <w:t>＜</w:t>
            </w:r>
            <w:r>
              <w:rPr>
                <w:rFonts w:asciiTheme="minorEastAsia" w:hAnsiTheme="minorEastAsia" w:cs="Arial"/>
                <w:bCs/>
                <w:kern w:val="0"/>
                <w:szCs w:val="24"/>
              </w:rPr>
              <w:t xml:space="preserve"> 6个月</w:t>
            </w:r>
          </w:p>
        </w:tc>
        <w:tc>
          <w:tcPr>
            <w:tcW w:w="2127" w:type="dxa"/>
            <w:tcBorders>
              <w:top w:val="single" w:sz="4" w:space="0" w:color="auto"/>
              <w:left w:val="single" w:sz="4" w:space="0" w:color="auto"/>
              <w:bottom w:val="single" w:sz="4" w:space="0" w:color="auto"/>
              <w:right w:val="single" w:sz="4" w:space="0" w:color="auto"/>
            </w:tcBorders>
          </w:tcPr>
          <w:p w14:paraId="0010E69E" w14:textId="77777777" w:rsidR="00B51DEA" w:rsidRDefault="00000000">
            <w:pPr>
              <w:widowControl/>
              <w:spacing w:line="336" w:lineRule="auto"/>
              <w:ind w:firstLineChars="200" w:firstLine="420"/>
              <w:jc w:val="center"/>
              <w:rPr>
                <w:rFonts w:asciiTheme="minorEastAsia" w:hAnsiTheme="minorEastAsia" w:cs="Arial" w:hint="eastAsia"/>
                <w:bCs/>
                <w:kern w:val="0"/>
                <w:szCs w:val="24"/>
              </w:rPr>
            </w:pPr>
            <w:r>
              <w:rPr>
                <w:rFonts w:asciiTheme="minorEastAsia" w:hAnsiTheme="minorEastAsia" w:cs="Arial"/>
                <w:bCs/>
                <w:kern w:val="0"/>
                <w:szCs w:val="24"/>
              </w:rPr>
              <w:t>0.50%</w:t>
            </w:r>
          </w:p>
        </w:tc>
        <w:tc>
          <w:tcPr>
            <w:tcW w:w="2284" w:type="dxa"/>
            <w:tcBorders>
              <w:top w:val="single" w:sz="4" w:space="0" w:color="auto"/>
              <w:left w:val="single" w:sz="4" w:space="0" w:color="auto"/>
              <w:bottom w:val="single" w:sz="4" w:space="0" w:color="auto"/>
              <w:right w:val="single" w:sz="4" w:space="0" w:color="auto"/>
            </w:tcBorders>
          </w:tcPr>
          <w:p w14:paraId="236BE789" w14:textId="77777777" w:rsidR="00B51DEA" w:rsidRDefault="00000000">
            <w:pPr>
              <w:ind w:firstLineChars="200" w:firstLine="420"/>
              <w:jc w:val="center"/>
              <w:rPr>
                <w:rFonts w:asciiTheme="minorEastAsia" w:hAnsiTheme="minorEastAsia" w:cs="Arial" w:hint="eastAsia"/>
                <w:bCs/>
                <w:kern w:val="0"/>
                <w:szCs w:val="24"/>
              </w:rPr>
            </w:pPr>
            <w:r>
              <w:rPr>
                <w:rFonts w:asciiTheme="minorEastAsia" w:hAnsiTheme="minorEastAsia" w:cs="Arial"/>
                <w:bCs/>
                <w:kern w:val="0"/>
                <w:szCs w:val="24"/>
              </w:rPr>
              <w:t>0</w:t>
            </w:r>
          </w:p>
        </w:tc>
      </w:tr>
      <w:tr w:rsidR="00B51DEA" w14:paraId="37566C58" w14:textId="77777777">
        <w:trPr>
          <w:trHeight w:val="113"/>
          <w:jc w:val="center"/>
        </w:trPr>
        <w:tc>
          <w:tcPr>
            <w:tcW w:w="4043" w:type="dxa"/>
            <w:tcBorders>
              <w:top w:val="single" w:sz="4" w:space="0" w:color="auto"/>
              <w:left w:val="single" w:sz="4" w:space="0" w:color="auto"/>
              <w:bottom w:val="single" w:sz="4" w:space="0" w:color="auto"/>
              <w:right w:val="single" w:sz="4" w:space="0" w:color="auto"/>
            </w:tcBorders>
          </w:tcPr>
          <w:p w14:paraId="3719FF1A" w14:textId="77777777" w:rsidR="00B51DEA" w:rsidRDefault="00000000">
            <w:pPr>
              <w:widowControl/>
              <w:spacing w:line="336" w:lineRule="auto"/>
              <w:ind w:firstLineChars="200" w:firstLine="420"/>
              <w:jc w:val="center"/>
              <w:rPr>
                <w:rFonts w:asciiTheme="minorEastAsia" w:hAnsiTheme="minorEastAsia" w:cs="Arial" w:hint="eastAsia"/>
                <w:bCs/>
                <w:kern w:val="0"/>
                <w:szCs w:val="24"/>
              </w:rPr>
            </w:pPr>
            <w:r>
              <w:rPr>
                <w:rFonts w:asciiTheme="minorEastAsia" w:hAnsiTheme="minorEastAsia" w:cs="Arial"/>
                <w:bCs/>
                <w:kern w:val="0"/>
                <w:szCs w:val="24"/>
              </w:rPr>
              <w:t>Y≥6个月</w:t>
            </w:r>
          </w:p>
        </w:tc>
        <w:tc>
          <w:tcPr>
            <w:tcW w:w="2127" w:type="dxa"/>
            <w:tcBorders>
              <w:top w:val="single" w:sz="4" w:space="0" w:color="auto"/>
              <w:left w:val="single" w:sz="4" w:space="0" w:color="auto"/>
              <w:bottom w:val="single" w:sz="4" w:space="0" w:color="auto"/>
              <w:right w:val="single" w:sz="4" w:space="0" w:color="auto"/>
            </w:tcBorders>
          </w:tcPr>
          <w:p w14:paraId="7B5C5AA3" w14:textId="77777777" w:rsidR="00B51DEA" w:rsidRDefault="00000000">
            <w:pPr>
              <w:widowControl/>
              <w:spacing w:line="336" w:lineRule="auto"/>
              <w:ind w:firstLineChars="200" w:firstLine="420"/>
              <w:jc w:val="center"/>
              <w:rPr>
                <w:rFonts w:asciiTheme="minorEastAsia" w:hAnsiTheme="minorEastAsia" w:cs="Arial" w:hint="eastAsia"/>
                <w:bCs/>
                <w:kern w:val="0"/>
                <w:szCs w:val="24"/>
              </w:rPr>
            </w:pPr>
            <w:r>
              <w:rPr>
                <w:rFonts w:asciiTheme="minorEastAsia" w:hAnsiTheme="minorEastAsia" w:cs="Arial"/>
                <w:bCs/>
                <w:kern w:val="0"/>
                <w:szCs w:val="24"/>
              </w:rPr>
              <w:t>0</w:t>
            </w:r>
          </w:p>
        </w:tc>
        <w:tc>
          <w:tcPr>
            <w:tcW w:w="2284" w:type="dxa"/>
            <w:tcBorders>
              <w:top w:val="single" w:sz="4" w:space="0" w:color="auto"/>
              <w:left w:val="single" w:sz="4" w:space="0" w:color="auto"/>
              <w:bottom w:val="single" w:sz="4" w:space="0" w:color="auto"/>
              <w:right w:val="single" w:sz="4" w:space="0" w:color="auto"/>
            </w:tcBorders>
          </w:tcPr>
          <w:p w14:paraId="210E2963" w14:textId="77777777" w:rsidR="00B51DEA" w:rsidRDefault="00000000">
            <w:pPr>
              <w:ind w:firstLineChars="200" w:firstLine="420"/>
              <w:jc w:val="center"/>
              <w:rPr>
                <w:rFonts w:asciiTheme="minorEastAsia" w:hAnsiTheme="minorEastAsia" w:cs="Arial" w:hint="eastAsia"/>
                <w:bCs/>
                <w:kern w:val="0"/>
                <w:szCs w:val="24"/>
              </w:rPr>
            </w:pPr>
            <w:r>
              <w:rPr>
                <w:rFonts w:asciiTheme="minorEastAsia" w:hAnsiTheme="minorEastAsia" w:cs="Arial"/>
                <w:bCs/>
                <w:kern w:val="0"/>
                <w:szCs w:val="24"/>
              </w:rPr>
              <w:t>0</w:t>
            </w:r>
          </w:p>
        </w:tc>
      </w:tr>
    </w:tbl>
    <w:p w14:paraId="09873A59" w14:textId="77777777" w:rsidR="00B51DEA" w:rsidRDefault="00B51DEA">
      <w:pPr>
        <w:adjustRightInd w:val="0"/>
        <w:snapToGrid w:val="0"/>
        <w:spacing w:line="360" w:lineRule="auto"/>
        <w:rPr>
          <w:rFonts w:asciiTheme="minorEastAsia" w:hAnsiTheme="minorEastAsia" w:cs="Arial" w:hint="eastAsia"/>
          <w:sz w:val="24"/>
          <w:szCs w:val="24"/>
        </w:rPr>
      </w:pPr>
    </w:p>
    <w:p w14:paraId="23D61BA9" w14:textId="77777777" w:rsidR="00B51DEA" w:rsidRDefault="00000000">
      <w:pPr>
        <w:adjustRightInd w:val="0"/>
        <w:snapToGrid w:val="0"/>
        <w:spacing w:line="360" w:lineRule="auto"/>
        <w:rPr>
          <w:rFonts w:asciiTheme="minorEastAsia" w:hAnsiTheme="minorEastAsia" w:cs="Arial" w:hint="eastAsia"/>
          <w:sz w:val="24"/>
          <w:szCs w:val="24"/>
        </w:rPr>
      </w:pPr>
      <w:r>
        <w:rPr>
          <w:rFonts w:asciiTheme="minorEastAsia" w:hAnsiTheme="minorEastAsia" w:cs="Arial" w:hint="eastAsia"/>
          <w:sz w:val="24"/>
          <w:szCs w:val="24"/>
        </w:rPr>
        <w:t>（注：一月为</w:t>
      </w:r>
      <w:r>
        <w:rPr>
          <w:rFonts w:asciiTheme="minorEastAsia" w:hAnsiTheme="minorEastAsia" w:cs="Arial"/>
          <w:sz w:val="24"/>
          <w:szCs w:val="24"/>
        </w:rPr>
        <w:t>30</w:t>
      </w:r>
      <w:r>
        <w:rPr>
          <w:rFonts w:asciiTheme="minorEastAsia" w:hAnsiTheme="minorEastAsia" w:cs="Arial" w:hint="eastAsia"/>
          <w:sz w:val="24"/>
          <w:szCs w:val="24"/>
        </w:rPr>
        <w:t>日）</w:t>
      </w:r>
    </w:p>
    <w:p w14:paraId="67EFE621" w14:textId="77777777" w:rsidR="00B51DEA" w:rsidRDefault="00000000">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赎回费用由赎回基金份额的基金份额持有人承担，在基金份额持有人赎回基金份额时收取。</w:t>
      </w:r>
    </w:p>
    <w:p w14:paraId="795C619E" w14:textId="77777777" w:rsidR="00B51DEA" w:rsidRDefault="00000000">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对持续持有期少于</w:t>
      </w:r>
      <w:r>
        <w:rPr>
          <w:rFonts w:asciiTheme="minorEastAsia" w:hAnsiTheme="minorEastAsia" w:cs="Arial"/>
          <w:sz w:val="24"/>
          <w:szCs w:val="24"/>
        </w:rPr>
        <w:t>30日的A类基金份额</w:t>
      </w:r>
      <w:r>
        <w:rPr>
          <w:rFonts w:asciiTheme="minorEastAsia" w:hAnsiTheme="minorEastAsia" w:cs="Arial" w:hint="eastAsia"/>
          <w:sz w:val="24"/>
          <w:szCs w:val="24"/>
        </w:rPr>
        <w:t>投资人收取的赎回费全额计入基金财产；对持续持有期不少于</w:t>
      </w:r>
      <w:r>
        <w:rPr>
          <w:rFonts w:asciiTheme="minorEastAsia" w:hAnsiTheme="minorEastAsia" w:cs="Arial"/>
          <w:sz w:val="24"/>
          <w:szCs w:val="24"/>
        </w:rPr>
        <w:t>30日但少于3个月的A类基金份额</w:t>
      </w:r>
      <w:r>
        <w:rPr>
          <w:rFonts w:asciiTheme="minorEastAsia" w:hAnsiTheme="minorEastAsia" w:cs="Arial" w:hint="eastAsia"/>
          <w:sz w:val="24"/>
          <w:szCs w:val="24"/>
        </w:rPr>
        <w:t>投资人收取的赎回费总额的</w:t>
      </w:r>
      <w:r>
        <w:rPr>
          <w:rFonts w:asciiTheme="minorEastAsia" w:hAnsiTheme="minorEastAsia" w:cs="Arial"/>
          <w:sz w:val="24"/>
          <w:szCs w:val="24"/>
        </w:rPr>
        <w:t>75%计入基金财产；对持续持有期不少于3个月但少于6个月的A类基金份额</w:t>
      </w:r>
      <w:r>
        <w:rPr>
          <w:rFonts w:asciiTheme="minorEastAsia" w:hAnsiTheme="minorEastAsia" w:cs="Arial" w:hint="eastAsia"/>
          <w:sz w:val="24"/>
          <w:szCs w:val="24"/>
        </w:rPr>
        <w:t>投资人收取的赎回费总额的</w:t>
      </w:r>
      <w:r>
        <w:rPr>
          <w:rFonts w:asciiTheme="minorEastAsia" w:hAnsiTheme="minorEastAsia" w:cs="Arial"/>
          <w:sz w:val="24"/>
          <w:szCs w:val="24"/>
        </w:rPr>
        <w:t>50%计入基金财产；</w:t>
      </w:r>
      <w:r>
        <w:rPr>
          <w:rFonts w:asciiTheme="minorEastAsia" w:hAnsiTheme="minorEastAsia" w:cs="Arial" w:hint="eastAsia"/>
          <w:sz w:val="24"/>
          <w:szCs w:val="24"/>
        </w:rPr>
        <w:t>对</w:t>
      </w:r>
      <w:r>
        <w:rPr>
          <w:rFonts w:asciiTheme="minorEastAsia" w:hAnsiTheme="minorEastAsia" w:cs="Arial"/>
          <w:sz w:val="24"/>
          <w:szCs w:val="24"/>
        </w:rPr>
        <w:t>C类基金份额</w:t>
      </w:r>
      <w:r>
        <w:rPr>
          <w:rFonts w:asciiTheme="minorEastAsia" w:hAnsiTheme="minorEastAsia" w:cs="Arial" w:hint="eastAsia"/>
          <w:sz w:val="24"/>
          <w:szCs w:val="24"/>
        </w:rPr>
        <w:t>投资人收取的赎回费全额计入基金财产。上述未纳入基金财产的赎回费用于支付登记费和其他必要的手续费。</w:t>
      </w:r>
    </w:p>
    <w:p w14:paraId="6819DE3C" w14:textId="77777777" w:rsidR="00B51DEA" w:rsidRDefault="00000000">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3</w:t>
      </w:r>
      <w:r>
        <w:rPr>
          <w:rFonts w:asciiTheme="minorEastAsia" w:hAnsiTheme="minorEastAsia" w:cs="Arial" w:hint="eastAsia"/>
          <w:sz w:val="24"/>
          <w:szCs w:val="24"/>
        </w:rPr>
        <w:t>、基金管理人可以在基金合同约定的范围内调整费率或收费方式，并最迟应于新的费率或收费方式实施日前依照《信息披露办法》的有关规定在指定媒介上公告。</w:t>
      </w:r>
    </w:p>
    <w:p w14:paraId="436F9D1B" w14:textId="77777777" w:rsidR="00B51DEA" w:rsidRDefault="00000000">
      <w:pPr>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Arial"/>
          <w:sz w:val="24"/>
          <w:szCs w:val="24"/>
        </w:rPr>
        <w:lastRenderedPageBreak/>
        <w:t>4</w:t>
      </w:r>
      <w:r>
        <w:rPr>
          <w:rFonts w:asciiTheme="minorEastAsia" w:hAnsiTheme="minorEastAsia" w:cs="Arial" w:hint="eastAsia"/>
          <w:sz w:val="24"/>
          <w:szCs w:val="24"/>
        </w:rPr>
        <w:t>、</w:t>
      </w:r>
      <w:r>
        <w:rPr>
          <w:rFonts w:asciiTheme="minorEastAsia" w:hAnsiTheme="minorEastAsia" w:cs="Times New Roman" w:hint="eastAsia"/>
          <w:sz w:val="24"/>
          <w:szCs w:val="24"/>
        </w:rPr>
        <w:t>基金管理人可以在不违反法律法规规定及基金合同约定的情况下根据市场情况制定基金促销计划，定期或不定期地开展基金促销活动。在基金促销活动期间，按相关监管部门要求履行必要手续后，基金管理人可以适当调低基金的申购费率。</w:t>
      </w:r>
    </w:p>
    <w:p w14:paraId="2BEAF192" w14:textId="77777777" w:rsidR="00B51DEA" w:rsidRDefault="00B51DEA">
      <w:pPr>
        <w:snapToGrid w:val="0"/>
        <w:spacing w:line="360" w:lineRule="auto"/>
        <w:ind w:firstLineChars="200" w:firstLine="480"/>
        <w:rPr>
          <w:rFonts w:asciiTheme="minorEastAsia" w:hAnsiTheme="minorEastAsia" w:cs="Times New Roman" w:hint="eastAsia"/>
          <w:sz w:val="24"/>
          <w:szCs w:val="24"/>
        </w:rPr>
      </w:pPr>
    </w:p>
    <w:p w14:paraId="6F4242EE" w14:textId="77777777" w:rsidR="00B51DEA" w:rsidRDefault="00000000">
      <w:pPr>
        <w:tabs>
          <w:tab w:val="left" w:pos="1110"/>
        </w:tabs>
        <w:adjustRightInd w:val="0"/>
        <w:snapToGrid w:val="0"/>
        <w:spacing w:line="360" w:lineRule="auto"/>
        <w:ind w:firstLineChars="200" w:firstLine="482"/>
        <w:rPr>
          <w:rFonts w:asciiTheme="minorEastAsia" w:hAnsiTheme="minorEastAsia" w:cs="Arial" w:hint="eastAsia"/>
          <w:b/>
          <w:bCs/>
          <w:sz w:val="24"/>
          <w:szCs w:val="24"/>
        </w:rPr>
      </w:pPr>
      <w:r>
        <w:rPr>
          <w:rFonts w:asciiTheme="minorEastAsia" w:hAnsiTheme="minorEastAsia" w:cs="Arial" w:hint="eastAsia"/>
          <w:b/>
          <w:bCs/>
          <w:sz w:val="24"/>
          <w:szCs w:val="24"/>
        </w:rPr>
        <w:t>七、</w:t>
      </w:r>
      <w:r>
        <w:rPr>
          <w:rFonts w:asciiTheme="minorEastAsia" w:hAnsiTheme="minorEastAsia" w:cs="Arial"/>
          <w:b/>
          <w:bCs/>
          <w:sz w:val="24"/>
          <w:szCs w:val="24"/>
        </w:rPr>
        <w:t>A</w:t>
      </w:r>
      <w:r>
        <w:rPr>
          <w:rFonts w:asciiTheme="minorEastAsia" w:hAnsiTheme="minorEastAsia" w:cs="Arial" w:hint="eastAsia"/>
          <w:b/>
          <w:bCs/>
          <w:sz w:val="24"/>
          <w:szCs w:val="24"/>
        </w:rPr>
        <w:t>类基金份额与</w:t>
      </w:r>
      <w:r>
        <w:rPr>
          <w:rFonts w:asciiTheme="minorEastAsia" w:hAnsiTheme="minorEastAsia" w:cs="Arial"/>
          <w:b/>
          <w:bCs/>
          <w:sz w:val="24"/>
          <w:szCs w:val="24"/>
        </w:rPr>
        <w:t>C</w:t>
      </w:r>
      <w:r>
        <w:rPr>
          <w:rFonts w:asciiTheme="minorEastAsia" w:hAnsiTheme="minorEastAsia" w:cs="Arial" w:hint="eastAsia"/>
          <w:b/>
          <w:bCs/>
          <w:sz w:val="24"/>
          <w:szCs w:val="24"/>
        </w:rPr>
        <w:t>类基金份额的申购份额与赎回金额的计算方式</w:t>
      </w:r>
    </w:p>
    <w:p w14:paraId="5C0E9CF2" w14:textId="77777777" w:rsidR="00B51DEA" w:rsidRDefault="00000000">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1、A类基金份额</w:t>
      </w:r>
      <w:r>
        <w:rPr>
          <w:rFonts w:asciiTheme="minorEastAsia" w:hAnsiTheme="minorEastAsia" w:cs="Arial" w:hint="eastAsia"/>
          <w:sz w:val="24"/>
          <w:szCs w:val="24"/>
        </w:rPr>
        <w:t>申购份额的计算方式：</w:t>
      </w:r>
    </w:p>
    <w:p w14:paraId="37A7CCC0" w14:textId="77777777" w:rsidR="00B51DEA" w:rsidRDefault="00000000">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1）当申购费</w:t>
      </w:r>
      <w:r>
        <w:rPr>
          <w:rFonts w:asciiTheme="minorEastAsia" w:hAnsiTheme="minorEastAsia" w:cs="Arial" w:hint="eastAsia"/>
          <w:sz w:val="24"/>
          <w:szCs w:val="24"/>
        </w:rPr>
        <w:t>用适用比例费率时，申购份额的计算公式如下：</w:t>
      </w:r>
    </w:p>
    <w:p w14:paraId="3B66BD9D" w14:textId="77777777" w:rsidR="00B51DEA" w:rsidRDefault="00000000">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净申购金额</w:t>
      </w:r>
      <w:r>
        <w:rPr>
          <w:rFonts w:asciiTheme="minorEastAsia" w:hAnsiTheme="minorEastAsia" w:cs="Arial"/>
          <w:sz w:val="24"/>
          <w:szCs w:val="24"/>
        </w:rPr>
        <w:t>=申购金额/（1+申购费率）</w:t>
      </w:r>
    </w:p>
    <w:p w14:paraId="6F84FE08" w14:textId="77777777" w:rsidR="00B51DEA" w:rsidRDefault="00000000">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申购费用</w:t>
      </w:r>
      <w:r>
        <w:rPr>
          <w:rFonts w:asciiTheme="minorEastAsia" w:hAnsiTheme="minorEastAsia" w:cs="Arial"/>
          <w:sz w:val="24"/>
          <w:szCs w:val="24"/>
        </w:rPr>
        <w:t>=申购金额－净申购金额</w:t>
      </w:r>
    </w:p>
    <w:p w14:paraId="5C127C7B" w14:textId="77777777" w:rsidR="00B51DEA" w:rsidRDefault="00000000">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申购份额</w:t>
      </w:r>
      <w:r>
        <w:rPr>
          <w:rFonts w:asciiTheme="minorEastAsia" w:hAnsiTheme="minorEastAsia" w:cs="Arial"/>
          <w:sz w:val="24"/>
          <w:szCs w:val="24"/>
        </w:rPr>
        <w:t xml:space="preserve">=净申购金额/T </w:t>
      </w:r>
      <w:r>
        <w:rPr>
          <w:rFonts w:asciiTheme="minorEastAsia" w:hAnsiTheme="minorEastAsia" w:cs="Arial" w:hint="eastAsia"/>
          <w:sz w:val="24"/>
          <w:szCs w:val="24"/>
        </w:rPr>
        <w:t>日</w:t>
      </w:r>
      <w:r>
        <w:rPr>
          <w:rFonts w:asciiTheme="minorEastAsia" w:hAnsiTheme="minorEastAsia" w:cs="Arial"/>
          <w:sz w:val="24"/>
          <w:szCs w:val="24"/>
        </w:rPr>
        <w:t>A类</w:t>
      </w:r>
      <w:r>
        <w:rPr>
          <w:rFonts w:asciiTheme="minorEastAsia" w:hAnsiTheme="minorEastAsia" w:cs="Arial" w:hint="eastAsia"/>
          <w:sz w:val="24"/>
          <w:szCs w:val="24"/>
        </w:rPr>
        <w:t>基金份额净值</w:t>
      </w:r>
    </w:p>
    <w:p w14:paraId="4C3E5306" w14:textId="77777777" w:rsidR="00B51DEA" w:rsidRDefault="00000000">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2）当申购费用为固定金额时，申购份额的计算方法如下：</w:t>
      </w:r>
    </w:p>
    <w:p w14:paraId="0E03ECF1" w14:textId="77777777" w:rsidR="00B51DEA" w:rsidRDefault="00000000">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申购费用＝固定费用</w:t>
      </w:r>
    </w:p>
    <w:p w14:paraId="47A59245" w14:textId="77777777" w:rsidR="00B51DEA" w:rsidRDefault="00000000">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净申购金额＝申购金额－申购费用</w:t>
      </w:r>
    </w:p>
    <w:p w14:paraId="35E94E2A" w14:textId="77777777" w:rsidR="00B51DEA" w:rsidRDefault="00000000">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申购份额＝净申购金额</w:t>
      </w:r>
      <w:r>
        <w:rPr>
          <w:rFonts w:asciiTheme="minorEastAsia" w:hAnsiTheme="minorEastAsia" w:cs="Arial"/>
          <w:sz w:val="24"/>
          <w:szCs w:val="24"/>
        </w:rPr>
        <w:t>/T日A类</w:t>
      </w:r>
      <w:r>
        <w:rPr>
          <w:rFonts w:asciiTheme="minorEastAsia" w:hAnsiTheme="minorEastAsia" w:cs="Arial" w:hint="eastAsia"/>
          <w:sz w:val="24"/>
          <w:szCs w:val="24"/>
        </w:rPr>
        <w:t>基金份额净值</w:t>
      </w:r>
    </w:p>
    <w:p w14:paraId="526866B7" w14:textId="77777777" w:rsidR="00B51DEA" w:rsidRDefault="00000000">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上述计算结果按照四舍五入方法，保留小数点后两位，由此误差产生的收益或损失由基金财产承担。</w:t>
      </w:r>
    </w:p>
    <w:p w14:paraId="0A3962EF" w14:textId="77777777" w:rsidR="00B51DEA" w:rsidRDefault="00000000">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例：某投资者投资</w:t>
      </w:r>
      <w:r>
        <w:rPr>
          <w:rFonts w:asciiTheme="minorEastAsia" w:hAnsiTheme="minorEastAsia" w:cs="Arial"/>
          <w:sz w:val="24"/>
          <w:szCs w:val="24"/>
        </w:rPr>
        <w:t xml:space="preserve">50,000 </w:t>
      </w:r>
      <w:r>
        <w:rPr>
          <w:rFonts w:asciiTheme="minorEastAsia" w:hAnsiTheme="minorEastAsia" w:cs="Arial" w:hint="eastAsia"/>
          <w:sz w:val="24"/>
          <w:szCs w:val="24"/>
        </w:rPr>
        <w:t>元申购本基金</w:t>
      </w:r>
      <w:r>
        <w:rPr>
          <w:rFonts w:asciiTheme="minorEastAsia" w:hAnsiTheme="minorEastAsia" w:cs="Arial"/>
          <w:sz w:val="24"/>
          <w:szCs w:val="24"/>
        </w:rPr>
        <w:t>A类基金份额，且该申购申请被全额确认，对应的申购费率为1.0%，假定申购当日A类</w:t>
      </w:r>
      <w:r>
        <w:rPr>
          <w:rFonts w:asciiTheme="minorEastAsia" w:hAnsiTheme="minorEastAsia" w:cs="Arial" w:hint="eastAsia"/>
          <w:sz w:val="24"/>
          <w:szCs w:val="24"/>
        </w:rPr>
        <w:t>基金份额净值为</w:t>
      </w:r>
      <w:r>
        <w:rPr>
          <w:rFonts w:asciiTheme="minorEastAsia" w:hAnsiTheme="minorEastAsia" w:cs="Arial"/>
          <w:sz w:val="24"/>
          <w:szCs w:val="24"/>
        </w:rPr>
        <w:t>1.0500元，则可得到的申购份额为：</w:t>
      </w:r>
    </w:p>
    <w:p w14:paraId="5695263E" w14:textId="77777777" w:rsidR="00B51DEA" w:rsidRDefault="00000000">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净申购金额＝</w:t>
      </w:r>
      <w:r>
        <w:rPr>
          <w:rFonts w:asciiTheme="minorEastAsia" w:hAnsiTheme="minorEastAsia" w:cs="Arial"/>
          <w:sz w:val="24"/>
          <w:szCs w:val="24"/>
        </w:rPr>
        <w:t>50,000/(1+1.0%)＝49504.95</w:t>
      </w:r>
      <w:r>
        <w:rPr>
          <w:rFonts w:asciiTheme="minorEastAsia" w:hAnsiTheme="minorEastAsia" w:cs="Arial" w:hint="eastAsia"/>
          <w:sz w:val="24"/>
          <w:szCs w:val="24"/>
        </w:rPr>
        <w:t>元</w:t>
      </w:r>
    </w:p>
    <w:p w14:paraId="32E8F3F0" w14:textId="77777777" w:rsidR="00B51DEA" w:rsidRDefault="00000000">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申购费用＝</w:t>
      </w:r>
      <w:r>
        <w:rPr>
          <w:rFonts w:asciiTheme="minorEastAsia" w:hAnsiTheme="minorEastAsia" w:cs="Arial"/>
          <w:sz w:val="24"/>
          <w:szCs w:val="24"/>
        </w:rPr>
        <w:t>50,000－49504.95</w:t>
      </w:r>
      <w:r>
        <w:rPr>
          <w:rFonts w:asciiTheme="minorEastAsia" w:hAnsiTheme="minorEastAsia" w:cs="Arial" w:hint="eastAsia"/>
          <w:sz w:val="24"/>
          <w:szCs w:val="24"/>
        </w:rPr>
        <w:t>＝</w:t>
      </w:r>
      <w:r>
        <w:rPr>
          <w:rFonts w:asciiTheme="minorEastAsia" w:hAnsiTheme="minorEastAsia" w:cs="Arial"/>
          <w:sz w:val="24"/>
          <w:szCs w:val="24"/>
        </w:rPr>
        <w:t>495.05</w:t>
      </w:r>
      <w:r>
        <w:rPr>
          <w:rFonts w:asciiTheme="minorEastAsia" w:hAnsiTheme="minorEastAsia" w:cs="Arial" w:hint="eastAsia"/>
          <w:sz w:val="24"/>
          <w:szCs w:val="24"/>
        </w:rPr>
        <w:t>元</w:t>
      </w:r>
    </w:p>
    <w:p w14:paraId="2DE308BE" w14:textId="77777777" w:rsidR="00B51DEA" w:rsidRDefault="00000000">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申购份额＝</w:t>
      </w:r>
      <w:r>
        <w:rPr>
          <w:rFonts w:asciiTheme="minorEastAsia" w:hAnsiTheme="minorEastAsia" w:cs="Arial"/>
          <w:sz w:val="24"/>
          <w:szCs w:val="24"/>
        </w:rPr>
        <w:t>49504.95/1.0500＝47147.57</w:t>
      </w:r>
      <w:r>
        <w:rPr>
          <w:rFonts w:asciiTheme="minorEastAsia" w:hAnsiTheme="minorEastAsia" w:cs="Arial" w:hint="eastAsia"/>
          <w:sz w:val="24"/>
          <w:szCs w:val="24"/>
        </w:rPr>
        <w:t>份</w:t>
      </w:r>
    </w:p>
    <w:p w14:paraId="79D33098" w14:textId="77777777" w:rsidR="00B51DEA" w:rsidRDefault="00000000">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kern w:val="0"/>
          <w:sz w:val="24"/>
          <w:szCs w:val="24"/>
        </w:rPr>
        <w:t>即投资者投资</w:t>
      </w:r>
      <w:r>
        <w:rPr>
          <w:rFonts w:asciiTheme="minorEastAsia" w:hAnsiTheme="minorEastAsia" w:cs="Arial"/>
          <w:kern w:val="0"/>
          <w:sz w:val="24"/>
          <w:szCs w:val="24"/>
        </w:rPr>
        <w:t xml:space="preserve">50,000 </w:t>
      </w:r>
      <w:r>
        <w:rPr>
          <w:rFonts w:asciiTheme="minorEastAsia" w:hAnsiTheme="minorEastAsia" w:cs="Arial" w:hint="eastAsia"/>
          <w:kern w:val="0"/>
          <w:sz w:val="24"/>
          <w:szCs w:val="24"/>
        </w:rPr>
        <w:t>元申购本基金</w:t>
      </w:r>
      <w:r>
        <w:rPr>
          <w:rFonts w:asciiTheme="minorEastAsia" w:hAnsiTheme="minorEastAsia" w:cs="Arial"/>
          <w:kern w:val="0"/>
          <w:sz w:val="24"/>
          <w:szCs w:val="24"/>
        </w:rPr>
        <w:t>A类基金份额，</w:t>
      </w:r>
      <w:r>
        <w:rPr>
          <w:rFonts w:asciiTheme="minorEastAsia" w:hAnsiTheme="minorEastAsia" w:cs="Arial" w:hint="eastAsia"/>
          <w:kern w:val="0"/>
          <w:sz w:val="24"/>
          <w:szCs w:val="24"/>
        </w:rPr>
        <w:t>对应的申购费率为</w:t>
      </w:r>
      <w:r>
        <w:rPr>
          <w:rFonts w:asciiTheme="minorEastAsia" w:hAnsiTheme="minorEastAsia" w:cs="Arial"/>
          <w:kern w:val="0"/>
          <w:sz w:val="24"/>
          <w:szCs w:val="24"/>
        </w:rPr>
        <w:t>1.00%，</w:t>
      </w:r>
      <w:r>
        <w:rPr>
          <w:rFonts w:asciiTheme="minorEastAsia" w:hAnsiTheme="minorEastAsia" w:cs="Arial" w:hint="eastAsia"/>
          <w:kern w:val="0"/>
          <w:sz w:val="24"/>
          <w:szCs w:val="24"/>
        </w:rPr>
        <w:t>假定申购当日</w:t>
      </w:r>
      <w:r>
        <w:rPr>
          <w:rFonts w:asciiTheme="minorEastAsia" w:hAnsiTheme="minorEastAsia" w:cs="Arial"/>
          <w:kern w:val="0"/>
          <w:sz w:val="24"/>
          <w:szCs w:val="24"/>
        </w:rPr>
        <w:t>A类基金份额净值为1.0500元，可得到47147.57</w:t>
      </w:r>
      <w:r>
        <w:rPr>
          <w:rFonts w:asciiTheme="minorEastAsia" w:hAnsiTheme="minorEastAsia" w:cs="Arial" w:hint="eastAsia"/>
          <w:kern w:val="0"/>
          <w:sz w:val="24"/>
          <w:szCs w:val="24"/>
        </w:rPr>
        <w:t>份</w:t>
      </w:r>
      <w:r>
        <w:rPr>
          <w:rFonts w:asciiTheme="minorEastAsia" w:hAnsiTheme="minorEastAsia" w:cs="Arial"/>
          <w:kern w:val="0"/>
          <w:sz w:val="24"/>
          <w:szCs w:val="24"/>
        </w:rPr>
        <w:t>A类</w:t>
      </w:r>
      <w:r>
        <w:rPr>
          <w:rFonts w:asciiTheme="minorEastAsia" w:hAnsiTheme="minorEastAsia" w:cs="Arial" w:hint="eastAsia"/>
          <w:kern w:val="0"/>
          <w:sz w:val="24"/>
          <w:szCs w:val="24"/>
        </w:rPr>
        <w:t>基金份额。</w:t>
      </w:r>
    </w:p>
    <w:p w14:paraId="35FC33AD" w14:textId="77777777" w:rsidR="00B51DEA" w:rsidRDefault="00000000">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2、C类基金份额申购份额的计算方式：</w:t>
      </w:r>
    </w:p>
    <w:p w14:paraId="27574273" w14:textId="77777777" w:rsidR="00B51DEA" w:rsidRDefault="00000000">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申购份额＝申购金额</w:t>
      </w:r>
      <w:r>
        <w:rPr>
          <w:rFonts w:asciiTheme="minorEastAsia" w:hAnsiTheme="minorEastAsia" w:cs="Arial"/>
          <w:sz w:val="24"/>
          <w:szCs w:val="24"/>
        </w:rPr>
        <w:t>/T日C类基金份额净值</w:t>
      </w:r>
    </w:p>
    <w:p w14:paraId="599CFE02" w14:textId="77777777" w:rsidR="00B51DEA" w:rsidRDefault="00000000">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上述计算结果按照四舍五入方法，保留小数点后两位，由此误差产生的收益或损失由基金财产承担。</w:t>
      </w:r>
    </w:p>
    <w:p w14:paraId="76C97075" w14:textId="77777777" w:rsidR="00B51DEA" w:rsidRDefault="00000000">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例：某投资者投资</w:t>
      </w:r>
      <w:r>
        <w:rPr>
          <w:rFonts w:asciiTheme="minorEastAsia" w:hAnsiTheme="minorEastAsia" w:cs="Arial"/>
          <w:sz w:val="24"/>
          <w:szCs w:val="24"/>
        </w:rPr>
        <w:t xml:space="preserve">5,000,000 </w:t>
      </w:r>
      <w:r>
        <w:rPr>
          <w:rFonts w:asciiTheme="minorEastAsia" w:hAnsiTheme="minorEastAsia" w:cs="Arial" w:hint="eastAsia"/>
          <w:sz w:val="24"/>
          <w:szCs w:val="24"/>
        </w:rPr>
        <w:t>元申购本基金</w:t>
      </w:r>
      <w:r>
        <w:rPr>
          <w:rFonts w:asciiTheme="minorEastAsia" w:hAnsiTheme="minorEastAsia" w:cs="Arial"/>
          <w:sz w:val="24"/>
          <w:szCs w:val="24"/>
        </w:rPr>
        <w:t>C类基金份额，且该申购申请</w:t>
      </w:r>
      <w:r>
        <w:rPr>
          <w:rFonts w:asciiTheme="minorEastAsia" w:hAnsiTheme="minorEastAsia" w:cs="Arial"/>
          <w:sz w:val="24"/>
          <w:szCs w:val="24"/>
        </w:rPr>
        <w:lastRenderedPageBreak/>
        <w:t>被全额确认，假定申购当日C类基金份额净值为1.2300元，则可得到的申购份额为：</w:t>
      </w:r>
    </w:p>
    <w:p w14:paraId="28EC41A0" w14:textId="77777777" w:rsidR="00B51DEA" w:rsidRDefault="00000000">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申购份额＝</w:t>
      </w:r>
      <w:r>
        <w:rPr>
          <w:rFonts w:asciiTheme="minorEastAsia" w:hAnsiTheme="minorEastAsia" w:cs="Arial"/>
          <w:sz w:val="24"/>
          <w:szCs w:val="24"/>
        </w:rPr>
        <w:t>5,000,000/1.2300=4,065,040.65</w:t>
      </w:r>
      <w:r>
        <w:rPr>
          <w:rFonts w:asciiTheme="minorEastAsia" w:hAnsiTheme="minorEastAsia" w:cs="Arial" w:hint="eastAsia"/>
          <w:sz w:val="24"/>
          <w:szCs w:val="24"/>
        </w:rPr>
        <w:t>份</w:t>
      </w:r>
    </w:p>
    <w:p w14:paraId="0A9E5A30" w14:textId="77777777" w:rsidR="00B51DEA" w:rsidRDefault="00000000">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即投资者投资</w:t>
      </w:r>
      <w:r>
        <w:rPr>
          <w:rFonts w:asciiTheme="minorEastAsia" w:hAnsiTheme="minorEastAsia" w:cs="Arial"/>
          <w:sz w:val="24"/>
          <w:szCs w:val="24"/>
        </w:rPr>
        <w:t xml:space="preserve">5,000,000 </w:t>
      </w:r>
      <w:r>
        <w:rPr>
          <w:rFonts w:asciiTheme="minorEastAsia" w:hAnsiTheme="minorEastAsia" w:cs="Arial" w:hint="eastAsia"/>
          <w:sz w:val="24"/>
          <w:szCs w:val="24"/>
        </w:rPr>
        <w:t>元申购本基金</w:t>
      </w:r>
      <w:r>
        <w:rPr>
          <w:rFonts w:asciiTheme="minorEastAsia" w:hAnsiTheme="minorEastAsia" w:cs="Arial"/>
          <w:sz w:val="24"/>
          <w:szCs w:val="24"/>
        </w:rPr>
        <w:t>C类基金份额，假定申购当日C类基金份额净值为1.2300元，可得到4,065,040.65</w:t>
      </w:r>
      <w:r>
        <w:rPr>
          <w:rFonts w:asciiTheme="minorEastAsia" w:hAnsiTheme="minorEastAsia" w:cs="Arial" w:hint="eastAsia"/>
          <w:sz w:val="24"/>
          <w:szCs w:val="24"/>
        </w:rPr>
        <w:t>份</w:t>
      </w:r>
      <w:r>
        <w:rPr>
          <w:rFonts w:asciiTheme="minorEastAsia" w:hAnsiTheme="minorEastAsia" w:cs="Arial"/>
          <w:sz w:val="24"/>
          <w:szCs w:val="24"/>
        </w:rPr>
        <w:t>C类基金份额。</w:t>
      </w:r>
    </w:p>
    <w:p w14:paraId="77F6ACB7" w14:textId="77777777" w:rsidR="00B51DEA" w:rsidRDefault="00000000">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3</w:t>
      </w:r>
      <w:r>
        <w:rPr>
          <w:rFonts w:asciiTheme="minorEastAsia" w:hAnsiTheme="minorEastAsia" w:cs="Arial" w:hint="eastAsia"/>
          <w:sz w:val="24"/>
          <w:szCs w:val="24"/>
        </w:rPr>
        <w:t>、</w:t>
      </w:r>
      <w:r>
        <w:rPr>
          <w:rFonts w:asciiTheme="minorEastAsia" w:hAnsiTheme="minorEastAsia" w:cs="Arial"/>
          <w:sz w:val="24"/>
          <w:szCs w:val="24"/>
        </w:rPr>
        <w:t xml:space="preserve"> </w:t>
      </w:r>
      <w:r>
        <w:rPr>
          <w:rFonts w:asciiTheme="minorEastAsia" w:hAnsiTheme="minorEastAsia" w:cs="Arial" w:hint="eastAsia"/>
          <w:sz w:val="24"/>
          <w:szCs w:val="24"/>
        </w:rPr>
        <w:t>赎回金额的计算方式：</w:t>
      </w:r>
    </w:p>
    <w:p w14:paraId="4D4CDB0C" w14:textId="77777777" w:rsidR="00B51DEA" w:rsidRDefault="00000000">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赎回总额</w:t>
      </w:r>
      <w:r>
        <w:rPr>
          <w:rFonts w:asciiTheme="minorEastAsia" w:hAnsiTheme="minorEastAsia" w:cs="Arial"/>
          <w:sz w:val="24"/>
          <w:szCs w:val="24"/>
        </w:rPr>
        <w:t>=</w:t>
      </w:r>
      <w:r>
        <w:rPr>
          <w:rFonts w:asciiTheme="minorEastAsia" w:hAnsiTheme="minorEastAsia" w:cs="Arial" w:hint="eastAsia"/>
          <w:sz w:val="24"/>
          <w:szCs w:val="24"/>
        </w:rPr>
        <w:t>赎回份额×</w:t>
      </w:r>
      <w:r>
        <w:rPr>
          <w:rFonts w:asciiTheme="minorEastAsia" w:hAnsiTheme="minorEastAsia" w:cs="Arial"/>
          <w:sz w:val="24"/>
          <w:szCs w:val="24"/>
        </w:rPr>
        <w:t>T</w:t>
      </w:r>
      <w:r>
        <w:rPr>
          <w:rFonts w:asciiTheme="minorEastAsia" w:hAnsiTheme="minorEastAsia" w:cs="Arial" w:hint="eastAsia"/>
          <w:sz w:val="24"/>
          <w:szCs w:val="24"/>
        </w:rPr>
        <w:t>日该类别基金份额净值</w:t>
      </w:r>
    </w:p>
    <w:p w14:paraId="187C2ADC" w14:textId="77777777" w:rsidR="00B51DEA" w:rsidRDefault="00000000">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赎回费用</w:t>
      </w:r>
      <w:r>
        <w:rPr>
          <w:rFonts w:asciiTheme="minorEastAsia" w:hAnsiTheme="minorEastAsia" w:cs="Arial"/>
          <w:sz w:val="24"/>
          <w:szCs w:val="24"/>
        </w:rPr>
        <w:t>=</w:t>
      </w:r>
      <w:r>
        <w:rPr>
          <w:rFonts w:asciiTheme="minorEastAsia" w:hAnsiTheme="minorEastAsia" w:cs="Arial" w:hint="eastAsia"/>
          <w:sz w:val="24"/>
          <w:szCs w:val="24"/>
        </w:rPr>
        <w:t>赎回总额×赎回费率</w:t>
      </w:r>
    </w:p>
    <w:p w14:paraId="6E85090B" w14:textId="77777777" w:rsidR="00B51DEA" w:rsidRDefault="00000000">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赎回金额</w:t>
      </w:r>
      <w:r>
        <w:rPr>
          <w:rFonts w:asciiTheme="minorEastAsia" w:hAnsiTheme="minorEastAsia" w:cs="Arial"/>
          <w:sz w:val="24"/>
          <w:szCs w:val="24"/>
        </w:rPr>
        <w:t>=</w:t>
      </w:r>
      <w:r>
        <w:rPr>
          <w:rFonts w:asciiTheme="minorEastAsia" w:hAnsiTheme="minorEastAsia" w:cs="Arial" w:hint="eastAsia"/>
          <w:sz w:val="24"/>
          <w:szCs w:val="24"/>
        </w:rPr>
        <w:t>赎回总额－赎回费用</w:t>
      </w:r>
    </w:p>
    <w:p w14:paraId="00B8E402" w14:textId="77777777" w:rsidR="00B51DEA" w:rsidRDefault="00000000">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上述计算结果均按四舍五入方法，保留到小数点后</w:t>
      </w:r>
      <w:r>
        <w:rPr>
          <w:rFonts w:asciiTheme="minorEastAsia" w:hAnsiTheme="minorEastAsia" w:cs="Arial"/>
          <w:sz w:val="24"/>
          <w:szCs w:val="24"/>
        </w:rPr>
        <w:t>2位，由此产生的收益或损失由基金财产承担。</w:t>
      </w:r>
    </w:p>
    <w:p w14:paraId="500FE1B0" w14:textId="77777777" w:rsidR="00B51DEA" w:rsidRDefault="00000000">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例</w:t>
      </w:r>
      <w:r>
        <w:rPr>
          <w:rFonts w:asciiTheme="minorEastAsia" w:hAnsiTheme="minorEastAsia" w:cs="Arial"/>
          <w:sz w:val="24"/>
          <w:szCs w:val="24"/>
        </w:rPr>
        <w:t>1</w:t>
      </w:r>
      <w:r>
        <w:rPr>
          <w:rFonts w:asciiTheme="minorEastAsia" w:hAnsiTheme="minorEastAsia" w:cs="Arial" w:hint="eastAsia"/>
          <w:sz w:val="24"/>
          <w:szCs w:val="24"/>
        </w:rPr>
        <w:t>：某投资者赎回</w:t>
      </w:r>
      <w:r>
        <w:rPr>
          <w:rFonts w:asciiTheme="minorEastAsia" w:hAnsiTheme="minorEastAsia" w:cs="Arial"/>
          <w:sz w:val="24"/>
          <w:szCs w:val="24"/>
        </w:rPr>
        <w:t xml:space="preserve">10,000 </w:t>
      </w:r>
      <w:r>
        <w:rPr>
          <w:rFonts w:asciiTheme="minorEastAsia" w:hAnsiTheme="minorEastAsia" w:cs="Arial" w:hint="eastAsia"/>
          <w:sz w:val="24"/>
          <w:szCs w:val="24"/>
        </w:rPr>
        <w:t>份</w:t>
      </w:r>
      <w:r>
        <w:rPr>
          <w:rFonts w:asciiTheme="minorEastAsia" w:hAnsiTheme="minorEastAsia" w:cs="Arial"/>
          <w:sz w:val="24"/>
          <w:szCs w:val="24"/>
        </w:rPr>
        <w:t>A</w:t>
      </w:r>
      <w:r>
        <w:rPr>
          <w:rFonts w:asciiTheme="minorEastAsia" w:hAnsiTheme="minorEastAsia" w:cs="Arial" w:hint="eastAsia"/>
          <w:sz w:val="24"/>
          <w:szCs w:val="24"/>
        </w:rPr>
        <w:t>类基金份额且持有时间为</w:t>
      </w:r>
      <w:r>
        <w:rPr>
          <w:rFonts w:asciiTheme="minorEastAsia" w:hAnsiTheme="minorEastAsia" w:cs="Arial"/>
          <w:sz w:val="24"/>
          <w:szCs w:val="24"/>
        </w:rPr>
        <w:t>3个月</w:t>
      </w:r>
      <w:r>
        <w:rPr>
          <w:rFonts w:asciiTheme="minorEastAsia" w:hAnsiTheme="minorEastAsia" w:cs="Arial" w:hint="eastAsia"/>
          <w:sz w:val="24"/>
          <w:szCs w:val="24"/>
        </w:rPr>
        <w:t>，赎回费率为</w:t>
      </w:r>
      <w:r>
        <w:rPr>
          <w:rFonts w:asciiTheme="minorEastAsia" w:hAnsiTheme="minorEastAsia" w:cs="Arial"/>
          <w:sz w:val="24"/>
          <w:szCs w:val="24"/>
        </w:rPr>
        <w:t>0.5%</w:t>
      </w:r>
      <w:r>
        <w:rPr>
          <w:rFonts w:asciiTheme="minorEastAsia" w:hAnsiTheme="minorEastAsia" w:cs="Arial" w:hint="eastAsia"/>
          <w:sz w:val="24"/>
          <w:szCs w:val="24"/>
        </w:rPr>
        <w:t>，假设赎回申请当日</w:t>
      </w:r>
      <w:r>
        <w:rPr>
          <w:rFonts w:asciiTheme="minorEastAsia" w:hAnsiTheme="minorEastAsia" w:cs="Arial"/>
          <w:sz w:val="24"/>
          <w:szCs w:val="24"/>
        </w:rPr>
        <w:t>A</w:t>
      </w:r>
      <w:r>
        <w:rPr>
          <w:rFonts w:asciiTheme="minorEastAsia" w:hAnsiTheme="minorEastAsia" w:cs="Arial" w:hint="eastAsia"/>
          <w:sz w:val="24"/>
          <w:szCs w:val="24"/>
        </w:rPr>
        <w:t>类基金份额净值是</w:t>
      </w:r>
      <w:r>
        <w:rPr>
          <w:rFonts w:asciiTheme="minorEastAsia" w:hAnsiTheme="minorEastAsia" w:cs="Arial"/>
          <w:sz w:val="24"/>
          <w:szCs w:val="24"/>
        </w:rPr>
        <w:t xml:space="preserve">1.0680 </w:t>
      </w:r>
      <w:r>
        <w:rPr>
          <w:rFonts w:asciiTheme="minorEastAsia" w:hAnsiTheme="minorEastAsia" w:cs="Arial" w:hint="eastAsia"/>
          <w:sz w:val="24"/>
          <w:szCs w:val="24"/>
        </w:rPr>
        <w:t>元，则可得到的赎回金额为：</w:t>
      </w:r>
    </w:p>
    <w:p w14:paraId="0C52094A" w14:textId="77777777" w:rsidR="00B51DEA" w:rsidRDefault="00000000">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赎回总额</w:t>
      </w:r>
      <w:r>
        <w:rPr>
          <w:rFonts w:asciiTheme="minorEastAsia" w:hAnsiTheme="minorEastAsia" w:cs="Arial"/>
          <w:sz w:val="24"/>
          <w:szCs w:val="24"/>
        </w:rPr>
        <w:t xml:space="preserve"> = 10,000 </w:t>
      </w:r>
      <w:r>
        <w:rPr>
          <w:rFonts w:asciiTheme="minorEastAsia" w:hAnsiTheme="minorEastAsia" w:cs="Arial" w:hint="eastAsia"/>
          <w:sz w:val="24"/>
          <w:szCs w:val="24"/>
        </w:rPr>
        <w:t>×</w:t>
      </w:r>
      <w:r>
        <w:rPr>
          <w:rFonts w:asciiTheme="minorEastAsia" w:hAnsiTheme="minorEastAsia" w:cs="Arial"/>
          <w:sz w:val="24"/>
          <w:szCs w:val="24"/>
        </w:rPr>
        <w:t xml:space="preserve">1.0680= 10,680.00 </w:t>
      </w:r>
      <w:r>
        <w:rPr>
          <w:rFonts w:asciiTheme="minorEastAsia" w:hAnsiTheme="minorEastAsia" w:cs="Arial" w:hint="eastAsia"/>
          <w:sz w:val="24"/>
          <w:szCs w:val="24"/>
        </w:rPr>
        <w:t>元</w:t>
      </w:r>
    </w:p>
    <w:p w14:paraId="423B0D7C" w14:textId="77777777" w:rsidR="00B51DEA" w:rsidRDefault="00000000">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赎回费用</w:t>
      </w:r>
      <w:r>
        <w:rPr>
          <w:rFonts w:asciiTheme="minorEastAsia" w:hAnsiTheme="minorEastAsia" w:cs="Arial"/>
          <w:sz w:val="24"/>
          <w:szCs w:val="24"/>
        </w:rPr>
        <w:t xml:space="preserve"> = 10,680.00 </w:t>
      </w:r>
      <w:r>
        <w:rPr>
          <w:rFonts w:asciiTheme="minorEastAsia" w:hAnsiTheme="minorEastAsia" w:cs="Arial" w:hint="eastAsia"/>
          <w:sz w:val="24"/>
          <w:szCs w:val="24"/>
        </w:rPr>
        <w:t>×</w:t>
      </w:r>
      <w:r>
        <w:rPr>
          <w:rFonts w:asciiTheme="minorEastAsia" w:hAnsiTheme="minorEastAsia" w:cs="Arial"/>
          <w:sz w:val="24"/>
          <w:szCs w:val="24"/>
        </w:rPr>
        <w:t xml:space="preserve">0.5% = 53.40 </w:t>
      </w:r>
      <w:r>
        <w:rPr>
          <w:rFonts w:asciiTheme="minorEastAsia" w:hAnsiTheme="minorEastAsia" w:cs="Arial" w:hint="eastAsia"/>
          <w:sz w:val="24"/>
          <w:szCs w:val="24"/>
        </w:rPr>
        <w:t>元</w:t>
      </w:r>
    </w:p>
    <w:p w14:paraId="6E813153" w14:textId="77777777" w:rsidR="00B51DEA" w:rsidRDefault="00000000">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赎回金额</w:t>
      </w:r>
      <w:r>
        <w:rPr>
          <w:rFonts w:asciiTheme="minorEastAsia" w:hAnsiTheme="minorEastAsia" w:cs="Arial"/>
          <w:sz w:val="24"/>
          <w:szCs w:val="24"/>
        </w:rPr>
        <w:t xml:space="preserve"> = 10,680.00 - 53.40 = 10,626.60 </w:t>
      </w:r>
      <w:r>
        <w:rPr>
          <w:rFonts w:asciiTheme="minorEastAsia" w:hAnsiTheme="minorEastAsia" w:cs="Arial" w:hint="eastAsia"/>
          <w:sz w:val="24"/>
          <w:szCs w:val="24"/>
        </w:rPr>
        <w:t>元</w:t>
      </w:r>
    </w:p>
    <w:p w14:paraId="6D4E30D7" w14:textId="77777777" w:rsidR="00B51DEA" w:rsidRDefault="00000000">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即：投资者赎回</w:t>
      </w:r>
      <w:r>
        <w:rPr>
          <w:rFonts w:asciiTheme="minorEastAsia" w:hAnsiTheme="minorEastAsia" w:cs="Arial"/>
          <w:sz w:val="24"/>
          <w:szCs w:val="24"/>
        </w:rPr>
        <w:t xml:space="preserve"> 10,000 </w:t>
      </w:r>
      <w:r>
        <w:rPr>
          <w:rFonts w:asciiTheme="minorEastAsia" w:hAnsiTheme="minorEastAsia" w:cs="Arial" w:hint="eastAsia"/>
          <w:sz w:val="24"/>
          <w:szCs w:val="24"/>
        </w:rPr>
        <w:t>份</w:t>
      </w:r>
      <w:r>
        <w:rPr>
          <w:rFonts w:asciiTheme="minorEastAsia" w:hAnsiTheme="minorEastAsia" w:cs="Arial"/>
          <w:sz w:val="24"/>
          <w:szCs w:val="24"/>
        </w:rPr>
        <w:t>A</w:t>
      </w:r>
      <w:r>
        <w:rPr>
          <w:rFonts w:asciiTheme="minorEastAsia" w:hAnsiTheme="minorEastAsia" w:cs="Arial" w:hint="eastAsia"/>
          <w:sz w:val="24"/>
          <w:szCs w:val="24"/>
        </w:rPr>
        <w:t>类基金份额且持有时间为</w:t>
      </w:r>
      <w:r>
        <w:rPr>
          <w:rFonts w:asciiTheme="minorEastAsia" w:hAnsiTheme="minorEastAsia" w:cs="Arial"/>
          <w:sz w:val="24"/>
          <w:szCs w:val="24"/>
        </w:rPr>
        <w:t>3个月</w:t>
      </w:r>
      <w:r>
        <w:rPr>
          <w:rFonts w:asciiTheme="minorEastAsia" w:hAnsiTheme="minorEastAsia" w:cs="Arial" w:hint="eastAsia"/>
          <w:sz w:val="24"/>
          <w:szCs w:val="24"/>
        </w:rPr>
        <w:t>，假设赎回申请当日</w:t>
      </w:r>
      <w:r>
        <w:rPr>
          <w:rFonts w:asciiTheme="minorEastAsia" w:hAnsiTheme="minorEastAsia" w:cs="Arial"/>
          <w:sz w:val="24"/>
          <w:szCs w:val="24"/>
        </w:rPr>
        <w:t>A</w:t>
      </w:r>
      <w:r>
        <w:rPr>
          <w:rFonts w:asciiTheme="minorEastAsia" w:hAnsiTheme="minorEastAsia" w:cs="Arial" w:hint="eastAsia"/>
          <w:sz w:val="24"/>
          <w:szCs w:val="24"/>
        </w:rPr>
        <w:t>类基金份额的基金份额净值是</w:t>
      </w:r>
      <w:r>
        <w:rPr>
          <w:rFonts w:asciiTheme="minorEastAsia" w:hAnsiTheme="minorEastAsia" w:cs="Arial"/>
          <w:sz w:val="24"/>
          <w:szCs w:val="24"/>
        </w:rPr>
        <w:t xml:space="preserve">1.0680 </w:t>
      </w:r>
      <w:r>
        <w:rPr>
          <w:rFonts w:asciiTheme="minorEastAsia" w:hAnsiTheme="minorEastAsia" w:cs="Arial" w:hint="eastAsia"/>
          <w:sz w:val="24"/>
          <w:szCs w:val="24"/>
        </w:rPr>
        <w:t>元，则其可得到的赎回金额为</w:t>
      </w:r>
      <w:r>
        <w:rPr>
          <w:rFonts w:asciiTheme="minorEastAsia" w:hAnsiTheme="minorEastAsia" w:cs="Arial"/>
          <w:sz w:val="24"/>
          <w:szCs w:val="24"/>
        </w:rPr>
        <w:t xml:space="preserve">10,626.60 </w:t>
      </w:r>
      <w:r>
        <w:rPr>
          <w:rFonts w:asciiTheme="minorEastAsia" w:hAnsiTheme="minorEastAsia" w:cs="Arial" w:hint="eastAsia"/>
          <w:sz w:val="24"/>
          <w:szCs w:val="24"/>
        </w:rPr>
        <w:t>元。</w:t>
      </w:r>
    </w:p>
    <w:p w14:paraId="6BB49353" w14:textId="77777777" w:rsidR="00B51DEA" w:rsidRDefault="00000000">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例</w:t>
      </w:r>
      <w:r>
        <w:rPr>
          <w:rFonts w:asciiTheme="minorEastAsia" w:hAnsiTheme="minorEastAsia" w:cs="Arial"/>
          <w:sz w:val="24"/>
          <w:szCs w:val="24"/>
        </w:rPr>
        <w:t>2：某投资人赎回本基金10,000</w:t>
      </w:r>
      <w:r>
        <w:rPr>
          <w:rFonts w:asciiTheme="minorEastAsia" w:hAnsiTheme="minorEastAsia" w:cs="Arial" w:hint="eastAsia"/>
          <w:sz w:val="24"/>
          <w:szCs w:val="24"/>
        </w:rPr>
        <w:t>份</w:t>
      </w:r>
      <w:r>
        <w:rPr>
          <w:rFonts w:asciiTheme="minorEastAsia" w:hAnsiTheme="minorEastAsia" w:cs="Arial"/>
          <w:sz w:val="24"/>
          <w:szCs w:val="24"/>
        </w:rPr>
        <w:t>C类基金份额，持有时间为20日，对应的赎回费率为0.5%，假设赎回当日C类基金份额净值是1.0680元，则其可得到的赎回金额为：</w:t>
      </w:r>
    </w:p>
    <w:p w14:paraId="0984D4A9" w14:textId="77777777" w:rsidR="00B51DEA" w:rsidRDefault="00000000">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赎回金额</w:t>
      </w:r>
      <w:r>
        <w:rPr>
          <w:rFonts w:asciiTheme="minorEastAsia" w:hAnsiTheme="minorEastAsia" w:cs="Arial"/>
          <w:sz w:val="24"/>
          <w:szCs w:val="24"/>
        </w:rPr>
        <w:t>=10,000×1.0680=10,680元</w:t>
      </w:r>
    </w:p>
    <w:p w14:paraId="47DF1476" w14:textId="77777777" w:rsidR="00B51DEA" w:rsidRDefault="00000000">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赎回费用</w:t>
      </w:r>
      <w:r>
        <w:rPr>
          <w:rFonts w:asciiTheme="minorEastAsia" w:hAnsiTheme="minorEastAsia" w:cs="Arial"/>
          <w:sz w:val="24"/>
          <w:szCs w:val="24"/>
        </w:rPr>
        <w:t>=10,680×0.5%=53.40元</w:t>
      </w:r>
    </w:p>
    <w:p w14:paraId="5420CE21" w14:textId="77777777" w:rsidR="00B51DEA" w:rsidRDefault="00000000">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净赎回金额</w:t>
      </w:r>
      <w:r>
        <w:rPr>
          <w:rFonts w:asciiTheme="minorEastAsia" w:hAnsiTheme="minorEastAsia" w:cs="Arial"/>
          <w:sz w:val="24"/>
          <w:szCs w:val="24"/>
        </w:rPr>
        <w:t>=10,680-53.40=10,626.60元</w:t>
      </w:r>
    </w:p>
    <w:p w14:paraId="0990AAF9" w14:textId="77777777" w:rsidR="00B51DEA" w:rsidRDefault="00000000">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即：投资人赎回本基金</w:t>
      </w:r>
      <w:r>
        <w:rPr>
          <w:rFonts w:asciiTheme="minorEastAsia" w:hAnsiTheme="minorEastAsia" w:cs="Arial"/>
          <w:sz w:val="24"/>
          <w:szCs w:val="24"/>
        </w:rPr>
        <w:t>10,000</w:t>
      </w:r>
      <w:r>
        <w:rPr>
          <w:rFonts w:asciiTheme="minorEastAsia" w:hAnsiTheme="minorEastAsia" w:cs="Arial" w:hint="eastAsia"/>
          <w:sz w:val="24"/>
          <w:szCs w:val="24"/>
        </w:rPr>
        <w:t>份</w:t>
      </w:r>
      <w:r>
        <w:rPr>
          <w:rFonts w:asciiTheme="minorEastAsia" w:hAnsiTheme="minorEastAsia" w:cs="Arial"/>
          <w:sz w:val="24"/>
          <w:szCs w:val="24"/>
        </w:rPr>
        <w:t>C类基金份额，持有期限为20日，假设赎回当日本基金C类基金份额净值是1.0680元，则其可得到的净赎回金额为10,626.60元。</w:t>
      </w:r>
    </w:p>
    <w:p w14:paraId="0DFBC3EA" w14:textId="77777777" w:rsidR="00B51DEA" w:rsidRDefault="00000000">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Arial"/>
          <w:sz w:val="24"/>
          <w:szCs w:val="24"/>
        </w:rPr>
        <w:t>4</w:t>
      </w:r>
      <w:r>
        <w:rPr>
          <w:rFonts w:asciiTheme="minorEastAsia" w:hAnsiTheme="minorEastAsia" w:cs="Arial" w:hint="eastAsia"/>
          <w:sz w:val="24"/>
          <w:szCs w:val="24"/>
        </w:rPr>
        <w:t>、</w:t>
      </w:r>
      <w:r>
        <w:rPr>
          <w:rFonts w:asciiTheme="minorEastAsia" w:hAnsiTheme="minorEastAsia" w:cs="Arial" w:hint="eastAsia"/>
          <w:bCs/>
          <w:sz w:val="24"/>
          <w:szCs w:val="24"/>
        </w:rPr>
        <w:t>本基金</w:t>
      </w:r>
      <w:r>
        <w:rPr>
          <w:rFonts w:asciiTheme="minorEastAsia" w:hAnsiTheme="minorEastAsia" w:cs="Arial"/>
          <w:bCs/>
          <w:sz w:val="24"/>
          <w:szCs w:val="24"/>
        </w:rPr>
        <w:t>A</w:t>
      </w:r>
      <w:r>
        <w:rPr>
          <w:rFonts w:asciiTheme="minorEastAsia" w:hAnsiTheme="minorEastAsia" w:cs="Arial" w:hint="eastAsia"/>
          <w:bCs/>
          <w:sz w:val="24"/>
          <w:szCs w:val="24"/>
        </w:rPr>
        <w:t>类基金份额和</w:t>
      </w:r>
      <w:r>
        <w:rPr>
          <w:rFonts w:asciiTheme="minorEastAsia" w:hAnsiTheme="minorEastAsia" w:cs="Arial"/>
          <w:bCs/>
          <w:sz w:val="24"/>
          <w:szCs w:val="24"/>
        </w:rPr>
        <w:t>C</w:t>
      </w:r>
      <w:r>
        <w:rPr>
          <w:rFonts w:asciiTheme="minorEastAsia" w:hAnsiTheme="minorEastAsia" w:cs="Arial" w:hint="eastAsia"/>
          <w:bCs/>
          <w:sz w:val="24"/>
          <w:szCs w:val="24"/>
        </w:rPr>
        <w:t>类基金份额分别设置代码，分别计算和公告两</w:t>
      </w:r>
      <w:r>
        <w:rPr>
          <w:rFonts w:asciiTheme="minorEastAsia" w:hAnsiTheme="minorEastAsia" w:cs="Arial" w:hint="eastAsia"/>
          <w:bCs/>
          <w:sz w:val="24"/>
          <w:szCs w:val="24"/>
        </w:rPr>
        <w:lastRenderedPageBreak/>
        <w:t>类基金份额净值和基金份额累计净值。</w:t>
      </w:r>
      <w:r>
        <w:rPr>
          <w:rFonts w:asciiTheme="minorEastAsia" w:hAnsiTheme="minorEastAsia" w:cs="Times New Roman" w:hint="eastAsia"/>
          <w:sz w:val="24"/>
          <w:szCs w:val="24"/>
        </w:rPr>
        <w:t>本基金两类基金份额净值的计算，保留到小数点后</w:t>
      </w:r>
      <w:r>
        <w:rPr>
          <w:rFonts w:asciiTheme="minorEastAsia" w:hAnsiTheme="minorEastAsia" w:cs="Times New Roman"/>
          <w:sz w:val="24"/>
          <w:szCs w:val="24"/>
        </w:rPr>
        <w:t>4</w:t>
      </w:r>
      <w:r>
        <w:rPr>
          <w:rFonts w:asciiTheme="minorEastAsia" w:hAnsiTheme="minorEastAsia" w:cs="Times New Roman" w:hint="eastAsia"/>
          <w:sz w:val="24"/>
          <w:szCs w:val="24"/>
        </w:rPr>
        <w:t>位，小数点后第</w:t>
      </w:r>
      <w:r>
        <w:rPr>
          <w:rFonts w:asciiTheme="minorEastAsia" w:hAnsiTheme="minorEastAsia" w:cs="Times New Roman"/>
          <w:sz w:val="24"/>
          <w:szCs w:val="24"/>
        </w:rPr>
        <w:t>5</w:t>
      </w:r>
      <w:r>
        <w:rPr>
          <w:rFonts w:asciiTheme="minorEastAsia" w:hAnsiTheme="minorEastAsia" w:cs="Times New Roman" w:hint="eastAsia"/>
          <w:sz w:val="24"/>
          <w:szCs w:val="24"/>
        </w:rPr>
        <w:t>位四舍五入，由此产生的收益或损失由基金财产承担。</w:t>
      </w:r>
      <w:r>
        <w:rPr>
          <w:rFonts w:asciiTheme="minorEastAsia" w:hAnsiTheme="minorEastAsia" w:cs="Times New Roman"/>
          <w:sz w:val="24"/>
          <w:szCs w:val="24"/>
        </w:rPr>
        <w:t>T</w:t>
      </w:r>
      <w:r>
        <w:rPr>
          <w:rFonts w:asciiTheme="minorEastAsia" w:hAnsiTheme="minorEastAsia" w:cs="Times New Roman" w:hint="eastAsia"/>
          <w:sz w:val="24"/>
          <w:szCs w:val="24"/>
        </w:rPr>
        <w:t>日的各类基金份额净值在当天收市后计算，并在</w:t>
      </w:r>
      <w:r>
        <w:rPr>
          <w:rFonts w:asciiTheme="minorEastAsia" w:hAnsiTheme="minorEastAsia" w:cs="Times New Roman"/>
          <w:sz w:val="24"/>
          <w:szCs w:val="24"/>
        </w:rPr>
        <w:t>T+1</w:t>
      </w:r>
      <w:r>
        <w:rPr>
          <w:rFonts w:asciiTheme="minorEastAsia" w:hAnsiTheme="minorEastAsia" w:cs="Times New Roman" w:hint="eastAsia"/>
          <w:sz w:val="24"/>
          <w:szCs w:val="24"/>
        </w:rPr>
        <w:t>日内公告。遇特殊情况，经中国证监会同意，可以适当延迟计算或公告。</w:t>
      </w:r>
    </w:p>
    <w:p w14:paraId="0E9796FE" w14:textId="77777777" w:rsidR="00B51DEA" w:rsidRDefault="00B51DEA">
      <w:pPr>
        <w:adjustRightInd w:val="0"/>
        <w:snapToGrid w:val="0"/>
        <w:spacing w:line="360" w:lineRule="auto"/>
        <w:ind w:firstLineChars="200" w:firstLine="480"/>
        <w:rPr>
          <w:rFonts w:asciiTheme="minorEastAsia" w:hAnsiTheme="minorEastAsia" w:cs="Times New Roman" w:hint="eastAsia"/>
          <w:sz w:val="24"/>
          <w:szCs w:val="24"/>
        </w:rPr>
      </w:pPr>
    </w:p>
    <w:p w14:paraId="68883D7A" w14:textId="77777777" w:rsidR="00B51DEA" w:rsidRDefault="00000000">
      <w:pPr>
        <w:snapToGrid w:val="0"/>
        <w:spacing w:line="360" w:lineRule="auto"/>
        <w:ind w:firstLineChars="200" w:firstLine="482"/>
        <w:rPr>
          <w:rFonts w:asciiTheme="minorEastAsia" w:hAnsiTheme="minorEastAsia" w:cs="Arial" w:hint="eastAsia"/>
          <w:b/>
          <w:bCs/>
          <w:sz w:val="24"/>
          <w:szCs w:val="24"/>
        </w:rPr>
      </w:pPr>
      <w:r>
        <w:rPr>
          <w:rFonts w:asciiTheme="minorEastAsia" w:hAnsiTheme="minorEastAsia" w:cs="Times New Roman" w:hint="eastAsia"/>
          <w:b/>
          <w:sz w:val="24"/>
          <w:szCs w:val="24"/>
        </w:rPr>
        <w:t>八、申购与赎回的登记业务</w:t>
      </w:r>
    </w:p>
    <w:p w14:paraId="4DAB5BCB" w14:textId="77777777" w:rsidR="00B51DEA" w:rsidRDefault="00000000">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1</w:t>
      </w:r>
      <w:r>
        <w:rPr>
          <w:rFonts w:asciiTheme="minorEastAsia" w:hAnsiTheme="minorEastAsia" w:cs="Arial" w:hint="eastAsia"/>
          <w:sz w:val="24"/>
          <w:szCs w:val="24"/>
        </w:rPr>
        <w:t>、投资人</w:t>
      </w:r>
      <w:r>
        <w:rPr>
          <w:rFonts w:asciiTheme="minorEastAsia" w:hAnsiTheme="minorEastAsia" w:cs="Times New Roman" w:hint="eastAsia"/>
          <w:sz w:val="24"/>
          <w:szCs w:val="24"/>
        </w:rPr>
        <w:t>申购基金成功后，在正常情况下，基金登记机构在</w:t>
      </w:r>
      <w:r>
        <w:rPr>
          <w:rFonts w:asciiTheme="minorEastAsia" w:hAnsiTheme="minorEastAsia" w:cs="Arial"/>
          <w:sz w:val="24"/>
          <w:szCs w:val="24"/>
        </w:rPr>
        <w:t>T+1</w:t>
      </w:r>
      <w:r>
        <w:rPr>
          <w:rFonts w:asciiTheme="minorEastAsia" w:hAnsiTheme="minorEastAsia" w:cs="Times New Roman" w:hint="eastAsia"/>
          <w:sz w:val="24"/>
          <w:szCs w:val="24"/>
        </w:rPr>
        <w:t>日为投资者登记权益并办理登记手续，投资者自</w:t>
      </w:r>
      <w:r>
        <w:rPr>
          <w:rFonts w:asciiTheme="minorEastAsia" w:hAnsiTheme="minorEastAsia" w:cs="Arial"/>
          <w:sz w:val="24"/>
          <w:szCs w:val="24"/>
        </w:rPr>
        <w:t>T+2</w:t>
      </w:r>
      <w:r>
        <w:rPr>
          <w:rFonts w:asciiTheme="minorEastAsia" w:hAnsiTheme="minorEastAsia" w:cs="Times New Roman" w:hint="eastAsia"/>
          <w:sz w:val="24"/>
          <w:szCs w:val="24"/>
        </w:rPr>
        <w:t>日（含该日）后有权赎回该部分基金份额。</w:t>
      </w:r>
    </w:p>
    <w:p w14:paraId="41ED58DB" w14:textId="77777777" w:rsidR="00B51DEA" w:rsidRDefault="00000000">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2</w:t>
      </w:r>
      <w:r>
        <w:rPr>
          <w:rFonts w:asciiTheme="minorEastAsia" w:hAnsiTheme="minorEastAsia" w:cs="Arial" w:hint="eastAsia"/>
          <w:sz w:val="24"/>
          <w:szCs w:val="24"/>
        </w:rPr>
        <w:t>、投资人</w:t>
      </w:r>
      <w:r>
        <w:rPr>
          <w:rFonts w:asciiTheme="minorEastAsia" w:hAnsiTheme="minorEastAsia" w:cs="Times New Roman" w:hint="eastAsia"/>
          <w:sz w:val="24"/>
          <w:szCs w:val="24"/>
        </w:rPr>
        <w:t>赎回基金成功后，在正常情况下，基金登记机构在</w:t>
      </w:r>
      <w:r>
        <w:rPr>
          <w:rFonts w:asciiTheme="minorEastAsia" w:hAnsiTheme="minorEastAsia" w:cs="Arial"/>
          <w:sz w:val="24"/>
          <w:szCs w:val="24"/>
        </w:rPr>
        <w:t>T+1</w:t>
      </w:r>
      <w:r>
        <w:rPr>
          <w:rFonts w:asciiTheme="minorEastAsia" w:hAnsiTheme="minorEastAsia" w:cs="Times New Roman" w:hint="eastAsia"/>
          <w:sz w:val="24"/>
          <w:szCs w:val="24"/>
        </w:rPr>
        <w:t>日为投资者办理扣除权益的登记手续。</w:t>
      </w:r>
    </w:p>
    <w:p w14:paraId="4976A8CB" w14:textId="77777777" w:rsidR="00B51DEA" w:rsidRDefault="00000000">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3</w:t>
      </w:r>
      <w:r>
        <w:rPr>
          <w:rFonts w:asciiTheme="minorEastAsia" w:hAnsiTheme="minorEastAsia" w:cs="Times New Roman" w:hint="eastAsia"/>
          <w:sz w:val="24"/>
          <w:szCs w:val="24"/>
        </w:rPr>
        <w:t>、基金管理人可以在法律法规允许的范围内，对上述登记办理时间进行调整，但不得实质影响投资者的合法权益，并最迟于开始实施前</w:t>
      </w:r>
      <w:r>
        <w:rPr>
          <w:rFonts w:asciiTheme="minorEastAsia" w:hAnsiTheme="minorEastAsia" w:cs="Arial" w:hint="eastAsia"/>
          <w:sz w:val="24"/>
          <w:szCs w:val="24"/>
        </w:rPr>
        <w:t>依照《信息披露办法》的有关规定</w:t>
      </w:r>
      <w:r>
        <w:rPr>
          <w:rFonts w:asciiTheme="minorEastAsia" w:hAnsiTheme="minorEastAsia" w:cs="Times New Roman" w:hint="eastAsia"/>
          <w:sz w:val="24"/>
          <w:szCs w:val="24"/>
        </w:rPr>
        <w:t>在指定媒介公告。</w:t>
      </w:r>
    </w:p>
    <w:p w14:paraId="6836486A" w14:textId="77777777" w:rsidR="00B51DEA" w:rsidRDefault="00B51DEA">
      <w:pPr>
        <w:adjustRightInd w:val="0"/>
        <w:snapToGrid w:val="0"/>
        <w:spacing w:line="360" w:lineRule="auto"/>
        <w:ind w:firstLineChars="200" w:firstLine="480"/>
        <w:rPr>
          <w:rFonts w:asciiTheme="minorEastAsia" w:hAnsiTheme="minorEastAsia" w:cs="Arial" w:hint="eastAsia"/>
          <w:sz w:val="24"/>
          <w:szCs w:val="24"/>
        </w:rPr>
      </w:pPr>
    </w:p>
    <w:p w14:paraId="0584EE17" w14:textId="77777777" w:rsidR="00B51DEA" w:rsidRDefault="00000000">
      <w:pPr>
        <w:tabs>
          <w:tab w:val="left" w:pos="1110"/>
        </w:tabs>
        <w:adjustRightInd w:val="0"/>
        <w:snapToGrid w:val="0"/>
        <w:spacing w:line="360" w:lineRule="auto"/>
        <w:ind w:firstLineChars="200" w:firstLine="482"/>
        <w:rPr>
          <w:rFonts w:asciiTheme="minorEastAsia" w:hAnsiTheme="minorEastAsia" w:cs="Arial" w:hint="eastAsia"/>
          <w:b/>
          <w:bCs/>
          <w:sz w:val="24"/>
          <w:szCs w:val="24"/>
        </w:rPr>
      </w:pPr>
      <w:r>
        <w:rPr>
          <w:rFonts w:asciiTheme="minorEastAsia" w:hAnsiTheme="minorEastAsia" w:cs="Arial" w:hint="eastAsia"/>
          <w:b/>
          <w:bCs/>
          <w:sz w:val="24"/>
          <w:szCs w:val="24"/>
        </w:rPr>
        <w:t>九、拒绝或暂停申购的情形及处理</w:t>
      </w:r>
    </w:p>
    <w:p w14:paraId="57AEAB31" w14:textId="77777777" w:rsidR="00B51DEA" w:rsidRDefault="00000000">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发生下列情况时，基金管理人可拒绝或暂停接受投资人的申购申请：</w:t>
      </w:r>
    </w:p>
    <w:p w14:paraId="62EA518A"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1</w:t>
      </w:r>
      <w:r>
        <w:rPr>
          <w:rFonts w:asciiTheme="minorEastAsia" w:hAnsiTheme="minorEastAsia" w:hint="eastAsia"/>
          <w:bCs/>
          <w:sz w:val="24"/>
          <w:szCs w:val="24"/>
        </w:rPr>
        <w:t>、因不可抗力导致基金无法正常运作。</w:t>
      </w:r>
    </w:p>
    <w:p w14:paraId="5246F3B2"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2</w:t>
      </w:r>
      <w:r>
        <w:rPr>
          <w:rFonts w:asciiTheme="minorEastAsia" w:hAnsiTheme="minorEastAsia" w:hint="eastAsia"/>
          <w:sz w:val="24"/>
          <w:szCs w:val="24"/>
        </w:rPr>
        <w:t>、发生基金合同规定的暂停基金资产估值情况时，基金管理人可暂停</w:t>
      </w:r>
      <w:r>
        <w:rPr>
          <w:rFonts w:asciiTheme="minorEastAsia" w:hAnsiTheme="minorEastAsia" w:hint="eastAsia"/>
          <w:bCs/>
          <w:sz w:val="24"/>
          <w:szCs w:val="24"/>
        </w:rPr>
        <w:t>接受</w:t>
      </w:r>
      <w:r>
        <w:rPr>
          <w:rFonts w:asciiTheme="minorEastAsia" w:hAnsiTheme="minorEastAsia" w:hint="eastAsia"/>
          <w:sz w:val="24"/>
          <w:szCs w:val="24"/>
        </w:rPr>
        <w:t>投资人的申购申请。当前一估值日基金资产净值50%以上的资产出现无可参考的活跃市场价格且采用估值技术</w:t>
      </w:r>
      <w:proofErr w:type="gramStart"/>
      <w:r>
        <w:rPr>
          <w:rFonts w:asciiTheme="minorEastAsia" w:hAnsiTheme="minorEastAsia" w:hint="eastAsia"/>
          <w:sz w:val="24"/>
          <w:szCs w:val="24"/>
        </w:rPr>
        <w:t>仍导致</w:t>
      </w:r>
      <w:proofErr w:type="gramEnd"/>
      <w:r>
        <w:rPr>
          <w:rFonts w:asciiTheme="minorEastAsia" w:hAnsiTheme="minorEastAsia" w:hint="eastAsia"/>
          <w:sz w:val="24"/>
          <w:szCs w:val="24"/>
        </w:rPr>
        <w:t>公允价值存在重大不确定性时，经与基金托管人协商确认后，基金管理人应当采取暂停接受基金申购申请的措施。</w:t>
      </w:r>
    </w:p>
    <w:p w14:paraId="06FFE855"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3、证券、期货交易所交易时间非正常停市，导致基金管理人无法计算当日基金资产净值。</w:t>
      </w:r>
    </w:p>
    <w:p w14:paraId="2280B13D" w14:textId="77777777" w:rsidR="00B51DEA" w:rsidRDefault="00000000">
      <w:pPr>
        <w:spacing w:line="360" w:lineRule="auto"/>
        <w:ind w:firstLineChars="200" w:firstLine="480"/>
        <w:rPr>
          <w:rFonts w:asciiTheme="minorEastAsia" w:hAnsiTheme="minorEastAsia" w:hint="eastAsia"/>
          <w:bCs/>
          <w:sz w:val="24"/>
          <w:szCs w:val="24"/>
        </w:rPr>
      </w:pPr>
      <w:bookmarkStart w:id="187" w:name="_Hlt70481650"/>
      <w:bookmarkEnd w:id="187"/>
      <w:r>
        <w:rPr>
          <w:rFonts w:asciiTheme="minorEastAsia" w:hAnsiTheme="minorEastAsia" w:hint="eastAsia"/>
          <w:bCs/>
          <w:sz w:val="24"/>
          <w:szCs w:val="24"/>
        </w:rPr>
        <w:t>4、基金管理人接受某笔或某些申购申请会损害现有基金份额持有人利益时。</w:t>
      </w:r>
    </w:p>
    <w:p w14:paraId="3E1C3904"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5、基金资产规模过大，使基金管理人无法找到合适的投资品种，或其他可能对基金业绩产生负面影响，或发生其他损害现有基金份额持有人利益的情形。</w:t>
      </w:r>
    </w:p>
    <w:p w14:paraId="5BC42FB5"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6、基金管理人、基金托管人、销售机构或登记机构的技术故障等异常情况导致基金销售系统、基金注册登记系统或基金会计系统无法正常运行。</w:t>
      </w:r>
    </w:p>
    <w:p w14:paraId="10672A1E"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7、</w:t>
      </w:r>
      <w:r>
        <w:rPr>
          <w:rFonts w:asciiTheme="minorEastAsia" w:hAnsiTheme="minorEastAsia" w:hint="eastAsia"/>
          <w:sz w:val="24"/>
          <w:szCs w:val="24"/>
        </w:rPr>
        <w:t>基金管理人接受某笔或者某些申购申请有可能导致单一投资者持有本</w:t>
      </w:r>
      <w:proofErr w:type="gramStart"/>
      <w:r>
        <w:rPr>
          <w:rFonts w:asciiTheme="minorEastAsia" w:hAnsiTheme="minorEastAsia" w:hint="eastAsia"/>
          <w:sz w:val="24"/>
          <w:szCs w:val="24"/>
        </w:rPr>
        <w:t>基</w:t>
      </w:r>
      <w:r>
        <w:rPr>
          <w:rFonts w:asciiTheme="minorEastAsia" w:hAnsiTheme="minorEastAsia" w:hint="eastAsia"/>
          <w:sz w:val="24"/>
          <w:szCs w:val="24"/>
        </w:rPr>
        <w:lastRenderedPageBreak/>
        <w:t>金基金</w:t>
      </w:r>
      <w:proofErr w:type="gramEnd"/>
      <w:r>
        <w:rPr>
          <w:rFonts w:asciiTheme="minorEastAsia" w:hAnsiTheme="minorEastAsia" w:hint="eastAsia"/>
          <w:sz w:val="24"/>
          <w:szCs w:val="24"/>
        </w:rPr>
        <w:t>份额的比例达到或者超过本基金总份额的</w:t>
      </w:r>
      <w:r>
        <w:rPr>
          <w:rFonts w:asciiTheme="minorEastAsia" w:hAnsiTheme="minorEastAsia"/>
          <w:sz w:val="24"/>
          <w:szCs w:val="24"/>
        </w:rPr>
        <w:t xml:space="preserve"> 50%，或者变相规避前述 50%集中度的情形时。</w:t>
      </w:r>
    </w:p>
    <w:p w14:paraId="60C781EF"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8</w:t>
      </w:r>
      <w:r>
        <w:rPr>
          <w:rFonts w:asciiTheme="minorEastAsia" w:hAnsiTheme="minorEastAsia" w:hint="eastAsia"/>
          <w:bCs/>
          <w:sz w:val="24"/>
          <w:szCs w:val="24"/>
        </w:rPr>
        <w:t>、法律法规规定或中国证监会认定的其他情形。</w:t>
      </w:r>
    </w:p>
    <w:p w14:paraId="60D0A123"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发生上述第</w:t>
      </w:r>
      <w:r>
        <w:rPr>
          <w:rFonts w:asciiTheme="minorEastAsia" w:hAnsiTheme="minorEastAsia"/>
          <w:bCs/>
          <w:sz w:val="24"/>
          <w:szCs w:val="24"/>
        </w:rPr>
        <w:t>4</w:t>
      </w:r>
      <w:r>
        <w:rPr>
          <w:rFonts w:asciiTheme="minorEastAsia" w:hAnsiTheme="minorEastAsia" w:hint="eastAsia"/>
          <w:bCs/>
          <w:sz w:val="24"/>
          <w:szCs w:val="24"/>
        </w:rPr>
        <w:t>项情形之外的情形之一</w:t>
      </w:r>
      <w:proofErr w:type="gramStart"/>
      <w:r>
        <w:rPr>
          <w:rFonts w:asciiTheme="minorEastAsia" w:hAnsiTheme="minorEastAsia" w:hint="eastAsia"/>
          <w:bCs/>
          <w:sz w:val="24"/>
          <w:szCs w:val="24"/>
        </w:rPr>
        <w:t>且基金</w:t>
      </w:r>
      <w:proofErr w:type="gramEnd"/>
      <w:r>
        <w:rPr>
          <w:rFonts w:asciiTheme="minorEastAsia" w:hAnsiTheme="minorEastAsia" w:hint="eastAsia"/>
          <w:bCs/>
          <w:sz w:val="24"/>
          <w:szCs w:val="24"/>
        </w:rPr>
        <w:t>管理人决定暂停接受投资人的申购申请时，基金管理人应当根据有关规定在指定媒介上刊登暂停申购公告。如果投资人的申购申请被拒绝，被拒绝的申购款项将退还给投资人。在暂停申购的情况消除时，基金管理人应及时恢复申购业务的办理。</w:t>
      </w:r>
    </w:p>
    <w:p w14:paraId="3EC2AA76" w14:textId="77777777" w:rsidR="00B51DEA" w:rsidRDefault="00B51DEA">
      <w:pPr>
        <w:spacing w:line="360" w:lineRule="auto"/>
        <w:ind w:firstLineChars="200" w:firstLine="480"/>
        <w:rPr>
          <w:rFonts w:asciiTheme="minorEastAsia" w:hAnsiTheme="minorEastAsia" w:hint="eastAsia"/>
          <w:bCs/>
          <w:sz w:val="24"/>
          <w:szCs w:val="24"/>
        </w:rPr>
      </w:pPr>
    </w:p>
    <w:p w14:paraId="4D12362D" w14:textId="77777777" w:rsidR="00B51DEA" w:rsidRDefault="00000000">
      <w:pPr>
        <w:adjustRightInd w:val="0"/>
        <w:snapToGrid w:val="0"/>
        <w:spacing w:line="360" w:lineRule="auto"/>
        <w:ind w:firstLineChars="200" w:firstLine="482"/>
        <w:rPr>
          <w:rFonts w:asciiTheme="minorEastAsia" w:hAnsiTheme="minorEastAsia" w:cs="Arial" w:hint="eastAsia"/>
          <w:b/>
          <w:bCs/>
          <w:sz w:val="24"/>
          <w:szCs w:val="24"/>
        </w:rPr>
      </w:pPr>
      <w:r>
        <w:rPr>
          <w:rFonts w:asciiTheme="minorEastAsia" w:hAnsiTheme="minorEastAsia" w:cs="Arial" w:hint="eastAsia"/>
          <w:b/>
          <w:bCs/>
          <w:sz w:val="24"/>
          <w:szCs w:val="24"/>
        </w:rPr>
        <w:t>十、暂停赎回或延缓支付赎回款项的情形及处理</w:t>
      </w:r>
    </w:p>
    <w:p w14:paraId="4EB536DC" w14:textId="77777777" w:rsidR="00B51DEA" w:rsidRDefault="00000000">
      <w:pPr>
        <w:spacing w:line="360" w:lineRule="auto"/>
        <w:ind w:firstLineChars="200" w:firstLine="480"/>
        <w:rPr>
          <w:rFonts w:asciiTheme="minorEastAsia" w:hAnsiTheme="minorEastAsia" w:hint="eastAsia"/>
          <w:bCs/>
          <w:sz w:val="24"/>
          <w:szCs w:val="24"/>
        </w:rPr>
      </w:pPr>
      <w:bookmarkStart w:id="188" w:name="_Toc416264545"/>
      <w:bookmarkStart w:id="189" w:name="_Toc123102457"/>
      <w:bookmarkStart w:id="190" w:name="_Toc8791"/>
      <w:bookmarkStart w:id="191" w:name="_Toc48649708"/>
      <w:bookmarkStart w:id="192" w:name="_Toc20976"/>
      <w:bookmarkStart w:id="193" w:name="_Toc3329"/>
      <w:bookmarkStart w:id="194" w:name="_Toc352229756"/>
      <w:bookmarkStart w:id="195" w:name="_Toc98560356"/>
      <w:bookmarkStart w:id="196" w:name="_Toc141703890"/>
      <w:bookmarkStart w:id="197" w:name="_Toc123051456"/>
      <w:bookmarkStart w:id="198" w:name="_Toc17920"/>
      <w:bookmarkStart w:id="199" w:name="_Toc21237"/>
      <w:bookmarkStart w:id="200" w:name="_Toc29408"/>
      <w:bookmarkStart w:id="201" w:name="_Toc123112238"/>
      <w:bookmarkStart w:id="202" w:name="_Toc5170"/>
      <w:bookmarkStart w:id="203" w:name="_Toc139991740"/>
      <w:bookmarkStart w:id="204" w:name="_Toc739"/>
      <w:bookmarkStart w:id="205" w:name="_Toc32092"/>
      <w:bookmarkStart w:id="206" w:name="_Toc79392622"/>
      <w:bookmarkStart w:id="207" w:name="_Toc17198"/>
      <w:bookmarkStart w:id="208" w:name="_Toc32584"/>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rPr>
          <w:rFonts w:asciiTheme="minorEastAsia" w:hAnsiTheme="minorEastAsia" w:hint="eastAsia"/>
          <w:bCs/>
          <w:sz w:val="24"/>
          <w:szCs w:val="24"/>
        </w:rPr>
        <w:t>发生下列情形时，基金管理人可暂停接受投资人的赎回申请或延缓支付赎回款项：</w:t>
      </w:r>
    </w:p>
    <w:p w14:paraId="19067FF3"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1</w:t>
      </w:r>
      <w:r>
        <w:rPr>
          <w:rFonts w:asciiTheme="minorEastAsia" w:hAnsiTheme="minorEastAsia" w:hint="eastAsia"/>
          <w:bCs/>
          <w:sz w:val="24"/>
          <w:szCs w:val="24"/>
        </w:rPr>
        <w:t>、因不可抗力导致基金管理人不能支付赎回款项。</w:t>
      </w:r>
    </w:p>
    <w:p w14:paraId="29674194"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2</w:t>
      </w:r>
      <w:r>
        <w:rPr>
          <w:rFonts w:asciiTheme="minorEastAsia" w:hAnsiTheme="minorEastAsia" w:hint="eastAsia"/>
          <w:sz w:val="24"/>
          <w:szCs w:val="24"/>
        </w:rPr>
        <w:t>、发生基金合同规定的暂停基金资产估值情况时，基金管理人可暂停</w:t>
      </w:r>
      <w:r>
        <w:rPr>
          <w:rFonts w:asciiTheme="minorEastAsia" w:hAnsiTheme="minorEastAsia" w:hint="eastAsia"/>
          <w:bCs/>
          <w:sz w:val="24"/>
          <w:szCs w:val="24"/>
        </w:rPr>
        <w:t>接受</w:t>
      </w:r>
      <w:r>
        <w:rPr>
          <w:rFonts w:asciiTheme="minorEastAsia" w:hAnsiTheme="minorEastAsia" w:hint="eastAsia"/>
          <w:sz w:val="24"/>
          <w:szCs w:val="24"/>
        </w:rPr>
        <w:t>投资人的赎回申请或延缓支付赎回款项。当前一估值日基金资产净值</w:t>
      </w:r>
      <w:r>
        <w:rPr>
          <w:rFonts w:asciiTheme="minorEastAsia" w:hAnsiTheme="minorEastAsia"/>
          <w:sz w:val="24"/>
          <w:szCs w:val="24"/>
        </w:rPr>
        <w:t xml:space="preserve"> </w:t>
      </w:r>
      <w:r>
        <w:rPr>
          <w:rFonts w:asciiTheme="minorEastAsia" w:hAnsiTheme="minorEastAsia" w:hint="eastAsia"/>
          <w:sz w:val="24"/>
          <w:szCs w:val="24"/>
        </w:rPr>
        <w:t>50%以上的资产出现无可参考的活跃市场价格且采用估值技术</w:t>
      </w:r>
      <w:proofErr w:type="gramStart"/>
      <w:r>
        <w:rPr>
          <w:rFonts w:asciiTheme="minorEastAsia" w:hAnsiTheme="minorEastAsia" w:hint="eastAsia"/>
          <w:sz w:val="24"/>
          <w:szCs w:val="24"/>
        </w:rPr>
        <w:t>仍导致</w:t>
      </w:r>
      <w:proofErr w:type="gramEnd"/>
      <w:r>
        <w:rPr>
          <w:rFonts w:asciiTheme="minorEastAsia" w:hAnsiTheme="minorEastAsia" w:hint="eastAsia"/>
          <w:sz w:val="24"/>
          <w:szCs w:val="24"/>
        </w:rPr>
        <w:t>公允价值存在重大不确定性时，经与基金托管人协商确认后，基金管理人应当采取延缓支付赎回款项或暂停接受基金赎回申请的措施。</w:t>
      </w:r>
    </w:p>
    <w:p w14:paraId="794B9C5C"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3、证券、期货交易所交易时间非正常停市，导致基金管理人无法计算当日基金资产</w:t>
      </w:r>
      <w:bookmarkStart w:id="209" w:name="_Hlt152500890"/>
      <w:r>
        <w:rPr>
          <w:rFonts w:asciiTheme="minorEastAsia" w:hAnsiTheme="minorEastAsia" w:hint="eastAsia"/>
          <w:bCs/>
          <w:sz w:val="24"/>
          <w:szCs w:val="24"/>
        </w:rPr>
        <w:t>净值。</w:t>
      </w:r>
    </w:p>
    <w:p w14:paraId="64BA6E34"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4、连续两个或两个以上开放日发生巨额赎回。</w:t>
      </w:r>
    </w:p>
    <w:bookmarkEnd w:id="209"/>
    <w:p w14:paraId="5F22B999"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5、继续接受某笔或某些赎回申请将损害现有基金份额持有人利益的情形时。</w:t>
      </w:r>
    </w:p>
    <w:p w14:paraId="52371453"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6、法律法规规定或中国证监会认定的其他情形。</w:t>
      </w:r>
    </w:p>
    <w:p w14:paraId="261383A7"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发生上述情形之一</w:t>
      </w:r>
      <w:proofErr w:type="gramStart"/>
      <w:r>
        <w:rPr>
          <w:rFonts w:asciiTheme="minorEastAsia" w:hAnsiTheme="minorEastAsia" w:hint="eastAsia"/>
          <w:bCs/>
          <w:sz w:val="24"/>
          <w:szCs w:val="24"/>
        </w:rPr>
        <w:t>且基金</w:t>
      </w:r>
      <w:proofErr w:type="gramEnd"/>
      <w:r>
        <w:rPr>
          <w:rFonts w:asciiTheme="minorEastAsia" w:hAnsiTheme="minorEastAsia" w:hint="eastAsia"/>
          <w:bCs/>
          <w:sz w:val="24"/>
          <w:szCs w:val="24"/>
        </w:rPr>
        <w:t>管理人决定拒绝接受或暂停接受基金份额持有人的赎回申请时，基金管理人应在当日报中国证监会备案，已确认的赎回申请，基金管理人应足额支付；如暂时不能足额支付，未支付部分可延期支付。若出现上述第</w:t>
      </w:r>
      <w:r>
        <w:rPr>
          <w:rFonts w:asciiTheme="minorEastAsia" w:hAnsiTheme="minorEastAsia"/>
          <w:bCs/>
          <w:sz w:val="24"/>
          <w:szCs w:val="24"/>
        </w:rPr>
        <w:t>4</w:t>
      </w:r>
      <w:r>
        <w:rPr>
          <w:rFonts w:asciiTheme="minorEastAsia" w:hAnsiTheme="minorEastAsia" w:hint="eastAsia"/>
          <w:bCs/>
          <w:sz w:val="24"/>
          <w:szCs w:val="24"/>
        </w:rPr>
        <w:t>项所述情形，按基金合同的相关条款处理。基金份额持有人在申请赎回时可事先选择将当日可能未获受理部分予以撤销。在暂停赎回的情况消除时，基金管理人应及时恢复赎回业务的办理并公告。</w:t>
      </w:r>
    </w:p>
    <w:p w14:paraId="55AE6CCB" w14:textId="77777777" w:rsidR="00B51DEA" w:rsidRDefault="00B51DEA">
      <w:pPr>
        <w:spacing w:line="360" w:lineRule="auto"/>
        <w:ind w:firstLineChars="200" w:firstLine="480"/>
        <w:rPr>
          <w:rFonts w:asciiTheme="minorEastAsia" w:hAnsiTheme="minorEastAsia" w:hint="eastAsia"/>
          <w:bCs/>
          <w:sz w:val="24"/>
          <w:szCs w:val="24"/>
        </w:rPr>
      </w:pPr>
    </w:p>
    <w:p w14:paraId="1F907A65" w14:textId="77777777" w:rsidR="00B51DEA" w:rsidRDefault="00000000">
      <w:pPr>
        <w:widowControl/>
        <w:spacing w:line="360" w:lineRule="auto"/>
        <w:ind w:firstLineChars="200" w:firstLine="482"/>
        <w:jc w:val="left"/>
        <w:rPr>
          <w:rFonts w:asciiTheme="minorEastAsia" w:hAnsiTheme="minorEastAsia" w:cs="Arial" w:hint="eastAsia"/>
          <w:b/>
          <w:sz w:val="24"/>
          <w:szCs w:val="24"/>
        </w:rPr>
      </w:pPr>
      <w:r>
        <w:rPr>
          <w:rFonts w:asciiTheme="minorEastAsia" w:hAnsiTheme="minorEastAsia" w:cs="Arial" w:hint="eastAsia"/>
          <w:b/>
          <w:sz w:val="24"/>
          <w:szCs w:val="24"/>
        </w:rPr>
        <w:lastRenderedPageBreak/>
        <w:t>十一、巨额赎回的情形及处理方式</w:t>
      </w:r>
    </w:p>
    <w:p w14:paraId="04B43595"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1</w:t>
      </w:r>
      <w:r>
        <w:rPr>
          <w:rFonts w:asciiTheme="minorEastAsia" w:hAnsiTheme="minorEastAsia" w:hint="eastAsia"/>
          <w:bCs/>
          <w:sz w:val="24"/>
          <w:szCs w:val="24"/>
        </w:rPr>
        <w:t>、巨额赎回的认定</w:t>
      </w:r>
    </w:p>
    <w:p w14:paraId="10785426"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若本基金单个开放日内的基金份额净赎回申请（赎回申请份额总数加上基金转换中转出申请份额总数后扣除申购申请份额总数及基金转换中转入申请份额总数后的余额）超过前一开放日的基金总份额的</w:t>
      </w:r>
      <w:r>
        <w:rPr>
          <w:rFonts w:asciiTheme="minorEastAsia" w:hAnsiTheme="minorEastAsia"/>
          <w:bCs/>
          <w:sz w:val="24"/>
          <w:szCs w:val="24"/>
        </w:rPr>
        <w:t>10%</w:t>
      </w:r>
      <w:r>
        <w:rPr>
          <w:rFonts w:asciiTheme="minorEastAsia" w:hAnsiTheme="minorEastAsia" w:hint="eastAsia"/>
          <w:bCs/>
          <w:sz w:val="24"/>
          <w:szCs w:val="24"/>
        </w:rPr>
        <w:t>，即认为是发生了巨额赎回。</w:t>
      </w:r>
    </w:p>
    <w:p w14:paraId="7340E010"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2</w:t>
      </w:r>
      <w:r>
        <w:rPr>
          <w:rFonts w:asciiTheme="minorEastAsia" w:hAnsiTheme="minorEastAsia" w:hint="eastAsia"/>
          <w:bCs/>
          <w:sz w:val="24"/>
          <w:szCs w:val="24"/>
        </w:rPr>
        <w:t>、巨额赎回的处理方式</w:t>
      </w:r>
    </w:p>
    <w:p w14:paraId="1AE0B0BD"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当基金出现巨额赎回时，基金管理人可以根据基金当时的资产组合状况决定全额赎回或部分延期赎回。</w:t>
      </w:r>
    </w:p>
    <w:p w14:paraId="38E8FDEE"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（1）全额赎回：当基金管理人认为有能力支付投资人的全部赎回申请时，按正常赎回程序执行。</w:t>
      </w:r>
    </w:p>
    <w:p w14:paraId="5D6260EF"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w:t>
      </w:r>
      <w:r>
        <w:rPr>
          <w:rFonts w:asciiTheme="minorEastAsia" w:hAnsiTheme="minorEastAsia"/>
          <w:bCs/>
          <w:sz w:val="24"/>
          <w:szCs w:val="24"/>
        </w:rPr>
        <w:t>2</w:t>
      </w:r>
      <w:r>
        <w:rPr>
          <w:rFonts w:asciiTheme="minorEastAsia" w:hAnsiTheme="minorEastAsia" w:hint="eastAsia"/>
          <w:bCs/>
          <w:sz w:val="24"/>
          <w:szCs w:val="24"/>
        </w:rPr>
        <w:t>）部分延期赎回：当基金管理人认为支付投资人的赎回申请有困难或认为因支付投资人的赎回申请而进行的财产变现可能会对基金资产净值造成较大波动时，基金管理人在当日接受赎回比例不低于上一开放日基金总份额的</w:t>
      </w:r>
      <w:r>
        <w:rPr>
          <w:rFonts w:asciiTheme="minorEastAsia" w:hAnsiTheme="minorEastAsia"/>
          <w:bCs/>
          <w:sz w:val="24"/>
          <w:szCs w:val="24"/>
        </w:rPr>
        <w:t>10%</w:t>
      </w:r>
      <w:r>
        <w:rPr>
          <w:rFonts w:asciiTheme="minorEastAsia" w:hAnsiTheme="minorEastAsia" w:hint="eastAsia"/>
          <w:bCs/>
          <w:sz w:val="24"/>
          <w:szCs w:val="24"/>
        </w:rPr>
        <w:t>的前提下，可对其余赎回申请延期办理。</w:t>
      </w:r>
    </w:p>
    <w:p w14:paraId="222DA9FC"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 xml:space="preserve">若发生巨额赎回，对于单个基金份额持有人当日赎回申请超过上一开放日基金总份额 </w:t>
      </w:r>
      <w:r>
        <w:rPr>
          <w:rFonts w:asciiTheme="minorEastAsia" w:hAnsiTheme="minorEastAsia"/>
          <w:bCs/>
          <w:sz w:val="24"/>
          <w:szCs w:val="24"/>
        </w:rPr>
        <w:t>30</w:t>
      </w:r>
      <w:r>
        <w:rPr>
          <w:rFonts w:asciiTheme="minorEastAsia" w:hAnsiTheme="minorEastAsia" w:hint="eastAsia"/>
          <w:bCs/>
          <w:sz w:val="24"/>
          <w:szCs w:val="24"/>
        </w:rPr>
        <w:t>%以上的部分，基金管理人有权进行延期办理。对于其余当日非自动延期办理的赎回申请，应当按单个账户非自动延期办理的赎回申请量占非自动延期办理的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w:t>
      </w:r>
      <w:proofErr w:type="gramStart"/>
      <w:r>
        <w:rPr>
          <w:rFonts w:asciiTheme="minorEastAsia" w:hAnsiTheme="minorEastAsia" w:hint="eastAsia"/>
          <w:bCs/>
          <w:sz w:val="24"/>
          <w:szCs w:val="24"/>
        </w:rPr>
        <w:t>并以下</w:t>
      </w:r>
      <w:proofErr w:type="gramEnd"/>
      <w:r>
        <w:rPr>
          <w:rFonts w:asciiTheme="minorEastAsia" w:hAnsiTheme="minorEastAsia" w:hint="eastAsia"/>
          <w:bCs/>
          <w:sz w:val="24"/>
          <w:szCs w:val="24"/>
        </w:rPr>
        <w:t>一</w:t>
      </w:r>
      <w:proofErr w:type="gramStart"/>
      <w:r>
        <w:rPr>
          <w:rFonts w:asciiTheme="minorEastAsia" w:hAnsiTheme="minorEastAsia" w:hint="eastAsia"/>
          <w:bCs/>
          <w:sz w:val="24"/>
          <w:szCs w:val="24"/>
        </w:rPr>
        <w:t>开放日某一类</w:t>
      </w:r>
      <w:proofErr w:type="gramEnd"/>
      <w:r>
        <w:rPr>
          <w:rFonts w:asciiTheme="minorEastAsia" w:hAnsiTheme="minorEastAsia" w:hint="eastAsia"/>
          <w:bCs/>
          <w:sz w:val="24"/>
          <w:szCs w:val="24"/>
        </w:rPr>
        <w:t>别的基金份额净值为基础计算赎回金额，以此类推，直到全部赎回为止。如投资人在提交赎回申请时未作明确选择，投资人未能赎回部分作自动延期赎回处理。部分延期赎回不受单笔赎回最低份额的限制。</w:t>
      </w:r>
    </w:p>
    <w:p w14:paraId="4CDEF75F"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w:t>
      </w:r>
      <w:r>
        <w:rPr>
          <w:rFonts w:asciiTheme="minorEastAsia" w:hAnsiTheme="minorEastAsia"/>
          <w:bCs/>
          <w:sz w:val="24"/>
          <w:szCs w:val="24"/>
        </w:rPr>
        <w:t>3</w:t>
      </w:r>
      <w:r>
        <w:rPr>
          <w:rFonts w:asciiTheme="minorEastAsia" w:hAnsiTheme="minorEastAsia" w:hint="eastAsia"/>
          <w:bCs/>
          <w:sz w:val="24"/>
          <w:szCs w:val="24"/>
        </w:rPr>
        <w:t>）暂停赎回：连续2个开放日以上（含本数）发生巨额赎回，如基金管理人认为有必要，可暂停接受基金的赎回申请；已经接受的赎回申请可以延缓支付赎回款项，但不得超过</w:t>
      </w:r>
      <w:r>
        <w:rPr>
          <w:rFonts w:asciiTheme="minorEastAsia" w:hAnsiTheme="minorEastAsia"/>
          <w:bCs/>
          <w:sz w:val="24"/>
          <w:szCs w:val="24"/>
        </w:rPr>
        <w:t>20</w:t>
      </w:r>
      <w:r>
        <w:rPr>
          <w:rFonts w:asciiTheme="minorEastAsia" w:hAnsiTheme="minorEastAsia" w:hint="eastAsia"/>
          <w:bCs/>
          <w:sz w:val="24"/>
          <w:szCs w:val="24"/>
        </w:rPr>
        <w:t>个工作日，并应当在指定媒介上进行公告。</w:t>
      </w:r>
    </w:p>
    <w:p w14:paraId="20C4D4A6"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3</w:t>
      </w:r>
      <w:r>
        <w:rPr>
          <w:rFonts w:asciiTheme="minorEastAsia" w:hAnsiTheme="minorEastAsia" w:hint="eastAsia"/>
          <w:bCs/>
          <w:sz w:val="24"/>
          <w:szCs w:val="24"/>
        </w:rPr>
        <w:t>、巨额赎回的公告</w:t>
      </w:r>
    </w:p>
    <w:p w14:paraId="3A1EB5AD" w14:textId="77777777" w:rsidR="00B51DEA" w:rsidRDefault="00000000">
      <w:pPr>
        <w:widowControl/>
        <w:spacing w:line="360" w:lineRule="auto"/>
        <w:ind w:firstLineChars="200" w:firstLine="480"/>
        <w:jc w:val="left"/>
        <w:rPr>
          <w:rFonts w:asciiTheme="minorEastAsia" w:hAnsiTheme="minorEastAsia" w:hint="eastAsia"/>
          <w:bCs/>
          <w:sz w:val="24"/>
          <w:szCs w:val="24"/>
        </w:rPr>
      </w:pPr>
      <w:r>
        <w:rPr>
          <w:rFonts w:asciiTheme="minorEastAsia" w:hAnsiTheme="minorEastAsia" w:hint="eastAsia"/>
          <w:bCs/>
          <w:sz w:val="24"/>
          <w:szCs w:val="24"/>
        </w:rPr>
        <w:lastRenderedPageBreak/>
        <w:t>当发生上述巨额赎回并延期办理时，基金管理人应当通过邮寄、传真或者招募说明书规定的其他方式在</w:t>
      </w:r>
      <w:r>
        <w:rPr>
          <w:rFonts w:asciiTheme="minorEastAsia" w:hAnsiTheme="minorEastAsia"/>
          <w:bCs/>
          <w:sz w:val="24"/>
          <w:szCs w:val="24"/>
        </w:rPr>
        <w:t>3</w:t>
      </w:r>
      <w:r>
        <w:rPr>
          <w:rFonts w:asciiTheme="minorEastAsia" w:hAnsiTheme="minorEastAsia" w:hint="eastAsia"/>
          <w:bCs/>
          <w:sz w:val="24"/>
          <w:szCs w:val="24"/>
        </w:rPr>
        <w:t>个交易日内通知基金份额持有人，说明有关处理方法，并在2日内在指定媒介上刊登公告。</w:t>
      </w:r>
    </w:p>
    <w:p w14:paraId="472C91BA" w14:textId="77777777" w:rsidR="00B51DEA" w:rsidRDefault="00B51DEA">
      <w:pPr>
        <w:widowControl/>
        <w:spacing w:line="360" w:lineRule="auto"/>
        <w:ind w:firstLineChars="200" w:firstLine="480"/>
        <w:jc w:val="left"/>
        <w:rPr>
          <w:rFonts w:asciiTheme="minorEastAsia" w:hAnsiTheme="minorEastAsia" w:hint="eastAsia"/>
          <w:bCs/>
          <w:sz w:val="24"/>
          <w:szCs w:val="24"/>
        </w:rPr>
      </w:pPr>
    </w:p>
    <w:p w14:paraId="13DF6B48" w14:textId="77777777" w:rsidR="00B51DEA" w:rsidRDefault="00000000">
      <w:pPr>
        <w:widowControl/>
        <w:spacing w:line="360" w:lineRule="auto"/>
        <w:ind w:firstLineChars="200" w:firstLine="482"/>
        <w:jc w:val="left"/>
        <w:rPr>
          <w:rFonts w:asciiTheme="minorEastAsia" w:hAnsiTheme="minorEastAsia" w:cs="Arial" w:hint="eastAsia"/>
          <w:b/>
          <w:sz w:val="24"/>
          <w:szCs w:val="24"/>
        </w:rPr>
      </w:pPr>
      <w:r>
        <w:rPr>
          <w:rFonts w:asciiTheme="minorEastAsia" w:hAnsiTheme="minorEastAsia" w:cs="Arial" w:hint="eastAsia"/>
          <w:b/>
          <w:sz w:val="24"/>
          <w:szCs w:val="24"/>
        </w:rPr>
        <w:t>十二、暂停申购或赎回的公告和重新开放申购或赎回的公告</w:t>
      </w:r>
    </w:p>
    <w:p w14:paraId="7D237368"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1</w:t>
      </w:r>
      <w:r>
        <w:rPr>
          <w:rFonts w:asciiTheme="minorEastAsia" w:hAnsiTheme="minorEastAsia" w:hint="eastAsia"/>
          <w:bCs/>
          <w:sz w:val="24"/>
          <w:szCs w:val="24"/>
        </w:rPr>
        <w:t>、发生上述暂停申购或赎回情况的，基金管理人应在规定期限内在指定媒介上刊登暂停公告。</w:t>
      </w:r>
    </w:p>
    <w:p w14:paraId="540F5D35"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2</w:t>
      </w:r>
      <w:r>
        <w:rPr>
          <w:rFonts w:asciiTheme="minorEastAsia" w:hAnsiTheme="minorEastAsia" w:hint="eastAsia"/>
          <w:sz w:val="24"/>
          <w:szCs w:val="24"/>
        </w:rPr>
        <w:t>、基金管理人可以根据暂停申购或赎回的时间，依照《信息披露办法》的有关规定，最迟于重新开放日在指定</w:t>
      </w:r>
      <w:r>
        <w:rPr>
          <w:rFonts w:asciiTheme="minorEastAsia" w:hAnsiTheme="minorEastAsia" w:hint="eastAsia"/>
          <w:bCs/>
          <w:sz w:val="24"/>
          <w:szCs w:val="24"/>
        </w:rPr>
        <w:t>媒介</w:t>
      </w:r>
      <w:r>
        <w:rPr>
          <w:rFonts w:asciiTheme="minorEastAsia" w:hAnsiTheme="minorEastAsia" w:hint="eastAsia"/>
          <w:sz w:val="24"/>
          <w:szCs w:val="24"/>
        </w:rPr>
        <w:t>上刊登重新开放申购或赎回的公告；也可以根据实际情况在暂停公告中明确重新开放申购或赎回的时间，届时不再另行发布重新开放的公告。</w:t>
      </w:r>
    </w:p>
    <w:p w14:paraId="6C77A0FA"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3、上述暂停申购或赎回情况消除的，基金管理人应于重新开放日公布最近1个工作日两类基金份额净值。</w:t>
      </w:r>
    </w:p>
    <w:p w14:paraId="44679826" w14:textId="77777777" w:rsidR="00B51DEA" w:rsidRDefault="00B51DEA">
      <w:pPr>
        <w:spacing w:line="360" w:lineRule="auto"/>
        <w:ind w:firstLineChars="200" w:firstLine="480"/>
        <w:rPr>
          <w:rFonts w:asciiTheme="minorEastAsia" w:hAnsiTheme="minorEastAsia" w:hint="eastAsia"/>
          <w:bCs/>
          <w:sz w:val="24"/>
          <w:szCs w:val="24"/>
        </w:rPr>
      </w:pPr>
    </w:p>
    <w:p w14:paraId="5544B10F" w14:textId="77777777" w:rsidR="00B51DEA" w:rsidRDefault="00000000">
      <w:pPr>
        <w:widowControl/>
        <w:spacing w:line="360" w:lineRule="auto"/>
        <w:ind w:firstLineChars="200" w:firstLine="482"/>
        <w:jc w:val="left"/>
        <w:rPr>
          <w:rFonts w:asciiTheme="minorEastAsia" w:hAnsiTheme="minorEastAsia" w:cs="Arial" w:hint="eastAsia"/>
          <w:b/>
          <w:sz w:val="24"/>
          <w:szCs w:val="24"/>
        </w:rPr>
      </w:pPr>
      <w:r>
        <w:rPr>
          <w:rFonts w:asciiTheme="minorEastAsia" w:hAnsiTheme="minorEastAsia" w:cs="Arial" w:hint="eastAsia"/>
          <w:b/>
          <w:sz w:val="24"/>
          <w:szCs w:val="24"/>
        </w:rPr>
        <w:t>十三、基金转换</w:t>
      </w:r>
    </w:p>
    <w:p w14:paraId="474982B0" w14:textId="77777777" w:rsidR="00B51DEA" w:rsidRDefault="00000000">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基金管理人可以根据相关法律法规以及基金合同的规定决定开办本基金与基金管理人管理的其他基金之间的转换业务，基金转换可以收取一定的转换费，相关规则由基金管理人届时根据相关法律法规及基金合同的规定制定并公告，并提前告知基金托管人与相关机构。</w:t>
      </w:r>
    </w:p>
    <w:p w14:paraId="6A27658A" w14:textId="77777777" w:rsidR="00B51DEA" w:rsidRDefault="00B51DEA">
      <w:pPr>
        <w:widowControl/>
        <w:spacing w:line="360" w:lineRule="auto"/>
        <w:ind w:firstLineChars="200" w:firstLine="480"/>
        <w:jc w:val="left"/>
        <w:rPr>
          <w:rFonts w:asciiTheme="minorEastAsia" w:hAnsiTheme="minorEastAsia" w:cs="Arial" w:hint="eastAsia"/>
          <w:sz w:val="24"/>
          <w:szCs w:val="24"/>
        </w:rPr>
      </w:pPr>
    </w:p>
    <w:p w14:paraId="046F438A" w14:textId="77777777" w:rsidR="00B51DEA" w:rsidRDefault="00000000">
      <w:pPr>
        <w:widowControl/>
        <w:spacing w:line="360" w:lineRule="auto"/>
        <w:ind w:firstLineChars="200" w:firstLine="482"/>
        <w:jc w:val="left"/>
        <w:rPr>
          <w:rFonts w:asciiTheme="minorEastAsia" w:hAnsiTheme="minorEastAsia" w:cs="Arial" w:hint="eastAsia"/>
          <w:b/>
          <w:sz w:val="24"/>
          <w:szCs w:val="24"/>
        </w:rPr>
      </w:pPr>
      <w:r>
        <w:rPr>
          <w:rFonts w:asciiTheme="minorEastAsia" w:hAnsiTheme="minorEastAsia" w:cs="Arial" w:hint="eastAsia"/>
          <w:b/>
          <w:sz w:val="24"/>
          <w:szCs w:val="24"/>
        </w:rPr>
        <w:t>十四、基金份额的转让</w:t>
      </w:r>
    </w:p>
    <w:p w14:paraId="3B7EC7E5" w14:textId="77777777" w:rsidR="00B51DEA" w:rsidRDefault="00000000">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在法律法规允许且条件具备的情况下，基金管理人可受理基金份额持有人通过中国证监会认可的交易场所或者交易方式进行份额转让的申请并由登记机构办理基金份额的过户登记。基金管理人拟受理基金份额转让业务的，将提前公告，基金份额持有人应根据基金管理人公告的业务规则办理基金份额转让业务。</w:t>
      </w:r>
    </w:p>
    <w:p w14:paraId="09C76FF7" w14:textId="77777777" w:rsidR="00B51DEA" w:rsidRDefault="00B51DEA">
      <w:pPr>
        <w:widowControl/>
        <w:spacing w:line="360" w:lineRule="auto"/>
        <w:ind w:firstLineChars="200" w:firstLine="480"/>
        <w:jc w:val="left"/>
        <w:rPr>
          <w:rFonts w:asciiTheme="minorEastAsia" w:hAnsiTheme="minorEastAsia" w:cs="Arial" w:hint="eastAsia"/>
          <w:sz w:val="24"/>
          <w:szCs w:val="24"/>
        </w:rPr>
      </w:pPr>
    </w:p>
    <w:p w14:paraId="431F0D0E" w14:textId="77777777" w:rsidR="00B51DEA" w:rsidRDefault="00000000">
      <w:pPr>
        <w:widowControl/>
        <w:spacing w:line="360" w:lineRule="auto"/>
        <w:ind w:firstLineChars="200" w:firstLine="482"/>
        <w:jc w:val="left"/>
        <w:rPr>
          <w:rFonts w:asciiTheme="minorEastAsia" w:hAnsiTheme="minorEastAsia" w:cs="Arial" w:hint="eastAsia"/>
          <w:b/>
          <w:sz w:val="24"/>
          <w:szCs w:val="24"/>
        </w:rPr>
      </w:pPr>
      <w:r>
        <w:rPr>
          <w:rFonts w:asciiTheme="minorEastAsia" w:hAnsiTheme="minorEastAsia" w:cs="Arial" w:hint="eastAsia"/>
          <w:b/>
          <w:sz w:val="24"/>
          <w:szCs w:val="24"/>
        </w:rPr>
        <w:t>十五、基金的</w:t>
      </w:r>
      <w:proofErr w:type="gramStart"/>
      <w:r>
        <w:rPr>
          <w:rFonts w:asciiTheme="minorEastAsia" w:hAnsiTheme="minorEastAsia" w:cs="Arial" w:hint="eastAsia"/>
          <w:b/>
          <w:sz w:val="24"/>
          <w:szCs w:val="24"/>
        </w:rPr>
        <w:t>非交易</w:t>
      </w:r>
      <w:proofErr w:type="gramEnd"/>
      <w:r>
        <w:rPr>
          <w:rFonts w:asciiTheme="minorEastAsia" w:hAnsiTheme="minorEastAsia" w:cs="Arial" w:hint="eastAsia"/>
          <w:b/>
          <w:sz w:val="24"/>
          <w:szCs w:val="24"/>
        </w:rPr>
        <w:t>过户</w:t>
      </w:r>
    </w:p>
    <w:p w14:paraId="1944A004" w14:textId="77777777" w:rsidR="00B51DEA" w:rsidRDefault="00000000">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基金的</w:t>
      </w:r>
      <w:proofErr w:type="gramStart"/>
      <w:r>
        <w:rPr>
          <w:rFonts w:asciiTheme="minorEastAsia" w:hAnsiTheme="minorEastAsia" w:cs="Arial" w:hint="eastAsia"/>
          <w:sz w:val="24"/>
          <w:szCs w:val="24"/>
        </w:rPr>
        <w:t>非交易</w:t>
      </w:r>
      <w:proofErr w:type="gramEnd"/>
      <w:r>
        <w:rPr>
          <w:rFonts w:asciiTheme="minorEastAsia" w:hAnsiTheme="minorEastAsia" w:cs="Arial" w:hint="eastAsia"/>
          <w:sz w:val="24"/>
          <w:szCs w:val="24"/>
        </w:rPr>
        <w:t>过户是指基金登记机构受理继承、捐赠和司法强制执行等情形而产生的</w:t>
      </w:r>
      <w:proofErr w:type="gramStart"/>
      <w:r>
        <w:rPr>
          <w:rFonts w:asciiTheme="minorEastAsia" w:hAnsiTheme="minorEastAsia" w:cs="Arial" w:hint="eastAsia"/>
          <w:sz w:val="24"/>
          <w:szCs w:val="24"/>
        </w:rPr>
        <w:t>非交易</w:t>
      </w:r>
      <w:proofErr w:type="gramEnd"/>
      <w:r>
        <w:rPr>
          <w:rFonts w:asciiTheme="minorEastAsia" w:hAnsiTheme="minorEastAsia" w:cs="Arial" w:hint="eastAsia"/>
          <w:sz w:val="24"/>
          <w:szCs w:val="24"/>
        </w:rPr>
        <w:t>过户以及登记机构认可、符合法律法规的其它</w:t>
      </w:r>
      <w:proofErr w:type="gramStart"/>
      <w:r>
        <w:rPr>
          <w:rFonts w:asciiTheme="minorEastAsia" w:hAnsiTheme="minorEastAsia" w:cs="Arial" w:hint="eastAsia"/>
          <w:sz w:val="24"/>
          <w:szCs w:val="24"/>
        </w:rPr>
        <w:t>非交易</w:t>
      </w:r>
      <w:proofErr w:type="gramEnd"/>
      <w:r>
        <w:rPr>
          <w:rFonts w:asciiTheme="minorEastAsia" w:hAnsiTheme="minorEastAsia" w:cs="Arial" w:hint="eastAsia"/>
          <w:sz w:val="24"/>
          <w:szCs w:val="24"/>
        </w:rPr>
        <w:t>过户。无论</w:t>
      </w:r>
      <w:r>
        <w:rPr>
          <w:rFonts w:asciiTheme="minorEastAsia" w:hAnsiTheme="minorEastAsia" w:cs="Arial" w:hint="eastAsia"/>
          <w:sz w:val="24"/>
          <w:szCs w:val="24"/>
        </w:rPr>
        <w:lastRenderedPageBreak/>
        <w:t>在上述何种情况下，接受划转的主体必须是依法可以持有本</w:t>
      </w:r>
      <w:proofErr w:type="gramStart"/>
      <w:r>
        <w:rPr>
          <w:rFonts w:asciiTheme="minorEastAsia" w:hAnsiTheme="minorEastAsia" w:cs="Arial" w:hint="eastAsia"/>
          <w:sz w:val="24"/>
          <w:szCs w:val="24"/>
        </w:rPr>
        <w:t>基金基金</w:t>
      </w:r>
      <w:proofErr w:type="gramEnd"/>
      <w:r>
        <w:rPr>
          <w:rFonts w:asciiTheme="minorEastAsia" w:hAnsiTheme="minorEastAsia" w:cs="Arial" w:hint="eastAsia"/>
          <w:sz w:val="24"/>
          <w:szCs w:val="24"/>
        </w:rPr>
        <w:t>份额的投资人。</w:t>
      </w:r>
    </w:p>
    <w:p w14:paraId="78BB6954" w14:textId="77777777" w:rsidR="00B51DEA" w:rsidRDefault="00000000">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继承是指基金份额持有人死亡，其持有的基金份额由其合法的继承人继承；</w:t>
      </w:r>
      <w:proofErr w:type="gramStart"/>
      <w:r>
        <w:rPr>
          <w:rFonts w:asciiTheme="minorEastAsia" w:hAnsiTheme="minorEastAsia" w:cs="Arial" w:hint="eastAsia"/>
          <w:sz w:val="24"/>
          <w:szCs w:val="24"/>
        </w:rPr>
        <w:t>捐赠指</w:t>
      </w:r>
      <w:proofErr w:type="gramEnd"/>
      <w:r>
        <w:rPr>
          <w:rFonts w:asciiTheme="minorEastAsia" w:hAnsiTheme="minorEastAsia" w:cs="Arial" w:hint="eastAsia"/>
          <w:sz w:val="24"/>
          <w:szCs w:val="24"/>
        </w:rPr>
        <w:t>基金份额持有人将其合法持有的基金份额捐赠给福利性质的基金会或社会团体；司法强制执行是指司法机构依据生效司法文书将基金份额持有人持有的基金份额强制划转给其他自然人、法人或其他组织。办理</w:t>
      </w:r>
      <w:proofErr w:type="gramStart"/>
      <w:r>
        <w:rPr>
          <w:rFonts w:asciiTheme="minorEastAsia" w:hAnsiTheme="minorEastAsia" w:cs="Arial" w:hint="eastAsia"/>
          <w:sz w:val="24"/>
          <w:szCs w:val="24"/>
        </w:rPr>
        <w:t>非交易</w:t>
      </w:r>
      <w:proofErr w:type="gramEnd"/>
      <w:r>
        <w:rPr>
          <w:rFonts w:asciiTheme="minorEastAsia" w:hAnsiTheme="minorEastAsia" w:cs="Arial" w:hint="eastAsia"/>
          <w:sz w:val="24"/>
          <w:szCs w:val="24"/>
        </w:rPr>
        <w:t>过户必须提供基金登记机构要求提供的相关资料，对于符合条件的</w:t>
      </w:r>
      <w:proofErr w:type="gramStart"/>
      <w:r>
        <w:rPr>
          <w:rFonts w:asciiTheme="minorEastAsia" w:hAnsiTheme="minorEastAsia" w:cs="Arial" w:hint="eastAsia"/>
          <w:sz w:val="24"/>
          <w:szCs w:val="24"/>
        </w:rPr>
        <w:t>非交易过户申请按</w:t>
      </w:r>
      <w:proofErr w:type="gramEnd"/>
      <w:r>
        <w:rPr>
          <w:rFonts w:asciiTheme="minorEastAsia" w:hAnsiTheme="minorEastAsia" w:cs="Arial" w:hint="eastAsia"/>
          <w:sz w:val="24"/>
          <w:szCs w:val="24"/>
        </w:rPr>
        <w:t>基金登记机构的规定办理，并按基金登记机构规定的标准收费。</w:t>
      </w:r>
    </w:p>
    <w:p w14:paraId="48C4BE57" w14:textId="77777777" w:rsidR="00B51DEA" w:rsidRDefault="00B51DEA">
      <w:pPr>
        <w:widowControl/>
        <w:spacing w:line="360" w:lineRule="auto"/>
        <w:ind w:firstLineChars="200" w:firstLine="480"/>
        <w:jc w:val="left"/>
        <w:rPr>
          <w:rFonts w:asciiTheme="minorEastAsia" w:hAnsiTheme="minorEastAsia" w:cs="Arial" w:hint="eastAsia"/>
          <w:sz w:val="24"/>
          <w:szCs w:val="24"/>
        </w:rPr>
      </w:pPr>
    </w:p>
    <w:p w14:paraId="3EC6EF24" w14:textId="77777777" w:rsidR="00B51DEA" w:rsidRDefault="00000000">
      <w:pPr>
        <w:widowControl/>
        <w:spacing w:line="360" w:lineRule="auto"/>
        <w:ind w:firstLineChars="200" w:firstLine="482"/>
        <w:jc w:val="left"/>
        <w:rPr>
          <w:rFonts w:asciiTheme="minorEastAsia" w:hAnsiTheme="minorEastAsia" w:cs="Arial" w:hint="eastAsia"/>
          <w:b/>
          <w:sz w:val="24"/>
          <w:szCs w:val="24"/>
        </w:rPr>
      </w:pPr>
      <w:r>
        <w:rPr>
          <w:rFonts w:asciiTheme="minorEastAsia" w:hAnsiTheme="minorEastAsia" w:cs="Arial" w:hint="eastAsia"/>
          <w:b/>
          <w:sz w:val="24"/>
          <w:szCs w:val="24"/>
        </w:rPr>
        <w:t>十六、基金的转托管</w:t>
      </w:r>
    </w:p>
    <w:p w14:paraId="70D10241" w14:textId="77777777" w:rsidR="00B51DEA" w:rsidRDefault="00000000">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基金份额持有人可办理已持有基金份额在不同销售机构之间的转托管，基金销售机构可以按照规定的标准收取转托管费。</w:t>
      </w:r>
    </w:p>
    <w:p w14:paraId="1D507113" w14:textId="77777777" w:rsidR="00B51DEA" w:rsidRDefault="00B51DEA">
      <w:pPr>
        <w:widowControl/>
        <w:spacing w:line="360" w:lineRule="auto"/>
        <w:ind w:firstLineChars="200" w:firstLine="480"/>
        <w:jc w:val="left"/>
        <w:rPr>
          <w:rFonts w:asciiTheme="minorEastAsia" w:hAnsiTheme="minorEastAsia" w:cs="Arial" w:hint="eastAsia"/>
          <w:sz w:val="24"/>
          <w:szCs w:val="24"/>
        </w:rPr>
      </w:pPr>
    </w:p>
    <w:p w14:paraId="320EAA50" w14:textId="77777777" w:rsidR="00B51DEA" w:rsidRDefault="00000000">
      <w:pPr>
        <w:widowControl/>
        <w:spacing w:line="360" w:lineRule="auto"/>
        <w:ind w:firstLineChars="200" w:firstLine="482"/>
        <w:jc w:val="left"/>
        <w:rPr>
          <w:rFonts w:asciiTheme="minorEastAsia" w:hAnsiTheme="minorEastAsia" w:cs="Arial" w:hint="eastAsia"/>
          <w:b/>
          <w:sz w:val="24"/>
          <w:szCs w:val="24"/>
        </w:rPr>
      </w:pPr>
      <w:r>
        <w:rPr>
          <w:rFonts w:asciiTheme="minorEastAsia" w:hAnsiTheme="minorEastAsia" w:cs="Arial" w:hint="eastAsia"/>
          <w:b/>
          <w:sz w:val="24"/>
          <w:szCs w:val="24"/>
        </w:rPr>
        <w:t>十七、定期定额投资计划</w:t>
      </w:r>
    </w:p>
    <w:p w14:paraId="77A892AE" w14:textId="77777777" w:rsidR="00B51DEA" w:rsidRDefault="00000000">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基金管理人可以为投资人办理定期定额投资计划，具体规则由基金管理人另行规定。投资人在办理定期定额投资计划时可自行约定每期扣款金额，每期扣款金额必须不低于基金管理人在相关公告或更新的招募说明书中所规定的定期定额投资计划最低申购金额。</w:t>
      </w:r>
    </w:p>
    <w:p w14:paraId="19101254" w14:textId="77777777" w:rsidR="00B51DEA" w:rsidRDefault="00B51DEA">
      <w:pPr>
        <w:widowControl/>
        <w:spacing w:line="360" w:lineRule="auto"/>
        <w:ind w:firstLineChars="200" w:firstLine="480"/>
        <w:jc w:val="left"/>
        <w:rPr>
          <w:rFonts w:asciiTheme="minorEastAsia" w:hAnsiTheme="minorEastAsia" w:cs="Arial" w:hint="eastAsia"/>
          <w:sz w:val="24"/>
          <w:szCs w:val="24"/>
        </w:rPr>
      </w:pPr>
    </w:p>
    <w:p w14:paraId="189BD066" w14:textId="77777777" w:rsidR="00B51DEA" w:rsidRDefault="00000000">
      <w:pPr>
        <w:widowControl/>
        <w:spacing w:line="360" w:lineRule="auto"/>
        <w:ind w:firstLineChars="200" w:firstLine="482"/>
        <w:jc w:val="left"/>
        <w:rPr>
          <w:rFonts w:asciiTheme="minorEastAsia" w:hAnsiTheme="minorEastAsia" w:cs="Arial" w:hint="eastAsia"/>
          <w:b/>
          <w:sz w:val="24"/>
          <w:szCs w:val="24"/>
        </w:rPr>
      </w:pPr>
      <w:r>
        <w:rPr>
          <w:rFonts w:asciiTheme="minorEastAsia" w:hAnsiTheme="minorEastAsia" w:cs="Arial" w:hint="eastAsia"/>
          <w:b/>
          <w:sz w:val="24"/>
          <w:szCs w:val="24"/>
        </w:rPr>
        <w:t>十八、基金份额的冻结、解冻与质押</w:t>
      </w:r>
    </w:p>
    <w:p w14:paraId="2C968F28" w14:textId="77777777" w:rsidR="00B51DEA" w:rsidRDefault="00000000">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基金登记机构只受理国家有权机关依法要求的基金份额的冻结与解冻，以及登记机构认可、符合法律法规的其他情况下的冻结与解冻。</w:t>
      </w:r>
    </w:p>
    <w:p w14:paraId="26FEAA8E" w14:textId="77777777" w:rsidR="00B51DEA" w:rsidRDefault="00000000">
      <w:pPr>
        <w:widowControl/>
        <w:spacing w:line="360" w:lineRule="auto"/>
        <w:ind w:firstLineChars="200" w:firstLine="480"/>
        <w:jc w:val="left"/>
        <w:rPr>
          <w:rFonts w:asciiTheme="minorEastAsia" w:hAnsiTheme="minorEastAsia" w:cs="Arial" w:hint="eastAsia"/>
          <w:szCs w:val="21"/>
        </w:rPr>
        <w:sectPr w:rsidR="00B51DEA">
          <w:pgSz w:w="11906" w:h="16838"/>
          <w:pgMar w:top="1440" w:right="1800" w:bottom="1440" w:left="1800" w:header="851" w:footer="992" w:gutter="0"/>
          <w:pgNumType w:chapStyle="1"/>
          <w:cols w:space="720"/>
          <w:docGrid w:type="lines" w:linePitch="312"/>
        </w:sectPr>
      </w:pPr>
      <w:r>
        <w:rPr>
          <w:rFonts w:asciiTheme="minorEastAsia" w:hAnsiTheme="minorEastAsia" w:cs="Arial" w:hint="eastAsia"/>
          <w:sz w:val="24"/>
          <w:szCs w:val="24"/>
        </w:rPr>
        <w:t>如相关法律法规允许基金管理人办理基金份额的质押业务或其他基金业务，基金管理人将制定和实施相应的业务规则。</w:t>
      </w:r>
    </w:p>
    <w:p w14:paraId="12E1C5D5" w14:textId="77777777" w:rsidR="00B51DEA" w:rsidRDefault="00000000">
      <w:pPr>
        <w:pStyle w:val="1"/>
        <w:jc w:val="center"/>
        <w:rPr>
          <w:rFonts w:asciiTheme="minorEastAsia" w:eastAsiaTheme="minorEastAsia" w:hAnsiTheme="minorEastAsia" w:hint="eastAsia"/>
          <w:sz w:val="30"/>
          <w:szCs w:val="30"/>
        </w:rPr>
      </w:pPr>
      <w:bookmarkStart w:id="210" w:name="_Toc2677410"/>
      <w:r>
        <w:rPr>
          <w:rFonts w:asciiTheme="minorEastAsia" w:eastAsiaTheme="minorEastAsia" w:hAnsiTheme="minorEastAsia" w:hint="eastAsia"/>
          <w:sz w:val="30"/>
          <w:szCs w:val="30"/>
        </w:rPr>
        <w:lastRenderedPageBreak/>
        <w:t>第九部分</w:t>
      </w:r>
      <w:r>
        <w:rPr>
          <w:rFonts w:asciiTheme="minorEastAsia" w:eastAsiaTheme="minorEastAsia" w:hAnsiTheme="minorEastAsia"/>
          <w:sz w:val="30"/>
          <w:szCs w:val="30"/>
        </w:rPr>
        <w:t xml:space="preserve">  </w:t>
      </w:r>
      <w:r>
        <w:rPr>
          <w:rFonts w:asciiTheme="minorEastAsia" w:eastAsiaTheme="minorEastAsia" w:hAnsiTheme="minorEastAsia" w:hint="eastAsia"/>
          <w:sz w:val="30"/>
          <w:szCs w:val="30"/>
        </w:rPr>
        <w:t>基金的投资</w:t>
      </w:r>
      <w:bookmarkEnd w:id="188"/>
      <w:bookmarkEnd w:id="210"/>
    </w:p>
    <w:p w14:paraId="7A6F315A" w14:textId="77777777" w:rsidR="00B51DEA" w:rsidRDefault="00000000">
      <w:pPr>
        <w:spacing w:line="360" w:lineRule="auto"/>
        <w:ind w:firstLineChars="200" w:firstLine="482"/>
        <w:rPr>
          <w:rFonts w:asciiTheme="minorEastAsia" w:hAnsiTheme="minorEastAsia" w:cs="Times New Roman" w:hint="eastAsia"/>
          <w:b/>
          <w:bCs/>
          <w:sz w:val="24"/>
          <w:szCs w:val="24"/>
        </w:rPr>
      </w:pPr>
      <w:r>
        <w:rPr>
          <w:rFonts w:asciiTheme="minorEastAsia" w:hAnsiTheme="minorEastAsia" w:cs="Times New Roman" w:hint="eastAsia"/>
          <w:b/>
          <w:bCs/>
          <w:sz w:val="24"/>
          <w:szCs w:val="24"/>
        </w:rPr>
        <w:t>一、投资目标</w:t>
      </w:r>
    </w:p>
    <w:p w14:paraId="16C533A6" w14:textId="77777777" w:rsidR="00B51DEA" w:rsidRDefault="00000000">
      <w:pPr>
        <w:autoSpaceDE w:val="0"/>
        <w:autoSpaceDN w:val="0"/>
        <w:spacing w:line="360" w:lineRule="auto"/>
        <w:ind w:firstLineChars="200" w:firstLine="480"/>
        <w:textAlignment w:val="bottom"/>
        <w:rPr>
          <w:rFonts w:asciiTheme="minorEastAsia" w:hAnsiTheme="minorEastAsia" w:hint="eastAsia"/>
          <w:sz w:val="24"/>
          <w:szCs w:val="24"/>
        </w:rPr>
      </w:pPr>
      <w:r>
        <w:rPr>
          <w:rFonts w:asciiTheme="minorEastAsia" w:hAnsiTheme="minorEastAsia" w:hint="eastAsia"/>
          <w:sz w:val="24"/>
          <w:szCs w:val="24"/>
        </w:rPr>
        <w:t>本基金通过对多种投资策略的有机结合，在严格控制风险的基础上，力求取得超越基金业绩比较基准的收益。</w:t>
      </w:r>
    </w:p>
    <w:p w14:paraId="265B14CA" w14:textId="77777777" w:rsidR="00B51DEA" w:rsidRDefault="00B51DEA">
      <w:pPr>
        <w:autoSpaceDE w:val="0"/>
        <w:autoSpaceDN w:val="0"/>
        <w:spacing w:line="360" w:lineRule="auto"/>
        <w:ind w:firstLineChars="200" w:firstLine="480"/>
        <w:textAlignment w:val="bottom"/>
        <w:rPr>
          <w:rFonts w:asciiTheme="minorEastAsia" w:hAnsiTheme="minorEastAsia" w:hint="eastAsia"/>
          <w:sz w:val="24"/>
          <w:szCs w:val="24"/>
        </w:rPr>
      </w:pPr>
    </w:p>
    <w:p w14:paraId="0F3946AD" w14:textId="77777777" w:rsidR="00B51DEA" w:rsidRDefault="00000000">
      <w:pPr>
        <w:spacing w:line="360" w:lineRule="auto"/>
        <w:ind w:firstLineChars="200" w:firstLine="482"/>
        <w:rPr>
          <w:rFonts w:asciiTheme="minorEastAsia" w:hAnsiTheme="minorEastAsia" w:cs="Times New Roman" w:hint="eastAsia"/>
          <w:b/>
          <w:bCs/>
          <w:sz w:val="24"/>
          <w:szCs w:val="24"/>
        </w:rPr>
      </w:pPr>
      <w:r>
        <w:rPr>
          <w:rFonts w:asciiTheme="minorEastAsia" w:hAnsiTheme="minorEastAsia" w:cs="Times New Roman" w:hint="eastAsia"/>
          <w:b/>
          <w:bCs/>
          <w:sz w:val="24"/>
          <w:szCs w:val="24"/>
        </w:rPr>
        <w:t>二、投资范围</w:t>
      </w:r>
    </w:p>
    <w:p w14:paraId="235924A7" w14:textId="77777777" w:rsidR="00B51DEA" w:rsidRDefault="00000000">
      <w:pPr>
        <w:pStyle w:val="a8"/>
        <w:tabs>
          <w:tab w:val="left" w:pos="1680"/>
        </w:tabs>
        <w:ind w:firstLineChars="250" w:firstLine="600"/>
        <w:rPr>
          <w:rFonts w:asciiTheme="minorEastAsia" w:eastAsiaTheme="minorEastAsia" w:hAnsiTheme="minorEastAsia" w:hint="eastAsia"/>
          <w:sz w:val="24"/>
          <w:szCs w:val="24"/>
        </w:rPr>
      </w:pPr>
      <w:r>
        <w:rPr>
          <w:rFonts w:asciiTheme="minorEastAsia" w:eastAsiaTheme="minorEastAsia" w:hAnsiTheme="minorEastAsia" w:hint="eastAsia"/>
          <w:sz w:val="24"/>
          <w:szCs w:val="24"/>
        </w:rPr>
        <w:t>本基金的投资范围主要为具有良好流动性的金融工具，包括国内依法发行上市的股票（包括中小板、创业板及其他经中国证监会核准上市的股票）、存托凭证、债券（含国债、金融债、企业债、公司债、央行票据、中期票据、短期融资</w:t>
      </w:r>
      <w:proofErr w:type="gramStart"/>
      <w:r>
        <w:rPr>
          <w:rFonts w:asciiTheme="minorEastAsia" w:eastAsiaTheme="minorEastAsia" w:hAnsiTheme="minorEastAsia" w:hint="eastAsia"/>
          <w:sz w:val="24"/>
          <w:szCs w:val="24"/>
        </w:rPr>
        <w:t>券</w:t>
      </w:r>
      <w:proofErr w:type="gramEnd"/>
      <w:r>
        <w:rPr>
          <w:rFonts w:asciiTheme="minorEastAsia" w:eastAsiaTheme="minorEastAsia" w:hAnsiTheme="minorEastAsia" w:hint="eastAsia"/>
          <w:sz w:val="24"/>
          <w:szCs w:val="24"/>
        </w:rPr>
        <w:t>、超短期融资</w:t>
      </w:r>
      <w:proofErr w:type="gramStart"/>
      <w:r>
        <w:rPr>
          <w:rFonts w:asciiTheme="minorEastAsia" w:eastAsiaTheme="minorEastAsia" w:hAnsiTheme="minorEastAsia" w:hint="eastAsia"/>
          <w:sz w:val="24"/>
          <w:szCs w:val="24"/>
        </w:rPr>
        <w:t>券</w:t>
      </w:r>
      <w:proofErr w:type="gramEnd"/>
      <w:r>
        <w:rPr>
          <w:rFonts w:asciiTheme="minorEastAsia" w:eastAsiaTheme="minorEastAsia" w:hAnsiTheme="minorEastAsia" w:hint="eastAsia"/>
          <w:sz w:val="24"/>
          <w:szCs w:val="24"/>
        </w:rPr>
        <w:t>、政府支持机构债、地方政府债、次级债、可转换债券、可交换债券、中小企业私募</w:t>
      </w:r>
      <w:proofErr w:type="gramStart"/>
      <w:r>
        <w:rPr>
          <w:rFonts w:asciiTheme="minorEastAsia" w:eastAsiaTheme="minorEastAsia" w:hAnsiTheme="minorEastAsia" w:hint="eastAsia"/>
          <w:sz w:val="24"/>
          <w:szCs w:val="24"/>
        </w:rPr>
        <w:t>债及其</w:t>
      </w:r>
      <w:proofErr w:type="gramEnd"/>
      <w:r>
        <w:rPr>
          <w:rFonts w:asciiTheme="minorEastAsia" w:eastAsiaTheme="minorEastAsia" w:hAnsiTheme="minorEastAsia" w:hint="eastAsia"/>
          <w:sz w:val="24"/>
          <w:szCs w:val="24"/>
        </w:rPr>
        <w:t>他经中国证监会允许投资的债券）、货币市场工具、同业存单、资产支持证券、衍生品（包括权证、股指期货、股票期权、国债期货等）以及法律法规或中国证监会允许基金投资的其他金融工具（但须符合中国证监会的相关规定）。</w:t>
      </w:r>
    </w:p>
    <w:p w14:paraId="2DDFF149" w14:textId="77777777" w:rsidR="00B51DEA" w:rsidRDefault="00000000">
      <w:pPr>
        <w:pStyle w:val="a8"/>
        <w:tabs>
          <w:tab w:val="left" w:pos="1680"/>
        </w:tabs>
        <w:ind w:firstLineChars="250" w:firstLine="600"/>
        <w:rPr>
          <w:rFonts w:asciiTheme="minorEastAsia" w:eastAsiaTheme="minorEastAsia" w:hAnsiTheme="minorEastAsia" w:hint="eastAsia"/>
          <w:sz w:val="24"/>
          <w:szCs w:val="24"/>
        </w:rPr>
      </w:pPr>
      <w:r>
        <w:rPr>
          <w:rFonts w:asciiTheme="minorEastAsia" w:eastAsiaTheme="minorEastAsia" w:hAnsiTheme="minorEastAsia" w:hint="eastAsia"/>
          <w:sz w:val="24"/>
          <w:szCs w:val="24"/>
        </w:rPr>
        <w:t>如法律法规或监管机构以后允许基金投资其他品种，基金管理人在履行适当程序后，可以将其纳入投资范围。</w:t>
      </w:r>
    </w:p>
    <w:p w14:paraId="03385677" w14:textId="77777777" w:rsidR="00B51DEA" w:rsidRDefault="00000000">
      <w:pPr>
        <w:autoSpaceDE w:val="0"/>
        <w:autoSpaceDN w:val="0"/>
        <w:spacing w:line="360" w:lineRule="auto"/>
        <w:ind w:firstLineChars="200" w:firstLine="480"/>
        <w:textAlignment w:val="bottom"/>
        <w:rPr>
          <w:rFonts w:asciiTheme="minorEastAsia" w:hAnsiTheme="minorEastAsia" w:hint="eastAsia"/>
          <w:sz w:val="24"/>
          <w:szCs w:val="24"/>
        </w:rPr>
      </w:pPr>
      <w:r>
        <w:rPr>
          <w:rFonts w:asciiTheme="minorEastAsia" w:hAnsiTheme="minorEastAsia" w:hint="eastAsia"/>
          <w:sz w:val="24"/>
          <w:szCs w:val="24"/>
        </w:rPr>
        <w:t>基金的投资组合比例为：股票资产占基金资产的</w:t>
      </w:r>
      <w:r>
        <w:rPr>
          <w:rFonts w:asciiTheme="minorEastAsia" w:hAnsiTheme="minorEastAsia"/>
          <w:sz w:val="24"/>
          <w:szCs w:val="24"/>
        </w:rPr>
        <w:t>0%-95%；每个交易日日终在扣除股指期货、国债期货合约需缴纳的保证金以后，本基金保留的</w:t>
      </w:r>
      <w:r>
        <w:rPr>
          <w:rFonts w:asciiTheme="minorEastAsia" w:hAnsiTheme="minorEastAsia" w:hint="eastAsia"/>
          <w:sz w:val="24"/>
          <w:szCs w:val="24"/>
        </w:rPr>
        <w:t>现金或到期日在一年以内的政府债券不低于基金资产净值的</w:t>
      </w:r>
      <w:r>
        <w:rPr>
          <w:rFonts w:asciiTheme="minorEastAsia" w:hAnsiTheme="minorEastAsia"/>
          <w:sz w:val="24"/>
          <w:szCs w:val="24"/>
        </w:rPr>
        <w:t>5%，其中现金不包括结算备付金、存出保证金、应收申购款等；权证投资占基金资产净值的0-3%。</w:t>
      </w:r>
    </w:p>
    <w:p w14:paraId="2359B7A6"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szCs w:val="24"/>
        </w:rPr>
      </w:pPr>
      <w:r>
        <w:rPr>
          <w:rFonts w:asciiTheme="minorEastAsia" w:hAnsiTheme="minorEastAsia" w:hint="eastAsia"/>
          <w:bCs/>
          <w:sz w:val="24"/>
          <w:szCs w:val="24"/>
        </w:rPr>
        <w:t>如果法律法规或中国证监会变更投资品种的投资比例限制，基金管理人在履行适当程序后，可以调整上述投资品种的投资比例。</w:t>
      </w:r>
    </w:p>
    <w:p w14:paraId="43E7196C" w14:textId="77777777" w:rsidR="00B51DEA" w:rsidRDefault="00B51DEA">
      <w:pPr>
        <w:autoSpaceDE w:val="0"/>
        <w:autoSpaceDN w:val="0"/>
        <w:spacing w:line="360" w:lineRule="auto"/>
        <w:ind w:firstLineChars="200" w:firstLine="480"/>
        <w:textAlignment w:val="bottom"/>
        <w:rPr>
          <w:rFonts w:asciiTheme="minorEastAsia" w:hAnsiTheme="minorEastAsia" w:hint="eastAsia"/>
          <w:bCs/>
          <w:sz w:val="24"/>
        </w:rPr>
      </w:pPr>
    </w:p>
    <w:p w14:paraId="13C724F8" w14:textId="77777777" w:rsidR="00B51DEA" w:rsidRDefault="00000000">
      <w:pPr>
        <w:autoSpaceDE w:val="0"/>
        <w:autoSpaceDN w:val="0"/>
        <w:spacing w:line="360" w:lineRule="auto"/>
        <w:ind w:firstLineChars="200" w:firstLine="482"/>
        <w:textAlignment w:val="bottom"/>
        <w:rPr>
          <w:rFonts w:asciiTheme="minorEastAsia" w:hAnsiTheme="minorEastAsia" w:cs="Times New Roman" w:hint="eastAsia"/>
          <w:b/>
          <w:bCs/>
          <w:sz w:val="24"/>
          <w:szCs w:val="24"/>
        </w:rPr>
      </w:pPr>
      <w:r>
        <w:rPr>
          <w:rFonts w:asciiTheme="minorEastAsia" w:hAnsiTheme="minorEastAsia" w:cs="Times New Roman" w:hint="eastAsia"/>
          <w:b/>
          <w:bCs/>
          <w:sz w:val="24"/>
          <w:szCs w:val="24"/>
        </w:rPr>
        <w:t>三、投资策略</w:t>
      </w:r>
    </w:p>
    <w:p w14:paraId="59E204AD" w14:textId="77777777" w:rsidR="00B51DEA" w:rsidRDefault="00000000">
      <w:pPr>
        <w:spacing w:line="360" w:lineRule="auto"/>
        <w:ind w:firstLineChars="250" w:firstLine="600"/>
        <w:rPr>
          <w:rFonts w:asciiTheme="minorEastAsia" w:hAnsiTheme="minorEastAsia" w:cs="微软雅黑" w:hint="eastAsia"/>
          <w:sz w:val="24"/>
          <w:szCs w:val="24"/>
        </w:rPr>
      </w:pPr>
      <w:r>
        <w:rPr>
          <w:rFonts w:asciiTheme="minorEastAsia" w:hAnsiTheme="minorEastAsia" w:cs="微软雅黑" w:hint="eastAsia"/>
          <w:sz w:val="24"/>
          <w:szCs w:val="24"/>
        </w:rPr>
        <w:t>本基金通过灵活应用多种量化策略，在充分控制基金财产风险和保证基金财产流动性的基础上，追求超越业绩比较基准的投资回报，力争实现基金财产的长期稳健增值。</w:t>
      </w:r>
    </w:p>
    <w:p w14:paraId="4EDA3EBB" w14:textId="77777777" w:rsidR="00B51DEA" w:rsidRDefault="00000000">
      <w:pPr>
        <w:pStyle w:val="Default"/>
        <w:spacing w:line="360" w:lineRule="auto"/>
        <w:ind w:firstLineChars="200" w:firstLine="480"/>
        <w:rPr>
          <w:rFonts w:asciiTheme="minorEastAsia" w:eastAsiaTheme="minorEastAsia" w:hAnsiTheme="minorEastAsia" w:hint="eastAsia"/>
          <w:kern w:val="2"/>
          <w:szCs w:val="24"/>
        </w:rPr>
      </w:pPr>
      <w:r>
        <w:rPr>
          <w:rFonts w:asciiTheme="minorEastAsia" w:eastAsiaTheme="minorEastAsia" w:hAnsiTheme="minorEastAsia" w:hint="eastAsia"/>
          <w:kern w:val="2"/>
          <w:szCs w:val="24"/>
        </w:rPr>
        <w:t>本基金采用多因子选股策略为主，辅以事件驱动以及宏观择时等其他量化策略，力争实现稳定的绝对回报。</w:t>
      </w:r>
      <w:r>
        <w:rPr>
          <w:rFonts w:asciiTheme="minorEastAsia" w:eastAsiaTheme="minorEastAsia" w:hAnsiTheme="minorEastAsia"/>
          <w:kern w:val="2"/>
          <w:szCs w:val="24"/>
        </w:rPr>
        <w:t xml:space="preserve"> </w:t>
      </w:r>
    </w:p>
    <w:p w14:paraId="25A57CA1" w14:textId="77777777" w:rsidR="00B51DEA" w:rsidRDefault="00000000">
      <w:pPr>
        <w:pStyle w:val="Default"/>
        <w:spacing w:line="360" w:lineRule="auto"/>
        <w:ind w:firstLineChars="200" w:firstLine="480"/>
        <w:rPr>
          <w:rFonts w:asciiTheme="minorEastAsia" w:eastAsiaTheme="minorEastAsia" w:hAnsiTheme="minorEastAsia" w:hint="eastAsia"/>
          <w:kern w:val="2"/>
          <w:szCs w:val="24"/>
        </w:rPr>
      </w:pPr>
      <w:r>
        <w:rPr>
          <w:rFonts w:asciiTheme="minorEastAsia" w:eastAsiaTheme="minorEastAsia" w:hAnsiTheme="minorEastAsia" w:cs="Calibri"/>
          <w:kern w:val="2"/>
          <w:szCs w:val="24"/>
        </w:rPr>
        <w:lastRenderedPageBreak/>
        <w:t>1</w:t>
      </w:r>
      <w:r>
        <w:rPr>
          <w:rFonts w:asciiTheme="minorEastAsia" w:eastAsiaTheme="minorEastAsia" w:hAnsiTheme="minorEastAsia" w:hint="eastAsia"/>
          <w:kern w:val="2"/>
          <w:szCs w:val="24"/>
        </w:rPr>
        <w:t>、多因子选股策略</w:t>
      </w:r>
      <w:r>
        <w:rPr>
          <w:rFonts w:asciiTheme="minorEastAsia" w:eastAsiaTheme="minorEastAsia" w:hAnsiTheme="minorEastAsia"/>
          <w:kern w:val="2"/>
          <w:szCs w:val="24"/>
        </w:rPr>
        <w:t xml:space="preserve"> </w:t>
      </w:r>
    </w:p>
    <w:p w14:paraId="58AAE728" w14:textId="77777777" w:rsidR="00B51DEA" w:rsidRDefault="00000000">
      <w:pPr>
        <w:pStyle w:val="Default"/>
        <w:spacing w:line="360" w:lineRule="auto"/>
        <w:ind w:firstLineChars="200" w:firstLine="480"/>
        <w:rPr>
          <w:rFonts w:asciiTheme="minorEastAsia" w:eastAsiaTheme="minorEastAsia" w:hAnsiTheme="minorEastAsia" w:hint="eastAsia"/>
          <w:kern w:val="2"/>
          <w:szCs w:val="24"/>
        </w:rPr>
      </w:pPr>
      <w:r>
        <w:rPr>
          <w:rFonts w:asciiTheme="minorEastAsia" w:eastAsiaTheme="minorEastAsia" w:hAnsiTheme="minorEastAsia" w:hint="eastAsia"/>
          <w:kern w:val="2"/>
          <w:szCs w:val="24"/>
        </w:rPr>
        <w:t>该策略以对中国股票市场较长期</w:t>
      </w:r>
      <w:proofErr w:type="gramStart"/>
      <w:r>
        <w:rPr>
          <w:rFonts w:asciiTheme="minorEastAsia" w:eastAsiaTheme="minorEastAsia" w:hAnsiTheme="minorEastAsia" w:hint="eastAsia"/>
          <w:kern w:val="2"/>
          <w:szCs w:val="24"/>
        </w:rPr>
        <w:t>的回测研究</w:t>
      </w:r>
      <w:proofErr w:type="gramEnd"/>
      <w:r>
        <w:rPr>
          <w:rFonts w:asciiTheme="minorEastAsia" w:eastAsiaTheme="minorEastAsia" w:hAnsiTheme="minorEastAsia" w:hint="eastAsia"/>
          <w:kern w:val="2"/>
          <w:szCs w:val="24"/>
        </w:rPr>
        <w:t>为基础，运用量化多因子模型框架，结合定性指标和定量指标，综合考虑上市公司基本经营状况和市场对股票的反应两大因素，通过计算市场上所有股票的管理质量、价值、成长变化、市场情绪以及行业特殊因素等量化因子，将计算结果组合成</w:t>
      </w:r>
      <w:r>
        <w:rPr>
          <w:rFonts w:asciiTheme="minorEastAsia" w:eastAsiaTheme="minorEastAsia" w:hAnsiTheme="minorEastAsia" w:cs="Calibri"/>
          <w:kern w:val="2"/>
          <w:szCs w:val="24"/>
        </w:rPr>
        <w:t>alpha</w:t>
      </w:r>
      <w:r>
        <w:rPr>
          <w:rFonts w:asciiTheme="minorEastAsia" w:eastAsiaTheme="minorEastAsia" w:hAnsiTheme="minorEastAsia" w:hint="eastAsia"/>
          <w:kern w:val="2"/>
          <w:szCs w:val="24"/>
        </w:rPr>
        <w:t>模型，同时结合风险模型构建股票现货组合。基金经理根据市场状况及变化对各类信息的重要性做出具有一定前瞻性的判断，适时调整各因子类别的具体组成及权重。</w:t>
      </w:r>
      <w:r>
        <w:rPr>
          <w:rFonts w:asciiTheme="minorEastAsia" w:eastAsiaTheme="minorEastAsia" w:hAnsiTheme="minorEastAsia"/>
          <w:kern w:val="2"/>
          <w:szCs w:val="24"/>
        </w:rPr>
        <w:t xml:space="preserve"> </w:t>
      </w:r>
    </w:p>
    <w:p w14:paraId="2F72CBFD" w14:textId="77777777" w:rsidR="00B51DEA" w:rsidRDefault="00000000">
      <w:pPr>
        <w:pStyle w:val="Default"/>
        <w:spacing w:line="360" w:lineRule="auto"/>
        <w:ind w:firstLineChars="200" w:firstLine="480"/>
        <w:rPr>
          <w:rFonts w:asciiTheme="minorEastAsia" w:eastAsiaTheme="minorEastAsia" w:hAnsiTheme="minorEastAsia" w:hint="eastAsia"/>
          <w:kern w:val="2"/>
          <w:szCs w:val="24"/>
        </w:rPr>
      </w:pPr>
      <w:r>
        <w:rPr>
          <w:rFonts w:asciiTheme="minorEastAsia" w:eastAsiaTheme="minorEastAsia" w:hAnsiTheme="minorEastAsia" w:hint="eastAsia"/>
          <w:kern w:val="2"/>
          <w:szCs w:val="24"/>
        </w:rPr>
        <w:t>（</w:t>
      </w:r>
      <w:r>
        <w:rPr>
          <w:rFonts w:asciiTheme="minorEastAsia" w:eastAsiaTheme="minorEastAsia" w:hAnsiTheme="minorEastAsia" w:cs="Calibri"/>
          <w:kern w:val="2"/>
          <w:szCs w:val="24"/>
        </w:rPr>
        <w:t>1</w:t>
      </w:r>
      <w:r>
        <w:rPr>
          <w:rFonts w:asciiTheme="minorEastAsia" w:eastAsiaTheme="minorEastAsia" w:hAnsiTheme="minorEastAsia" w:hint="eastAsia"/>
          <w:kern w:val="2"/>
          <w:szCs w:val="24"/>
        </w:rPr>
        <w:t>）基本面因子</w:t>
      </w:r>
      <w:r>
        <w:rPr>
          <w:rFonts w:asciiTheme="minorEastAsia" w:eastAsiaTheme="minorEastAsia" w:hAnsiTheme="minorEastAsia"/>
          <w:kern w:val="2"/>
          <w:szCs w:val="24"/>
        </w:rPr>
        <w:t xml:space="preserve"> </w:t>
      </w:r>
    </w:p>
    <w:p w14:paraId="6208764F" w14:textId="77777777" w:rsidR="00B51DEA" w:rsidRDefault="00000000">
      <w:pPr>
        <w:pStyle w:val="Default"/>
        <w:spacing w:line="360" w:lineRule="auto"/>
        <w:ind w:firstLineChars="200" w:firstLine="480"/>
        <w:rPr>
          <w:rFonts w:asciiTheme="minorEastAsia" w:eastAsiaTheme="minorEastAsia" w:hAnsiTheme="minorEastAsia" w:hint="eastAsia"/>
          <w:kern w:val="2"/>
          <w:szCs w:val="24"/>
        </w:rPr>
      </w:pPr>
      <w:r>
        <w:rPr>
          <w:rFonts w:asciiTheme="minorEastAsia" w:eastAsiaTheme="minorEastAsia" w:hAnsiTheme="minorEastAsia" w:hint="eastAsia"/>
          <w:kern w:val="2"/>
          <w:szCs w:val="24"/>
        </w:rPr>
        <w:t>管理质量：利用计算横截面多种比率来判断上市公司的报表质量以及管理能力，例如衡量报表质量的应收应付因子，衡量管理能力的周转率、偿债能力、</w:t>
      </w:r>
      <w:r>
        <w:rPr>
          <w:rFonts w:asciiTheme="minorEastAsia" w:eastAsiaTheme="minorEastAsia" w:hAnsiTheme="minorEastAsia"/>
          <w:kern w:val="2"/>
          <w:szCs w:val="24"/>
        </w:rPr>
        <w:t>PE、PB、</w:t>
      </w:r>
      <w:r>
        <w:rPr>
          <w:rFonts w:asciiTheme="minorEastAsia" w:eastAsiaTheme="minorEastAsia" w:hAnsiTheme="minorEastAsia" w:cs="Calibri"/>
          <w:kern w:val="2"/>
          <w:szCs w:val="24"/>
        </w:rPr>
        <w:t>ROA</w:t>
      </w:r>
      <w:r>
        <w:rPr>
          <w:rFonts w:asciiTheme="minorEastAsia" w:eastAsiaTheme="minorEastAsia" w:hAnsiTheme="minorEastAsia" w:hint="eastAsia"/>
          <w:kern w:val="2"/>
          <w:szCs w:val="24"/>
        </w:rPr>
        <w:t>和</w:t>
      </w:r>
      <w:r>
        <w:rPr>
          <w:rFonts w:asciiTheme="minorEastAsia" w:eastAsiaTheme="minorEastAsia" w:hAnsiTheme="minorEastAsia" w:cs="Calibri"/>
          <w:kern w:val="2"/>
          <w:szCs w:val="24"/>
        </w:rPr>
        <w:t>ROE</w:t>
      </w:r>
      <w:r>
        <w:rPr>
          <w:rFonts w:asciiTheme="minorEastAsia" w:eastAsiaTheme="minorEastAsia" w:hAnsiTheme="minorEastAsia" w:hint="eastAsia"/>
          <w:kern w:val="2"/>
          <w:szCs w:val="24"/>
        </w:rPr>
        <w:t>等因子；</w:t>
      </w:r>
      <w:r>
        <w:rPr>
          <w:rFonts w:asciiTheme="minorEastAsia" w:eastAsiaTheme="minorEastAsia" w:hAnsiTheme="minorEastAsia"/>
          <w:kern w:val="2"/>
          <w:szCs w:val="24"/>
        </w:rPr>
        <w:t xml:space="preserve"> </w:t>
      </w:r>
    </w:p>
    <w:p w14:paraId="79AFA6E3" w14:textId="77777777" w:rsidR="00B51DEA" w:rsidRDefault="00000000">
      <w:pPr>
        <w:pStyle w:val="Default"/>
        <w:spacing w:line="360" w:lineRule="auto"/>
        <w:ind w:firstLineChars="200" w:firstLine="480"/>
        <w:rPr>
          <w:rFonts w:asciiTheme="minorEastAsia" w:eastAsiaTheme="minorEastAsia" w:hAnsiTheme="minorEastAsia" w:hint="eastAsia"/>
          <w:kern w:val="2"/>
          <w:szCs w:val="24"/>
        </w:rPr>
      </w:pPr>
      <w:r>
        <w:rPr>
          <w:rFonts w:asciiTheme="minorEastAsia" w:eastAsiaTheme="minorEastAsia" w:hAnsiTheme="minorEastAsia" w:hint="eastAsia"/>
          <w:kern w:val="2"/>
          <w:szCs w:val="24"/>
        </w:rPr>
        <w:t>成长变化：通过计算时间序列上各种比率的变化来衡量公司基本面的成长性；</w:t>
      </w:r>
      <w:r>
        <w:rPr>
          <w:rFonts w:asciiTheme="minorEastAsia" w:eastAsiaTheme="minorEastAsia" w:hAnsiTheme="minorEastAsia"/>
          <w:kern w:val="2"/>
          <w:szCs w:val="24"/>
        </w:rPr>
        <w:t xml:space="preserve"> </w:t>
      </w:r>
    </w:p>
    <w:p w14:paraId="62A24BC6" w14:textId="77777777" w:rsidR="00B51DEA" w:rsidRDefault="00000000">
      <w:pPr>
        <w:autoSpaceDE w:val="0"/>
        <w:autoSpaceDN w:val="0"/>
        <w:spacing w:line="360" w:lineRule="auto"/>
        <w:ind w:firstLineChars="200" w:firstLine="480"/>
        <w:textAlignment w:val="bottom"/>
        <w:rPr>
          <w:rFonts w:asciiTheme="minorEastAsia" w:hAnsiTheme="minorEastAsia" w:hint="eastAsia"/>
          <w:sz w:val="24"/>
          <w:szCs w:val="24"/>
        </w:rPr>
      </w:pPr>
      <w:r>
        <w:rPr>
          <w:rFonts w:asciiTheme="minorEastAsia" w:hAnsiTheme="minorEastAsia" w:hint="eastAsia"/>
          <w:sz w:val="24"/>
          <w:szCs w:val="24"/>
        </w:rPr>
        <w:t>价值：基金管理人通过计算全市场所有公司的利润、销售量、总资产、现金流等多种指标来综合间接反映公司的内在价值。</w:t>
      </w:r>
    </w:p>
    <w:p w14:paraId="0741C7C5" w14:textId="77777777" w:rsidR="00B51DEA" w:rsidRDefault="00000000">
      <w:pPr>
        <w:pStyle w:val="Default"/>
        <w:spacing w:line="360" w:lineRule="auto"/>
        <w:ind w:firstLineChars="200" w:firstLine="480"/>
        <w:rPr>
          <w:rFonts w:asciiTheme="minorEastAsia" w:eastAsiaTheme="minorEastAsia" w:hAnsiTheme="minorEastAsia" w:hint="eastAsia"/>
          <w:kern w:val="2"/>
          <w:szCs w:val="24"/>
        </w:rPr>
      </w:pPr>
      <w:r>
        <w:rPr>
          <w:rFonts w:asciiTheme="minorEastAsia" w:eastAsiaTheme="minorEastAsia" w:hAnsiTheme="minorEastAsia" w:hint="eastAsia"/>
          <w:kern w:val="2"/>
          <w:szCs w:val="24"/>
        </w:rPr>
        <w:t>（</w:t>
      </w:r>
      <w:r>
        <w:rPr>
          <w:rFonts w:asciiTheme="minorEastAsia" w:eastAsiaTheme="minorEastAsia" w:hAnsiTheme="minorEastAsia" w:cs="Calibri"/>
          <w:kern w:val="2"/>
          <w:szCs w:val="24"/>
        </w:rPr>
        <w:t>2</w:t>
      </w:r>
      <w:r>
        <w:rPr>
          <w:rFonts w:asciiTheme="minorEastAsia" w:eastAsiaTheme="minorEastAsia" w:hAnsiTheme="minorEastAsia" w:hint="eastAsia"/>
          <w:kern w:val="2"/>
          <w:szCs w:val="24"/>
        </w:rPr>
        <w:t>）市场因子</w:t>
      </w:r>
      <w:r>
        <w:rPr>
          <w:rFonts w:asciiTheme="minorEastAsia" w:eastAsiaTheme="minorEastAsia" w:hAnsiTheme="minorEastAsia"/>
          <w:kern w:val="2"/>
          <w:szCs w:val="24"/>
        </w:rPr>
        <w:t xml:space="preserve"> </w:t>
      </w:r>
    </w:p>
    <w:p w14:paraId="01998612" w14:textId="77777777" w:rsidR="00B51DEA" w:rsidRDefault="00000000">
      <w:pPr>
        <w:pStyle w:val="Default"/>
        <w:spacing w:line="360" w:lineRule="auto"/>
        <w:ind w:firstLineChars="200" w:firstLine="480"/>
        <w:rPr>
          <w:rFonts w:asciiTheme="minorEastAsia" w:eastAsiaTheme="minorEastAsia" w:hAnsiTheme="minorEastAsia" w:hint="eastAsia"/>
          <w:kern w:val="2"/>
          <w:szCs w:val="24"/>
        </w:rPr>
      </w:pPr>
      <w:r>
        <w:rPr>
          <w:rFonts w:asciiTheme="minorEastAsia" w:eastAsiaTheme="minorEastAsia" w:hAnsiTheme="minorEastAsia" w:hint="eastAsia"/>
          <w:kern w:val="2"/>
          <w:szCs w:val="24"/>
        </w:rPr>
        <w:t>市场情绪：从技术面的动量、反转、枢轴突破等指标来衡量投资者情绪；</w:t>
      </w:r>
      <w:r>
        <w:rPr>
          <w:rFonts w:asciiTheme="minorEastAsia" w:eastAsiaTheme="minorEastAsia" w:hAnsiTheme="minorEastAsia"/>
          <w:kern w:val="2"/>
          <w:szCs w:val="24"/>
        </w:rPr>
        <w:t xml:space="preserve"> </w:t>
      </w:r>
    </w:p>
    <w:p w14:paraId="79B9082C" w14:textId="77777777" w:rsidR="00B51DEA" w:rsidRDefault="00000000">
      <w:pPr>
        <w:pStyle w:val="Default"/>
        <w:spacing w:line="360" w:lineRule="auto"/>
        <w:ind w:firstLineChars="200" w:firstLine="480"/>
        <w:rPr>
          <w:rFonts w:asciiTheme="minorEastAsia" w:eastAsiaTheme="minorEastAsia" w:hAnsiTheme="minorEastAsia" w:hint="eastAsia"/>
          <w:kern w:val="2"/>
          <w:szCs w:val="24"/>
        </w:rPr>
      </w:pPr>
      <w:r>
        <w:rPr>
          <w:rFonts w:asciiTheme="minorEastAsia" w:eastAsiaTheme="minorEastAsia" w:hAnsiTheme="minorEastAsia" w:hint="eastAsia"/>
          <w:kern w:val="2"/>
          <w:szCs w:val="24"/>
        </w:rPr>
        <w:t>分析师预测：通过扫描市场上分析</w:t>
      </w:r>
      <w:proofErr w:type="gramStart"/>
      <w:r>
        <w:rPr>
          <w:rFonts w:asciiTheme="minorEastAsia" w:eastAsiaTheme="minorEastAsia" w:hAnsiTheme="minorEastAsia" w:hint="eastAsia"/>
          <w:kern w:val="2"/>
          <w:szCs w:val="24"/>
        </w:rPr>
        <w:t>师观点</w:t>
      </w:r>
      <w:proofErr w:type="gramEnd"/>
      <w:r>
        <w:rPr>
          <w:rFonts w:asciiTheme="minorEastAsia" w:eastAsiaTheme="minorEastAsia" w:hAnsiTheme="minorEastAsia" w:hint="eastAsia"/>
          <w:kern w:val="2"/>
          <w:szCs w:val="24"/>
        </w:rPr>
        <w:t>的变化来预测市场反应。</w:t>
      </w:r>
      <w:r>
        <w:rPr>
          <w:rFonts w:asciiTheme="minorEastAsia" w:eastAsiaTheme="minorEastAsia" w:hAnsiTheme="minorEastAsia"/>
          <w:kern w:val="2"/>
          <w:szCs w:val="24"/>
        </w:rPr>
        <w:t xml:space="preserve"> </w:t>
      </w:r>
    </w:p>
    <w:p w14:paraId="4A7B838F" w14:textId="77777777" w:rsidR="00B51DEA" w:rsidRDefault="00000000">
      <w:pPr>
        <w:pStyle w:val="Default"/>
        <w:spacing w:line="360" w:lineRule="auto"/>
        <w:ind w:firstLineChars="200" w:firstLine="480"/>
        <w:rPr>
          <w:rFonts w:asciiTheme="minorEastAsia" w:eastAsiaTheme="minorEastAsia" w:hAnsiTheme="minorEastAsia" w:hint="eastAsia"/>
          <w:kern w:val="2"/>
          <w:szCs w:val="24"/>
        </w:rPr>
      </w:pPr>
      <w:r>
        <w:rPr>
          <w:rFonts w:asciiTheme="minorEastAsia" w:eastAsiaTheme="minorEastAsia" w:hAnsiTheme="minorEastAsia" w:cs="Calibri"/>
          <w:kern w:val="2"/>
          <w:szCs w:val="24"/>
        </w:rPr>
        <w:t>2</w:t>
      </w:r>
      <w:r>
        <w:rPr>
          <w:rFonts w:asciiTheme="minorEastAsia" w:eastAsiaTheme="minorEastAsia" w:hAnsiTheme="minorEastAsia" w:hint="eastAsia"/>
          <w:kern w:val="2"/>
          <w:szCs w:val="24"/>
        </w:rPr>
        <w:t>、事件驱动策略</w:t>
      </w:r>
      <w:r>
        <w:rPr>
          <w:rFonts w:asciiTheme="minorEastAsia" w:eastAsiaTheme="minorEastAsia" w:hAnsiTheme="minorEastAsia"/>
          <w:kern w:val="2"/>
          <w:szCs w:val="24"/>
        </w:rPr>
        <w:t xml:space="preserve"> </w:t>
      </w:r>
    </w:p>
    <w:p w14:paraId="7F72E8D3" w14:textId="77777777" w:rsidR="00B51DEA" w:rsidRDefault="00000000">
      <w:pPr>
        <w:pStyle w:val="Default"/>
        <w:spacing w:line="360" w:lineRule="auto"/>
        <w:ind w:firstLineChars="200" w:firstLine="480"/>
        <w:rPr>
          <w:rFonts w:asciiTheme="minorEastAsia" w:eastAsiaTheme="minorEastAsia" w:hAnsiTheme="minorEastAsia" w:hint="eastAsia"/>
          <w:kern w:val="2"/>
          <w:szCs w:val="24"/>
        </w:rPr>
      </w:pPr>
      <w:r>
        <w:rPr>
          <w:rFonts w:asciiTheme="minorEastAsia" w:eastAsiaTheme="minorEastAsia" w:hAnsiTheme="minorEastAsia" w:hint="eastAsia"/>
          <w:kern w:val="2"/>
          <w:szCs w:val="24"/>
        </w:rPr>
        <w:t>该策略通过对某些公司事件和市场事件的研究，分析事件对股价造成波动的方向，以赚取超额收益。此外，该策略还利用市场上存在的金融产品定价非有效性，实现套利收益。</w:t>
      </w:r>
      <w:r>
        <w:rPr>
          <w:rFonts w:asciiTheme="minorEastAsia" w:eastAsiaTheme="minorEastAsia" w:hAnsiTheme="minorEastAsia"/>
          <w:kern w:val="2"/>
          <w:szCs w:val="24"/>
        </w:rPr>
        <w:t xml:space="preserve"> </w:t>
      </w:r>
    </w:p>
    <w:p w14:paraId="765AEBB9" w14:textId="77777777" w:rsidR="00B51DEA" w:rsidRDefault="00000000">
      <w:pPr>
        <w:pStyle w:val="Default"/>
        <w:spacing w:line="360" w:lineRule="auto"/>
        <w:ind w:firstLineChars="200" w:firstLine="480"/>
        <w:rPr>
          <w:rFonts w:asciiTheme="minorEastAsia" w:eastAsiaTheme="minorEastAsia" w:hAnsiTheme="minorEastAsia" w:hint="eastAsia"/>
          <w:kern w:val="2"/>
          <w:szCs w:val="24"/>
        </w:rPr>
      </w:pPr>
      <w:r>
        <w:rPr>
          <w:rFonts w:asciiTheme="minorEastAsia" w:eastAsiaTheme="minorEastAsia" w:hAnsiTheme="minorEastAsia" w:cs="Calibri"/>
          <w:kern w:val="2"/>
          <w:szCs w:val="24"/>
        </w:rPr>
        <w:t>3</w:t>
      </w:r>
      <w:r>
        <w:rPr>
          <w:rFonts w:asciiTheme="minorEastAsia" w:eastAsiaTheme="minorEastAsia" w:hAnsiTheme="minorEastAsia" w:hint="eastAsia"/>
          <w:kern w:val="2"/>
          <w:szCs w:val="24"/>
        </w:rPr>
        <w:t>、宏观择时策略</w:t>
      </w:r>
      <w:r>
        <w:rPr>
          <w:rFonts w:asciiTheme="minorEastAsia" w:eastAsiaTheme="minorEastAsia" w:hAnsiTheme="minorEastAsia"/>
          <w:kern w:val="2"/>
          <w:szCs w:val="24"/>
        </w:rPr>
        <w:t xml:space="preserve"> </w:t>
      </w:r>
    </w:p>
    <w:p w14:paraId="191208D4" w14:textId="77777777" w:rsidR="00B51DEA" w:rsidRDefault="00000000">
      <w:pPr>
        <w:pStyle w:val="Default"/>
        <w:framePr w:hSpace="180" w:wrap="around" w:vAnchor="text" w:hAnchor="margin" w:x="13" w:y="133"/>
        <w:spacing w:line="360" w:lineRule="auto"/>
        <w:ind w:firstLineChars="200" w:firstLine="480"/>
        <w:rPr>
          <w:rFonts w:asciiTheme="minorEastAsia" w:eastAsiaTheme="minorEastAsia" w:hAnsiTheme="minorEastAsia" w:hint="eastAsia"/>
          <w:kern w:val="2"/>
          <w:szCs w:val="24"/>
        </w:rPr>
      </w:pPr>
      <w:r>
        <w:rPr>
          <w:rFonts w:asciiTheme="minorEastAsia" w:eastAsiaTheme="minorEastAsia" w:hAnsiTheme="minorEastAsia" w:hint="eastAsia"/>
          <w:szCs w:val="24"/>
        </w:rPr>
        <w:t>该策略通过计算和跟踪多种宏观经济变量和市场变量，运用计量经济学方法</w:t>
      </w:r>
      <w:r>
        <w:rPr>
          <w:rFonts w:asciiTheme="minorEastAsia" w:eastAsiaTheme="minorEastAsia" w:hAnsiTheme="minorEastAsia" w:hint="eastAsia"/>
          <w:kern w:val="2"/>
          <w:szCs w:val="24"/>
        </w:rPr>
        <w:t>对未来大盘走势进行预测。</w:t>
      </w:r>
      <w:r>
        <w:rPr>
          <w:rFonts w:asciiTheme="minorEastAsia" w:eastAsiaTheme="minorEastAsia" w:hAnsiTheme="minorEastAsia"/>
          <w:kern w:val="2"/>
          <w:szCs w:val="24"/>
        </w:rPr>
        <w:t xml:space="preserve"> </w:t>
      </w:r>
    </w:p>
    <w:p w14:paraId="63E960CA" w14:textId="77777777" w:rsidR="00B51DEA" w:rsidRDefault="00000000">
      <w:pPr>
        <w:autoSpaceDE w:val="0"/>
        <w:autoSpaceDN w:val="0"/>
        <w:spacing w:line="360" w:lineRule="auto"/>
        <w:ind w:firstLineChars="200" w:firstLine="480"/>
        <w:textAlignment w:val="bottom"/>
        <w:rPr>
          <w:rFonts w:asciiTheme="minorEastAsia" w:hAnsiTheme="minorEastAsia" w:hint="eastAsia"/>
          <w:sz w:val="24"/>
          <w:szCs w:val="24"/>
        </w:rPr>
      </w:pPr>
      <w:r>
        <w:rPr>
          <w:rFonts w:asciiTheme="minorEastAsia" w:hAnsiTheme="minorEastAsia" w:cs="Calibri"/>
          <w:sz w:val="24"/>
          <w:szCs w:val="24"/>
        </w:rPr>
        <w:t>4</w:t>
      </w:r>
      <w:r>
        <w:rPr>
          <w:rFonts w:asciiTheme="minorEastAsia" w:hAnsiTheme="minorEastAsia" w:hint="eastAsia"/>
          <w:sz w:val="24"/>
          <w:szCs w:val="24"/>
        </w:rPr>
        <w:t>、债券投资策略</w:t>
      </w:r>
    </w:p>
    <w:p w14:paraId="0B3312EE" w14:textId="77777777" w:rsidR="00B51DEA" w:rsidRDefault="00000000">
      <w:pPr>
        <w:autoSpaceDE w:val="0"/>
        <w:autoSpaceDN w:val="0"/>
        <w:spacing w:line="360" w:lineRule="auto"/>
        <w:ind w:firstLineChars="200" w:firstLine="480"/>
        <w:textAlignment w:val="bottom"/>
        <w:rPr>
          <w:rFonts w:asciiTheme="minorEastAsia" w:hAnsiTheme="minorEastAsia" w:hint="eastAsia"/>
          <w:sz w:val="24"/>
          <w:szCs w:val="24"/>
        </w:rPr>
      </w:pPr>
      <w:r>
        <w:rPr>
          <w:rFonts w:asciiTheme="minorEastAsia" w:hAnsiTheme="minorEastAsia" w:hint="eastAsia"/>
          <w:sz w:val="24"/>
          <w:szCs w:val="24"/>
        </w:rPr>
        <w:t>本基金将采用“自上而下”的投资策略，对债券类资产进行配置。本基金将基于对国内外宏观经济形势、国内财政政策与货币市场政策以及结构调整等因素对债券市场的影响，对利率走势进行预期，判断债券市场的基本走势，</w:t>
      </w:r>
      <w:proofErr w:type="gramStart"/>
      <w:r>
        <w:rPr>
          <w:rFonts w:asciiTheme="minorEastAsia" w:hAnsiTheme="minorEastAsia" w:hint="eastAsia"/>
          <w:sz w:val="24"/>
          <w:szCs w:val="24"/>
        </w:rPr>
        <w:t>制定久期控制</w:t>
      </w:r>
      <w:proofErr w:type="gramEnd"/>
      <w:r>
        <w:rPr>
          <w:rFonts w:asciiTheme="minorEastAsia" w:hAnsiTheme="minorEastAsia" w:hint="eastAsia"/>
          <w:sz w:val="24"/>
          <w:szCs w:val="24"/>
        </w:rPr>
        <w:t>下的资产类属配置策略，力争有效控制整体资产风险。在债券投资组合构建</w:t>
      </w:r>
      <w:r>
        <w:rPr>
          <w:rFonts w:asciiTheme="minorEastAsia" w:hAnsiTheme="minorEastAsia" w:hint="eastAsia"/>
          <w:sz w:val="24"/>
          <w:szCs w:val="24"/>
        </w:rPr>
        <w:lastRenderedPageBreak/>
        <w:t>和管理过程中，基金管理人将</w:t>
      </w:r>
      <w:proofErr w:type="gramStart"/>
      <w:r>
        <w:rPr>
          <w:rFonts w:asciiTheme="minorEastAsia" w:hAnsiTheme="minorEastAsia" w:hint="eastAsia"/>
          <w:sz w:val="24"/>
          <w:szCs w:val="24"/>
        </w:rPr>
        <w:t>采用久期控制</w:t>
      </w:r>
      <w:proofErr w:type="gramEnd"/>
      <w:r>
        <w:rPr>
          <w:rFonts w:asciiTheme="minorEastAsia" w:hAnsiTheme="minorEastAsia" w:hint="eastAsia"/>
          <w:sz w:val="24"/>
          <w:szCs w:val="24"/>
        </w:rPr>
        <w:t>、期限结构配置、市场比较、相对价值判断、信用风险评估等管理手段。</w:t>
      </w:r>
    </w:p>
    <w:p w14:paraId="4169FD5E" w14:textId="77777777" w:rsidR="00B51DEA" w:rsidRDefault="00000000">
      <w:pPr>
        <w:autoSpaceDE w:val="0"/>
        <w:autoSpaceDN w:val="0"/>
        <w:spacing w:line="360" w:lineRule="auto"/>
        <w:ind w:firstLineChars="200" w:firstLine="480"/>
        <w:textAlignment w:val="bottom"/>
        <w:rPr>
          <w:rFonts w:asciiTheme="minorEastAsia" w:hAnsiTheme="minorEastAsia" w:hint="eastAsia"/>
          <w:sz w:val="24"/>
          <w:szCs w:val="24"/>
        </w:rPr>
      </w:pPr>
      <w:r>
        <w:rPr>
          <w:rFonts w:asciiTheme="minorEastAsia" w:hAnsiTheme="minorEastAsia" w:hint="eastAsia"/>
          <w:sz w:val="24"/>
          <w:szCs w:val="24"/>
        </w:rPr>
        <w:t>（</w:t>
      </w:r>
      <w:r>
        <w:rPr>
          <w:rFonts w:asciiTheme="minorEastAsia" w:hAnsiTheme="minorEastAsia"/>
          <w:sz w:val="24"/>
          <w:szCs w:val="24"/>
        </w:rPr>
        <w:t>1）</w:t>
      </w:r>
      <w:proofErr w:type="gramStart"/>
      <w:r>
        <w:rPr>
          <w:rFonts w:asciiTheme="minorEastAsia" w:hAnsiTheme="minorEastAsia" w:hint="eastAsia"/>
          <w:sz w:val="24"/>
          <w:szCs w:val="24"/>
        </w:rPr>
        <w:t>久期控制</w:t>
      </w:r>
      <w:proofErr w:type="gramEnd"/>
      <w:r>
        <w:rPr>
          <w:rFonts w:asciiTheme="minorEastAsia" w:hAnsiTheme="minorEastAsia" w:hint="eastAsia"/>
          <w:sz w:val="24"/>
          <w:szCs w:val="24"/>
        </w:rPr>
        <w:t>：根据对宏观经济发展状况、金融市场运行特点等因素的分析确定组合的整体久期，有效的控制整体资产风险。</w:t>
      </w:r>
    </w:p>
    <w:p w14:paraId="1A29CEE0" w14:textId="77777777" w:rsidR="00B51DEA" w:rsidRDefault="00000000">
      <w:pPr>
        <w:autoSpaceDE w:val="0"/>
        <w:autoSpaceDN w:val="0"/>
        <w:spacing w:line="360" w:lineRule="auto"/>
        <w:ind w:firstLineChars="200" w:firstLine="480"/>
        <w:textAlignment w:val="bottom"/>
        <w:rPr>
          <w:rFonts w:asciiTheme="minorEastAsia" w:hAnsiTheme="minorEastAsia" w:hint="eastAsia"/>
          <w:sz w:val="24"/>
          <w:szCs w:val="24"/>
        </w:rPr>
      </w:pPr>
      <w:r>
        <w:rPr>
          <w:rFonts w:asciiTheme="minorEastAsia" w:hAnsiTheme="minorEastAsia" w:hint="eastAsia"/>
          <w:sz w:val="24"/>
          <w:szCs w:val="24"/>
        </w:rPr>
        <w:t>（</w:t>
      </w:r>
      <w:r>
        <w:rPr>
          <w:rFonts w:asciiTheme="minorEastAsia" w:hAnsiTheme="minorEastAsia"/>
          <w:sz w:val="24"/>
          <w:szCs w:val="24"/>
        </w:rPr>
        <w:t>2）期限结构配置：在确定</w:t>
      </w:r>
      <w:proofErr w:type="gramStart"/>
      <w:r>
        <w:rPr>
          <w:rFonts w:asciiTheme="minorEastAsia" w:hAnsiTheme="minorEastAsia" w:hint="eastAsia"/>
          <w:sz w:val="24"/>
          <w:szCs w:val="24"/>
        </w:rPr>
        <w:t>组合久期后</w:t>
      </w:r>
      <w:proofErr w:type="gramEnd"/>
      <w:r>
        <w:rPr>
          <w:rFonts w:asciiTheme="minorEastAsia" w:hAnsiTheme="minorEastAsia" w:hint="eastAsia"/>
          <w:sz w:val="24"/>
          <w:szCs w:val="24"/>
        </w:rPr>
        <w:t>，基金管理人将针对收益率曲线形态特征确定合理的组合期限结构，通过采用子弹策略、杠铃策略、梯子策略等，在长期、中期与短期债券间进行动态调整，从长、中、短期债券的相对价格变化中获利。</w:t>
      </w:r>
    </w:p>
    <w:p w14:paraId="50F2250A" w14:textId="77777777" w:rsidR="00B51DEA" w:rsidRDefault="00000000">
      <w:pPr>
        <w:autoSpaceDE w:val="0"/>
        <w:autoSpaceDN w:val="0"/>
        <w:spacing w:line="360" w:lineRule="auto"/>
        <w:ind w:firstLineChars="200" w:firstLine="480"/>
        <w:textAlignment w:val="bottom"/>
        <w:rPr>
          <w:rFonts w:asciiTheme="minorEastAsia" w:hAnsiTheme="minorEastAsia" w:hint="eastAsia"/>
          <w:sz w:val="24"/>
          <w:szCs w:val="24"/>
        </w:rPr>
      </w:pPr>
      <w:r>
        <w:rPr>
          <w:rFonts w:asciiTheme="minorEastAsia" w:hAnsiTheme="minorEastAsia" w:hint="eastAsia"/>
          <w:sz w:val="24"/>
          <w:szCs w:val="24"/>
        </w:rPr>
        <w:t>（</w:t>
      </w:r>
      <w:r>
        <w:rPr>
          <w:rFonts w:asciiTheme="minorEastAsia" w:hAnsiTheme="minorEastAsia"/>
          <w:sz w:val="24"/>
          <w:szCs w:val="24"/>
        </w:rPr>
        <w:t>3）市场比较：不同债券子市场的运行规律不同，本基金在充分研究不同债券子市场风险－收益特征、流动性特性的基础上构建调整组合（包括跨市场套利操作），以提高投资收益。</w:t>
      </w:r>
    </w:p>
    <w:p w14:paraId="7483DD47" w14:textId="77777777" w:rsidR="00B51DEA" w:rsidRDefault="00000000">
      <w:pPr>
        <w:autoSpaceDE w:val="0"/>
        <w:autoSpaceDN w:val="0"/>
        <w:spacing w:line="360" w:lineRule="auto"/>
        <w:ind w:firstLineChars="200" w:firstLine="480"/>
        <w:textAlignment w:val="bottom"/>
        <w:rPr>
          <w:rFonts w:asciiTheme="minorEastAsia" w:hAnsiTheme="minorEastAsia" w:hint="eastAsia"/>
          <w:sz w:val="24"/>
          <w:szCs w:val="24"/>
        </w:rPr>
      </w:pPr>
      <w:r>
        <w:rPr>
          <w:rFonts w:asciiTheme="minorEastAsia" w:hAnsiTheme="minorEastAsia" w:hint="eastAsia"/>
          <w:sz w:val="24"/>
          <w:szCs w:val="24"/>
        </w:rPr>
        <w:t>（</w:t>
      </w:r>
      <w:r>
        <w:rPr>
          <w:rFonts w:asciiTheme="minorEastAsia" w:hAnsiTheme="minorEastAsia"/>
          <w:sz w:val="24"/>
          <w:szCs w:val="24"/>
        </w:rPr>
        <w:t>4）相对价值判断：本基金将在相近的债券品种之间选取价值相对低估的债券品种进行投资。</w:t>
      </w:r>
    </w:p>
    <w:p w14:paraId="01CCD52C" w14:textId="77777777" w:rsidR="00B51DEA" w:rsidRDefault="00000000">
      <w:pPr>
        <w:autoSpaceDE w:val="0"/>
        <w:autoSpaceDN w:val="0"/>
        <w:spacing w:line="360" w:lineRule="auto"/>
        <w:ind w:firstLineChars="200" w:firstLine="480"/>
        <w:textAlignment w:val="bottom"/>
        <w:rPr>
          <w:rFonts w:asciiTheme="minorEastAsia" w:hAnsiTheme="minorEastAsia" w:hint="eastAsia"/>
          <w:sz w:val="24"/>
          <w:szCs w:val="24"/>
        </w:rPr>
      </w:pPr>
      <w:r>
        <w:rPr>
          <w:rFonts w:asciiTheme="minorEastAsia" w:hAnsiTheme="minorEastAsia" w:hint="eastAsia"/>
          <w:sz w:val="24"/>
          <w:szCs w:val="24"/>
        </w:rPr>
        <w:t>（</w:t>
      </w:r>
      <w:r>
        <w:rPr>
          <w:rFonts w:asciiTheme="minorEastAsia" w:hAnsiTheme="minorEastAsia"/>
          <w:sz w:val="24"/>
          <w:szCs w:val="24"/>
        </w:rPr>
        <w:t>5）信用风险评估：本基金将根据发债主体的经营状况与现金流等情况对其信用风险进行评定与估测，以此作为品种选择的基本依据。</w:t>
      </w:r>
    </w:p>
    <w:p w14:paraId="2A1AAD83" w14:textId="77777777" w:rsidR="00B51DEA" w:rsidRDefault="00000000">
      <w:pPr>
        <w:autoSpaceDE w:val="0"/>
        <w:autoSpaceDN w:val="0"/>
        <w:spacing w:line="360" w:lineRule="auto"/>
        <w:ind w:firstLineChars="200" w:firstLine="480"/>
        <w:textAlignment w:val="bottom"/>
        <w:rPr>
          <w:rFonts w:asciiTheme="minorEastAsia" w:hAnsiTheme="minorEastAsia" w:hint="eastAsia"/>
          <w:sz w:val="24"/>
          <w:szCs w:val="24"/>
        </w:rPr>
      </w:pPr>
      <w:r>
        <w:rPr>
          <w:rFonts w:asciiTheme="minorEastAsia" w:hAnsiTheme="minorEastAsia"/>
          <w:sz w:val="24"/>
          <w:szCs w:val="24"/>
        </w:rPr>
        <w:t>5、可转债投资策略</w:t>
      </w:r>
    </w:p>
    <w:p w14:paraId="5C7F3ABB"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szCs w:val="24"/>
        </w:rPr>
      </w:pPr>
      <w:r>
        <w:rPr>
          <w:rFonts w:asciiTheme="minorEastAsia" w:hAnsiTheme="minorEastAsia" w:hint="eastAsia"/>
          <w:sz w:val="24"/>
          <w:szCs w:val="24"/>
        </w:rPr>
        <w:t>包括传统可转换债券，即可转换公司债</w:t>
      </w:r>
      <w:proofErr w:type="gramStart"/>
      <w:r>
        <w:rPr>
          <w:rFonts w:asciiTheme="minorEastAsia" w:hAnsiTheme="minorEastAsia" w:hint="eastAsia"/>
          <w:sz w:val="24"/>
          <w:szCs w:val="24"/>
        </w:rPr>
        <w:t>券</w:t>
      </w:r>
      <w:proofErr w:type="gramEnd"/>
      <w:r>
        <w:rPr>
          <w:rFonts w:asciiTheme="minorEastAsia" w:hAnsiTheme="minorEastAsia" w:hint="eastAsia"/>
          <w:sz w:val="24"/>
          <w:szCs w:val="24"/>
        </w:rPr>
        <w:t>、可分离交易可转换债券和可交换债的投资策略。本基金参与可转换债券有两种途径，一种是一级市场申购，另一种是二级市场参与。一级市场申购，主要考虑发行条款较好、申购收益较高、公司基本面优秀的可转债；二级市场参与可运用多种可转债投资策略，本基金将运用企业基本面分析和理论价值分析策略，精选个</w:t>
      </w:r>
      <w:proofErr w:type="gramStart"/>
      <w:r>
        <w:rPr>
          <w:rFonts w:asciiTheme="minorEastAsia" w:hAnsiTheme="minorEastAsia" w:hint="eastAsia"/>
          <w:sz w:val="24"/>
          <w:szCs w:val="24"/>
        </w:rPr>
        <w:t>券</w:t>
      </w:r>
      <w:proofErr w:type="gramEnd"/>
      <w:r>
        <w:rPr>
          <w:rFonts w:asciiTheme="minorEastAsia" w:hAnsiTheme="minorEastAsia" w:hint="eastAsia"/>
          <w:sz w:val="24"/>
          <w:szCs w:val="24"/>
        </w:rPr>
        <w:t>，力争实现较高的投资收益。同时，本基金也可以采用相对价值分析策略，即通过分析不同市场环境下可转换债券股性</w:t>
      </w:r>
      <w:proofErr w:type="gramStart"/>
      <w:r>
        <w:rPr>
          <w:rFonts w:asciiTheme="minorEastAsia" w:hAnsiTheme="minorEastAsia" w:hint="eastAsia"/>
          <w:sz w:val="24"/>
          <w:szCs w:val="24"/>
        </w:rPr>
        <w:t>和债性</w:t>
      </w:r>
      <w:proofErr w:type="gramEnd"/>
      <w:r>
        <w:rPr>
          <w:rFonts w:asciiTheme="minorEastAsia" w:hAnsiTheme="minorEastAsia" w:hint="eastAsia"/>
          <w:sz w:val="24"/>
          <w:szCs w:val="24"/>
        </w:rPr>
        <w:t>的相对价值，把握可转换债券的价值走向，选择相应券种，从而获取较高投资收益。另外，本基金将密切关注可转债的套利机会和条款博弈机会。</w:t>
      </w:r>
    </w:p>
    <w:p w14:paraId="17FCF4FF"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6、中小企业私募债券策略</w:t>
      </w:r>
    </w:p>
    <w:p w14:paraId="5E4FA50A"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中小企业私募债券是在中国境内以非公开方式发行和转让，约定在一定期限还本付息的公司债券。由于其非公开性及条款可协商性，普遍具有较高收益。</w:t>
      </w:r>
      <w:r>
        <w:rPr>
          <w:rFonts w:asciiTheme="minorEastAsia" w:hAnsiTheme="minorEastAsia"/>
          <w:bCs/>
          <w:sz w:val="24"/>
        </w:rPr>
        <w:t xml:space="preserve"> </w:t>
      </w:r>
      <w:r>
        <w:rPr>
          <w:rFonts w:asciiTheme="minorEastAsia" w:hAnsiTheme="minorEastAsia" w:hint="eastAsia"/>
          <w:bCs/>
          <w:sz w:val="24"/>
        </w:rPr>
        <w:t>本基金将深入研究发行人资信及公司运营情况，合理合</w:t>
      </w:r>
      <w:proofErr w:type="gramStart"/>
      <w:r>
        <w:rPr>
          <w:rFonts w:asciiTheme="minorEastAsia" w:hAnsiTheme="minorEastAsia" w:hint="eastAsia"/>
          <w:bCs/>
          <w:sz w:val="24"/>
        </w:rPr>
        <w:t>规</w:t>
      </w:r>
      <w:proofErr w:type="gramEnd"/>
      <w:r>
        <w:rPr>
          <w:rFonts w:asciiTheme="minorEastAsia" w:hAnsiTheme="minorEastAsia" w:hint="eastAsia"/>
          <w:bCs/>
          <w:sz w:val="24"/>
        </w:rPr>
        <w:t>合格地进行中小企业私募债券投资。本基金在投资过程中密切监控债券信用等级或发行人信用等级变化情</w:t>
      </w:r>
      <w:r>
        <w:rPr>
          <w:rFonts w:asciiTheme="minorEastAsia" w:hAnsiTheme="minorEastAsia" w:hint="eastAsia"/>
          <w:bCs/>
          <w:sz w:val="24"/>
        </w:rPr>
        <w:lastRenderedPageBreak/>
        <w:t>况，尽力规避风险，并获取超额收益。</w:t>
      </w:r>
    </w:p>
    <w:p w14:paraId="307B58A2" w14:textId="77777777" w:rsidR="00B51DEA" w:rsidRDefault="00000000">
      <w:pPr>
        <w:autoSpaceDE w:val="0"/>
        <w:autoSpaceDN w:val="0"/>
        <w:spacing w:line="360" w:lineRule="auto"/>
        <w:ind w:firstLineChars="200" w:firstLine="480"/>
        <w:textAlignment w:val="bottom"/>
        <w:rPr>
          <w:rFonts w:asciiTheme="minorEastAsia" w:hAnsiTheme="minorEastAsia" w:hint="eastAsia"/>
          <w:sz w:val="24"/>
          <w:szCs w:val="24"/>
        </w:rPr>
      </w:pPr>
      <w:r>
        <w:rPr>
          <w:rFonts w:asciiTheme="minorEastAsia" w:hAnsiTheme="minorEastAsia"/>
          <w:bCs/>
          <w:sz w:val="24"/>
          <w:szCs w:val="24"/>
        </w:rPr>
        <w:t>7</w:t>
      </w:r>
      <w:r>
        <w:rPr>
          <w:rFonts w:asciiTheme="minorEastAsia" w:hAnsiTheme="minorEastAsia" w:hint="eastAsia"/>
          <w:bCs/>
          <w:sz w:val="24"/>
          <w:szCs w:val="24"/>
        </w:rPr>
        <w:t>、</w:t>
      </w:r>
      <w:r>
        <w:rPr>
          <w:rFonts w:asciiTheme="minorEastAsia" w:hAnsiTheme="minorEastAsia"/>
          <w:sz w:val="24"/>
          <w:szCs w:val="24"/>
        </w:rPr>
        <w:t xml:space="preserve">权证投资策略 </w:t>
      </w:r>
    </w:p>
    <w:p w14:paraId="07041D31" w14:textId="77777777" w:rsidR="00B51DEA" w:rsidRDefault="00000000">
      <w:pPr>
        <w:autoSpaceDE w:val="0"/>
        <w:autoSpaceDN w:val="0"/>
        <w:spacing w:line="360" w:lineRule="auto"/>
        <w:ind w:firstLineChars="200" w:firstLine="480"/>
        <w:textAlignment w:val="bottom"/>
        <w:rPr>
          <w:rFonts w:asciiTheme="minorEastAsia" w:hAnsiTheme="minorEastAsia" w:hint="eastAsia"/>
          <w:sz w:val="24"/>
          <w:szCs w:val="24"/>
        </w:rPr>
      </w:pPr>
      <w:r>
        <w:rPr>
          <w:rFonts w:asciiTheme="minorEastAsia" w:hAnsiTheme="minorEastAsia"/>
          <w:sz w:val="24"/>
          <w:szCs w:val="24"/>
        </w:rPr>
        <w:t>本基金将从权证标的证券基本面、权证定价合理性、权证隐含波动率等多个角度对拟投资的权证进行分析，以有利于资产增值为原则，加强风险控制，谨慎参与投资。</w:t>
      </w:r>
    </w:p>
    <w:p w14:paraId="43E08837" w14:textId="77777777" w:rsidR="00B51DEA" w:rsidRDefault="00000000">
      <w:pPr>
        <w:autoSpaceDE w:val="0"/>
        <w:autoSpaceDN w:val="0"/>
        <w:spacing w:line="360" w:lineRule="auto"/>
        <w:ind w:firstLineChars="200" w:firstLine="480"/>
        <w:textAlignment w:val="bottom"/>
        <w:rPr>
          <w:rFonts w:asciiTheme="minorEastAsia" w:hAnsiTheme="minorEastAsia" w:hint="eastAsia"/>
          <w:sz w:val="24"/>
          <w:szCs w:val="24"/>
        </w:rPr>
      </w:pPr>
      <w:r>
        <w:rPr>
          <w:rFonts w:asciiTheme="minorEastAsia" w:hAnsiTheme="minorEastAsia"/>
          <w:sz w:val="24"/>
          <w:szCs w:val="24"/>
        </w:rPr>
        <w:t>8</w:t>
      </w:r>
      <w:r>
        <w:rPr>
          <w:rFonts w:asciiTheme="minorEastAsia" w:hAnsiTheme="minorEastAsia" w:hint="eastAsia"/>
          <w:sz w:val="24"/>
          <w:szCs w:val="24"/>
        </w:rPr>
        <w:t>、</w:t>
      </w:r>
      <w:r>
        <w:rPr>
          <w:rFonts w:asciiTheme="minorEastAsia" w:hAnsiTheme="minorEastAsia"/>
          <w:sz w:val="24"/>
          <w:szCs w:val="24"/>
        </w:rPr>
        <w:t xml:space="preserve">股指期货投资策略 </w:t>
      </w:r>
    </w:p>
    <w:p w14:paraId="17D66E4A" w14:textId="77777777" w:rsidR="00B51DEA" w:rsidRDefault="00000000">
      <w:pPr>
        <w:autoSpaceDE w:val="0"/>
        <w:autoSpaceDN w:val="0"/>
        <w:spacing w:line="360" w:lineRule="auto"/>
        <w:ind w:firstLineChars="200" w:firstLine="480"/>
        <w:textAlignment w:val="bottom"/>
        <w:rPr>
          <w:rFonts w:asciiTheme="minorEastAsia" w:hAnsiTheme="minorEastAsia" w:hint="eastAsia"/>
          <w:sz w:val="24"/>
          <w:szCs w:val="24"/>
        </w:rPr>
      </w:pPr>
      <w:r>
        <w:rPr>
          <w:rFonts w:asciiTheme="minorEastAsia" w:hAnsiTheme="minorEastAsia"/>
          <w:sz w:val="24"/>
          <w:szCs w:val="24"/>
        </w:rPr>
        <w:t>本基金在进行股指期货投资时，将根据风险管理原则，以套期保值为主要目的，采用流动性好、交易活跃的期货合约，通过对证券市场和期货市场运行趋势的研究，结合股指期货的定价模型寻求其合理的估值水平，与现货资产进行匹配， 通过多头或空头套期保值等策略进行套期保值操作。基金管理人将充分考虑股指期货的收益性、流动性及风险性特征，运用股指期货对冲系统性风险、对</w:t>
      </w:r>
      <w:proofErr w:type="gramStart"/>
      <w:r>
        <w:rPr>
          <w:rFonts w:asciiTheme="minorEastAsia" w:hAnsiTheme="minorEastAsia"/>
          <w:sz w:val="24"/>
          <w:szCs w:val="24"/>
        </w:rPr>
        <w:t>冲特殊</w:t>
      </w:r>
      <w:proofErr w:type="gramEnd"/>
      <w:r>
        <w:rPr>
          <w:rFonts w:asciiTheme="minorEastAsia" w:hAnsiTheme="minorEastAsia"/>
          <w:sz w:val="24"/>
          <w:szCs w:val="24"/>
        </w:rPr>
        <w:t xml:space="preserve"> 情况下的流动性风险，如大额申购赎回等；利用金融衍生品的杠杆作用，以达到降低投资组合的整体风险的目的。</w:t>
      </w:r>
    </w:p>
    <w:p w14:paraId="1851CB3A" w14:textId="77777777" w:rsidR="00B51DEA" w:rsidRDefault="00000000">
      <w:pPr>
        <w:autoSpaceDE w:val="0"/>
        <w:autoSpaceDN w:val="0"/>
        <w:spacing w:line="360" w:lineRule="auto"/>
        <w:ind w:firstLineChars="200" w:firstLine="480"/>
        <w:textAlignment w:val="bottom"/>
        <w:rPr>
          <w:rFonts w:asciiTheme="minorEastAsia" w:hAnsiTheme="minorEastAsia" w:hint="eastAsia"/>
          <w:sz w:val="24"/>
          <w:szCs w:val="24"/>
        </w:rPr>
      </w:pPr>
      <w:r>
        <w:rPr>
          <w:rFonts w:asciiTheme="minorEastAsia" w:hAnsiTheme="minorEastAsia"/>
          <w:sz w:val="24"/>
          <w:szCs w:val="24"/>
        </w:rPr>
        <w:t>9</w:t>
      </w:r>
      <w:r>
        <w:rPr>
          <w:rFonts w:asciiTheme="minorEastAsia" w:hAnsiTheme="minorEastAsia" w:hint="eastAsia"/>
          <w:sz w:val="24"/>
          <w:szCs w:val="24"/>
        </w:rPr>
        <w:t>、</w:t>
      </w:r>
      <w:r>
        <w:rPr>
          <w:rFonts w:asciiTheme="minorEastAsia" w:hAnsiTheme="minorEastAsia"/>
          <w:sz w:val="24"/>
          <w:szCs w:val="24"/>
        </w:rPr>
        <w:t xml:space="preserve">资产支持证券投资策略 </w:t>
      </w:r>
    </w:p>
    <w:p w14:paraId="14EE2858"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szCs w:val="24"/>
        </w:rPr>
      </w:pPr>
      <w:r>
        <w:rPr>
          <w:rFonts w:asciiTheme="minorEastAsia" w:hAnsiTheme="minorEastAsia"/>
          <w:sz w:val="24"/>
          <w:szCs w:val="24"/>
        </w:rPr>
        <w:t>本基金将在宏观经济和基本面分析的基础上，对资产证券化产品的质量和构成、利率风险、信用风险、流动性风险和提前偿付风险等进行定性和定量的全方面分析，评估其相对投资价值并</w:t>
      </w:r>
      <w:proofErr w:type="gramStart"/>
      <w:r>
        <w:rPr>
          <w:rFonts w:asciiTheme="minorEastAsia" w:hAnsiTheme="minorEastAsia"/>
          <w:sz w:val="24"/>
          <w:szCs w:val="24"/>
        </w:rPr>
        <w:t>作出</w:t>
      </w:r>
      <w:proofErr w:type="gramEnd"/>
      <w:r>
        <w:rPr>
          <w:rFonts w:asciiTheme="minorEastAsia" w:hAnsiTheme="minorEastAsia"/>
          <w:sz w:val="24"/>
          <w:szCs w:val="24"/>
        </w:rPr>
        <w:t>相应的投资决策，力求在控制投资风险的前提下尽可能的提高本基金的收益。</w:t>
      </w:r>
    </w:p>
    <w:p w14:paraId="0F8E7B42"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bCs/>
          <w:sz w:val="24"/>
        </w:rPr>
        <w:t>10</w:t>
      </w:r>
      <w:r>
        <w:rPr>
          <w:rFonts w:asciiTheme="minorEastAsia" w:hAnsiTheme="minorEastAsia" w:hint="eastAsia"/>
          <w:bCs/>
          <w:sz w:val="24"/>
        </w:rPr>
        <w:t>、国债期货投资策略</w:t>
      </w:r>
    </w:p>
    <w:p w14:paraId="681B4ACC"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本基金投资国债期货，将根据风险管理的原则，以套期保值为目的，充分考虑国债期货的流动性和风险收益特征，在风险可控的前提下，适度参与国债期货投资。</w:t>
      </w:r>
    </w:p>
    <w:p w14:paraId="7A115A4F"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bCs/>
          <w:sz w:val="24"/>
        </w:rPr>
        <w:t>11</w:t>
      </w:r>
      <w:r>
        <w:rPr>
          <w:rFonts w:asciiTheme="minorEastAsia" w:hAnsiTheme="minorEastAsia" w:hint="eastAsia"/>
          <w:bCs/>
          <w:sz w:val="24"/>
        </w:rPr>
        <w:t>、股票期权投资策略</w:t>
      </w:r>
    </w:p>
    <w:p w14:paraId="06C27F9D"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本基金按照风险管理的原则，在严格控制风险的前提下，以套期保值为目的，选择流动性好、交易活跃的股票期权合约进行投资。本基金基于证券市场的判断，结合期权定价模型，选择估值合理的股票期权合约。</w:t>
      </w:r>
    </w:p>
    <w:p w14:paraId="6EA667B3"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本基金投资股票期权，基金管理人将根据审慎原则，建立期权交易决策部门或小组，授权特定的管理人员负责期权的投资审批事项，以防范期权投资的风险。</w:t>
      </w:r>
    </w:p>
    <w:p w14:paraId="00E52AAD"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12、存托凭证投资策略</w:t>
      </w:r>
    </w:p>
    <w:p w14:paraId="72A2F102"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lastRenderedPageBreak/>
        <w:t>本基金将在控制风险的前提下，依照基金投资目标和股票投资策略，基于对基础证券投资价值的深入研究和判断，通过定性分析和定量分析相结合的方式，精选出具有比较优势的存托凭证。</w:t>
      </w:r>
    </w:p>
    <w:p w14:paraId="7004C27A"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未来，根据市场情况，基金可相应调整和更新相关投资策略，并在招募说明书更新中公告。</w:t>
      </w:r>
    </w:p>
    <w:p w14:paraId="01A5A528" w14:textId="77777777" w:rsidR="00B51DEA" w:rsidRDefault="00B51DEA">
      <w:pPr>
        <w:autoSpaceDE w:val="0"/>
        <w:autoSpaceDN w:val="0"/>
        <w:spacing w:line="360" w:lineRule="auto"/>
        <w:ind w:firstLineChars="200" w:firstLine="480"/>
        <w:textAlignment w:val="bottom"/>
        <w:rPr>
          <w:rFonts w:asciiTheme="minorEastAsia" w:hAnsiTheme="minorEastAsia" w:hint="eastAsia"/>
          <w:bCs/>
          <w:sz w:val="24"/>
        </w:rPr>
      </w:pPr>
    </w:p>
    <w:p w14:paraId="4ABD931F" w14:textId="77777777" w:rsidR="00B51DEA" w:rsidRDefault="00000000">
      <w:pPr>
        <w:autoSpaceDE w:val="0"/>
        <w:autoSpaceDN w:val="0"/>
        <w:spacing w:line="360" w:lineRule="auto"/>
        <w:ind w:firstLineChars="200" w:firstLine="482"/>
        <w:textAlignment w:val="bottom"/>
        <w:rPr>
          <w:rFonts w:asciiTheme="minorEastAsia" w:hAnsiTheme="minorEastAsia" w:cs="Times New Roman" w:hint="eastAsia"/>
          <w:b/>
          <w:bCs/>
          <w:sz w:val="24"/>
          <w:szCs w:val="24"/>
        </w:rPr>
      </w:pPr>
      <w:r>
        <w:rPr>
          <w:rFonts w:asciiTheme="minorEastAsia" w:hAnsiTheme="minorEastAsia" w:cs="Times New Roman" w:hint="eastAsia"/>
          <w:b/>
          <w:bCs/>
          <w:sz w:val="24"/>
          <w:szCs w:val="24"/>
        </w:rPr>
        <w:t>四、投资限制</w:t>
      </w:r>
    </w:p>
    <w:p w14:paraId="65C1F0D1"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1、组合限制</w:t>
      </w:r>
    </w:p>
    <w:p w14:paraId="5C405E16"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基金的投资组合应遵循以下限制：</w:t>
      </w:r>
    </w:p>
    <w:p w14:paraId="2C665BDE" w14:textId="77777777" w:rsidR="00B51DEA" w:rsidRDefault="00000000">
      <w:pPr>
        <w:spacing w:line="360" w:lineRule="auto"/>
        <w:ind w:firstLineChars="200" w:firstLine="480"/>
        <w:rPr>
          <w:rFonts w:asciiTheme="minorEastAsia" w:hAnsiTheme="minorEastAsia" w:hint="eastAsia"/>
          <w:bCs/>
          <w:sz w:val="24"/>
          <w:highlight w:val="yellow"/>
        </w:rPr>
      </w:pPr>
      <w:r>
        <w:rPr>
          <w:rFonts w:asciiTheme="minorEastAsia" w:hAnsiTheme="minorEastAsia" w:hint="eastAsia"/>
          <w:bCs/>
          <w:sz w:val="24"/>
        </w:rPr>
        <w:t>（1）股票投资占基金资产的比例为0%–95%；</w:t>
      </w:r>
    </w:p>
    <w:p w14:paraId="6DDF205F" w14:textId="77777777" w:rsidR="00B51DEA" w:rsidRDefault="00000000">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2</w:t>
      </w:r>
      <w:r>
        <w:rPr>
          <w:rFonts w:asciiTheme="minorEastAsia" w:hAnsiTheme="minorEastAsia" w:hint="eastAsia"/>
          <w:bCs/>
          <w:sz w:val="24"/>
        </w:rPr>
        <w:t>）每个交易日日终在扣除股指期货、国债期货合约需缴纳的交易保证金后，保持不低于基金资产净值5％的现金或者到期日在一年以内的政府债券，其中现金不包括结算备付金、存出保证金、应收申购款等；</w:t>
      </w:r>
    </w:p>
    <w:p w14:paraId="23E9DCB7" w14:textId="77777777" w:rsidR="00B51DEA" w:rsidRDefault="00000000">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3</w:t>
      </w:r>
      <w:r>
        <w:rPr>
          <w:rFonts w:asciiTheme="minorEastAsia" w:hAnsiTheme="minorEastAsia" w:hint="eastAsia"/>
          <w:bCs/>
          <w:sz w:val="24"/>
        </w:rPr>
        <w:t>）</w:t>
      </w:r>
      <w:r>
        <w:rPr>
          <w:rStyle w:val="fontstyle01"/>
          <w:rFonts w:asciiTheme="minorEastAsia" w:eastAsiaTheme="minorEastAsia" w:hAnsiTheme="minorEastAsia" w:hint="default"/>
        </w:rPr>
        <w:t>本基金持有一家公司发行的证券</w:t>
      </w:r>
      <w:r>
        <w:rPr>
          <w:rFonts w:asciiTheme="minorEastAsia" w:hAnsiTheme="minorEastAsia" w:hint="eastAsia"/>
          <w:bCs/>
          <w:sz w:val="24"/>
        </w:rPr>
        <w:t>，其市值不超过基金资产净值的10％；</w:t>
      </w:r>
    </w:p>
    <w:p w14:paraId="5DC52A3A" w14:textId="77777777" w:rsidR="00B51DEA" w:rsidRDefault="00000000">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4</w:t>
      </w:r>
      <w:r>
        <w:rPr>
          <w:rFonts w:asciiTheme="minorEastAsia" w:hAnsiTheme="minorEastAsia" w:hint="eastAsia"/>
          <w:bCs/>
          <w:sz w:val="24"/>
        </w:rPr>
        <w:t>）本基金管理人管理的全部基金持有一家公司发行的证券，不超过该证券的10％；</w:t>
      </w:r>
    </w:p>
    <w:p w14:paraId="6FF1D36D" w14:textId="77777777" w:rsidR="00B51DEA" w:rsidRDefault="00000000">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5</w:t>
      </w:r>
      <w:r>
        <w:rPr>
          <w:rFonts w:asciiTheme="minorEastAsia" w:hAnsiTheme="minorEastAsia" w:hint="eastAsia"/>
          <w:bCs/>
          <w:sz w:val="24"/>
        </w:rPr>
        <w:t>）本基金持有的全部权证，其市值不得超过基金资产净值的3％；</w:t>
      </w:r>
    </w:p>
    <w:p w14:paraId="2B48ED11" w14:textId="77777777" w:rsidR="00B51DEA" w:rsidRDefault="00000000">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6</w:t>
      </w:r>
      <w:r>
        <w:rPr>
          <w:rFonts w:asciiTheme="minorEastAsia" w:hAnsiTheme="minorEastAsia" w:hint="eastAsia"/>
          <w:bCs/>
          <w:sz w:val="24"/>
        </w:rPr>
        <w:t>）本基金管理人管理的全部基金持有的同一权证，不得超过该权证的</w:t>
      </w:r>
      <w:r>
        <w:rPr>
          <w:rFonts w:asciiTheme="minorEastAsia" w:hAnsiTheme="minorEastAsia"/>
          <w:bCs/>
          <w:sz w:val="24"/>
        </w:rPr>
        <w:t xml:space="preserve">   </w:t>
      </w:r>
      <w:r>
        <w:rPr>
          <w:rFonts w:asciiTheme="minorEastAsia" w:hAnsiTheme="minorEastAsia" w:hint="eastAsia"/>
          <w:bCs/>
          <w:sz w:val="24"/>
        </w:rPr>
        <w:t>10％；</w:t>
      </w:r>
    </w:p>
    <w:p w14:paraId="27BB7161" w14:textId="77777777" w:rsidR="00B51DEA" w:rsidRDefault="00000000">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7</w:t>
      </w:r>
      <w:r>
        <w:rPr>
          <w:rFonts w:asciiTheme="minorEastAsia" w:hAnsiTheme="minorEastAsia" w:hint="eastAsia"/>
          <w:bCs/>
          <w:sz w:val="24"/>
        </w:rPr>
        <w:t>）本基金在任何交易日买入权证的总金额，不得超过上一交易日基金资产净值的0.5％；</w:t>
      </w:r>
    </w:p>
    <w:p w14:paraId="5CF965A9" w14:textId="77777777" w:rsidR="00B51DEA" w:rsidRDefault="00000000">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8</w:t>
      </w:r>
      <w:r>
        <w:rPr>
          <w:rFonts w:asciiTheme="minorEastAsia" w:hAnsiTheme="minorEastAsia" w:hint="eastAsia"/>
          <w:bCs/>
          <w:sz w:val="24"/>
        </w:rPr>
        <w:t>）本基金投资于同一原始权益人的各类资产支持证券的比例，不得超过基金资产净值的10％；</w:t>
      </w:r>
    </w:p>
    <w:p w14:paraId="66BDF2E9" w14:textId="77777777" w:rsidR="00B51DEA" w:rsidRDefault="00000000">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9</w:t>
      </w:r>
      <w:r>
        <w:rPr>
          <w:rFonts w:asciiTheme="minorEastAsia" w:hAnsiTheme="minorEastAsia" w:hint="eastAsia"/>
          <w:bCs/>
          <w:sz w:val="24"/>
        </w:rPr>
        <w:t>）本基金持有的全部资产支持证券，其市值不得超过基金资产净值的20％，中国证监会规定的特殊品种除外；</w:t>
      </w:r>
    </w:p>
    <w:p w14:paraId="201CD1C7" w14:textId="77777777" w:rsidR="00B51DEA" w:rsidRDefault="00000000">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10</w:t>
      </w:r>
      <w:r>
        <w:rPr>
          <w:rFonts w:asciiTheme="minorEastAsia" w:hAnsiTheme="minorEastAsia" w:hint="eastAsia"/>
          <w:bCs/>
          <w:sz w:val="24"/>
        </w:rPr>
        <w:t>）本基金持有的同一(指同一信用级别)资产支持证券的比例，不得超过该资产支持证券规模的10％；</w:t>
      </w:r>
    </w:p>
    <w:p w14:paraId="0CA87FCF" w14:textId="77777777" w:rsidR="00B51DEA" w:rsidRDefault="00000000">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（1</w:t>
      </w:r>
      <w:r>
        <w:rPr>
          <w:rFonts w:asciiTheme="minorEastAsia" w:hAnsiTheme="minorEastAsia"/>
          <w:bCs/>
          <w:sz w:val="24"/>
        </w:rPr>
        <w:t>1</w:t>
      </w:r>
      <w:r>
        <w:rPr>
          <w:rFonts w:asciiTheme="minorEastAsia" w:hAnsiTheme="minorEastAsia" w:hint="eastAsia"/>
          <w:bCs/>
          <w:sz w:val="24"/>
        </w:rPr>
        <w:t>）本基金管理人管理的全部基金投资于同一原始权益人的各类资产支持证券，不得超过其各类资产支持证券合计规模的10％；</w:t>
      </w:r>
    </w:p>
    <w:p w14:paraId="373BEABD" w14:textId="77777777" w:rsidR="00B51DEA" w:rsidRDefault="00000000">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lastRenderedPageBreak/>
        <w:t>（1</w:t>
      </w:r>
      <w:r>
        <w:rPr>
          <w:rFonts w:asciiTheme="minorEastAsia" w:hAnsiTheme="minorEastAsia"/>
          <w:bCs/>
          <w:sz w:val="24"/>
        </w:rPr>
        <w:t>2</w:t>
      </w:r>
      <w:r>
        <w:rPr>
          <w:rFonts w:asciiTheme="minorEastAsia" w:hAnsiTheme="minorEastAsia" w:hint="eastAsia"/>
          <w:bCs/>
          <w:sz w:val="24"/>
        </w:rPr>
        <w:t>）本基金应投资于信用级别评级为BBB以上(含BBB)的资产支持证券。基金持有资产支持证券期间，如果其信用等级下降、不再符合投资标准，应在评级报告发布之日起3个月内予以全部卖出；</w:t>
      </w:r>
    </w:p>
    <w:p w14:paraId="10A91387" w14:textId="77777777" w:rsidR="00B51DEA" w:rsidRDefault="00000000">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（1</w:t>
      </w:r>
      <w:r>
        <w:rPr>
          <w:rFonts w:asciiTheme="minorEastAsia" w:hAnsiTheme="minorEastAsia"/>
          <w:bCs/>
          <w:sz w:val="24"/>
        </w:rPr>
        <w:t>3</w:t>
      </w:r>
      <w:r>
        <w:rPr>
          <w:rFonts w:asciiTheme="minorEastAsia" w:hAnsiTheme="minorEastAsia" w:hint="eastAsia"/>
          <w:bCs/>
          <w:sz w:val="24"/>
        </w:rPr>
        <w:t>）基金财产参与股票发行申购，本基金所申报的金额不超过本基金的总资产，本基金所申报的股票数量不超过拟发行股票公司本次发行股票的总量；</w:t>
      </w:r>
    </w:p>
    <w:p w14:paraId="415EE4BB" w14:textId="77777777" w:rsidR="00B51DEA" w:rsidRDefault="00000000">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（1</w:t>
      </w:r>
      <w:r>
        <w:rPr>
          <w:rFonts w:asciiTheme="minorEastAsia" w:hAnsiTheme="minorEastAsia"/>
          <w:bCs/>
          <w:sz w:val="24"/>
        </w:rPr>
        <w:t>4</w:t>
      </w:r>
      <w:r>
        <w:rPr>
          <w:rFonts w:asciiTheme="minorEastAsia" w:hAnsiTheme="minorEastAsia" w:hint="eastAsia"/>
          <w:bCs/>
          <w:sz w:val="24"/>
        </w:rPr>
        <w:t>）本基金进入全国银行间同业市场进行债券回购的资金余额不得超过基金资产净值的40%，在全国银行间同业市场的债券回购最长期限为1年，债券回购到期后不得展期；</w:t>
      </w:r>
    </w:p>
    <w:p w14:paraId="7079A6BC" w14:textId="77777777" w:rsidR="00B51DEA" w:rsidRDefault="00000000">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（15）本基金总资产不得超过基金净资产的</w:t>
      </w:r>
      <w:r>
        <w:rPr>
          <w:rFonts w:asciiTheme="minorEastAsia" w:hAnsiTheme="minorEastAsia"/>
          <w:bCs/>
          <w:sz w:val="24"/>
        </w:rPr>
        <w:t xml:space="preserve"> </w:t>
      </w:r>
      <w:r>
        <w:rPr>
          <w:rFonts w:asciiTheme="minorEastAsia" w:hAnsiTheme="minorEastAsia" w:hint="eastAsia"/>
          <w:bCs/>
          <w:sz w:val="24"/>
        </w:rPr>
        <w:t>140%；</w:t>
      </w:r>
    </w:p>
    <w:p w14:paraId="05FE5B1C" w14:textId="77777777" w:rsidR="00B51DEA" w:rsidRDefault="00000000">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（16）本基金投资于中小企业私募债的比例不超过基金资产净值的</w:t>
      </w:r>
      <w:r>
        <w:rPr>
          <w:rFonts w:asciiTheme="minorEastAsia" w:hAnsiTheme="minorEastAsia"/>
          <w:bCs/>
          <w:sz w:val="24"/>
        </w:rPr>
        <w:t>20%</w:t>
      </w:r>
      <w:r>
        <w:rPr>
          <w:rFonts w:asciiTheme="minorEastAsia" w:hAnsiTheme="minorEastAsia" w:hint="eastAsia"/>
          <w:bCs/>
          <w:sz w:val="24"/>
        </w:rPr>
        <w:t>；</w:t>
      </w:r>
    </w:p>
    <w:p w14:paraId="09F9E85D"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（17）本基金参与股指期货、国债期货交易，需遵守下列规定：</w:t>
      </w:r>
    </w:p>
    <w:p w14:paraId="5353EB2F" w14:textId="77777777" w:rsidR="00B51DEA" w:rsidRDefault="00000000">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1）本基金在任何交易日日终，持有的买入股指期货合约价值，不得超过基金资产净值的10%；</w:t>
      </w:r>
    </w:p>
    <w:p w14:paraId="55725B24" w14:textId="77777777" w:rsidR="00B51DEA" w:rsidRDefault="00000000">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2）本基金在任何交易日日终，持有的买入股指期货、国债期货合约价值与有价证券市值之和，不得超过基金资产净值的95%，其中，有价证券指股票、债券（不含到期日在一年以内的政府债券）、权证、资产支持证券、买入返售金融资产（不含质押式回购）等；</w:t>
      </w:r>
    </w:p>
    <w:p w14:paraId="1F1F5197" w14:textId="77777777" w:rsidR="00B51DEA" w:rsidRDefault="00000000">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3）本基金在任何交易日日终，持有的卖出股指期货合约价值不得超过基金持有的股票总市值的20%；</w:t>
      </w:r>
    </w:p>
    <w:p w14:paraId="0F89DBB6" w14:textId="77777777" w:rsidR="00B51DEA" w:rsidRDefault="00000000">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4）本基金在任何交易日内交易（不包括平仓）的股指期货合约的成交金额不得超过上一交易日基金资产净值的20%；</w:t>
      </w:r>
    </w:p>
    <w:p w14:paraId="36BE7E07" w14:textId="77777777" w:rsidR="00B51DEA" w:rsidRDefault="00000000">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5）本基金所持有的股票市值和买入、卖出股指期货合约价值，合计（轧差计算）应当符合基金合同关于股票投资比例的有关规定；</w:t>
      </w:r>
    </w:p>
    <w:p w14:paraId="44F5B320" w14:textId="77777777" w:rsidR="00B51DEA" w:rsidRDefault="00000000">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6）本基金在任何交易日日终，持有的买入国债期货合约价值，不得超过基金资产净值的15%；</w:t>
      </w:r>
    </w:p>
    <w:p w14:paraId="20E5B1A3" w14:textId="77777777" w:rsidR="00B51DEA" w:rsidRDefault="00000000">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7）本基金在任何交易日日终，持有的卖出国债期货合约价值不得超过基金持有的债券总市值的30%；</w:t>
      </w:r>
    </w:p>
    <w:p w14:paraId="26DC79FB" w14:textId="77777777" w:rsidR="00B51DEA" w:rsidRDefault="00000000">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8）本基金在任何交易日内交易（不包括平仓）的国债期货合约的成交金额不得超过上一交易日基金资产净值的30%；</w:t>
      </w:r>
    </w:p>
    <w:p w14:paraId="73405BC3" w14:textId="77777777" w:rsidR="00B51DEA" w:rsidRDefault="00000000">
      <w:pPr>
        <w:spacing w:line="360" w:lineRule="auto"/>
        <w:ind w:firstLineChars="200" w:firstLine="480"/>
        <w:rPr>
          <w:rFonts w:asciiTheme="minorEastAsia" w:hAnsiTheme="minorEastAsia" w:hint="eastAsia"/>
          <w:sz w:val="24"/>
        </w:rPr>
      </w:pPr>
      <w:r>
        <w:rPr>
          <w:rFonts w:asciiTheme="minorEastAsia" w:hAnsiTheme="minorEastAsia" w:hint="eastAsia"/>
          <w:sz w:val="24"/>
        </w:rPr>
        <w:lastRenderedPageBreak/>
        <w:t>（18）本基金参与股票期权交易，需遵守下列投资比例限制：</w:t>
      </w:r>
    </w:p>
    <w:p w14:paraId="070D2FEB" w14:textId="77777777" w:rsidR="00B51DEA" w:rsidRDefault="00000000">
      <w:pPr>
        <w:spacing w:line="360" w:lineRule="auto"/>
        <w:ind w:firstLineChars="200" w:firstLine="480"/>
        <w:rPr>
          <w:rFonts w:asciiTheme="minorEastAsia" w:hAnsiTheme="minorEastAsia" w:hint="eastAsia"/>
          <w:sz w:val="24"/>
        </w:rPr>
      </w:pPr>
      <w:r>
        <w:rPr>
          <w:rFonts w:asciiTheme="minorEastAsia" w:hAnsiTheme="minorEastAsia" w:hint="eastAsia"/>
          <w:sz w:val="24"/>
        </w:rPr>
        <w:t>1）本基金因未平仓的期权合约支付和收取的权利金总额不得超过基金资产净值的10%；</w:t>
      </w:r>
    </w:p>
    <w:p w14:paraId="1FF40963" w14:textId="77777777" w:rsidR="00B51DEA" w:rsidRDefault="00000000">
      <w:pPr>
        <w:spacing w:line="360" w:lineRule="auto"/>
        <w:ind w:firstLineChars="200" w:firstLine="480"/>
        <w:rPr>
          <w:rFonts w:asciiTheme="minorEastAsia" w:hAnsiTheme="minorEastAsia" w:hint="eastAsia"/>
          <w:sz w:val="24"/>
        </w:rPr>
      </w:pPr>
      <w:r>
        <w:rPr>
          <w:rFonts w:asciiTheme="minorEastAsia" w:hAnsiTheme="minorEastAsia" w:hint="eastAsia"/>
          <w:sz w:val="24"/>
        </w:rPr>
        <w:t>2）本基金开仓卖出认购期权的，应持有足额标的证券；开仓卖出认沽期权的，应持有合约行权所需的全额现金或交易所规则认可的可冲抵期权保证金的现金等价物；</w:t>
      </w:r>
    </w:p>
    <w:p w14:paraId="7018EB96" w14:textId="77777777" w:rsidR="00B51DEA" w:rsidRDefault="00000000">
      <w:pPr>
        <w:spacing w:line="360" w:lineRule="auto"/>
        <w:ind w:firstLineChars="200" w:firstLine="480"/>
        <w:rPr>
          <w:rFonts w:asciiTheme="minorEastAsia" w:hAnsiTheme="minorEastAsia" w:hint="eastAsia"/>
          <w:sz w:val="24"/>
        </w:rPr>
      </w:pPr>
      <w:r>
        <w:rPr>
          <w:rFonts w:asciiTheme="minorEastAsia" w:hAnsiTheme="minorEastAsia" w:hint="eastAsia"/>
          <w:sz w:val="24"/>
        </w:rPr>
        <w:t>3）本基金未平仓的期权合约面值不得超过基金资产净值的20%。其中，合约面值按照行权价乘以合约乘数计算；</w:t>
      </w:r>
    </w:p>
    <w:p w14:paraId="0712C46B" w14:textId="77777777" w:rsidR="00B51DEA" w:rsidRDefault="00000000">
      <w:pPr>
        <w:spacing w:line="360" w:lineRule="auto"/>
        <w:ind w:firstLineChars="200" w:firstLine="480"/>
        <w:rPr>
          <w:rFonts w:asciiTheme="minorEastAsia" w:hAnsiTheme="minorEastAsia" w:hint="eastAsia"/>
          <w:sz w:val="24"/>
        </w:rPr>
      </w:pPr>
      <w:r>
        <w:rPr>
          <w:rFonts w:asciiTheme="minorEastAsia" w:hAnsiTheme="minorEastAsia" w:hint="eastAsia"/>
          <w:sz w:val="24"/>
        </w:rPr>
        <w:t>（19）本基金管理人管理的全部开放式基金持有一家上市公司发行的可流通股票，不得超过该上市公司可流通股票的15%；本基金管理人管理的全部投资组合持有一家上市公司发行的可流通股票，不得超过该上市公司可流通股票的</w:t>
      </w:r>
      <w:r>
        <w:rPr>
          <w:rFonts w:asciiTheme="minorEastAsia" w:hAnsiTheme="minorEastAsia"/>
          <w:sz w:val="24"/>
        </w:rPr>
        <w:t>30 %</w:t>
      </w:r>
      <w:r>
        <w:rPr>
          <w:rFonts w:asciiTheme="minorEastAsia" w:hAnsiTheme="minorEastAsia" w:hint="eastAsia"/>
          <w:sz w:val="24"/>
        </w:rPr>
        <w:t>；</w:t>
      </w:r>
    </w:p>
    <w:p w14:paraId="7605F823" w14:textId="77777777" w:rsidR="00B51DEA" w:rsidRDefault="00000000">
      <w:pPr>
        <w:spacing w:line="360" w:lineRule="auto"/>
        <w:ind w:firstLineChars="200" w:firstLine="480"/>
        <w:rPr>
          <w:rFonts w:asciiTheme="minorEastAsia" w:hAnsiTheme="minorEastAsia" w:hint="eastAsia"/>
          <w:sz w:val="24"/>
        </w:rPr>
      </w:pPr>
      <w:r>
        <w:rPr>
          <w:rFonts w:asciiTheme="minorEastAsia" w:hAnsiTheme="minorEastAsia" w:hint="eastAsia"/>
          <w:sz w:val="24"/>
        </w:rPr>
        <w:t>（20）本基金主动投资于流动性受限资产的市值合计不得超过该基金资产净值的15%；</w:t>
      </w:r>
    </w:p>
    <w:p w14:paraId="5E0D4A8D" w14:textId="77777777" w:rsidR="00B51DEA" w:rsidRDefault="00000000">
      <w:pPr>
        <w:spacing w:line="360" w:lineRule="auto"/>
        <w:ind w:firstLineChars="200" w:firstLine="480"/>
        <w:rPr>
          <w:rFonts w:asciiTheme="minorEastAsia" w:hAnsiTheme="minorEastAsia" w:hint="eastAsia"/>
          <w:sz w:val="24"/>
        </w:rPr>
      </w:pPr>
      <w:r>
        <w:rPr>
          <w:rFonts w:asciiTheme="minorEastAsia" w:hAnsiTheme="minorEastAsia" w:hint="eastAsia"/>
          <w:sz w:val="24"/>
        </w:rPr>
        <w:t>因证券市场波动、上市公司股票停牌、基金规模变动等基金管理人之外的因素致使基金不符合前款所规定比例限制的，</w:t>
      </w:r>
      <w:r>
        <w:rPr>
          <w:rFonts w:asciiTheme="minorEastAsia" w:hAnsiTheme="minorEastAsia"/>
          <w:sz w:val="24"/>
        </w:rPr>
        <w:t xml:space="preserve"> </w:t>
      </w:r>
      <w:r>
        <w:rPr>
          <w:rFonts w:asciiTheme="minorEastAsia" w:hAnsiTheme="minorEastAsia" w:hint="eastAsia"/>
          <w:sz w:val="24"/>
        </w:rPr>
        <w:t>基金管理人不得主动新增流动性受限资产的投资。</w:t>
      </w:r>
    </w:p>
    <w:p w14:paraId="3EF1FC88" w14:textId="77777777" w:rsidR="00B51DEA" w:rsidRDefault="00000000">
      <w:pPr>
        <w:spacing w:line="360" w:lineRule="auto"/>
        <w:ind w:firstLineChars="200" w:firstLine="480"/>
        <w:rPr>
          <w:rFonts w:asciiTheme="minorEastAsia" w:hAnsiTheme="minorEastAsia" w:hint="eastAsia"/>
          <w:sz w:val="24"/>
        </w:rPr>
      </w:pPr>
      <w:r>
        <w:rPr>
          <w:rFonts w:asciiTheme="minorEastAsia" w:hAnsiTheme="minorEastAsia" w:hint="eastAsia"/>
          <w:sz w:val="24"/>
        </w:rPr>
        <w:t>（21）基金与私募类</w:t>
      </w:r>
      <w:proofErr w:type="gramStart"/>
      <w:r>
        <w:rPr>
          <w:rFonts w:asciiTheme="minorEastAsia" w:hAnsiTheme="minorEastAsia" w:hint="eastAsia"/>
          <w:sz w:val="24"/>
        </w:rPr>
        <w:t>证券资管产品</w:t>
      </w:r>
      <w:proofErr w:type="gramEnd"/>
      <w:r>
        <w:rPr>
          <w:rFonts w:asciiTheme="minorEastAsia" w:hAnsiTheme="minorEastAsia" w:hint="eastAsia"/>
          <w:sz w:val="24"/>
        </w:rPr>
        <w:t>及中国证监会认定的其他主体为交易对手开展逆回购交易的，</w:t>
      </w:r>
      <w:r>
        <w:rPr>
          <w:rFonts w:asciiTheme="minorEastAsia" w:hAnsiTheme="minorEastAsia"/>
          <w:sz w:val="24"/>
        </w:rPr>
        <w:t xml:space="preserve"> </w:t>
      </w:r>
      <w:r>
        <w:rPr>
          <w:rFonts w:asciiTheme="minorEastAsia" w:hAnsiTheme="minorEastAsia" w:hint="eastAsia"/>
          <w:sz w:val="24"/>
        </w:rPr>
        <w:t>可接受质押品的资质要求应当与基金合同约定的投资范围保持一致；</w:t>
      </w:r>
    </w:p>
    <w:p w14:paraId="6471CA2A"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（22）本基金投资存托凭证的比例限制依照境内上市交易的股票执行，与境内上市交易的股票合并计算；</w:t>
      </w:r>
    </w:p>
    <w:p w14:paraId="7C65A883"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（23）法律法规及中国证监会规定的和《基金合同》约定的其他投资限制。</w:t>
      </w:r>
    </w:p>
    <w:p w14:paraId="62FEA213"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除上述第（2）、（1</w:t>
      </w:r>
      <w:r>
        <w:rPr>
          <w:rFonts w:asciiTheme="minorEastAsia" w:hAnsiTheme="minorEastAsia"/>
          <w:bCs/>
          <w:sz w:val="24"/>
        </w:rPr>
        <w:t>2</w:t>
      </w:r>
      <w:r>
        <w:rPr>
          <w:rFonts w:asciiTheme="minorEastAsia" w:hAnsiTheme="minorEastAsia" w:hint="eastAsia"/>
          <w:bCs/>
          <w:sz w:val="24"/>
        </w:rPr>
        <w:t>）、（</w:t>
      </w:r>
      <w:r>
        <w:rPr>
          <w:rFonts w:asciiTheme="minorEastAsia" w:hAnsiTheme="minorEastAsia"/>
          <w:bCs/>
          <w:sz w:val="24"/>
        </w:rPr>
        <w:t>20</w:t>
      </w:r>
      <w:r>
        <w:rPr>
          <w:rFonts w:asciiTheme="minorEastAsia" w:hAnsiTheme="minorEastAsia" w:hint="eastAsia"/>
          <w:bCs/>
          <w:sz w:val="24"/>
        </w:rPr>
        <w:t>）、（21）项外，因证券、期货市场波动、上市公司合并、基金规模变动、股权分置改革中支付对价等基金管理人之外的因素致使基金投资比例不符合上述规定投资比例的，基金管理人应当在10个交易日内进行调整，但中国证监会规定的特殊情形除外。</w:t>
      </w:r>
    </w:p>
    <w:p w14:paraId="5D9C8FBD"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管理人应当自基金合同生效之日起6个月内使基金的投资组合比例符合基金合同的有关约定。在上述期间内，本基金的投资范围、投资策略应当符合基金合同的约定。基金托管人对基金的投资的监督与检查自基金合同生效之日起开</w:t>
      </w:r>
      <w:r>
        <w:rPr>
          <w:rFonts w:asciiTheme="minorEastAsia" w:hAnsiTheme="minorEastAsia" w:hint="eastAsia"/>
          <w:bCs/>
          <w:sz w:val="24"/>
        </w:rPr>
        <w:lastRenderedPageBreak/>
        <w:t>始。</w:t>
      </w:r>
    </w:p>
    <w:p w14:paraId="5A432185"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法律法规或监管部门取消或调整上述限制，如适用于本基金，基金管理人在履行适当程序后，则本基金投资不再受相关限制或按调整后的规定执行。</w:t>
      </w:r>
    </w:p>
    <w:p w14:paraId="5C69DFAE"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2、禁止行为</w:t>
      </w:r>
    </w:p>
    <w:p w14:paraId="64B6F36B"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为维护基金份额持有人的合法权益，基金财产不得用于下列投资或者活动：</w:t>
      </w:r>
    </w:p>
    <w:p w14:paraId="59A54E93"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（1）承销证券；</w:t>
      </w:r>
    </w:p>
    <w:p w14:paraId="35C43D29"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（2）违反规定向他人贷款或者提供担保；</w:t>
      </w:r>
    </w:p>
    <w:p w14:paraId="446B2CFB"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（3）从事承担无限责任的投资；</w:t>
      </w:r>
    </w:p>
    <w:p w14:paraId="5EA95FEA"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（4）买卖其他基金份额，但是中国证监会另有规定的除外；</w:t>
      </w:r>
    </w:p>
    <w:p w14:paraId="22D17FD5"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（5）向其基金管理人、基金托管人出资；</w:t>
      </w:r>
    </w:p>
    <w:p w14:paraId="5A21D077"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（6）从事内幕交易、操纵证券交易价格及其他不正当的证券交易活动；</w:t>
      </w:r>
    </w:p>
    <w:p w14:paraId="5E474703"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（7）法律、行政法规和中国证监会规定禁止的其他活动。</w:t>
      </w:r>
    </w:p>
    <w:p w14:paraId="6F7C1980"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管理人运用基金财产买卖基金管理人、基金托管人及其控股股东、实际控制人或者与其有其他重大利害关系的公司发行的证券或者承销的证券，或者从事其他重大关联交易的，应当符合基金的投资目标和投资策略，遵循基金份额持有人利益优先的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06EB346C"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法律、行政法规或监管部门取消上述禁止性规定，如适用于本基金，则本基金投资不再受相关限制。</w:t>
      </w:r>
    </w:p>
    <w:p w14:paraId="0846BC86" w14:textId="77777777" w:rsidR="00B51DEA" w:rsidRDefault="00B51DEA">
      <w:pPr>
        <w:autoSpaceDE w:val="0"/>
        <w:autoSpaceDN w:val="0"/>
        <w:spacing w:line="360" w:lineRule="auto"/>
        <w:ind w:firstLineChars="200" w:firstLine="480"/>
        <w:textAlignment w:val="bottom"/>
        <w:rPr>
          <w:rFonts w:asciiTheme="minorEastAsia" w:hAnsiTheme="minorEastAsia" w:hint="eastAsia"/>
          <w:bCs/>
          <w:sz w:val="24"/>
        </w:rPr>
      </w:pPr>
    </w:p>
    <w:p w14:paraId="1CBB1761" w14:textId="77777777" w:rsidR="00B51DEA" w:rsidRDefault="00000000">
      <w:pPr>
        <w:autoSpaceDE w:val="0"/>
        <w:autoSpaceDN w:val="0"/>
        <w:spacing w:line="360" w:lineRule="auto"/>
        <w:ind w:firstLineChars="200" w:firstLine="482"/>
        <w:textAlignment w:val="bottom"/>
        <w:rPr>
          <w:rFonts w:asciiTheme="minorEastAsia" w:hAnsiTheme="minorEastAsia" w:cs="Times New Roman" w:hint="eastAsia"/>
          <w:b/>
          <w:bCs/>
          <w:sz w:val="24"/>
          <w:szCs w:val="24"/>
        </w:rPr>
      </w:pPr>
      <w:r>
        <w:rPr>
          <w:rFonts w:asciiTheme="minorEastAsia" w:hAnsiTheme="minorEastAsia" w:cs="Times New Roman" w:hint="eastAsia"/>
          <w:b/>
          <w:bCs/>
          <w:sz w:val="24"/>
          <w:szCs w:val="24"/>
        </w:rPr>
        <w:t>五、业绩比较基准</w:t>
      </w:r>
    </w:p>
    <w:p w14:paraId="1A5F355A"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本基金的业绩比较基准为：中证可转换债券指数收益率*65%+中证800指数收益率*30%+活期存款基准利率*5%</w:t>
      </w:r>
    </w:p>
    <w:p w14:paraId="518E840D"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1、业绩比较基准设定的原因</w:t>
      </w:r>
    </w:p>
    <w:p w14:paraId="636CD610"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基于基金投资范围以及预期投资的主要资产类别，本基金主要投资于股票、债券等资产，相应选取与之匹配的股票指数、债券指数作为基准要素。同时基于股票资产占基金资产的0%-95%等投资比例限制，以及预期的资产配置比例</w:t>
      </w:r>
      <w:r>
        <w:rPr>
          <w:rFonts w:asciiTheme="minorEastAsia" w:hAnsiTheme="minorEastAsia" w:hint="eastAsia"/>
          <w:bCs/>
          <w:sz w:val="24"/>
        </w:rPr>
        <w:lastRenderedPageBreak/>
        <w:t>中枢，本基金将股票资产、债券资产所对应的基准要素权重分别设置为30%、65%并选取活期存款基准利率作为现金类资产的业绩比较基准，将活期存款基准利率的基准要素权重设置为5%。</w:t>
      </w:r>
    </w:p>
    <w:p w14:paraId="615D20DE"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基于基金投资目标、投资范围和投资策略，本基金的股票资产采用多因子选股策略为主，辅以事件驱动以及宏观择时等其他量化策略，力争实现稳定的绝对回报。综合考虑基准指数与产品定位和投资风格的匹配度，同时兼顾考虑基准指数的表征性、认可度，以及</w:t>
      </w:r>
      <w:proofErr w:type="gramStart"/>
      <w:r>
        <w:rPr>
          <w:rFonts w:asciiTheme="minorEastAsia" w:hAnsiTheme="minorEastAsia" w:hint="eastAsia"/>
          <w:bCs/>
          <w:sz w:val="24"/>
        </w:rPr>
        <w:t>指数盘别</w:t>
      </w:r>
      <w:proofErr w:type="gramEnd"/>
      <w:r>
        <w:rPr>
          <w:rFonts w:asciiTheme="minorEastAsia" w:hAnsiTheme="minorEastAsia" w:hint="eastAsia"/>
          <w:bCs/>
          <w:sz w:val="24"/>
        </w:rPr>
        <w:t>/市值覆盖、风格特征、行业与</w:t>
      </w:r>
      <w:proofErr w:type="gramStart"/>
      <w:r>
        <w:rPr>
          <w:rFonts w:asciiTheme="minorEastAsia" w:hAnsiTheme="minorEastAsia" w:hint="eastAsia"/>
          <w:bCs/>
          <w:sz w:val="24"/>
        </w:rPr>
        <w:t>个股分</w:t>
      </w:r>
      <w:proofErr w:type="gramEnd"/>
      <w:r>
        <w:rPr>
          <w:rFonts w:asciiTheme="minorEastAsia" w:hAnsiTheme="minorEastAsia" w:hint="eastAsia"/>
          <w:bCs/>
          <w:sz w:val="24"/>
        </w:rPr>
        <w:t>布等，本基金选取中证800指数作为股票部分的业绩比较基准要素。</w:t>
      </w:r>
    </w:p>
    <w:p w14:paraId="4CC2C48E"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中证800指数由中证500和沪深300成份</w:t>
      </w:r>
      <w:proofErr w:type="gramStart"/>
      <w:r>
        <w:rPr>
          <w:rFonts w:asciiTheme="minorEastAsia" w:hAnsiTheme="minorEastAsia" w:hint="eastAsia"/>
          <w:bCs/>
          <w:sz w:val="24"/>
        </w:rPr>
        <w:t>股一起</w:t>
      </w:r>
      <w:proofErr w:type="gramEnd"/>
      <w:r>
        <w:rPr>
          <w:rFonts w:asciiTheme="minorEastAsia" w:hAnsiTheme="minorEastAsia" w:hint="eastAsia"/>
          <w:bCs/>
          <w:sz w:val="24"/>
        </w:rPr>
        <w:t>构成，综合反映沪深证券市场内不同市值规模公司的整体状况，适合作为本基金股票部分的业绩比较基准要素。</w:t>
      </w:r>
    </w:p>
    <w:p w14:paraId="66FB689B"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3）基于基金投资目标、投资范围和投资策略，本基金的债券投资将采用“自上而下”的投资策略，对债券类资产进行配置。综合考虑基准指数与产品定位和投资风格的匹配度，同时兼顾考虑基准指数的表征性、认可度，以及基准指数券种、久期、信用等级分布特征等，选取中证可转换债券指数作为债券部分的业绩比较基准要素。</w:t>
      </w:r>
    </w:p>
    <w:p w14:paraId="55E8E729"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中证可转换债券指数的样本由在沪深证券交易所上市的可转换债券组成，以反映国内市场可转换债券的总体表现，适合作为本基金可转换</w:t>
      </w:r>
      <w:proofErr w:type="gramStart"/>
      <w:r>
        <w:rPr>
          <w:rFonts w:asciiTheme="minorEastAsia" w:hAnsiTheme="minorEastAsia" w:hint="eastAsia"/>
          <w:bCs/>
          <w:sz w:val="24"/>
        </w:rPr>
        <w:t>债部分</w:t>
      </w:r>
      <w:proofErr w:type="gramEnd"/>
      <w:r>
        <w:rPr>
          <w:rFonts w:asciiTheme="minorEastAsia" w:hAnsiTheme="minorEastAsia" w:hint="eastAsia"/>
          <w:bCs/>
          <w:sz w:val="24"/>
        </w:rPr>
        <w:t>的业绩比较基准要素。</w:t>
      </w:r>
    </w:p>
    <w:p w14:paraId="62F8FC77"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（4）本基金将活期存款基准利率作为现金类资产的业绩比较基准要素，以反映基金资产中未投资于股票和债券的部分所对应的机会成本及流动性管理收益。</w:t>
      </w:r>
    </w:p>
    <w:p w14:paraId="04FA42A4"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综上，本基金选取的业绩比较基准与基金投资目标、投资范围、投资策略、投资比例限制相匹配。</w:t>
      </w:r>
    </w:p>
    <w:p w14:paraId="0FDB4627"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2、业绩比较基准要素的基本信息</w:t>
      </w:r>
    </w:p>
    <w:p w14:paraId="6A1EFEF6"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中证800指数由中证指数有限公司编制发布，指数代码为000906，指数具体信息详见中证指数有限公司网站，网址：www.csindex.com.cn。</w:t>
      </w:r>
    </w:p>
    <w:p w14:paraId="4228176E"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中证可转换债券指数由中证指数有限公司编制发布，指数代码为000832，指数具体信息详见中证指数有限公司网站，网址：www.csindex.com.cn。</w:t>
      </w:r>
    </w:p>
    <w:p w14:paraId="1717BEAA"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活期存款基准利率由中国人民银行公布，具体信息详见中国人民银行网站，</w:t>
      </w:r>
      <w:r>
        <w:rPr>
          <w:rFonts w:asciiTheme="minorEastAsia" w:hAnsiTheme="minorEastAsia" w:hint="eastAsia"/>
          <w:bCs/>
          <w:sz w:val="24"/>
        </w:rPr>
        <w:lastRenderedPageBreak/>
        <w:t>网址：www.pbc.gov.cn。</w:t>
      </w:r>
    </w:p>
    <w:p w14:paraId="04FA4239"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3、业绩比较基准的计算方法</w:t>
      </w:r>
    </w:p>
    <w:p w14:paraId="0FCB3C9B"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本基金业绩比较基准收益率的计算方法以每日收益率为基础，以时间加权为计算原则。本基金先分别计算业绩比较基准中</w:t>
      </w:r>
      <w:proofErr w:type="gramStart"/>
      <w:r>
        <w:rPr>
          <w:rFonts w:asciiTheme="minorEastAsia" w:hAnsiTheme="minorEastAsia" w:hint="eastAsia"/>
          <w:bCs/>
          <w:sz w:val="24"/>
        </w:rPr>
        <w:t>中</w:t>
      </w:r>
      <w:proofErr w:type="gramEnd"/>
      <w:r>
        <w:rPr>
          <w:rFonts w:asciiTheme="minorEastAsia" w:hAnsiTheme="minorEastAsia" w:hint="eastAsia"/>
          <w:bCs/>
          <w:sz w:val="24"/>
        </w:rPr>
        <w:t>证800指数、中证可转换债券指数、活期存款基准利率对应的每日收益率，再按照预设权重比例计算当日组合要素基准的日收益率，并连乘每日收益率。</w:t>
      </w:r>
    </w:p>
    <w:p w14:paraId="02E0CD1F"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4、基金管理人管理投资偏离业绩比较基准的定性或定量方法</w:t>
      </w:r>
    </w:p>
    <w:p w14:paraId="0529C454"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本基金管理人对基金实际投资与业绩比较基准的偏离情况进行动态跟踪与监测评估，监测指标主要包括超额收益、</w:t>
      </w:r>
      <w:proofErr w:type="gramStart"/>
      <w:r>
        <w:rPr>
          <w:rFonts w:asciiTheme="minorEastAsia" w:hAnsiTheme="minorEastAsia" w:hint="eastAsia"/>
          <w:bCs/>
          <w:sz w:val="24"/>
        </w:rPr>
        <w:t>仓位</w:t>
      </w:r>
      <w:proofErr w:type="gramEnd"/>
      <w:r>
        <w:rPr>
          <w:rFonts w:asciiTheme="minorEastAsia" w:hAnsiTheme="minorEastAsia" w:hint="eastAsia"/>
          <w:bCs/>
          <w:sz w:val="24"/>
        </w:rPr>
        <w:t>偏离等，以更好管理基金实际投资与业绩比较基准的偏离情况，从而在控制风险的基础上追求超越业绩比较基准的投资回报。</w:t>
      </w:r>
    </w:p>
    <w:p w14:paraId="2E5D887C"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本基金为主动管理型基金，其业绩比较基准是表征产品风格、衡量产品业绩、约束投资行为的参考标准，并非本基金的跟踪标的。基金管理人在基金合同约定的投资范围、投资限制内享有充分的投资决策自主权，可根据投资策略、市场</w:t>
      </w:r>
      <w:proofErr w:type="gramStart"/>
      <w:r>
        <w:rPr>
          <w:rFonts w:asciiTheme="minorEastAsia" w:hAnsiTheme="minorEastAsia" w:hint="eastAsia"/>
          <w:bCs/>
          <w:sz w:val="24"/>
        </w:rPr>
        <w:t>研判等</w:t>
      </w:r>
      <w:proofErr w:type="gramEnd"/>
      <w:r>
        <w:rPr>
          <w:rFonts w:asciiTheme="minorEastAsia" w:hAnsiTheme="minorEastAsia" w:hint="eastAsia"/>
          <w:bCs/>
          <w:sz w:val="24"/>
        </w:rPr>
        <w:t>综合因素，自主构建投资组合，包括酌情投资于业绩比较基准要素成份证券外的证券。本基金投资组合相对业绩比较基准要素成份证券和权重可能存在偏离。</w:t>
      </w:r>
    </w:p>
    <w:p w14:paraId="5549CFD5"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5、未来可能变更业绩比较基准的情况和程序</w:t>
      </w:r>
    </w:p>
    <w:p w14:paraId="0BB70453"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业绩比较基准变更符合下列条件之一且对基金份额持有人利益无实质性不利影响的，基金管理人应当与基金托管人协商，在新业绩比较基准生效前三十日公告并充分说明变更原因、差异及影响，无需召开基金份额持有人大会：</w:t>
      </w:r>
    </w:p>
    <w:p w14:paraId="072D892C"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原有业绩比较基准的要素无法持续运作、编制方案发生重大修订等客观因素导致业绩比较基准无法再表征基金产品投资风格，或不再符合基金合同关于投资目标、投资范围、投资策略、投资比例限制等的约定，或与主要的资产类别、国别或地区、市场板块、货币类型等不再匹配；或业绩比较基准的要素不再具备市场代表性；</w:t>
      </w:r>
    </w:p>
    <w:p w14:paraId="78F4061E"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2）调整业绩比较基准的要素权重、更换相同或相近特征的要素等，使新业绩比较基准代表性更强，且符合相关法律法规规定的；</w:t>
      </w:r>
    </w:p>
    <w:p w14:paraId="449BA263"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3）中国证监会认可的其他情形。</w:t>
      </w:r>
    </w:p>
    <w:p w14:paraId="21B1829D"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（2）业绩比较基准变更涉及以下情形的，基金管理人应当按照规定履行变</w:t>
      </w:r>
      <w:r>
        <w:rPr>
          <w:rFonts w:asciiTheme="minorEastAsia" w:hAnsiTheme="minorEastAsia" w:hint="eastAsia"/>
          <w:bCs/>
          <w:sz w:val="24"/>
        </w:rPr>
        <w:lastRenderedPageBreak/>
        <w:t>更注册、召开基金份额持有人大会等程序，但法律法规、中国证监会另有规定或基金合同另有约定的除外：</w:t>
      </w:r>
    </w:p>
    <w:p w14:paraId="31EC81ED"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1）本基金投资目标、投资范围、投资策略、投资比例等拟进行重大调整，并变更业绩比较基准的；</w:t>
      </w:r>
    </w:p>
    <w:p w14:paraId="50300838"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2）其他对基金份额持有人利益产生重大实质性影响的情形。</w:t>
      </w:r>
    </w:p>
    <w:p w14:paraId="5DB83B03" w14:textId="77777777" w:rsidR="00B51DEA" w:rsidRDefault="00000000">
      <w:pPr>
        <w:autoSpaceDE w:val="0"/>
        <w:autoSpaceDN w:val="0"/>
        <w:spacing w:line="360" w:lineRule="auto"/>
        <w:ind w:firstLineChars="200" w:firstLine="482"/>
        <w:textAlignment w:val="bottom"/>
        <w:rPr>
          <w:rFonts w:asciiTheme="minorEastAsia" w:hAnsiTheme="minorEastAsia" w:cs="Times New Roman" w:hint="eastAsia"/>
          <w:b/>
          <w:bCs/>
          <w:sz w:val="24"/>
          <w:szCs w:val="24"/>
        </w:rPr>
      </w:pPr>
      <w:r>
        <w:rPr>
          <w:rFonts w:asciiTheme="minorEastAsia" w:hAnsiTheme="minorEastAsia" w:cs="Times New Roman" w:hint="eastAsia"/>
          <w:b/>
          <w:bCs/>
          <w:sz w:val="24"/>
          <w:szCs w:val="24"/>
        </w:rPr>
        <w:t>六、风险收益特征</w:t>
      </w:r>
    </w:p>
    <w:p w14:paraId="7FBCC6CA"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本基金属于混合型基金，其预期风险和预期收益高于货币市场基金、债券基金，低于股票型基金，属于证券投资基金中</w:t>
      </w:r>
      <w:proofErr w:type="gramStart"/>
      <w:r>
        <w:rPr>
          <w:rFonts w:asciiTheme="minorEastAsia" w:hAnsiTheme="minorEastAsia" w:hint="eastAsia"/>
          <w:bCs/>
          <w:sz w:val="24"/>
        </w:rPr>
        <w:t>中</w:t>
      </w:r>
      <w:proofErr w:type="gramEnd"/>
      <w:r>
        <w:rPr>
          <w:rFonts w:asciiTheme="minorEastAsia" w:hAnsiTheme="minorEastAsia" w:hint="eastAsia"/>
          <w:bCs/>
          <w:sz w:val="24"/>
        </w:rPr>
        <w:t>风险、中预期收益的品种。</w:t>
      </w:r>
    </w:p>
    <w:p w14:paraId="08233862" w14:textId="77777777" w:rsidR="00B51DEA" w:rsidRDefault="00B51DEA">
      <w:pPr>
        <w:autoSpaceDE w:val="0"/>
        <w:autoSpaceDN w:val="0"/>
        <w:spacing w:line="360" w:lineRule="auto"/>
        <w:ind w:firstLineChars="200" w:firstLine="480"/>
        <w:textAlignment w:val="bottom"/>
        <w:rPr>
          <w:rFonts w:asciiTheme="minorEastAsia" w:hAnsiTheme="minorEastAsia" w:hint="eastAsia"/>
          <w:bCs/>
          <w:sz w:val="24"/>
        </w:rPr>
      </w:pPr>
    </w:p>
    <w:p w14:paraId="4A36CAF6" w14:textId="77777777" w:rsidR="00B51DEA" w:rsidRDefault="00000000">
      <w:pPr>
        <w:autoSpaceDE w:val="0"/>
        <w:autoSpaceDN w:val="0"/>
        <w:spacing w:line="360" w:lineRule="auto"/>
        <w:ind w:firstLineChars="200" w:firstLine="482"/>
        <w:textAlignment w:val="bottom"/>
        <w:rPr>
          <w:rFonts w:asciiTheme="minorEastAsia" w:hAnsiTheme="minorEastAsia" w:cs="Times New Roman" w:hint="eastAsia"/>
          <w:b/>
          <w:bCs/>
          <w:sz w:val="24"/>
          <w:szCs w:val="24"/>
        </w:rPr>
      </w:pPr>
      <w:r>
        <w:rPr>
          <w:rFonts w:asciiTheme="minorEastAsia" w:hAnsiTheme="minorEastAsia" w:cs="Times New Roman" w:hint="eastAsia"/>
          <w:b/>
          <w:bCs/>
          <w:sz w:val="24"/>
          <w:szCs w:val="24"/>
        </w:rPr>
        <w:t>七、基金管理人代表基金行使股东和债权人权利的处理原则及方法</w:t>
      </w:r>
    </w:p>
    <w:p w14:paraId="33152486"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bookmarkStart w:id="211" w:name="_Toc416264546"/>
      <w:bookmarkStart w:id="212" w:name="_Toc26152"/>
      <w:bookmarkStart w:id="213" w:name="_Toc22674"/>
      <w:bookmarkStart w:id="214" w:name="_Toc26084"/>
      <w:bookmarkStart w:id="215" w:name="_Toc123112239"/>
      <w:bookmarkStart w:id="216" w:name="_Toc3244"/>
      <w:bookmarkStart w:id="217" w:name="_Toc48649710"/>
      <w:bookmarkStart w:id="218" w:name="_Toc21886"/>
      <w:bookmarkStart w:id="219" w:name="_Toc352229757"/>
      <w:bookmarkStart w:id="220" w:name="_Toc19520"/>
      <w:bookmarkStart w:id="221" w:name="_Toc123051457"/>
      <w:bookmarkStart w:id="222" w:name="_Toc2255"/>
      <w:bookmarkStart w:id="223" w:name="_Toc31469"/>
      <w:bookmarkStart w:id="224" w:name="_Toc79392624"/>
      <w:bookmarkStart w:id="225" w:name="_Toc139991741"/>
      <w:bookmarkStart w:id="226" w:name="_Toc26383"/>
      <w:bookmarkStart w:id="227" w:name="_Toc141703891"/>
      <w:bookmarkStart w:id="228" w:name="_Toc123102458"/>
      <w:bookmarkStart w:id="229" w:name="_Toc98560357"/>
      <w:bookmarkStart w:id="230" w:name="_Toc16789"/>
      <w:bookmarkStart w:id="231" w:name="_Toc14725"/>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r>
        <w:rPr>
          <w:rFonts w:asciiTheme="minorEastAsia" w:hAnsiTheme="minorEastAsia" w:hint="eastAsia"/>
          <w:bCs/>
          <w:sz w:val="24"/>
        </w:rPr>
        <w:t>1、基金管理人按照国家有关规定代表基金独立行使股东和债权人权利，保护基金份额持有人的利益；</w:t>
      </w:r>
    </w:p>
    <w:p w14:paraId="4D26E466"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2、不谋求对上市公司的控股，不参与所投资上市公司的经营管理；</w:t>
      </w:r>
    </w:p>
    <w:p w14:paraId="6814EDFA"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3、有利于基金财产的安全与增值；</w:t>
      </w:r>
    </w:p>
    <w:p w14:paraId="05FA7042" w14:textId="77777777" w:rsidR="00B51DEA" w:rsidRDefault="00000000">
      <w:pPr>
        <w:ind w:firstLineChars="200" w:firstLine="480"/>
        <w:rPr>
          <w:rFonts w:asciiTheme="minorEastAsia" w:hAnsiTheme="minorEastAsia" w:hint="eastAsia"/>
          <w:sz w:val="24"/>
          <w:szCs w:val="24"/>
        </w:rPr>
      </w:pPr>
      <w:r>
        <w:rPr>
          <w:rFonts w:asciiTheme="minorEastAsia" w:hAnsiTheme="minorEastAsia"/>
          <w:sz w:val="24"/>
          <w:szCs w:val="24"/>
        </w:rPr>
        <w:t>4、不通过关联交易为自身、雇员、授权代理人或任何存在利害关系的第三人牟取任何不当利益。</w:t>
      </w:r>
    </w:p>
    <w:p w14:paraId="73B13EAF" w14:textId="77777777" w:rsidR="00B51DEA" w:rsidRDefault="00B51DEA">
      <w:pPr>
        <w:ind w:firstLineChars="200" w:firstLine="480"/>
        <w:rPr>
          <w:rFonts w:asciiTheme="minorEastAsia" w:hAnsiTheme="minorEastAsia" w:hint="eastAsia"/>
          <w:sz w:val="24"/>
          <w:szCs w:val="24"/>
        </w:rPr>
      </w:pPr>
    </w:p>
    <w:p w14:paraId="71BEADF1" w14:textId="77777777" w:rsidR="00B51DEA" w:rsidRDefault="00000000">
      <w:pPr>
        <w:ind w:firstLineChars="200" w:firstLine="482"/>
        <w:rPr>
          <w:rFonts w:asciiTheme="minorEastAsia" w:hAnsiTheme="minorEastAsia" w:hint="eastAsia"/>
          <w:b/>
          <w:sz w:val="24"/>
          <w:szCs w:val="24"/>
        </w:rPr>
      </w:pPr>
      <w:r>
        <w:rPr>
          <w:rFonts w:asciiTheme="minorEastAsia" w:hAnsiTheme="minorEastAsia" w:hint="eastAsia"/>
          <w:b/>
          <w:sz w:val="24"/>
          <w:szCs w:val="24"/>
        </w:rPr>
        <w:t>八、基金投资组合报告</w:t>
      </w:r>
    </w:p>
    <w:p w14:paraId="3B23E5D2"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基金管理人的董事会及董事保证本报告所载资料不存在虚假记载、误导性陈述或重大遗漏，并对其内容的真实性、准确性和完整性承担个别及连带责任。 </w:t>
      </w:r>
      <w:r>
        <w:rPr>
          <w:rFonts w:asciiTheme="minorEastAsia" w:hAnsiTheme="minorEastAsia"/>
          <w:sz w:val="24"/>
          <w:szCs w:val="24"/>
        </w:rPr>
        <w:br/>
      </w:r>
      <w:r>
        <w:rPr>
          <w:rFonts w:asciiTheme="minorEastAsia" w:hAnsiTheme="minorEastAsia" w:hint="eastAsia"/>
          <w:sz w:val="24"/>
          <w:szCs w:val="24"/>
        </w:rPr>
        <w:t>  基金托管人中国光大银行股份有限公司根据本基金合同规定，已复核了本报告中的财务指标、净值表现和投资组合报告等内容，保证复核内容不存在虚假记载、误导性陈述或者重大遗漏。</w:t>
      </w:r>
    </w:p>
    <w:p w14:paraId="6B347916" w14:textId="77777777" w:rsidR="00B51DEA" w:rsidRDefault="00000000">
      <w:pPr>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本投资组合报告所载数据取自本基金2026年第2季度报告，本报告中所列财务数据未经审计。</w:t>
      </w:r>
    </w:p>
    <w:p w14:paraId="57162BFD" w14:textId="77777777" w:rsidR="00B51DEA" w:rsidRDefault="00000000">
      <w:pPr>
        <w:pStyle w:val="zhangjiep"/>
        <w:spacing w:line="360" w:lineRule="auto"/>
        <w:outlineLvl w:val="9"/>
        <w:rPr>
          <w:rFonts w:asciiTheme="minorEastAsia" w:eastAsiaTheme="minorEastAsia" w:hAnsiTheme="minorEastAsia" w:hint="eastAsia"/>
          <w:bCs/>
        </w:rPr>
      </w:pPr>
      <w:r>
        <w:rPr>
          <w:rFonts w:asciiTheme="minorEastAsia" w:eastAsiaTheme="minorEastAsia" w:hAnsiTheme="minorEastAsia"/>
          <w:bCs/>
        </w:rPr>
        <w:t>1、报告期末基金资产组合情况</w:t>
      </w:r>
    </w:p>
    <w:tbl>
      <w:tblPr>
        <w:tblW w:w="8647" w:type="dxa"/>
        <w:tblInd w:w="108" w:type="dxa"/>
        <w:tblLook w:val="04A0" w:firstRow="1" w:lastRow="0" w:firstColumn="1" w:lastColumn="0" w:noHBand="0" w:noVBand="1"/>
      </w:tblPr>
      <w:tblGrid>
        <w:gridCol w:w="762"/>
        <w:gridCol w:w="2906"/>
        <w:gridCol w:w="2428"/>
        <w:gridCol w:w="2551"/>
      </w:tblGrid>
      <w:tr w:rsidR="00B51DEA" w14:paraId="4DC711C5" w14:textId="77777777">
        <w:tc>
          <w:tcPr>
            <w:tcW w:w="762" w:type="dxa"/>
            <w:tcBorders>
              <w:top w:val="single" w:sz="8" w:space="0" w:color="000000"/>
              <w:left w:val="single" w:sz="8" w:space="0" w:color="000000"/>
              <w:bottom w:val="single" w:sz="6" w:space="0" w:color="000000"/>
              <w:right w:val="single" w:sz="8" w:space="0" w:color="000000"/>
            </w:tcBorders>
            <w:vAlign w:val="center"/>
          </w:tcPr>
          <w:p w14:paraId="08A27170" w14:textId="77777777" w:rsidR="00B51DEA" w:rsidRDefault="00000000">
            <w:pPr>
              <w:pStyle w:val="biaogecenter"/>
              <w:wordWrap w:val="0"/>
              <w:rPr>
                <w:rFonts w:hint="eastAsia"/>
              </w:rPr>
            </w:pPr>
            <w:r>
              <w:rPr>
                <w:rFonts w:hAnsi="等线" w:hint="eastAsia"/>
                <w:color w:val="000000"/>
              </w:rPr>
              <w:t>序号</w:t>
            </w:r>
          </w:p>
        </w:tc>
        <w:tc>
          <w:tcPr>
            <w:tcW w:w="2906" w:type="dxa"/>
            <w:tcBorders>
              <w:top w:val="single" w:sz="8" w:space="0" w:color="000000"/>
              <w:left w:val="single" w:sz="8" w:space="0" w:color="000000"/>
              <w:bottom w:val="single" w:sz="6" w:space="0" w:color="000000"/>
              <w:right w:val="single" w:sz="8" w:space="0" w:color="000000"/>
            </w:tcBorders>
            <w:vAlign w:val="center"/>
          </w:tcPr>
          <w:p w14:paraId="5AE69813" w14:textId="77777777" w:rsidR="00B51DEA" w:rsidRDefault="00000000">
            <w:pPr>
              <w:pStyle w:val="biaogecenter"/>
              <w:wordWrap w:val="0"/>
              <w:rPr>
                <w:rFonts w:hint="eastAsia"/>
              </w:rPr>
            </w:pPr>
            <w:r>
              <w:rPr>
                <w:rFonts w:hAnsi="等线" w:hint="eastAsia"/>
                <w:color w:val="000000"/>
              </w:rPr>
              <w:t>项目</w:t>
            </w:r>
          </w:p>
        </w:tc>
        <w:tc>
          <w:tcPr>
            <w:tcW w:w="2428" w:type="dxa"/>
            <w:tcBorders>
              <w:top w:val="single" w:sz="8" w:space="0" w:color="000000"/>
              <w:left w:val="single" w:sz="8" w:space="0" w:color="000000"/>
              <w:bottom w:val="single" w:sz="6" w:space="0" w:color="000000"/>
              <w:right w:val="single" w:sz="8" w:space="0" w:color="000000"/>
            </w:tcBorders>
            <w:vAlign w:val="center"/>
          </w:tcPr>
          <w:p w14:paraId="5B64E831" w14:textId="77777777" w:rsidR="00B51DEA" w:rsidRDefault="00000000">
            <w:pPr>
              <w:pStyle w:val="biaogecenter"/>
              <w:wordWrap w:val="0"/>
              <w:rPr>
                <w:rFonts w:hint="eastAsia"/>
              </w:rPr>
            </w:pPr>
            <w:r>
              <w:rPr>
                <w:rFonts w:hAnsi="等线" w:hint="eastAsia"/>
                <w:color w:val="000000"/>
              </w:rPr>
              <w:t>金额(元)</w:t>
            </w:r>
          </w:p>
        </w:tc>
        <w:tc>
          <w:tcPr>
            <w:tcW w:w="2551" w:type="dxa"/>
            <w:tcBorders>
              <w:top w:val="single" w:sz="8" w:space="0" w:color="000000"/>
              <w:left w:val="single" w:sz="8" w:space="0" w:color="000000"/>
              <w:bottom w:val="single" w:sz="6" w:space="0" w:color="000000"/>
              <w:right w:val="single" w:sz="8" w:space="0" w:color="000000"/>
            </w:tcBorders>
            <w:vAlign w:val="center"/>
          </w:tcPr>
          <w:p w14:paraId="492C9118" w14:textId="77777777" w:rsidR="00B51DEA" w:rsidRDefault="00000000">
            <w:pPr>
              <w:pStyle w:val="biaogecenter"/>
              <w:wordWrap w:val="0"/>
              <w:rPr>
                <w:rFonts w:hint="eastAsia"/>
              </w:rPr>
            </w:pPr>
            <w:r>
              <w:rPr>
                <w:rFonts w:hAnsi="等线" w:hint="eastAsia"/>
                <w:color w:val="000000"/>
              </w:rPr>
              <w:t>占基金总资产的比例（%）</w:t>
            </w:r>
          </w:p>
        </w:tc>
      </w:tr>
      <w:tr w:rsidR="00B51DEA" w14:paraId="5293199B"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69019A6A" w14:textId="77777777" w:rsidR="00B51DEA" w:rsidRDefault="00000000">
            <w:pPr>
              <w:pStyle w:val="biaogecenter"/>
              <w:wordWrap w:val="0"/>
              <w:rPr>
                <w:rFonts w:hint="eastAsia"/>
              </w:rPr>
            </w:pPr>
            <w:r>
              <w:rPr>
                <w:rFonts w:hAnsi="等线" w:hint="eastAsia"/>
                <w:color w:val="000000"/>
              </w:rPr>
              <w:t>1</w:t>
            </w:r>
          </w:p>
        </w:tc>
        <w:tc>
          <w:tcPr>
            <w:tcW w:w="2906" w:type="dxa"/>
            <w:tcBorders>
              <w:top w:val="single" w:sz="8" w:space="0" w:color="000000"/>
              <w:left w:val="single" w:sz="8" w:space="0" w:color="000000"/>
              <w:bottom w:val="single" w:sz="6" w:space="0" w:color="000000"/>
              <w:right w:val="single" w:sz="8" w:space="0" w:color="000000"/>
            </w:tcBorders>
            <w:vAlign w:val="center"/>
          </w:tcPr>
          <w:p w14:paraId="7D8DCB44" w14:textId="77777777" w:rsidR="00B51DEA" w:rsidRDefault="00000000">
            <w:pPr>
              <w:pStyle w:val="biaogeleft"/>
              <w:wordWrap w:val="0"/>
              <w:rPr>
                <w:rFonts w:hint="eastAsia"/>
              </w:rPr>
            </w:pPr>
            <w:r>
              <w:rPr>
                <w:rFonts w:hint="eastAsia"/>
              </w:rPr>
              <w:t>权益投资</w:t>
            </w:r>
          </w:p>
        </w:tc>
        <w:tc>
          <w:tcPr>
            <w:tcW w:w="2428" w:type="dxa"/>
            <w:tcBorders>
              <w:top w:val="single" w:sz="8" w:space="0" w:color="000000"/>
              <w:left w:val="single" w:sz="8" w:space="0" w:color="000000"/>
              <w:bottom w:val="single" w:sz="6" w:space="0" w:color="000000"/>
              <w:right w:val="single" w:sz="8" w:space="0" w:color="000000"/>
            </w:tcBorders>
            <w:vAlign w:val="center"/>
          </w:tcPr>
          <w:p w14:paraId="43BBEC16" w14:textId="77777777" w:rsidR="00B51DEA" w:rsidRDefault="00000000">
            <w:pPr>
              <w:pStyle w:val="biaogeright"/>
              <w:wordWrap w:val="0"/>
              <w:rPr>
                <w:rFonts w:hint="eastAsia"/>
              </w:rPr>
            </w:pPr>
            <w:r>
              <w:rPr>
                <w:rFonts w:hAnsi="Calibri"/>
                <w:color w:val="000000"/>
              </w:rPr>
              <w:t>-</w:t>
            </w:r>
          </w:p>
        </w:tc>
        <w:tc>
          <w:tcPr>
            <w:tcW w:w="2551" w:type="dxa"/>
            <w:tcBorders>
              <w:top w:val="single" w:sz="8" w:space="0" w:color="000000"/>
              <w:left w:val="single" w:sz="8" w:space="0" w:color="000000"/>
              <w:bottom w:val="single" w:sz="6" w:space="0" w:color="000000"/>
              <w:right w:val="single" w:sz="8" w:space="0" w:color="000000"/>
            </w:tcBorders>
            <w:vAlign w:val="center"/>
          </w:tcPr>
          <w:p w14:paraId="1B5CCF8D" w14:textId="77777777" w:rsidR="00B51DEA" w:rsidRDefault="00000000">
            <w:pPr>
              <w:pStyle w:val="biaogeright"/>
              <w:wordWrap w:val="0"/>
              <w:rPr>
                <w:rFonts w:hint="eastAsia"/>
              </w:rPr>
            </w:pPr>
            <w:r>
              <w:rPr>
                <w:rFonts w:hAnsi="Calibri"/>
                <w:color w:val="000000"/>
              </w:rPr>
              <w:t>-</w:t>
            </w:r>
          </w:p>
        </w:tc>
      </w:tr>
      <w:tr w:rsidR="00B51DEA" w14:paraId="0F44005D"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704A30CA" w14:textId="77777777" w:rsidR="00B51DEA" w:rsidRDefault="00B51DEA">
            <w:pPr>
              <w:widowControl/>
              <w:jc w:val="left"/>
              <w:rPr>
                <w:rFonts w:cs="宋体"/>
                <w:kern w:val="0"/>
                <w:sz w:val="20"/>
                <w:szCs w:val="20"/>
              </w:rPr>
            </w:pPr>
          </w:p>
        </w:tc>
        <w:tc>
          <w:tcPr>
            <w:tcW w:w="2906" w:type="dxa"/>
            <w:tcBorders>
              <w:top w:val="single" w:sz="8" w:space="0" w:color="000000"/>
              <w:left w:val="single" w:sz="8" w:space="0" w:color="000000"/>
              <w:bottom w:val="single" w:sz="6" w:space="0" w:color="000000"/>
              <w:right w:val="single" w:sz="8" w:space="0" w:color="000000"/>
            </w:tcBorders>
            <w:vAlign w:val="center"/>
          </w:tcPr>
          <w:p w14:paraId="693E9B48" w14:textId="77777777" w:rsidR="00B51DEA" w:rsidRDefault="00000000">
            <w:pPr>
              <w:pStyle w:val="biaogeleft"/>
              <w:wordWrap w:val="0"/>
              <w:rPr>
                <w:rFonts w:hint="eastAsia"/>
              </w:rPr>
            </w:pPr>
            <w:r>
              <w:rPr>
                <w:rFonts w:hint="eastAsia"/>
              </w:rPr>
              <w:t>其中：股票</w:t>
            </w:r>
          </w:p>
        </w:tc>
        <w:tc>
          <w:tcPr>
            <w:tcW w:w="2428" w:type="dxa"/>
            <w:tcBorders>
              <w:top w:val="single" w:sz="8" w:space="0" w:color="000000"/>
              <w:left w:val="single" w:sz="8" w:space="0" w:color="000000"/>
              <w:bottom w:val="single" w:sz="6" w:space="0" w:color="000000"/>
              <w:right w:val="single" w:sz="8" w:space="0" w:color="000000"/>
            </w:tcBorders>
            <w:vAlign w:val="center"/>
          </w:tcPr>
          <w:p w14:paraId="21D81A8F" w14:textId="77777777" w:rsidR="00B51DEA" w:rsidRDefault="00000000">
            <w:pPr>
              <w:pStyle w:val="biaogeright"/>
              <w:wordWrap w:val="0"/>
              <w:rPr>
                <w:rFonts w:hint="eastAsia"/>
              </w:rPr>
            </w:pPr>
            <w:r>
              <w:rPr>
                <w:rFonts w:hAnsi="Calibri"/>
                <w:color w:val="000000"/>
              </w:rPr>
              <w:t>-</w:t>
            </w:r>
          </w:p>
        </w:tc>
        <w:tc>
          <w:tcPr>
            <w:tcW w:w="2551" w:type="dxa"/>
            <w:tcBorders>
              <w:top w:val="single" w:sz="8" w:space="0" w:color="000000"/>
              <w:left w:val="single" w:sz="8" w:space="0" w:color="000000"/>
              <w:bottom w:val="single" w:sz="6" w:space="0" w:color="000000"/>
              <w:right w:val="single" w:sz="8" w:space="0" w:color="000000"/>
            </w:tcBorders>
            <w:vAlign w:val="center"/>
          </w:tcPr>
          <w:p w14:paraId="7A7FAE05" w14:textId="77777777" w:rsidR="00B51DEA" w:rsidRDefault="00000000">
            <w:pPr>
              <w:pStyle w:val="biaogeright"/>
              <w:wordWrap w:val="0"/>
              <w:rPr>
                <w:rFonts w:hint="eastAsia"/>
              </w:rPr>
            </w:pPr>
            <w:r>
              <w:rPr>
                <w:rFonts w:hAnsi="Calibri"/>
                <w:color w:val="000000"/>
              </w:rPr>
              <w:t>-</w:t>
            </w:r>
          </w:p>
        </w:tc>
      </w:tr>
      <w:tr w:rsidR="00B51DEA" w14:paraId="72194C3D"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3ECE9DB7" w14:textId="77777777" w:rsidR="00B51DEA" w:rsidRDefault="00000000">
            <w:pPr>
              <w:pStyle w:val="biaogecenter"/>
              <w:wordWrap w:val="0"/>
              <w:rPr>
                <w:rFonts w:hint="eastAsia"/>
              </w:rPr>
            </w:pPr>
            <w:r>
              <w:rPr>
                <w:rFonts w:hAnsi="等线" w:hint="eastAsia"/>
                <w:color w:val="000000"/>
              </w:rPr>
              <w:t>2</w:t>
            </w:r>
          </w:p>
        </w:tc>
        <w:tc>
          <w:tcPr>
            <w:tcW w:w="2906" w:type="dxa"/>
            <w:tcBorders>
              <w:top w:val="single" w:sz="8" w:space="0" w:color="000000"/>
              <w:left w:val="single" w:sz="8" w:space="0" w:color="000000"/>
              <w:bottom w:val="single" w:sz="6" w:space="0" w:color="000000"/>
              <w:right w:val="single" w:sz="8" w:space="0" w:color="000000"/>
            </w:tcBorders>
            <w:vAlign w:val="center"/>
          </w:tcPr>
          <w:p w14:paraId="17855C96" w14:textId="77777777" w:rsidR="00B51DEA" w:rsidRDefault="00000000">
            <w:pPr>
              <w:pStyle w:val="biaogeleft"/>
              <w:wordWrap w:val="0"/>
              <w:rPr>
                <w:rFonts w:hint="eastAsia"/>
              </w:rPr>
            </w:pPr>
            <w:r>
              <w:rPr>
                <w:rFonts w:hint="eastAsia"/>
              </w:rPr>
              <w:t>基金投资</w:t>
            </w:r>
          </w:p>
        </w:tc>
        <w:tc>
          <w:tcPr>
            <w:tcW w:w="2428" w:type="dxa"/>
            <w:tcBorders>
              <w:top w:val="single" w:sz="8" w:space="0" w:color="000000"/>
              <w:left w:val="single" w:sz="8" w:space="0" w:color="000000"/>
              <w:bottom w:val="single" w:sz="6" w:space="0" w:color="000000"/>
              <w:right w:val="single" w:sz="8" w:space="0" w:color="000000"/>
            </w:tcBorders>
            <w:vAlign w:val="center"/>
          </w:tcPr>
          <w:p w14:paraId="723D9791" w14:textId="77777777" w:rsidR="00B51DEA" w:rsidRDefault="00000000">
            <w:pPr>
              <w:pStyle w:val="biaogeright"/>
              <w:wordWrap w:val="0"/>
              <w:rPr>
                <w:rFonts w:hint="eastAsia"/>
              </w:rPr>
            </w:pPr>
            <w:r>
              <w:rPr>
                <w:rFonts w:hAnsi="Calibri"/>
                <w:color w:val="000000"/>
              </w:rPr>
              <w:t>-</w:t>
            </w:r>
          </w:p>
        </w:tc>
        <w:tc>
          <w:tcPr>
            <w:tcW w:w="2551" w:type="dxa"/>
            <w:tcBorders>
              <w:top w:val="single" w:sz="8" w:space="0" w:color="000000"/>
              <w:left w:val="single" w:sz="8" w:space="0" w:color="000000"/>
              <w:bottom w:val="single" w:sz="6" w:space="0" w:color="000000"/>
              <w:right w:val="single" w:sz="8" w:space="0" w:color="000000"/>
            </w:tcBorders>
            <w:vAlign w:val="center"/>
          </w:tcPr>
          <w:p w14:paraId="3FEC94E8" w14:textId="77777777" w:rsidR="00B51DEA" w:rsidRDefault="00000000">
            <w:pPr>
              <w:pStyle w:val="biaogeright"/>
              <w:wordWrap w:val="0"/>
              <w:rPr>
                <w:rFonts w:hint="eastAsia"/>
              </w:rPr>
            </w:pPr>
            <w:r>
              <w:rPr>
                <w:rFonts w:hAnsi="Calibri"/>
                <w:color w:val="000000"/>
              </w:rPr>
              <w:t>-</w:t>
            </w:r>
          </w:p>
        </w:tc>
      </w:tr>
      <w:tr w:rsidR="00B51DEA" w14:paraId="24F0DF81"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4F8EB6B2" w14:textId="77777777" w:rsidR="00B51DEA" w:rsidRDefault="00000000">
            <w:pPr>
              <w:pStyle w:val="biaogecenter"/>
              <w:wordWrap w:val="0"/>
              <w:rPr>
                <w:rFonts w:hint="eastAsia"/>
              </w:rPr>
            </w:pPr>
            <w:r>
              <w:rPr>
                <w:rFonts w:hAnsi="等线" w:hint="eastAsia"/>
                <w:color w:val="000000"/>
              </w:rPr>
              <w:lastRenderedPageBreak/>
              <w:t>3</w:t>
            </w:r>
          </w:p>
        </w:tc>
        <w:tc>
          <w:tcPr>
            <w:tcW w:w="2906" w:type="dxa"/>
            <w:tcBorders>
              <w:top w:val="single" w:sz="8" w:space="0" w:color="000000"/>
              <w:left w:val="single" w:sz="8" w:space="0" w:color="000000"/>
              <w:bottom w:val="single" w:sz="6" w:space="0" w:color="000000"/>
              <w:right w:val="single" w:sz="8" w:space="0" w:color="000000"/>
            </w:tcBorders>
            <w:vAlign w:val="center"/>
          </w:tcPr>
          <w:p w14:paraId="3103B24B" w14:textId="77777777" w:rsidR="00B51DEA" w:rsidRDefault="00000000">
            <w:pPr>
              <w:pStyle w:val="biaogeleft"/>
              <w:wordWrap w:val="0"/>
              <w:rPr>
                <w:rFonts w:hint="eastAsia"/>
              </w:rPr>
            </w:pPr>
            <w:r>
              <w:rPr>
                <w:rFonts w:hint="eastAsia"/>
              </w:rPr>
              <w:t>固定收益投资</w:t>
            </w:r>
          </w:p>
        </w:tc>
        <w:tc>
          <w:tcPr>
            <w:tcW w:w="2428" w:type="dxa"/>
            <w:tcBorders>
              <w:top w:val="single" w:sz="8" w:space="0" w:color="000000"/>
              <w:left w:val="single" w:sz="8" w:space="0" w:color="000000"/>
              <w:bottom w:val="single" w:sz="6" w:space="0" w:color="000000"/>
              <w:right w:val="single" w:sz="8" w:space="0" w:color="000000"/>
            </w:tcBorders>
            <w:vAlign w:val="center"/>
          </w:tcPr>
          <w:p w14:paraId="75DBA2BC" w14:textId="77777777" w:rsidR="00B51DEA" w:rsidRDefault="00000000">
            <w:pPr>
              <w:pStyle w:val="biaogeright"/>
              <w:wordWrap w:val="0"/>
              <w:rPr>
                <w:rFonts w:hint="eastAsia"/>
              </w:rPr>
            </w:pPr>
            <w:r>
              <w:rPr>
                <w:rFonts w:hAnsi="Calibri"/>
                <w:color w:val="000000"/>
              </w:rPr>
              <w:t>23,500,558.69</w:t>
            </w:r>
          </w:p>
        </w:tc>
        <w:tc>
          <w:tcPr>
            <w:tcW w:w="2551" w:type="dxa"/>
            <w:tcBorders>
              <w:top w:val="single" w:sz="8" w:space="0" w:color="000000"/>
              <w:left w:val="single" w:sz="8" w:space="0" w:color="000000"/>
              <w:bottom w:val="single" w:sz="6" w:space="0" w:color="000000"/>
              <w:right w:val="single" w:sz="8" w:space="0" w:color="000000"/>
            </w:tcBorders>
            <w:vAlign w:val="center"/>
          </w:tcPr>
          <w:p w14:paraId="05FF0F0B" w14:textId="77777777" w:rsidR="00B51DEA" w:rsidRDefault="00000000">
            <w:pPr>
              <w:pStyle w:val="biaogeright"/>
              <w:wordWrap w:val="0"/>
              <w:rPr>
                <w:rFonts w:hint="eastAsia"/>
              </w:rPr>
            </w:pPr>
            <w:r>
              <w:rPr>
                <w:rFonts w:hAnsi="Calibri"/>
                <w:color w:val="000000"/>
              </w:rPr>
              <w:t>49.28</w:t>
            </w:r>
          </w:p>
        </w:tc>
      </w:tr>
      <w:tr w:rsidR="00B51DEA" w14:paraId="6F2C3F00"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47BB2EC8" w14:textId="77777777" w:rsidR="00B51DEA" w:rsidRDefault="00B51DEA">
            <w:pPr>
              <w:widowControl/>
              <w:jc w:val="left"/>
              <w:rPr>
                <w:rFonts w:cs="宋体"/>
                <w:kern w:val="0"/>
                <w:sz w:val="20"/>
                <w:szCs w:val="20"/>
              </w:rPr>
            </w:pPr>
          </w:p>
        </w:tc>
        <w:tc>
          <w:tcPr>
            <w:tcW w:w="2906" w:type="dxa"/>
            <w:tcBorders>
              <w:top w:val="single" w:sz="8" w:space="0" w:color="000000"/>
              <w:left w:val="single" w:sz="8" w:space="0" w:color="000000"/>
              <w:bottom w:val="single" w:sz="6" w:space="0" w:color="000000"/>
              <w:right w:val="single" w:sz="8" w:space="0" w:color="000000"/>
            </w:tcBorders>
            <w:vAlign w:val="center"/>
          </w:tcPr>
          <w:p w14:paraId="72FE7D1A" w14:textId="77777777" w:rsidR="00B51DEA" w:rsidRDefault="00000000">
            <w:pPr>
              <w:pStyle w:val="biaogeleft"/>
              <w:wordWrap w:val="0"/>
              <w:rPr>
                <w:rFonts w:hint="eastAsia"/>
              </w:rPr>
            </w:pPr>
            <w:r>
              <w:rPr>
                <w:rFonts w:hint="eastAsia"/>
              </w:rPr>
              <w:t>其中：债券</w:t>
            </w:r>
          </w:p>
        </w:tc>
        <w:tc>
          <w:tcPr>
            <w:tcW w:w="2428" w:type="dxa"/>
            <w:tcBorders>
              <w:top w:val="single" w:sz="8" w:space="0" w:color="000000"/>
              <w:left w:val="single" w:sz="8" w:space="0" w:color="000000"/>
              <w:bottom w:val="single" w:sz="6" w:space="0" w:color="000000"/>
              <w:right w:val="single" w:sz="8" w:space="0" w:color="000000"/>
            </w:tcBorders>
            <w:vAlign w:val="center"/>
          </w:tcPr>
          <w:p w14:paraId="28125578" w14:textId="77777777" w:rsidR="00B51DEA" w:rsidRDefault="00000000">
            <w:pPr>
              <w:pStyle w:val="biaogeright"/>
              <w:wordWrap w:val="0"/>
              <w:rPr>
                <w:rFonts w:hint="eastAsia"/>
              </w:rPr>
            </w:pPr>
            <w:r>
              <w:rPr>
                <w:rFonts w:hAnsi="Calibri"/>
                <w:color w:val="000000"/>
              </w:rPr>
              <w:t>23,500,558.69</w:t>
            </w:r>
          </w:p>
        </w:tc>
        <w:tc>
          <w:tcPr>
            <w:tcW w:w="2551" w:type="dxa"/>
            <w:tcBorders>
              <w:top w:val="single" w:sz="8" w:space="0" w:color="000000"/>
              <w:left w:val="single" w:sz="8" w:space="0" w:color="000000"/>
              <w:bottom w:val="single" w:sz="6" w:space="0" w:color="000000"/>
              <w:right w:val="single" w:sz="8" w:space="0" w:color="000000"/>
            </w:tcBorders>
            <w:vAlign w:val="center"/>
          </w:tcPr>
          <w:p w14:paraId="62659C5B" w14:textId="77777777" w:rsidR="00B51DEA" w:rsidRDefault="00000000">
            <w:pPr>
              <w:pStyle w:val="biaogeright"/>
              <w:wordWrap w:val="0"/>
              <w:rPr>
                <w:rFonts w:hint="eastAsia"/>
              </w:rPr>
            </w:pPr>
            <w:r>
              <w:rPr>
                <w:rFonts w:hAnsi="Calibri"/>
                <w:color w:val="000000"/>
              </w:rPr>
              <w:t>49.28</w:t>
            </w:r>
          </w:p>
        </w:tc>
      </w:tr>
      <w:tr w:rsidR="00B51DEA" w14:paraId="5ABE2389"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0F79CB14" w14:textId="77777777" w:rsidR="00B51DEA" w:rsidRDefault="00B51DEA">
            <w:pPr>
              <w:widowControl/>
              <w:jc w:val="left"/>
              <w:rPr>
                <w:rFonts w:cs="宋体"/>
                <w:kern w:val="0"/>
                <w:sz w:val="20"/>
                <w:szCs w:val="20"/>
              </w:rPr>
            </w:pPr>
          </w:p>
        </w:tc>
        <w:tc>
          <w:tcPr>
            <w:tcW w:w="2906" w:type="dxa"/>
            <w:tcBorders>
              <w:top w:val="single" w:sz="8" w:space="0" w:color="000000"/>
              <w:left w:val="single" w:sz="8" w:space="0" w:color="000000"/>
              <w:bottom w:val="single" w:sz="6" w:space="0" w:color="000000"/>
              <w:right w:val="single" w:sz="8" w:space="0" w:color="000000"/>
            </w:tcBorders>
            <w:vAlign w:val="center"/>
          </w:tcPr>
          <w:p w14:paraId="4E707D48" w14:textId="77777777" w:rsidR="00B51DEA" w:rsidRDefault="00000000">
            <w:pPr>
              <w:pStyle w:val="biaogeleft"/>
              <w:wordWrap w:val="0"/>
              <w:ind w:left="750"/>
              <w:rPr>
                <w:rFonts w:hint="eastAsia"/>
              </w:rPr>
            </w:pPr>
            <w:r>
              <w:rPr>
                <w:rFonts w:hint="eastAsia"/>
              </w:rPr>
              <w:t>资产支持证券</w:t>
            </w:r>
          </w:p>
        </w:tc>
        <w:tc>
          <w:tcPr>
            <w:tcW w:w="2428" w:type="dxa"/>
            <w:tcBorders>
              <w:top w:val="single" w:sz="8" w:space="0" w:color="000000"/>
              <w:left w:val="single" w:sz="8" w:space="0" w:color="000000"/>
              <w:bottom w:val="single" w:sz="6" w:space="0" w:color="000000"/>
              <w:right w:val="single" w:sz="8" w:space="0" w:color="000000"/>
            </w:tcBorders>
            <w:vAlign w:val="center"/>
          </w:tcPr>
          <w:p w14:paraId="4C8303C7" w14:textId="77777777" w:rsidR="00B51DEA" w:rsidRDefault="00000000">
            <w:pPr>
              <w:pStyle w:val="biaogeright"/>
              <w:wordWrap w:val="0"/>
              <w:rPr>
                <w:rFonts w:hint="eastAsia"/>
              </w:rPr>
            </w:pPr>
            <w:r>
              <w:rPr>
                <w:rFonts w:hAnsi="Calibri"/>
                <w:color w:val="000000"/>
              </w:rPr>
              <w:t>-</w:t>
            </w:r>
          </w:p>
        </w:tc>
        <w:tc>
          <w:tcPr>
            <w:tcW w:w="2551" w:type="dxa"/>
            <w:tcBorders>
              <w:top w:val="single" w:sz="8" w:space="0" w:color="000000"/>
              <w:left w:val="single" w:sz="8" w:space="0" w:color="000000"/>
              <w:bottom w:val="single" w:sz="6" w:space="0" w:color="000000"/>
              <w:right w:val="single" w:sz="8" w:space="0" w:color="000000"/>
            </w:tcBorders>
            <w:vAlign w:val="center"/>
          </w:tcPr>
          <w:p w14:paraId="5934D437" w14:textId="77777777" w:rsidR="00B51DEA" w:rsidRDefault="00000000">
            <w:pPr>
              <w:pStyle w:val="biaogeright"/>
              <w:wordWrap w:val="0"/>
              <w:rPr>
                <w:rFonts w:hint="eastAsia"/>
              </w:rPr>
            </w:pPr>
            <w:r>
              <w:rPr>
                <w:rFonts w:hAnsi="Calibri"/>
                <w:color w:val="000000"/>
              </w:rPr>
              <w:t>-</w:t>
            </w:r>
          </w:p>
        </w:tc>
      </w:tr>
      <w:tr w:rsidR="00B51DEA" w14:paraId="57AAD9C8"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4B662BA4" w14:textId="77777777" w:rsidR="00B51DEA" w:rsidRDefault="00000000">
            <w:pPr>
              <w:pStyle w:val="biaogecenter"/>
              <w:wordWrap w:val="0"/>
              <w:rPr>
                <w:rFonts w:hint="eastAsia"/>
              </w:rPr>
            </w:pPr>
            <w:r>
              <w:rPr>
                <w:rFonts w:hAnsi="等线" w:hint="eastAsia"/>
                <w:color w:val="000000"/>
              </w:rPr>
              <w:t>4</w:t>
            </w:r>
          </w:p>
        </w:tc>
        <w:tc>
          <w:tcPr>
            <w:tcW w:w="2906" w:type="dxa"/>
            <w:tcBorders>
              <w:top w:val="single" w:sz="8" w:space="0" w:color="000000"/>
              <w:left w:val="single" w:sz="8" w:space="0" w:color="000000"/>
              <w:bottom w:val="single" w:sz="6" w:space="0" w:color="000000"/>
              <w:right w:val="single" w:sz="8" w:space="0" w:color="000000"/>
            </w:tcBorders>
            <w:vAlign w:val="center"/>
          </w:tcPr>
          <w:p w14:paraId="29A5097F" w14:textId="77777777" w:rsidR="00B51DEA" w:rsidRDefault="00000000">
            <w:pPr>
              <w:pStyle w:val="biaogeleft"/>
              <w:wordWrap w:val="0"/>
              <w:rPr>
                <w:rFonts w:hint="eastAsia"/>
              </w:rPr>
            </w:pPr>
            <w:r>
              <w:rPr>
                <w:rFonts w:hint="eastAsia"/>
              </w:rPr>
              <w:t>贵金属投资</w:t>
            </w:r>
          </w:p>
        </w:tc>
        <w:tc>
          <w:tcPr>
            <w:tcW w:w="2428" w:type="dxa"/>
            <w:tcBorders>
              <w:top w:val="single" w:sz="8" w:space="0" w:color="000000"/>
              <w:left w:val="single" w:sz="8" w:space="0" w:color="000000"/>
              <w:bottom w:val="single" w:sz="6" w:space="0" w:color="000000"/>
              <w:right w:val="single" w:sz="8" w:space="0" w:color="000000"/>
            </w:tcBorders>
            <w:vAlign w:val="center"/>
          </w:tcPr>
          <w:p w14:paraId="3B6A1B96" w14:textId="77777777" w:rsidR="00B51DEA" w:rsidRDefault="00000000">
            <w:pPr>
              <w:pStyle w:val="biaogeright"/>
              <w:wordWrap w:val="0"/>
              <w:rPr>
                <w:rFonts w:hint="eastAsia"/>
              </w:rPr>
            </w:pPr>
            <w:r>
              <w:rPr>
                <w:rFonts w:hAnsi="Calibri"/>
                <w:color w:val="000000"/>
              </w:rPr>
              <w:t>-</w:t>
            </w:r>
          </w:p>
        </w:tc>
        <w:tc>
          <w:tcPr>
            <w:tcW w:w="2551" w:type="dxa"/>
            <w:tcBorders>
              <w:top w:val="single" w:sz="8" w:space="0" w:color="000000"/>
              <w:left w:val="single" w:sz="8" w:space="0" w:color="000000"/>
              <w:bottom w:val="single" w:sz="6" w:space="0" w:color="000000"/>
              <w:right w:val="single" w:sz="8" w:space="0" w:color="000000"/>
            </w:tcBorders>
            <w:vAlign w:val="center"/>
          </w:tcPr>
          <w:p w14:paraId="70B12A26" w14:textId="77777777" w:rsidR="00B51DEA" w:rsidRDefault="00000000">
            <w:pPr>
              <w:pStyle w:val="biaogeright"/>
              <w:wordWrap w:val="0"/>
              <w:rPr>
                <w:rFonts w:hint="eastAsia"/>
              </w:rPr>
            </w:pPr>
            <w:r>
              <w:rPr>
                <w:rFonts w:hAnsi="Calibri"/>
                <w:color w:val="000000"/>
              </w:rPr>
              <w:t>-</w:t>
            </w:r>
          </w:p>
        </w:tc>
      </w:tr>
      <w:tr w:rsidR="00B51DEA" w14:paraId="77FEB0F8"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5071AFBD" w14:textId="77777777" w:rsidR="00B51DEA" w:rsidRDefault="00000000">
            <w:pPr>
              <w:pStyle w:val="biaogecenter"/>
              <w:wordWrap w:val="0"/>
              <w:rPr>
                <w:rFonts w:hint="eastAsia"/>
              </w:rPr>
            </w:pPr>
            <w:r>
              <w:rPr>
                <w:rFonts w:hAnsi="等线" w:hint="eastAsia"/>
                <w:color w:val="000000"/>
              </w:rPr>
              <w:t>5</w:t>
            </w:r>
          </w:p>
        </w:tc>
        <w:tc>
          <w:tcPr>
            <w:tcW w:w="2906" w:type="dxa"/>
            <w:tcBorders>
              <w:top w:val="single" w:sz="8" w:space="0" w:color="000000"/>
              <w:left w:val="single" w:sz="8" w:space="0" w:color="000000"/>
              <w:bottom w:val="single" w:sz="6" w:space="0" w:color="000000"/>
              <w:right w:val="single" w:sz="8" w:space="0" w:color="000000"/>
            </w:tcBorders>
            <w:vAlign w:val="center"/>
          </w:tcPr>
          <w:p w14:paraId="346FB695" w14:textId="77777777" w:rsidR="00B51DEA" w:rsidRDefault="00000000">
            <w:pPr>
              <w:pStyle w:val="biaogeleft"/>
              <w:wordWrap w:val="0"/>
              <w:rPr>
                <w:rFonts w:hint="eastAsia"/>
              </w:rPr>
            </w:pPr>
            <w:r>
              <w:rPr>
                <w:rFonts w:hint="eastAsia"/>
              </w:rPr>
              <w:t>金融衍生</w:t>
            </w:r>
            <w:proofErr w:type="gramStart"/>
            <w:r>
              <w:rPr>
                <w:rFonts w:hint="eastAsia"/>
              </w:rPr>
              <w:t>品投资</w:t>
            </w:r>
            <w:proofErr w:type="gramEnd"/>
          </w:p>
        </w:tc>
        <w:tc>
          <w:tcPr>
            <w:tcW w:w="2428" w:type="dxa"/>
            <w:tcBorders>
              <w:top w:val="single" w:sz="8" w:space="0" w:color="000000"/>
              <w:left w:val="single" w:sz="8" w:space="0" w:color="000000"/>
              <w:bottom w:val="single" w:sz="6" w:space="0" w:color="000000"/>
              <w:right w:val="single" w:sz="8" w:space="0" w:color="000000"/>
            </w:tcBorders>
            <w:vAlign w:val="center"/>
          </w:tcPr>
          <w:p w14:paraId="3CBC5290" w14:textId="77777777" w:rsidR="00B51DEA" w:rsidRDefault="00000000">
            <w:pPr>
              <w:pStyle w:val="biaogeright"/>
              <w:wordWrap w:val="0"/>
              <w:rPr>
                <w:rFonts w:hint="eastAsia"/>
              </w:rPr>
            </w:pPr>
            <w:r>
              <w:rPr>
                <w:rFonts w:hAnsi="Calibri"/>
                <w:color w:val="000000"/>
              </w:rPr>
              <w:t>-</w:t>
            </w:r>
          </w:p>
        </w:tc>
        <w:tc>
          <w:tcPr>
            <w:tcW w:w="2551" w:type="dxa"/>
            <w:tcBorders>
              <w:top w:val="single" w:sz="8" w:space="0" w:color="000000"/>
              <w:left w:val="single" w:sz="8" w:space="0" w:color="000000"/>
              <w:bottom w:val="single" w:sz="6" w:space="0" w:color="000000"/>
              <w:right w:val="single" w:sz="8" w:space="0" w:color="000000"/>
            </w:tcBorders>
            <w:vAlign w:val="center"/>
          </w:tcPr>
          <w:p w14:paraId="1FB82F63" w14:textId="77777777" w:rsidR="00B51DEA" w:rsidRDefault="00000000">
            <w:pPr>
              <w:pStyle w:val="biaogeright"/>
              <w:wordWrap w:val="0"/>
              <w:rPr>
                <w:rFonts w:hint="eastAsia"/>
              </w:rPr>
            </w:pPr>
            <w:r>
              <w:rPr>
                <w:rFonts w:hAnsi="Calibri"/>
                <w:color w:val="000000"/>
              </w:rPr>
              <w:t>-</w:t>
            </w:r>
          </w:p>
        </w:tc>
      </w:tr>
      <w:tr w:rsidR="00B51DEA" w14:paraId="73F20E10"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00D8094B" w14:textId="77777777" w:rsidR="00B51DEA" w:rsidRDefault="00000000">
            <w:pPr>
              <w:pStyle w:val="biaogecenter"/>
              <w:wordWrap w:val="0"/>
              <w:rPr>
                <w:rFonts w:hint="eastAsia"/>
              </w:rPr>
            </w:pPr>
            <w:r>
              <w:rPr>
                <w:rFonts w:hAnsi="等线" w:hint="eastAsia"/>
                <w:color w:val="000000"/>
              </w:rPr>
              <w:t>6</w:t>
            </w:r>
          </w:p>
        </w:tc>
        <w:tc>
          <w:tcPr>
            <w:tcW w:w="2906" w:type="dxa"/>
            <w:tcBorders>
              <w:top w:val="single" w:sz="8" w:space="0" w:color="000000"/>
              <w:left w:val="single" w:sz="8" w:space="0" w:color="000000"/>
              <w:bottom w:val="single" w:sz="6" w:space="0" w:color="000000"/>
              <w:right w:val="single" w:sz="8" w:space="0" w:color="000000"/>
            </w:tcBorders>
            <w:vAlign w:val="center"/>
          </w:tcPr>
          <w:p w14:paraId="7AE924A3" w14:textId="77777777" w:rsidR="00B51DEA" w:rsidRDefault="00000000">
            <w:pPr>
              <w:pStyle w:val="biaogeleft"/>
              <w:wordWrap w:val="0"/>
              <w:rPr>
                <w:rFonts w:hint="eastAsia"/>
              </w:rPr>
            </w:pPr>
            <w:r>
              <w:rPr>
                <w:rFonts w:hint="eastAsia"/>
              </w:rPr>
              <w:t>买入返售金融资产</w:t>
            </w:r>
          </w:p>
        </w:tc>
        <w:tc>
          <w:tcPr>
            <w:tcW w:w="2428" w:type="dxa"/>
            <w:tcBorders>
              <w:top w:val="single" w:sz="8" w:space="0" w:color="000000"/>
              <w:left w:val="single" w:sz="8" w:space="0" w:color="000000"/>
              <w:bottom w:val="single" w:sz="6" w:space="0" w:color="000000"/>
              <w:right w:val="single" w:sz="8" w:space="0" w:color="000000"/>
            </w:tcBorders>
            <w:vAlign w:val="center"/>
          </w:tcPr>
          <w:p w14:paraId="5D2F695D" w14:textId="77777777" w:rsidR="00B51DEA" w:rsidRDefault="00000000">
            <w:pPr>
              <w:pStyle w:val="biaogeright"/>
              <w:wordWrap w:val="0"/>
              <w:rPr>
                <w:rFonts w:hint="eastAsia"/>
              </w:rPr>
            </w:pPr>
            <w:r>
              <w:rPr>
                <w:rFonts w:hAnsi="Calibri"/>
                <w:color w:val="000000"/>
              </w:rPr>
              <w:t>17,500,000.00</w:t>
            </w:r>
          </w:p>
        </w:tc>
        <w:tc>
          <w:tcPr>
            <w:tcW w:w="2551" w:type="dxa"/>
            <w:tcBorders>
              <w:top w:val="single" w:sz="8" w:space="0" w:color="000000"/>
              <w:left w:val="single" w:sz="8" w:space="0" w:color="000000"/>
              <w:bottom w:val="single" w:sz="6" w:space="0" w:color="000000"/>
              <w:right w:val="single" w:sz="8" w:space="0" w:color="000000"/>
            </w:tcBorders>
            <w:vAlign w:val="center"/>
          </w:tcPr>
          <w:p w14:paraId="7EEA0C98" w14:textId="77777777" w:rsidR="00B51DEA" w:rsidRDefault="00000000">
            <w:pPr>
              <w:pStyle w:val="biaogeright"/>
              <w:wordWrap w:val="0"/>
              <w:rPr>
                <w:rFonts w:hint="eastAsia"/>
              </w:rPr>
            </w:pPr>
            <w:r>
              <w:rPr>
                <w:rFonts w:hAnsi="Calibri"/>
                <w:color w:val="000000"/>
              </w:rPr>
              <w:t>36.70</w:t>
            </w:r>
          </w:p>
        </w:tc>
      </w:tr>
      <w:tr w:rsidR="00B51DEA" w14:paraId="7CA79297"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28127CEA" w14:textId="77777777" w:rsidR="00B51DEA" w:rsidRDefault="00B51DEA">
            <w:pPr>
              <w:widowControl/>
              <w:jc w:val="left"/>
              <w:rPr>
                <w:rFonts w:cs="宋体"/>
                <w:kern w:val="0"/>
                <w:sz w:val="20"/>
                <w:szCs w:val="20"/>
              </w:rPr>
            </w:pPr>
          </w:p>
        </w:tc>
        <w:tc>
          <w:tcPr>
            <w:tcW w:w="2906" w:type="dxa"/>
            <w:tcBorders>
              <w:top w:val="single" w:sz="8" w:space="0" w:color="000000"/>
              <w:left w:val="single" w:sz="8" w:space="0" w:color="000000"/>
              <w:bottom w:val="single" w:sz="6" w:space="0" w:color="000000"/>
              <w:right w:val="single" w:sz="8" w:space="0" w:color="000000"/>
            </w:tcBorders>
            <w:vAlign w:val="center"/>
          </w:tcPr>
          <w:p w14:paraId="684EF5A5" w14:textId="77777777" w:rsidR="00B51DEA" w:rsidRDefault="00000000">
            <w:pPr>
              <w:pStyle w:val="biaogeleft"/>
              <w:wordWrap w:val="0"/>
              <w:rPr>
                <w:rFonts w:hint="eastAsia"/>
              </w:rPr>
            </w:pPr>
            <w:r>
              <w:rPr>
                <w:rFonts w:hint="eastAsia"/>
              </w:rPr>
              <w:t>其中：买断式回购的买入返售金融资产</w:t>
            </w:r>
          </w:p>
        </w:tc>
        <w:tc>
          <w:tcPr>
            <w:tcW w:w="2428" w:type="dxa"/>
            <w:tcBorders>
              <w:top w:val="single" w:sz="8" w:space="0" w:color="000000"/>
              <w:left w:val="single" w:sz="8" w:space="0" w:color="000000"/>
              <w:bottom w:val="single" w:sz="6" w:space="0" w:color="000000"/>
              <w:right w:val="single" w:sz="8" w:space="0" w:color="000000"/>
            </w:tcBorders>
            <w:vAlign w:val="center"/>
          </w:tcPr>
          <w:p w14:paraId="3832B693" w14:textId="77777777" w:rsidR="00B51DEA" w:rsidRDefault="00000000">
            <w:pPr>
              <w:pStyle w:val="biaogeright"/>
              <w:wordWrap w:val="0"/>
              <w:rPr>
                <w:rFonts w:hint="eastAsia"/>
              </w:rPr>
            </w:pPr>
            <w:r>
              <w:rPr>
                <w:rFonts w:hAnsi="Calibri"/>
                <w:color w:val="000000"/>
              </w:rPr>
              <w:t>-</w:t>
            </w:r>
          </w:p>
        </w:tc>
        <w:tc>
          <w:tcPr>
            <w:tcW w:w="2551" w:type="dxa"/>
            <w:tcBorders>
              <w:top w:val="single" w:sz="8" w:space="0" w:color="000000"/>
              <w:left w:val="single" w:sz="8" w:space="0" w:color="000000"/>
              <w:bottom w:val="single" w:sz="6" w:space="0" w:color="000000"/>
              <w:right w:val="single" w:sz="8" w:space="0" w:color="000000"/>
            </w:tcBorders>
            <w:vAlign w:val="center"/>
          </w:tcPr>
          <w:p w14:paraId="0C92F401" w14:textId="77777777" w:rsidR="00B51DEA" w:rsidRDefault="00000000">
            <w:pPr>
              <w:pStyle w:val="biaogeright"/>
              <w:wordWrap w:val="0"/>
              <w:rPr>
                <w:rFonts w:hint="eastAsia"/>
              </w:rPr>
            </w:pPr>
            <w:r>
              <w:rPr>
                <w:rFonts w:hAnsi="Calibri"/>
                <w:color w:val="000000"/>
              </w:rPr>
              <w:t>-</w:t>
            </w:r>
          </w:p>
        </w:tc>
      </w:tr>
      <w:tr w:rsidR="00B51DEA" w14:paraId="3DEA0E69"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43AFAEF4" w14:textId="77777777" w:rsidR="00B51DEA" w:rsidRDefault="00000000">
            <w:pPr>
              <w:pStyle w:val="biaogecenter"/>
              <w:wordWrap w:val="0"/>
              <w:rPr>
                <w:rFonts w:hint="eastAsia"/>
              </w:rPr>
            </w:pPr>
            <w:r>
              <w:rPr>
                <w:rFonts w:hAnsi="等线" w:hint="eastAsia"/>
                <w:color w:val="000000"/>
              </w:rPr>
              <w:t>7</w:t>
            </w:r>
          </w:p>
        </w:tc>
        <w:tc>
          <w:tcPr>
            <w:tcW w:w="2906" w:type="dxa"/>
            <w:tcBorders>
              <w:top w:val="single" w:sz="8" w:space="0" w:color="000000"/>
              <w:left w:val="single" w:sz="8" w:space="0" w:color="000000"/>
              <w:bottom w:val="single" w:sz="6" w:space="0" w:color="000000"/>
              <w:right w:val="single" w:sz="8" w:space="0" w:color="000000"/>
            </w:tcBorders>
            <w:vAlign w:val="center"/>
          </w:tcPr>
          <w:p w14:paraId="45D7A979" w14:textId="77777777" w:rsidR="00B51DEA" w:rsidRDefault="00000000">
            <w:pPr>
              <w:pStyle w:val="biaogeleft"/>
              <w:wordWrap w:val="0"/>
              <w:rPr>
                <w:rFonts w:hint="eastAsia"/>
              </w:rPr>
            </w:pPr>
            <w:r>
              <w:rPr>
                <w:rFonts w:hint="eastAsia"/>
              </w:rPr>
              <w:t>银行存款和结算备付金合计</w:t>
            </w:r>
          </w:p>
        </w:tc>
        <w:tc>
          <w:tcPr>
            <w:tcW w:w="2428" w:type="dxa"/>
            <w:tcBorders>
              <w:top w:val="single" w:sz="8" w:space="0" w:color="000000"/>
              <w:left w:val="single" w:sz="8" w:space="0" w:color="000000"/>
              <w:bottom w:val="single" w:sz="6" w:space="0" w:color="000000"/>
              <w:right w:val="single" w:sz="8" w:space="0" w:color="000000"/>
            </w:tcBorders>
            <w:vAlign w:val="center"/>
          </w:tcPr>
          <w:p w14:paraId="7D8D50D5" w14:textId="77777777" w:rsidR="00B51DEA" w:rsidRDefault="00000000">
            <w:pPr>
              <w:pStyle w:val="biaogeright"/>
              <w:wordWrap w:val="0"/>
              <w:rPr>
                <w:rFonts w:hint="eastAsia"/>
              </w:rPr>
            </w:pPr>
            <w:r>
              <w:rPr>
                <w:rFonts w:hAnsi="Calibri"/>
                <w:color w:val="000000"/>
              </w:rPr>
              <w:t>6,553,182.33</w:t>
            </w:r>
          </w:p>
        </w:tc>
        <w:tc>
          <w:tcPr>
            <w:tcW w:w="2551" w:type="dxa"/>
            <w:tcBorders>
              <w:top w:val="single" w:sz="8" w:space="0" w:color="000000"/>
              <w:left w:val="single" w:sz="8" w:space="0" w:color="000000"/>
              <w:bottom w:val="single" w:sz="6" w:space="0" w:color="000000"/>
              <w:right w:val="single" w:sz="8" w:space="0" w:color="000000"/>
            </w:tcBorders>
            <w:vAlign w:val="center"/>
          </w:tcPr>
          <w:p w14:paraId="3162FF54" w14:textId="77777777" w:rsidR="00B51DEA" w:rsidRDefault="00000000">
            <w:pPr>
              <w:pStyle w:val="biaogeright"/>
              <w:wordWrap w:val="0"/>
              <w:rPr>
                <w:rFonts w:hint="eastAsia"/>
              </w:rPr>
            </w:pPr>
            <w:r>
              <w:rPr>
                <w:rFonts w:hAnsi="Calibri"/>
                <w:color w:val="000000"/>
              </w:rPr>
              <w:t>13.74</w:t>
            </w:r>
          </w:p>
        </w:tc>
      </w:tr>
      <w:tr w:rsidR="00B51DEA" w14:paraId="2DC3746D"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5737A444" w14:textId="77777777" w:rsidR="00B51DEA" w:rsidRDefault="00000000">
            <w:pPr>
              <w:pStyle w:val="biaogecenter"/>
              <w:wordWrap w:val="0"/>
              <w:rPr>
                <w:rFonts w:hint="eastAsia"/>
              </w:rPr>
            </w:pPr>
            <w:r>
              <w:rPr>
                <w:rFonts w:hAnsi="等线" w:hint="eastAsia"/>
                <w:color w:val="000000"/>
              </w:rPr>
              <w:t>8</w:t>
            </w:r>
          </w:p>
        </w:tc>
        <w:tc>
          <w:tcPr>
            <w:tcW w:w="2906" w:type="dxa"/>
            <w:tcBorders>
              <w:top w:val="single" w:sz="8" w:space="0" w:color="000000"/>
              <w:left w:val="single" w:sz="8" w:space="0" w:color="000000"/>
              <w:bottom w:val="single" w:sz="6" w:space="0" w:color="000000"/>
              <w:right w:val="single" w:sz="8" w:space="0" w:color="000000"/>
            </w:tcBorders>
            <w:vAlign w:val="center"/>
          </w:tcPr>
          <w:p w14:paraId="0CA5A18B" w14:textId="77777777" w:rsidR="00B51DEA" w:rsidRDefault="00000000">
            <w:pPr>
              <w:pStyle w:val="biaogeleft"/>
              <w:wordWrap w:val="0"/>
              <w:rPr>
                <w:rFonts w:hint="eastAsia"/>
              </w:rPr>
            </w:pPr>
            <w:r>
              <w:rPr>
                <w:rFonts w:hint="eastAsia"/>
              </w:rPr>
              <w:t>其他资产</w:t>
            </w:r>
          </w:p>
        </w:tc>
        <w:tc>
          <w:tcPr>
            <w:tcW w:w="2428" w:type="dxa"/>
            <w:tcBorders>
              <w:top w:val="single" w:sz="8" w:space="0" w:color="000000"/>
              <w:left w:val="single" w:sz="8" w:space="0" w:color="000000"/>
              <w:bottom w:val="single" w:sz="6" w:space="0" w:color="000000"/>
              <w:right w:val="single" w:sz="8" w:space="0" w:color="000000"/>
            </w:tcBorders>
            <w:vAlign w:val="center"/>
          </w:tcPr>
          <w:p w14:paraId="493306FF" w14:textId="77777777" w:rsidR="00B51DEA" w:rsidRDefault="00000000">
            <w:pPr>
              <w:pStyle w:val="biaogeright"/>
              <w:wordWrap w:val="0"/>
              <w:rPr>
                <w:rFonts w:hint="eastAsia"/>
              </w:rPr>
            </w:pPr>
            <w:r>
              <w:rPr>
                <w:rFonts w:hAnsi="Calibri"/>
                <w:color w:val="000000"/>
              </w:rPr>
              <w:t>135,834.65</w:t>
            </w:r>
          </w:p>
        </w:tc>
        <w:tc>
          <w:tcPr>
            <w:tcW w:w="2551" w:type="dxa"/>
            <w:tcBorders>
              <w:top w:val="single" w:sz="8" w:space="0" w:color="000000"/>
              <w:left w:val="single" w:sz="8" w:space="0" w:color="000000"/>
              <w:bottom w:val="single" w:sz="6" w:space="0" w:color="000000"/>
              <w:right w:val="single" w:sz="8" w:space="0" w:color="000000"/>
            </w:tcBorders>
            <w:vAlign w:val="center"/>
          </w:tcPr>
          <w:p w14:paraId="45A032A3" w14:textId="77777777" w:rsidR="00B51DEA" w:rsidRDefault="00000000">
            <w:pPr>
              <w:pStyle w:val="biaogeright"/>
              <w:wordWrap w:val="0"/>
              <w:rPr>
                <w:rFonts w:hint="eastAsia"/>
              </w:rPr>
            </w:pPr>
            <w:r>
              <w:rPr>
                <w:rFonts w:hAnsi="Calibri"/>
                <w:color w:val="000000"/>
              </w:rPr>
              <w:t>0.28</w:t>
            </w:r>
          </w:p>
        </w:tc>
      </w:tr>
      <w:tr w:rsidR="00B51DEA" w14:paraId="61CFA9C1"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3E5651F0" w14:textId="77777777" w:rsidR="00B51DEA" w:rsidRDefault="00000000">
            <w:pPr>
              <w:pStyle w:val="biaogecenter"/>
              <w:wordWrap w:val="0"/>
              <w:rPr>
                <w:rFonts w:hint="eastAsia"/>
              </w:rPr>
            </w:pPr>
            <w:r>
              <w:rPr>
                <w:rFonts w:hint="eastAsia"/>
              </w:rPr>
              <w:t>9</w:t>
            </w:r>
          </w:p>
        </w:tc>
        <w:tc>
          <w:tcPr>
            <w:tcW w:w="2906" w:type="dxa"/>
            <w:tcBorders>
              <w:top w:val="single" w:sz="8" w:space="0" w:color="000000"/>
              <w:left w:val="single" w:sz="8" w:space="0" w:color="000000"/>
              <w:bottom w:val="single" w:sz="6" w:space="0" w:color="000000"/>
              <w:right w:val="single" w:sz="8" w:space="0" w:color="000000"/>
            </w:tcBorders>
            <w:vAlign w:val="center"/>
          </w:tcPr>
          <w:p w14:paraId="109243F3" w14:textId="77777777" w:rsidR="00B51DEA" w:rsidRDefault="00000000">
            <w:pPr>
              <w:pStyle w:val="biaogeleft"/>
              <w:wordWrap w:val="0"/>
              <w:rPr>
                <w:rFonts w:hint="eastAsia"/>
              </w:rPr>
            </w:pPr>
            <w:r>
              <w:rPr>
                <w:rFonts w:hint="eastAsia"/>
              </w:rPr>
              <w:t>合计</w:t>
            </w:r>
          </w:p>
        </w:tc>
        <w:tc>
          <w:tcPr>
            <w:tcW w:w="2428" w:type="dxa"/>
            <w:tcBorders>
              <w:top w:val="single" w:sz="8" w:space="0" w:color="000000"/>
              <w:left w:val="single" w:sz="8" w:space="0" w:color="000000"/>
              <w:bottom w:val="single" w:sz="6" w:space="0" w:color="000000"/>
              <w:right w:val="single" w:sz="8" w:space="0" w:color="000000"/>
            </w:tcBorders>
            <w:vAlign w:val="center"/>
          </w:tcPr>
          <w:p w14:paraId="564579FF" w14:textId="77777777" w:rsidR="00B51DEA" w:rsidRDefault="00000000">
            <w:pPr>
              <w:pStyle w:val="biaogeright"/>
              <w:wordWrap w:val="0"/>
              <w:rPr>
                <w:rFonts w:hint="eastAsia"/>
              </w:rPr>
            </w:pPr>
            <w:r>
              <w:rPr>
                <w:rFonts w:hAnsi="Calibri"/>
                <w:color w:val="000000"/>
              </w:rPr>
              <w:t>47,689,575.67</w:t>
            </w:r>
          </w:p>
        </w:tc>
        <w:tc>
          <w:tcPr>
            <w:tcW w:w="2551" w:type="dxa"/>
            <w:tcBorders>
              <w:top w:val="single" w:sz="8" w:space="0" w:color="000000"/>
              <w:left w:val="single" w:sz="8" w:space="0" w:color="000000"/>
              <w:bottom w:val="single" w:sz="6" w:space="0" w:color="000000"/>
              <w:right w:val="single" w:sz="8" w:space="0" w:color="000000"/>
            </w:tcBorders>
            <w:vAlign w:val="center"/>
          </w:tcPr>
          <w:p w14:paraId="426618BC" w14:textId="77777777" w:rsidR="00B51DEA" w:rsidRDefault="00000000">
            <w:pPr>
              <w:pStyle w:val="biaogeright"/>
              <w:wordWrap w:val="0"/>
              <w:rPr>
                <w:rFonts w:hint="eastAsia"/>
              </w:rPr>
            </w:pPr>
            <w:r>
              <w:rPr>
                <w:rFonts w:hAnsi="Calibri"/>
                <w:color w:val="000000"/>
              </w:rPr>
              <w:t>100.00</w:t>
            </w:r>
          </w:p>
        </w:tc>
      </w:tr>
    </w:tbl>
    <w:p w14:paraId="76B0398F" w14:textId="77777777" w:rsidR="00B51DEA" w:rsidRDefault="00000000">
      <w:pPr>
        <w:pStyle w:val="zhangjiep"/>
        <w:spacing w:line="360" w:lineRule="auto"/>
        <w:outlineLvl w:val="9"/>
        <w:rPr>
          <w:rFonts w:asciiTheme="minorEastAsia" w:eastAsiaTheme="minorEastAsia" w:hAnsiTheme="minorEastAsia" w:hint="eastAsia"/>
          <w:bCs/>
        </w:rPr>
      </w:pPr>
      <w:r>
        <w:rPr>
          <w:rFonts w:asciiTheme="minorEastAsia" w:eastAsiaTheme="minorEastAsia" w:hAnsiTheme="minorEastAsia"/>
          <w:bCs/>
        </w:rPr>
        <w:t>2、报告期末按行业分类的股票投资组合</w:t>
      </w:r>
    </w:p>
    <w:p w14:paraId="619D2B18" w14:textId="77777777" w:rsidR="00B51DEA" w:rsidRDefault="00000000">
      <w:pPr>
        <w:pStyle w:val="zhangjiep2"/>
        <w:spacing w:line="360" w:lineRule="auto"/>
        <w:rPr>
          <w:rFonts w:asciiTheme="minorEastAsia" w:eastAsiaTheme="minorEastAsia" w:hAnsiTheme="minorEastAsia" w:hint="eastAsia"/>
          <w:bCs/>
        </w:rPr>
      </w:pPr>
      <w:r>
        <w:rPr>
          <w:rFonts w:asciiTheme="minorEastAsia" w:eastAsiaTheme="minorEastAsia" w:hAnsiTheme="minorEastAsia" w:hint="eastAsia"/>
          <w:bCs/>
        </w:rPr>
        <w:t>（</w:t>
      </w:r>
      <w:r>
        <w:rPr>
          <w:rFonts w:asciiTheme="minorEastAsia" w:eastAsiaTheme="minorEastAsia" w:hAnsiTheme="minorEastAsia"/>
          <w:bCs/>
        </w:rPr>
        <w:t>1）报告期末按行业分类的境内股票投资组合</w:t>
      </w:r>
    </w:p>
    <w:p w14:paraId="658B1334" w14:textId="77777777" w:rsidR="00B51DEA" w:rsidRDefault="00000000">
      <w:pPr>
        <w:pStyle w:val="zhangjiep2"/>
        <w:spacing w:line="360" w:lineRule="auto"/>
        <w:ind w:firstLineChars="200" w:firstLine="480"/>
        <w:rPr>
          <w:rFonts w:hAnsi="等线" w:hint="eastAsia"/>
          <w:color w:val="000000"/>
        </w:rPr>
      </w:pPr>
      <w:r>
        <w:rPr>
          <w:rFonts w:hAnsi="等线"/>
          <w:color w:val="000000"/>
        </w:rPr>
        <w:t>本基金本报告期末未持有股票。</w:t>
      </w:r>
    </w:p>
    <w:p w14:paraId="236CA9C7" w14:textId="77777777" w:rsidR="00B51DEA" w:rsidRDefault="00B51DEA">
      <w:pPr>
        <w:pStyle w:val="zhangjiep2"/>
        <w:spacing w:line="360" w:lineRule="auto"/>
        <w:ind w:firstLineChars="200" w:firstLine="480"/>
        <w:rPr>
          <w:rFonts w:asciiTheme="minorEastAsia" w:eastAsiaTheme="minorEastAsia" w:hAnsiTheme="minorEastAsia" w:hint="eastAsia"/>
          <w:bCs/>
        </w:rPr>
      </w:pPr>
    </w:p>
    <w:p w14:paraId="1ABA02C0" w14:textId="77777777" w:rsidR="00B51DEA" w:rsidRDefault="00000000">
      <w:pPr>
        <w:pStyle w:val="zhangjiep"/>
        <w:spacing w:line="360" w:lineRule="auto"/>
        <w:outlineLvl w:val="9"/>
        <w:rPr>
          <w:rFonts w:asciiTheme="minorEastAsia" w:eastAsiaTheme="minorEastAsia" w:hAnsiTheme="minorEastAsia" w:hint="eastAsia"/>
          <w:bCs/>
        </w:rPr>
      </w:pPr>
      <w:r>
        <w:rPr>
          <w:rFonts w:asciiTheme="minorEastAsia" w:eastAsiaTheme="minorEastAsia" w:hAnsiTheme="minorEastAsia" w:hint="eastAsia"/>
          <w:bCs/>
        </w:rPr>
        <w:t>（</w:t>
      </w:r>
      <w:r>
        <w:rPr>
          <w:rFonts w:asciiTheme="minorEastAsia" w:eastAsiaTheme="minorEastAsia" w:hAnsiTheme="minorEastAsia"/>
          <w:bCs/>
        </w:rPr>
        <w:t>2）报告期末按行业分类的港股通投资股票投资组合</w:t>
      </w:r>
    </w:p>
    <w:p w14:paraId="6D082FDA" w14:textId="77777777" w:rsidR="00B51DEA" w:rsidRDefault="00000000">
      <w:pPr>
        <w:pStyle w:val="neirong"/>
        <w:spacing w:line="360" w:lineRule="auto"/>
        <w:ind w:left="0" w:firstLineChars="200" w:firstLine="480"/>
        <w:rPr>
          <w:rFonts w:asciiTheme="minorEastAsia" w:eastAsiaTheme="minorEastAsia" w:hAnsiTheme="minorEastAsia" w:hint="eastAsia"/>
          <w:bCs/>
        </w:rPr>
      </w:pPr>
      <w:r>
        <w:rPr>
          <w:rFonts w:asciiTheme="minorEastAsia" w:eastAsiaTheme="minorEastAsia" w:hAnsiTheme="minorEastAsia" w:hint="eastAsia"/>
          <w:bCs/>
        </w:rPr>
        <w:t>本基金报告期末未持有港股通股票。</w:t>
      </w:r>
    </w:p>
    <w:p w14:paraId="6E20AF8F" w14:textId="77777777" w:rsidR="00B51DEA" w:rsidRDefault="00B51DEA">
      <w:pPr>
        <w:pStyle w:val="neirong"/>
        <w:spacing w:line="360" w:lineRule="auto"/>
        <w:ind w:left="0" w:firstLineChars="200" w:firstLine="480"/>
        <w:rPr>
          <w:rFonts w:asciiTheme="minorEastAsia" w:eastAsiaTheme="minorEastAsia" w:hAnsiTheme="minorEastAsia" w:hint="eastAsia"/>
          <w:bCs/>
        </w:rPr>
      </w:pPr>
    </w:p>
    <w:p w14:paraId="76FBFA68" w14:textId="77777777" w:rsidR="00B51DEA" w:rsidRDefault="00000000">
      <w:pPr>
        <w:pStyle w:val="zhangjiep"/>
        <w:spacing w:line="360" w:lineRule="auto"/>
        <w:outlineLvl w:val="9"/>
        <w:rPr>
          <w:rFonts w:asciiTheme="minorEastAsia" w:eastAsiaTheme="minorEastAsia" w:hAnsiTheme="minorEastAsia" w:hint="eastAsia"/>
          <w:bCs/>
        </w:rPr>
      </w:pPr>
      <w:r>
        <w:rPr>
          <w:rFonts w:asciiTheme="minorEastAsia" w:eastAsiaTheme="minorEastAsia" w:hAnsiTheme="minorEastAsia"/>
          <w:bCs/>
        </w:rPr>
        <w:t>3、报告期末按公允价值占基金资产净值比例大小排序的前十名股票投资明细</w:t>
      </w:r>
    </w:p>
    <w:p w14:paraId="3BC2528E" w14:textId="77777777" w:rsidR="00B51DEA" w:rsidRDefault="00000000">
      <w:pPr>
        <w:pStyle w:val="zhangjiep"/>
        <w:spacing w:line="360" w:lineRule="auto"/>
        <w:ind w:firstLineChars="200" w:firstLine="480"/>
        <w:outlineLvl w:val="9"/>
        <w:rPr>
          <w:rFonts w:asciiTheme="minorEastAsia" w:eastAsiaTheme="minorEastAsia" w:hAnsiTheme="minorEastAsia" w:hint="eastAsia"/>
          <w:bCs/>
        </w:rPr>
      </w:pPr>
      <w:r>
        <w:rPr>
          <w:rFonts w:asciiTheme="minorEastAsia" w:eastAsiaTheme="minorEastAsia" w:hAnsiTheme="minorEastAsia" w:hint="eastAsia"/>
          <w:bCs/>
        </w:rPr>
        <w:t>本基金本报告期末未持有股票。</w:t>
      </w:r>
    </w:p>
    <w:p w14:paraId="28E5E548" w14:textId="77777777" w:rsidR="00B51DEA" w:rsidRDefault="00B51DEA">
      <w:pPr>
        <w:pStyle w:val="zhangjiep"/>
        <w:spacing w:line="360" w:lineRule="auto"/>
        <w:ind w:firstLineChars="200" w:firstLine="480"/>
        <w:outlineLvl w:val="9"/>
        <w:rPr>
          <w:rFonts w:asciiTheme="minorEastAsia" w:eastAsiaTheme="minorEastAsia" w:hAnsiTheme="minorEastAsia" w:hint="eastAsia"/>
          <w:bCs/>
        </w:rPr>
      </w:pPr>
    </w:p>
    <w:p w14:paraId="1699D0E1" w14:textId="77777777" w:rsidR="00B51DEA" w:rsidRDefault="00000000">
      <w:pPr>
        <w:pStyle w:val="zhangjiep"/>
        <w:spacing w:line="360" w:lineRule="auto"/>
        <w:outlineLvl w:val="9"/>
        <w:rPr>
          <w:rFonts w:asciiTheme="minorEastAsia" w:eastAsiaTheme="minorEastAsia" w:hAnsiTheme="minorEastAsia" w:hint="eastAsia"/>
          <w:bCs/>
        </w:rPr>
      </w:pPr>
      <w:r>
        <w:rPr>
          <w:rFonts w:asciiTheme="minorEastAsia" w:eastAsiaTheme="minorEastAsia" w:hAnsiTheme="minorEastAsia"/>
          <w:bCs/>
        </w:rPr>
        <w:t>4、报告期末按债券品种分类的债券投资组合</w:t>
      </w:r>
    </w:p>
    <w:tbl>
      <w:tblPr>
        <w:tblW w:w="9080" w:type="dxa"/>
        <w:tblInd w:w="108" w:type="dxa"/>
        <w:tblLook w:val="04A0" w:firstRow="1" w:lastRow="0" w:firstColumn="1" w:lastColumn="0" w:noHBand="0" w:noVBand="1"/>
      </w:tblPr>
      <w:tblGrid>
        <w:gridCol w:w="1210"/>
        <w:gridCol w:w="3481"/>
        <w:gridCol w:w="2573"/>
        <w:gridCol w:w="1816"/>
      </w:tblGrid>
      <w:tr w:rsidR="00B51DEA" w14:paraId="388B093A" w14:textId="77777777">
        <w:tc>
          <w:tcPr>
            <w:tcW w:w="1210" w:type="dxa"/>
            <w:tcBorders>
              <w:top w:val="single" w:sz="8" w:space="0" w:color="000000"/>
              <w:left w:val="single" w:sz="8" w:space="0" w:color="000000"/>
              <w:bottom w:val="single" w:sz="6" w:space="0" w:color="000000"/>
              <w:right w:val="single" w:sz="8" w:space="0" w:color="000000"/>
            </w:tcBorders>
            <w:vAlign w:val="center"/>
          </w:tcPr>
          <w:p w14:paraId="25EEF36C" w14:textId="77777777" w:rsidR="00B51DEA" w:rsidRDefault="00000000">
            <w:pPr>
              <w:pStyle w:val="biaogecenter"/>
              <w:wordWrap w:val="0"/>
              <w:rPr>
                <w:rFonts w:hint="eastAsia"/>
              </w:rPr>
            </w:pPr>
            <w:r>
              <w:rPr>
                <w:rFonts w:hAnsi="等线"/>
                <w:color w:val="000000"/>
              </w:rPr>
              <w:t>序号</w:t>
            </w:r>
          </w:p>
        </w:tc>
        <w:tc>
          <w:tcPr>
            <w:tcW w:w="3481" w:type="dxa"/>
            <w:tcBorders>
              <w:top w:val="single" w:sz="8" w:space="0" w:color="000000"/>
              <w:left w:val="single" w:sz="8" w:space="0" w:color="000000"/>
              <w:bottom w:val="single" w:sz="6" w:space="0" w:color="000000"/>
              <w:right w:val="single" w:sz="8" w:space="0" w:color="000000"/>
            </w:tcBorders>
            <w:vAlign w:val="center"/>
          </w:tcPr>
          <w:p w14:paraId="5AFD4C1A" w14:textId="77777777" w:rsidR="00B51DEA" w:rsidRDefault="00000000">
            <w:pPr>
              <w:pStyle w:val="biaogecenter"/>
              <w:wordWrap w:val="0"/>
              <w:rPr>
                <w:rFonts w:hint="eastAsia"/>
              </w:rPr>
            </w:pPr>
            <w:r>
              <w:rPr>
                <w:rFonts w:hAnsi="等线"/>
                <w:color w:val="000000"/>
              </w:rPr>
              <w:t>债券品种</w:t>
            </w:r>
          </w:p>
        </w:tc>
        <w:tc>
          <w:tcPr>
            <w:tcW w:w="2573" w:type="dxa"/>
            <w:tcBorders>
              <w:top w:val="single" w:sz="8" w:space="0" w:color="000000"/>
              <w:left w:val="single" w:sz="8" w:space="0" w:color="000000"/>
              <w:bottom w:val="single" w:sz="6" w:space="0" w:color="000000"/>
              <w:right w:val="single" w:sz="8" w:space="0" w:color="000000"/>
            </w:tcBorders>
            <w:vAlign w:val="center"/>
          </w:tcPr>
          <w:p w14:paraId="425D616E" w14:textId="77777777" w:rsidR="00B51DEA" w:rsidRDefault="00000000">
            <w:pPr>
              <w:pStyle w:val="biaogecenter"/>
              <w:wordWrap w:val="0"/>
              <w:rPr>
                <w:rFonts w:hint="eastAsia"/>
              </w:rPr>
            </w:pPr>
            <w:r>
              <w:rPr>
                <w:rFonts w:hAnsi="等线"/>
                <w:color w:val="000000"/>
              </w:rPr>
              <w:t>公允价值(元)</w:t>
            </w:r>
          </w:p>
        </w:tc>
        <w:tc>
          <w:tcPr>
            <w:tcW w:w="1816" w:type="dxa"/>
            <w:tcBorders>
              <w:top w:val="single" w:sz="8" w:space="0" w:color="000000"/>
              <w:left w:val="single" w:sz="8" w:space="0" w:color="000000"/>
              <w:bottom w:val="single" w:sz="6" w:space="0" w:color="000000"/>
              <w:right w:val="single" w:sz="8" w:space="0" w:color="000000"/>
            </w:tcBorders>
            <w:vAlign w:val="center"/>
          </w:tcPr>
          <w:p w14:paraId="136F8697" w14:textId="77777777" w:rsidR="00B51DEA" w:rsidRDefault="00000000">
            <w:pPr>
              <w:pStyle w:val="biaogecenter"/>
              <w:wordWrap w:val="0"/>
              <w:rPr>
                <w:rFonts w:hint="eastAsia"/>
              </w:rPr>
            </w:pPr>
            <w:r>
              <w:rPr>
                <w:rFonts w:hAnsi="等线"/>
                <w:color w:val="000000"/>
              </w:rPr>
              <w:t>占基金资产净值比例（％）</w:t>
            </w:r>
          </w:p>
        </w:tc>
      </w:tr>
      <w:tr w:rsidR="00B51DEA" w14:paraId="7B499516" w14:textId="77777777">
        <w:tc>
          <w:tcPr>
            <w:tcW w:w="1210" w:type="dxa"/>
            <w:tcBorders>
              <w:top w:val="single" w:sz="8" w:space="0" w:color="000000"/>
              <w:left w:val="single" w:sz="8" w:space="0" w:color="000000"/>
              <w:bottom w:val="single" w:sz="6" w:space="0" w:color="000000"/>
              <w:right w:val="single" w:sz="8" w:space="0" w:color="000000"/>
            </w:tcBorders>
            <w:vAlign w:val="center"/>
          </w:tcPr>
          <w:p w14:paraId="48EDBCA7" w14:textId="77777777" w:rsidR="00B51DEA" w:rsidRDefault="00000000">
            <w:pPr>
              <w:pStyle w:val="biaogecenter"/>
              <w:wordWrap w:val="0"/>
              <w:rPr>
                <w:rFonts w:hint="eastAsia"/>
              </w:rPr>
            </w:pPr>
            <w:r>
              <w:rPr>
                <w:rFonts w:hAnsi="等线"/>
                <w:color w:val="000000"/>
              </w:rPr>
              <w:t>1</w:t>
            </w:r>
          </w:p>
        </w:tc>
        <w:tc>
          <w:tcPr>
            <w:tcW w:w="3481" w:type="dxa"/>
            <w:tcBorders>
              <w:top w:val="single" w:sz="8" w:space="0" w:color="000000"/>
              <w:left w:val="single" w:sz="8" w:space="0" w:color="000000"/>
              <w:bottom w:val="single" w:sz="6" w:space="0" w:color="000000"/>
              <w:right w:val="single" w:sz="8" w:space="0" w:color="000000"/>
            </w:tcBorders>
            <w:vAlign w:val="center"/>
          </w:tcPr>
          <w:p w14:paraId="636B308D" w14:textId="77777777" w:rsidR="00B51DEA" w:rsidRDefault="00000000">
            <w:pPr>
              <w:pStyle w:val="biaogeleft"/>
              <w:wordWrap w:val="0"/>
              <w:rPr>
                <w:rFonts w:hint="eastAsia"/>
              </w:rPr>
            </w:pPr>
            <w:r>
              <w:rPr>
                <w:rFonts w:hAnsi="等线"/>
                <w:color w:val="000000"/>
              </w:rPr>
              <w:t>国家债券</w:t>
            </w:r>
          </w:p>
        </w:tc>
        <w:tc>
          <w:tcPr>
            <w:tcW w:w="2573" w:type="dxa"/>
            <w:tcBorders>
              <w:top w:val="single" w:sz="8" w:space="0" w:color="000000"/>
              <w:left w:val="single" w:sz="8" w:space="0" w:color="000000"/>
              <w:bottom w:val="single" w:sz="6" w:space="0" w:color="000000"/>
              <w:right w:val="single" w:sz="8" w:space="0" w:color="000000"/>
            </w:tcBorders>
            <w:vAlign w:val="center"/>
          </w:tcPr>
          <w:p w14:paraId="223281EB" w14:textId="77777777" w:rsidR="00B51DEA" w:rsidRDefault="00000000">
            <w:pPr>
              <w:pStyle w:val="biaogeright"/>
              <w:wordWrap w:val="0"/>
              <w:rPr>
                <w:rFonts w:hint="eastAsia"/>
              </w:rPr>
            </w:pPr>
            <w:r>
              <w:rPr>
                <w:rFonts w:hAnsi="Calibri"/>
                <w:color w:val="000000"/>
              </w:rPr>
              <w:t>8,854,099.29</w:t>
            </w:r>
          </w:p>
        </w:tc>
        <w:tc>
          <w:tcPr>
            <w:tcW w:w="1816" w:type="dxa"/>
            <w:tcBorders>
              <w:top w:val="single" w:sz="8" w:space="0" w:color="000000"/>
              <w:left w:val="single" w:sz="8" w:space="0" w:color="000000"/>
              <w:bottom w:val="single" w:sz="6" w:space="0" w:color="000000"/>
              <w:right w:val="single" w:sz="8" w:space="0" w:color="000000"/>
            </w:tcBorders>
            <w:vAlign w:val="center"/>
          </w:tcPr>
          <w:p w14:paraId="06AECF0B" w14:textId="77777777" w:rsidR="00B51DEA" w:rsidRDefault="00000000">
            <w:pPr>
              <w:pStyle w:val="biaogeright"/>
              <w:wordWrap w:val="0"/>
              <w:rPr>
                <w:rFonts w:hint="eastAsia"/>
              </w:rPr>
            </w:pPr>
            <w:r>
              <w:rPr>
                <w:rFonts w:hAnsi="Calibri"/>
                <w:color w:val="000000"/>
              </w:rPr>
              <w:t>18.68</w:t>
            </w:r>
          </w:p>
        </w:tc>
      </w:tr>
      <w:tr w:rsidR="00B51DEA" w14:paraId="40163B78" w14:textId="77777777">
        <w:tc>
          <w:tcPr>
            <w:tcW w:w="1210" w:type="dxa"/>
            <w:tcBorders>
              <w:top w:val="single" w:sz="8" w:space="0" w:color="000000"/>
              <w:left w:val="single" w:sz="8" w:space="0" w:color="000000"/>
              <w:bottom w:val="single" w:sz="6" w:space="0" w:color="000000"/>
              <w:right w:val="single" w:sz="8" w:space="0" w:color="000000"/>
            </w:tcBorders>
            <w:vAlign w:val="center"/>
          </w:tcPr>
          <w:p w14:paraId="50E960C1" w14:textId="77777777" w:rsidR="00B51DEA" w:rsidRDefault="00000000">
            <w:pPr>
              <w:pStyle w:val="biaogecenter"/>
              <w:wordWrap w:val="0"/>
              <w:rPr>
                <w:rFonts w:hint="eastAsia"/>
              </w:rPr>
            </w:pPr>
            <w:r>
              <w:rPr>
                <w:rFonts w:hAnsi="等线"/>
                <w:color w:val="000000"/>
              </w:rPr>
              <w:t>2</w:t>
            </w:r>
          </w:p>
        </w:tc>
        <w:tc>
          <w:tcPr>
            <w:tcW w:w="3481" w:type="dxa"/>
            <w:tcBorders>
              <w:top w:val="single" w:sz="8" w:space="0" w:color="000000"/>
              <w:left w:val="single" w:sz="8" w:space="0" w:color="000000"/>
              <w:bottom w:val="single" w:sz="6" w:space="0" w:color="000000"/>
              <w:right w:val="single" w:sz="8" w:space="0" w:color="000000"/>
            </w:tcBorders>
            <w:vAlign w:val="center"/>
          </w:tcPr>
          <w:p w14:paraId="2431BE62" w14:textId="77777777" w:rsidR="00B51DEA" w:rsidRDefault="00000000">
            <w:pPr>
              <w:pStyle w:val="biaogeleft"/>
              <w:wordWrap w:val="0"/>
              <w:rPr>
                <w:rFonts w:hint="eastAsia"/>
              </w:rPr>
            </w:pPr>
            <w:r>
              <w:rPr>
                <w:rFonts w:hAnsi="等线"/>
                <w:color w:val="000000"/>
              </w:rPr>
              <w:t>央行票据</w:t>
            </w:r>
          </w:p>
        </w:tc>
        <w:tc>
          <w:tcPr>
            <w:tcW w:w="2573" w:type="dxa"/>
            <w:tcBorders>
              <w:top w:val="single" w:sz="8" w:space="0" w:color="000000"/>
              <w:left w:val="single" w:sz="8" w:space="0" w:color="000000"/>
              <w:bottom w:val="single" w:sz="6" w:space="0" w:color="000000"/>
              <w:right w:val="single" w:sz="8" w:space="0" w:color="000000"/>
            </w:tcBorders>
            <w:vAlign w:val="center"/>
          </w:tcPr>
          <w:p w14:paraId="23616928" w14:textId="77777777" w:rsidR="00B51DEA" w:rsidRDefault="00000000">
            <w:pPr>
              <w:pStyle w:val="biaogeright"/>
              <w:wordWrap w:val="0"/>
              <w:rPr>
                <w:rFonts w:hint="eastAsia"/>
              </w:rPr>
            </w:pPr>
            <w:r>
              <w:rPr>
                <w:rFonts w:hAnsi="Calibri"/>
                <w:color w:val="000000"/>
              </w:rPr>
              <w:t>-</w:t>
            </w:r>
          </w:p>
        </w:tc>
        <w:tc>
          <w:tcPr>
            <w:tcW w:w="1816" w:type="dxa"/>
            <w:tcBorders>
              <w:top w:val="single" w:sz="8" w:space="0" w:color="000000"/>
              <w:left w:val="single" w:sz="8" w:space="0" w:color="000000"/>
              <w:bottom w:val="single" w:sz="6" w:space="0" w:color="000000"/>
              <w:right w:val="single" w:sz="8" w:space="0" w:color="000000"/>
            </w:tcBorders>
            <w:vAlign w:val="center"/>
          </w:tcPr>
          <w:p w14:paraId="6B0BD5CE" w14:textId="77777777" w:rsidR="00B51DEA" w:rsidRDefault="00000000">
            <w:pPr>
              <w:pStyle w:val="biaogeright"/>
              <w:wordWrap w:val="0"/>
              <w:rPr>
                <w:rFonts w:hint="eastAsia"/>
              </w:rPr>
            </w:pPr>
            <w:r>
              <w:rPr>
                <w:rFonts w:hAnsi="Calibri"/>
                <w:color w:val="000000"/>
              </w:rPr>
              <w:t>-</w:t>
            </w:r>
          </w:p>
        </w:tc>
      </w:tr>
      <w:tr w:rsidR="00B51DEA" w14:paraId="66AC53B5" w14:textId="77777777">
        <w:tc>
          <w:tcPr>
            <w:tcW w:w="1210" w:type="dxa"/>
            <w:tcBorders>
              <w:top w:val="single" w:sz="8" w:space="0" w:color="000000"/>
              <w:left w:val="single" w:sz="8" w:space="0" w:color="000000"/>
              <w:bottom w:val="single" w:sz="6" w:space="0" w:color="000000"/>
              <w:right w:val="single" w:sz="8" w:space="0" w:color="000000"/>
            </w:tcBorders>
            <w:vAlign w:val="center"/>
          </w:tcPr>
          <w:p w14:paraId="2FF43958" w14:textId="77777777" w:rsidR="00B51DEA" w:rsidRDefault="00000000">
            <w:pPr>
              <w:pStyle w:val="biaogecenter"/>
              <w:wordWrap w:val="0"/>
              <w:rPr>
                <w:rFonts w:hint="eastAsia"/>
              </w:rPr>
            </w:pPr>
            <w:r>
              <w:rPr>
                <w:rFonts w:hAnsi="等线"/>
                <w:color w:val="000000"/>
              </w:rPr>
              <w:t>3</w:t>
            </w:r>
          </w:p>
        </w:tc>
        <w:tc>
          <w:tcPr>
            <w:tcW w:w="3481" w:type="dxa"/>
            <w:tcBorders>
              <w:top w:val="single" w:sz="8" w:space="0" w:color="000000"/>
              <w:left w:val="single" w:sz="8" w:space="0" w:color="000000"/>
              <w:bottom w:val="single" w:sz="6" w:space="0" w:color="000000"/>
              <w:right w:val="single" w:sz="8" w:space="0" w:color="000000"/>
            </w:tcBorders>
            <w:vAlign w:val="center"/>
          </w:tcPr>
          <w:p w14:paraId="4748BB23" w14:textId="77777777" w:rsidR="00B51DEA" w:rsidRDefault="00000000">
            <w:pPr>
              <w:pStyle w:val="biaogeleft"/>
              <w:wordWrap w:val="0"/>
              <w:rPr>
                <w:rFonts w:hint="eastAsia"/>
              </w:rPr>
            </w:pPr>
            <w:r>
              <w:rPr>
                <w:rFonts w:hAnsi="等线"/>
                <w:color w:val="000000"/>
              </w:rPr>
              <w:t>金融债券</w:t>
            </w:r>
          </w:p>
        </w:tc>
        <w:tc>
          <w:tcPr>
            <w:tcW w:w="2573" w:type="dxa"/>
            <w:tcBorders>
              <w:top w:val="single" w:sz="8" w:space="0" w:color="000000"/>
              <w:left w:val="single" w:sz="8" w:space="0" w:color="000000"/>
              <w:bottom w:val="single" w:sz="6" w:space="0" w:color="000000"/>
              <w:right w:val="single" w:sz="8" w:space="0" w:color="000000"/>
            </w:tcBorders>
            <w:vAlign w:val="center"/>
          </w:tcPr>
          <w:p w14:paraId="4C400335" w14:textId="77777777" w:rsidR="00B51DEA" w:rsidRDefault="00000000">
            <w:pPr>
              <w:pStyle w:val="biaogeright"/>
              <w:wordWrap w:val="0"/>
              <w:rPr>
                <w:rFonts w:hint="eastAsia"/>
              </w:rPr>
            </w:pPr>
            <w:r>
              <w:rPr>
                <w:rFonts w:hAnsi="Calibri"/>
                <w:color w:val="000000"/>
              </w:rPr>
              <w:t>10,185,545.21</w:t>
            </w:r>
          </w:p>
        </w:tc>
        <w:tc>
          <w:tcPr>
            <w:tcW w:w="1816" w:type="dxa"/>
            <w:tcBorders>
              <w:top w:val="single" w:sz="8" w:space="0" w:color="000000"/>
              <w:left w:val="single" w:sz="8" w:space="0" w:color="000000"/>
              <w:bottom w:val="single" w:sz="6" w:space="0" w:color="000000"/>
              <w:right w:val="single" w:sz="8" w:space="0" w:color="000000"/>
            </w:tcBorders>
            <w:vAlign w:val="center"/>
          </w:tcPr>
          <w:p w14:paraId="4EC7EBC2" w14:textId="77777777" w:rsidR="00B51DEA" w:rsidRDefault="00000000">
            <w:pPr>
              <w:pStyle w:val="biaogeright"/>
              <w:wordWrap w:val="0"/>
              <w:rPr>
                <w:rFonts w:hint="eastAsia"/>
              </w:rPr>
            </w:pPr>
            <w:r>
              <w:rPr>
                <w:rFonts w:hAnsi="Calibri"/>
                <w:color w:val="000000"/>
              </w:rPr>
              <w:t>21.49</w:t>
            </w:r>
          </w:p>
        </w:tc>
      </w:tr>
      <w:tr w:rsidR="00B51DEA" w14:paraId="4F3EDA68" w14:textId="77777777">
        <w:tc>
          <w:tcPr>
            <w:tcW w:w="1210" w:type="dxa"/>
            <w:tcBorders>
              <w:top w:val="single" w:sz="8" w:space="0" w:color="000000"/>
              <w:left w:val="single" w:sz="8" w:space="0" w:color="000000"/>
              <w:bottom w:val="single" w:sz="6" w:space="0" w:color="000000"/>
              <w:right w:val="single" w:sz="8" w:space="0" w:color="000000"/>
            </w:tcBorders>
            <w:vAlign w:val="center"/>
          </w:tcPr>
          <w:p w14:paraId="7C14259C" w14:textId="77777777" w:rsidR="00B51DEA" w:rsidRDefault="00B51DEA"/>
        </w:tc>
        <w:tc>
          <w:tcPr>
            <w:tcW w:w="3481" w:type="dxa"/>
            <w:tcBorders>
              <w:top w:val="single" w:sz="8" w:space="0" w:color="000000"/>
              <w:left w:val="single" w:sz="8" w:space="0" w:color="000000"/>
              <w:bottom w:val="single" w:sz="6" w:space="0" w:color="000000"/>
              <w:right w:val="single" w:sz="8" w:space="0" w:color="000000"/>
            </w:tcBorders>
            <w:vAlign w:val="center"/>
          </w:tcPr>
          <w:p w14:paraId="2BF3D03A" w14:textId="77777777" w:rsidR="00B51DEA" w:rsidRDefault="00000000">
            <w:pPr>
              <w:pStyle w:val="biaogeleft"/>
              <w:wordWrap w:val="0"/>
              <w:rPr>
                <w:rFonts w:hint="eastAsia"/>
              </w:rPr>
            </w:pPr>
            <w:r>
              <w:rPr>
                <w:rFonts w:hAnsi="等线"/>
                <w:color w:val="000000"/>
              </w:rPr>
              <w:t>其中：政策性金融债</w:t>
            </w:r>
          </w:p>
        </w:tc>
        <w:tc>
          <w:tcPr>
            <w:tcW w:w="2573" w:type="dxa"/>
            <w:tcBorders>
              <w:top w:val="single" w:sz="8" w:space="0" w:color="000000"/>
              <w:left w:val="single" w:sz="8" w:space="0" w:color="000000"/>
              <w:bottom w:val="single" w:sz="6" w:space="0" w:color="000000"/>
              <w:right w:val="single" w:sz="8" w:space="0" w:color="000000"/>
            </w:tcBorders>
            <w:vAlign w:val="center"/>
          </w:tcPr>
          <w:p w14:paraId="438812F8" w14:textId="77777777" w:rsidR="00B51DEA" w:rsidRDefault="00000000">
            <w:pPr>
              <w:pStyle w:val="biaogeright"/>
              <w:wordWrap w:val="0"/>
              <w:rPr>
                <w:rFonts w:hint="eastAsia"/>
              </w:rPr>
            </w:pPr>
            <w:r>
              <w:rPr>
                <w:rFonts w:hAnsi="Calibri"/>
                <w:color w:val="000000"/>
              </w:rPr>
              <w:t>10,185,545.21</w:t>
            </w:r>
          </w:p>
        </w:tc>
        <w:tc>
          <w:tcPr>
            <w:tcW w:w="1816" w:type="dxa"/>
            <w:tcBorders>
              <w:top w:val="single" w:sz="8" w:space="0" w:color="000000"/>
              <w:left w:val="single" w:sz="8" w:space="0" w:color="000000"/>
              <w:bottom w:val="single" w:sz="6" w:space="0" w:color="000000"/>
              <w:right w:val="single" w:sz="8" w:space="0" w:color="000000"/>
            </w:tcBorders>
            <w:vAlign w:val="center"/>
          </w:tcPr>
          <w:p w14:paraId="564C7C06" w14:textId="77777777" w:rsidR="00B51DEA" w:rsidRDefault="00000000">
            <w:pPr>
              <w:pStyle w:val="biaogeright"/>
              <w:wordWrap w:val="0"/>
              <w:rPr>
                <w:rFonts w:hint="eastAsia"/>
              </w:rPr>
            </w:pPr>
            <w:r>
              <w:rPr>
                <w:rFonts w:hAnsi="Calibri"/>
                <w:color w:val="000000"/>
              </w:rPr>
              <w:t>21.49</w:t>
            </w:r>
          </w:p>
        </w:tc>
      </w:tr>
      <w:tr w:rsidR="00B51DEA" w14:paraId="156AAFAC" w14:textId="77777777">
        <w:tc>
          <w:tcPr>
            <w:tcW w:w="1210" w:type="dxa"/>
            <w:tcBorders>
              <w:top w:val="single" w:sz="8" w:space="0" w:color="000000"/>
              <w:left w:val="single" w:sz="8" w:space="0" w:color="000000"/>
              <w:bottom w:val="single" w:sz="6" w:space="0" w:color="000000"/>
              <w:right w:val="single" w:sz="8" w:space="0" w:color="000000"/>
            </w:tcBorders>
            <w:vAlign w:val="center"/>
          </w:tcPr>
          <w:p w14:paraId="394D94A9" w14:textId="77777777" w:rsidR="00B51DEA" w:rsidRDefault="00000000">
            <w:pPr>
              <w:pStyle w:val="biaogecenter"/>
              <w:wordWrap w:val="0"/>
              <w:rPr>
                <w:rFonts w:hint="eastAsia"/>
              </w:rPr>
            </w:pPr>
            <w:r>
              <w:rPr>
                <w:rFonts w:hAnsi="等线"/>
                <w:color w:val="000000"/>
              </w:rPr>
              <w:t>4</w:t>
            </w:r>
          </w:p>
        </w:tc>
        <w:tc>
          <w:tcPr>
            <w:tcW w:w="3481" w:type="dxa"/>
            <w:tcBorders>
              <w:top w:val="single" w:sz="8" w:space="0" w:color="000000"/>
              <w:left w:val="single" w:sz="8" w:space="0" w:color="000000"/>
              <w:bottom w:val="single" w:sz="6" w:space="0" w:color="000000"/>
              <w:right w:val="single" w:sz="8" w:space="0" w:color="000000"/>
            </w:tcBorders>
            <w:vAlign w:val="center"/>
          </w:tcPr>
          <w:p w14:paraId="704CD8CE" w14:textId="77777777" w:rsidR="00B51DEA" w:rsidRDefault="00000000">
            <w:pPr>
              <w:pStyle w:val="biaogeleft"/>
              <w:wordWrap w:val="0"/>
              <w:rPr>
                <w:rFonts w:hint="eastAsia"/>
              </w:rPr>
            </w:pPr>
            <w:r>
              <w:rPr>
                <w:rFonts w:hAnsi="等线"/>
                <w:color w:val="000000"/>
              </w:rPr>
              <w:t>企业债券</w:t>
            </w:r>
          </w:p>
        </w:tc>
        <w:tc>
          <w:tcPr>
            <w:tcW w:w="2573" w:type="dxa"/>
            <w:tcBorders>
              <w:top w:val="single" w:sz="8" w:space="0" w:color="000000"/>
              <w:left w:val="single" w:sz="8" w:space="0" w:color="000000"/>
              <w:bottom w:val="single" w:sz="6" w:space="0" w:color="000000"/>
              <w:right w:val="single" w:sz="8" w:space="0" w:color="000000"/>
            </w:tcBorders>
            <w:vAlign w:val="center"/>
          </w:tcPr>
          <w:p w14:paraId="4F2646A1" w14:textId="77777777" w:rsidR="00B51DEA" w:rsidRDefault="00000000">
            <w:pPr>
              <w:pStyle w:val="biaogeright"/>
              <w:wordWrap w:val="0"/>
              <w:rPr>
                <w:rFonts w:hint="eastAsia"/>
              </w:rPr>
            </w:pPr>
            <w:r>
              <w:rPr>
                <w:rFonts w:hAnsi="Calibri"/>
                <w:color w:val="000000"/>
              </w:rPr>
              <w:t>-</w:t>
            </w:r>
          </w:p>
        </w:tc>
        <w:tc>
          <w:tcPr>
            <w:tcW w:w="1816" w:type="dxa"/>
            <w:tcBorders>
              <w:top w:val="single" w:sz="8" w:space="0" w:color="000000"/>
              <w:left w:val="single" w:sz="8" w:space="0" w:color="000000"/>
              <w:bottom w:val="single" w:sz="6" w:space="0" w:color="000000"/>
              <w:right w:val="single" w:sz="8" w:space="0" w:color="000000"/>
            </w:tcBorders>
            <w:vAlign w:val="center"/>
          </w:tcPr>
          <w:p w14:paraId="0A7068A1" w14:textId="77777777" w:rsidR="00B51DEA" w:rsidRDefault="00000000">
            <w:pPr>
              <w:pStyle w:val="biaogeright"/>
              <w:wordWrap w:val="0"/>
              <w:rPr>
                <w:rFonts w:hint="eastAsia"/>
              </w:rPr>
            </w:pPr>
            <w:r>
              <w:rPr>
                <w:rFonts w:hAnsi="Calibri"/>
                <w:color w:val="000000"/>
              </w:rPr>
              <w:t>-</w:t>
            </w:r>
          </w:p>
        </w:tc>
      </w:tr>
      <w:tr w:rsidR="00B51DEA" w14:paraId="15887912" w14:textId="77777777">
        <w:tc>
          <w:tcPr>
            <w:tcW w:w="1210" w:type="dxa"/>
            <w:tcBorders>
              <w:top w:val="single" w:sz="8" w:space="0" w:color="000000"/>
              <w:left w:val="single" w:sz="8" w:space="0" w:color="000000"/>
              <w:bottom w:val="single" w:sz="6" w:space="0" w:color="000000"/>
              <w:right w:val="single" w:sz="8" w:space="0" w:color="000000"/>
            </w:tcBorders>
            <w:vAlign w:val="center"/>
          </w:tcPr>
          <w:p w14:paraId="38E22264" w14:textId="77777777" w:rsidR="00B51DEA" w:rsidRDefault="00000000">
            <w:pPr>
              <w:pStyle w:val="biaogecenter"/>
              <w:wordWrap w:val="0"/>
              <w:rPr>
                <w:rFonts w:hint="eastAsia"/>
              </w:rPr>
            </w:pPr>
            <w:r>
              <w:rPr>
                <w:rFonts w:hAnsi="等线"/>
                <w:color w:val="000000"/>
              </w:rPr>
              <w:t>5</w:t>
            </w:r>
          </w:p>
        </w:tc>
        <w:tc>
          <w:tcPr>
            <w:tcW w:w="3481" w:type="dxa"/>
            <w:tcBorders>
              <w:top w:val="single" w:sz="8" w:space="0" w:color="000000"/>
              <w:left w:val="single" w:sz="8" w:space="0" w:color="000000"/>
              <w:bottom w:val="single" w:sz="6" w:space="0" w:color="000000"/>
              <w:right w:val="single" w:sz="8" w:space="0" w:color="000000"/>
            </w:tcBorders>
            <w:vAlign w:val="center"/>
          </w:tcPr>
          <w:p w14:paraId="564E260D" w14:textId="77777777" w:rsidR="00B51DEA" w:rsidRDefault="00000000">
            <w:pPr>
              <w:pStyle w:val="biaogeleft"/>
              <w:wordWrap w:val="0"/>
              <w:rPr>
                <w:rFonts w:hint="eastAsia"/>
              </w:rPr>
            </w:pPr>
            <w:r>
              <w:rPr>
                <w:rFonts w:hAnsi="等线"/>
                <w:color w:val="000000"/>
              </w:rPr>
              <w:t>企业短期融资</w:t>
            </w:r>
            <w:proofErr w:type="gramStart"/>
            <w:r>
              <w:rPr>
                <w:rFonts w:hAnsi="等线"/>
                <w:color w:val="000000"/>
              </w:rPr>
              <w:t>券</w:t>
            </w:r>
            <w:proofErr w:type="gramEnd"/>
          </w:p>
        </w:tc>
        <w:tc>
          <w:tcPr>
            <w:tcW w:w="2573" w:type="dxa"/>
            <w:tcBorders>
              <w:top w:val="single" w:sz="8" w:space="0" w:color="000000"/>
              <w:left w:val="single" w:sz="8" w:space="0" w:color="000000"/>
              <w:bottom w:val="single" w:sz="6" w:space="0" w:color="000000"/>
              <w:right w:val="single" w:sz="8" w:space="0" w:color="000000"/>
            </w:tcBorders>
            <w:vAlign w:val="center"/>
          </w:tcPr>
          <w:p w14:paraId="0F16A4C1" w14:textId="77777777" w:rsidR="00B51DEA" w:rsidRDefault="00000000">
            <w:pPr>
              <w:pStyle w:val="biaogeright"/>
              <w:wordWrap w:val="0"/>
              <w:rPr>
                <w:rFonts w:hint="eastAsia"/>
              </w:rPr>
            </w:pPr>
            <w:r>
              <w:rPr>
                <w:rFonts w:hAnsi="Calibri"/>
                <w:color w:val="000000"/>
              </w:rPr>
              <w:t>-</w:t>
            </w:r>
          </w:p>
        </w:tc>
        <w:tc>
          <w:tcPr>
            <w:tcW w:w="1816" w:type="dxa"/>
            <w:tcBorders>
              <w:top w:val="single" w:sz="8" w:space="0" w:color="000000"/>
              <w:left w:val="single" w:sz="8" w:space="0" w:color="000000"/>
              <w:bottom w:val="single" w:sz="6" w:space="0" w:color="000000"/>
              <w:right w:val="single" w:sz="8" w:space="0" w:color="000000"/>
            </w:tcBorders>
            <w:vAlign w:val="center"/>
          </w:tcPr>
          <w:p w14:paraId="72BB4665" w14:textId="77777777" w:rsidR="00B51DEA" w:rsidRDefault="00000000">
            <w:pPr>
              <w:pStyle w:val="biaogeright"/>
              <w:wordWrap w:val="0"/>
              <w:rPr>
                <w:rFonts w:hint="eastAsia"/>
              </w:rPr>
            </w:pPr>
            <w:r>
              <w:rPr>
                <w:rFonts w:hAnsi="Calibri"/>
                <w:color w:val="000000"/>
              </w:rPr>
              <w:t>-</w:t>
            </w:r>
          </w:p>
        </w:tc>
      </w:tr>
      <w:tr w:rsidR="00B51DEA" w14:paraId="4F720047" w14:textId="77777777">
        <w:tc>
          <w:tcPr>
            <w:tcW w:w="1210" w:type="dxa"/>
            <w:tcBorders>
              <w:top w:val="single" w:sz="8" w:space="0" w:color="000000"/>
              <w:left w:val="single" w:sz="8" w:space="0" w:color="000000"/>
              <w:bottom w:val="single" w:sz="6" w:space="0" w:color="000000"/>
              <w:right w:val="single" w:sz="8" w:space="0" w:color="000000"/>
            </w:tcBorders>
            <w:vAlign w:val="center"/>
          </w:tcPr>
          <w:p w14:paraId="2F995C11" w14:textId="77777777" w:rsidR="00B51DEA" w:rsidRDefault="00000000">
            <w:pPr>
              <w:pStyle w:val="biaogecenter"/>
              <w:wordWrap w:val="0"/>
              <w:rPr>
                <w:rFonts w:hint="eastAsia"/>
              </w:rPr>
            </w:pPr>
            <w:r>
              <w:rPr>
                <w:rFonts w:hAnsi="等线"/>
                <w:color w:val="000000"/>
              </w:rPr>
              <w:lastRenderedPageBreak/>
              <w:t>6</w:t>
            </w:r>
          </w:p>
        </w:tc>
        <w:tc>
          <w:tcPr>
            <w:tcW w:w="3481" w:type="dxa"/>
            <w:tcBorders>
              <w:top w:val="single" w:sz="8" w:space="0" w:color="000000"/>
              <w:left w:val="single" w:sz="8" w:space="0" w:color="000000"/>
              <w:bottom w:val="single" w:sz="6" w:space="0" w:color="000000"/>
              <w:right w:val="single" w:sz="8" w:space="0" w:color="000000"/>
            </w:tcBorders>
            <w:vAlign w:val="center"/>
          </w:tcPr>
          <w:p w14:paraId="296DB851" w14:textId="77777777" w:rsidR="00B51DEA" w:rsidRDefault="00000000">
            <w:pPr>
              <w:pStyle w:val="biaogeleft"/>
              <w:wordWrap w:val="0"/>
              <w:rPr>
                <w:rFonts w:hint="eastAsia"/>
              </w:rPr>
            </w:pPr>
            <w:r>
              <w:rPr>
                <w:rFonts w:hAnsi="等线"/>
                <w:color w:val="000000"/>
              </w:rPr>
              <w:t>中期票据</w:t>
            </w:r>
          </w:p>
        </w:tc>
        <w:tc>
          <w:tcPr>
            <w:tcW w:w="2573" w:type="dxa"/>
            <w:tcBorders>
              <w:top w:val="single" w:sz="8" w:space="0" w:color="000000"/>
              <w:left w:val="single" w:sz="8" w:space="0" w:color="000000"/>
              <w:bottom w:val="single" w:sz="6" w:space="0" w:color="000000"/>
              <w:right w:val="single" w:sz="8" w:space="0" w:color="000000"/>
            </w:tcBorders>
            <w:vAlign w:val="center"/>
          </w:tcPr>
          <w:p w14:paraId="7144C17B" w14:textId="77777777" w:rsidR="00B51DEA" w:rsidRDefault="00000000">
            <w:pPr>
              <w:pStyle w:val="biaogeright"/>
              <w:wordWrap w:val="0"/>
              <w:rPr>
                <w:rFonts w:hint="eastAsia"/>
              </w:rPr>
            </w:pPr>
            <w:r>
              <w:rPr>
                <w:rFonts w:hAnsi="Calibri"/>
                <w:color w:val="000000"/>
              </w:rPr>
              <w:t>4,460,914.19</w:t>
            </w:r>
          </w:p>
        </w:tc>
        <w:tc>
          <w:tcPr>
            <w:tcW w:w="1816" w:type="dxa"/>
            <w:tcBorders>
              <w:top w:val="single" w:sz="8" w:space="0" w:color="000000"/>
              <w:left w:val="single" w:sz="8" w:space="0" w:color="000000"/>
              <w:bottom w:val="single" w:sz="6" w:space="0" w:color="000000"/>
              <w:right w:val="single" w:sz="8" w:space="0" w:color="000000"/>
            </w:tcBorders>
            <w:vAlign w:val="center"/>
          </w:tcPr>
          <w:p w14:paraId="75BF8584" w14:textId="77777777" w:rsidR="00B51DEA" w:rsidRDefault="00000000">
            <w:pPr>
              <w:pStyle w:val="biaogeright"/>
              <w:wordWrap w:val="0"/>
              <w:rPr>
                <w:rFonts w:hint="eastAsia"/>
              </w:rPr>
            </w:pPr>
            <w:r>
              <w:rPr>
                <w:rFonts w:hAnsi="Calibri"/>
                <w:color w:val="000000"/>
              </w:rPr>
              <w:t>9.41</w:t>
            </w:r>
          </w:p>
        </w:tc>
      </w:tr>
      <w:tr w:rsidR="00B51DEA" w14:paraId="17AB9157" w14:textId="77777777">
        <w:tc>
          <w:tcPr>
            <w:tcW w:w="1210" w:type="dxa"/>
            <w:tcBorders>
              <w:top w:val="single" w:sz="8" w:space="0" w:color="000000"/>
              <w:left w:val="single" w:sz="8" w:space="0" w:color="000000"/>
              <w:bottom w:val="single" w:sz="6" w:space="0" w:color="000000"/>
              <w:right w:val="single" w:sz="8" w:space="0" w:color="000000"/>
            </w:tcBorders>
            <w:vAlign w:val="center"/>
          </w:tcPr>
          <w:p w14:paraId="63819036" w14:textId="77777777" w:rsidR="00B51DEA" w:rsidRDefault="00000000">
            <w:pPr>
              <w:pStyle w:val="biaogecenter"/>
              <w:wordWrap w:val="0"/>
              <w:rPr>
                <w:rFonts w:hint="eastAsia"/>
              </w:rPr>
            </w:pPr>
            <w:r>
              <w:rPr>
                <w:rFonts w:hAnsi="等线"/>
                <w:color w:val="000000"/>
              </w:rPr>
              <w:t>7</w:t>
            </w:r>
          </w:p>
        </w:tc>
        <w:tc>
          <w:tcPr>
            <w:tcW w:w="3481" w:type="dxa"/>
            <w:tcBorders>
              <w:top w:val="single" w:sz="8" w:space="0" w:color="000000"/>
              <w:left w:val="single" w:sz="8" w:space="0" w:color="000000"/>
              <w:bottom w:val="single" w:sz="6" w:space="0" w:color="000000"/>
              <w:right w:val="single" w:sz="8" w:space="0" w:color="000000"/>
            </w:tcBorders>
            <w:vAlign w:val="center"/>
          </w:tcPr>
          <w:p w14:paraId="7C866172" w14:textId="77777777" w:rsidR="00B51DEA" w:rsidRDefault="00000000">
            <w:pPr>
              <w:pStyle w:val="biaogeleft"/>
              <w:wordWrap w:val="0"/>
              <w:rPr>
                <w:rFonts w:hint="eastAsia"/>
              </w:rPr>
            </w:pPr>
            <w:r>
              <w:rPr>
                <w:rFonts w:hAnsi="等线"/>
                <w:color w:val="000000"/>
              </w:rPr>
              <w:t>可转债（可交换债）</w:t>
            </w:r>
          </w:p>
        </w:tc>
        <w:tc>
          <w:tcPr>
            <w:tcW w:w="2573" w:type="dxa"/>
            <w:tcBorders>
              <w:top w:val="single" w:sz="8" w:space="0" w:color="000000"/>
              <w:left w:val="single" w:sz="8" w:space="0" w:color="000000"/>
              <w:bottom w:val="single" w:sz="6" w:space="0" w:color="000000"/>
              <w:right w:val="single" w:sz="8" w:space="0" w:color="000000"/>
            </w:tcBorders>
            <w:vAlign w:val="center"/>
          </w:tcPr>
          <w:p w14:paraId="4A555FF4" w14:textId="77777777" w:rsidR="00B51DEA" w:rsidRDefault="00000000">
            <w:pPr>
              <w:pStyle w:val="biaogeright"/>
              <w:wordWrap w:val="0"/>
              <w:rPr>
                <w:rFonts w:hint="eastAsia"/>
              </w:rPr>
            </w:pPr>
            <w:r>
              <w:rPr>
                <w:rFonts w:hAnsi="Calibri"/>
                <w:color w:val="000000"/>
              </w:rPr>
              <w:t>-</w:t>
            </w:r>
          </w:p>
        </w:tc>
        <w:tc>
          <w:tcPr>
            <w:tcW w:w="1816" w:type="dxa"/>
            <w:tcBorders>
              <w:top w:val="single" w:sz="8" w:space="0" w:color="000000"/>
              <w:left w:val="single" w:sz="8" w:space="0" w:color="000000"/>
              <w:bottom w:val="single" w:sz="6" w:space="0" w:color="000000"/>
              <w:right w:val="single" w:sz="8" w:space="0" w:color="000000"/>
            </w:tcBorders>
            <w:vAlign w:val="center"/>
          </w:tcPr>
          <w:p w14:paraId="484EF220" w14:textId="77777777" w:rsidR="00B51DEA" w:rsidRDefault="00000000">
            <w:pPr>
              <w:pStyle w:val="biaogeright"/>
              <w:wordWrap w:val="0"/>
              <w:rPr>
                <w:rFonts w:hint="eastAsia"/>
              </w:rPr>
            </w:pPr>
            <w:r>
              <w:rPr>
                <w:rFonts w:hAnsi="Calibri"/>
                <w:color w:val="000000"/>
              </w:rPr>
              <w:t>-</w:t>
            </w:r>
          </w:p>
        </w:tc>
      </w:tr>
      <w:tr w:rsidR="00B51DEA" w14:paraId="1069B2D6" w14:textId="77777777">
        <w:tc>
          <w:tcPr>
            <w:tcW w:w="1210" w:type="dxa"/>
            <w:tcBorders>
              <w:top w:val="single" w:sz="8" w:space="0" w:color="000000"/>
              <w:left w:val="single" w:sz="8" w:space="0" w:color="000000"/>
              <w:bottom w:val="single" w:sz="6" w:space="0" w:color="000000"/>
              <w:right w:val="single" w:sz="8" w:space="0" w:color="000000"/>
            </w:tcBorders>
            <w:vAlign w:val="center"/>
          </w:tcPr>
          <w:p w14:paraId="2BF376AC" w14:textId="77777777" w:rsidR="00B51DEA" w:rsidRDefault="00000000">
            <w:pPr>
              <w:pStyle w:val="biaogecenter"/>
              <w:wordWrap w:val="0"/>
              <w:rPr>
                <w:rFonts w:hint="eastAsia"/>
              </w:rPr>
            </w:pPr>
            <w:r>
              <w:rPr>
                <w:rFonts w:hAnsi="等线"/>
                <w:color w:val="000000"/>
              </w:rPr>
              <w:t>8</w:t>
            </w:r>
          </w:p>
        </w:tc>
        <w:tc>
          <w:tcPr>
            <w:tcW w:w="3481" w:type="dxa"/>
            <w:tcBorders>
              <w:top w:val="single" w:sz="8" w:space="0" w:color="000000"/>
              <w:left w:val="single" w:sz="8" w:space="0" w:color="000000"/>
              <w:bottom w:val="single" w:sz="6" w:space="0" w:color="000000"/>
              <w:right w:val="single" w:sz="8" w:space="0" w:color="000000"/>
            </w:tcBorders>
            <w:vAlign w:val="center"/>
          </w:tcPr>
          <w:p w14:paraId="361C6393" w14:textId="77777777" w:rsidR="00B51DEA" w:rsidRDefault="00000000">
            <w:pPr>
              <w:pStyle w:val="biaogeleft"/>
              <w:wordWrap w:val="0"/>
              <w:rPr>
                <w:rFonts w:hint="eastAsia"/>
              </w:rPr>
            </w:pPr>
            <w:r>
              <w:rPr>
                <w:rFonts w:hAnsi="等线"/>
                <w:color w:val="000000"/>
              </w:rPr>
              <w:t>同业存单</w:t>
            </w:r>
          </w:p>
        </w:tc>
        <w:tc>
          <w:tcPr>
            <w:tcW w:w="2573" w:type="dxa"/>
            <w:tcBorders>
              <w:top w:val="single" w:sz="8" w:space="0" w:color="000000"/>
              <w:left w:val="single" w:sz="8" w:space="0" w:color="000000"/>
              <w:bottom w:val="single" w:sz="6" w:space="0" w:color="000000"/>
              <w:right w:val="single" w:sz="8" w:space="0" w:color="000000"/>
            </w:tcBorders>
            <w:vAlign w:val="center"/>
          </w:tcPr>
          <w:p w14:paraId="7A24D5FE" w14:textId="77777777" w:rsidR="00B51DEA" w:rsidRDefault="00000000">
            <w:pPr>
              <w:pStyle w:val="biaogeright"/>
              <w:wordWrap w:val="0"/>
              <w:rPr>
                <w:rFonts w:hint="eastAsia"/>
              </w:rPr>
            </w:pPr>
            <w:r>
              <w:rPr>
                <w:rFonts w:hAnsi="Calibri"/>
                <w:color w:val="000000"/>
              </w:rPr>
              <w:t>-</w:t>
            </w:r>
          </w:p>
        </w:tc>
        <w:tc>
          <w:tcPr>
            <w:tcW w:w="1816" w:type="dxa"/>
            <w:tcBorders>
              <w:top w:val="single" w:sz="8" w:space="0" w:color="000000"/>
              <w:left w:val="single" w:sz="8" w:space="0" w:color="000000"/>
              <w:bottom w:val="single" w:sz="6" w:space="0" w:color="000000"/>
              <w:right w:val="single" w:sz="8" w:space="0" w:color="000000"/>
            </w:tcBorders>
            <w:vAlign w:val="center"/>
          </w:tcPr>
          <w:p w14:paraId="72325813" w14:textId="77777777" w:rsidR="00B51DEA" w:rsidRDefault="00000000">
            <w:pPr>
              <w:pStyle w:val="biaogeright"/>
              <w:wordWrap w:val="0"/>
              <w:rPr>
                <w:rFonts w:hint="eastAsia"/>
              </w:rPr>
            </w:pPr>
            <w:r>
              <w:rPr>
                <w:rFonts w:hAnsi="Calibri"/>
                <w:color w:val="000000"/>
              </w:rPr>
              <w:t>-</w:t>
            </w:r>
          </w:p>
        </w:tc>
      </w:tr>
      <w:tr w:rsidR="00B51DEA" w14:paraId="057BA02C" w14:textId="77777777">
        <w:tc>
          <w:tcPr>
            <w:tcW w:w="1210" w:type="dxa"/>
            <w:tcBorders>
              <w:top w:val="single" w:sz="8" w:space="0" w:color="000000"/>
              <w:left w:val="single" w:sz="8" w:space="0" w:color="000000"/>
              <w:bottom w:val="single" w:sz="6" w:space="0" w:color="000000"/>
              <w:right w:val="single" w:sz="8" w:space="0" w:color="000000"/>
            </w:tcBorders>
            <w:vAlign w:val="center"/>
          </w:tcPr>
          <w:p w14:paraId="41FE7ECE" w14:textId="77777777" w:rsidR="00B51DEA" w:rsidRDefault="00000000">
            <w:pPr>
              <w:pStyle w:val="biaogecenter"/>
              <w:wordWrap w:val="0"/>
              <w:rPr>
                <w:rFonts w:hint="eastAsia"/>
              </w:rPr>
            </w:pPr>
            <w:r>
              <w:rPr>
                <w:rFonts w:hAnsi="等线"/>
                <w:color w:val="000000"/>
              </w:rPr>
              <w:t>9</w:t>
            </w:r>
          </w:p>
        </w:tc>
        <w:tc>
          <w:tcPr>
            <w:tcW w:w="3481" w:type="dxa"/>
            <w:tcBorders>
              <w:top w:val="single" w:sz="8" w:space="0" w:color="000000"/>
              <w:left w:val="single" w:sz="8" w:space="0" w:color="000000"/>
              <w:bottom w:val="single" w:sz="6" w:space="0" w:color="000000"/>
              <w:right w:val="single" w:sz="8" w:space="0" w:color="000000"/>
            </w:tcBorders>
            <w:vAlign w:val="center"/>
          </w:tcPr>
          <w:p w14:paraId="5B536E1D" w14:textId="77777777" w:rsidR="00B51DEA" w:rsidRDefault="00000000">
            <w:pPr>
              <w:pStyle w:val="biaogeleft"/>
              <w:wordWrap w:val="0"/>
              <w:rPr>
                <w:rFonts w:hint="eastAsia"/>
              </w:rPr>
            </w:pPr>
            <w:r>
              <w:rPr>
                <w:rFonts w:hAnsi="等线"/>
                <w:color w:val="000000"/>
              </w:rPr>
              <w:t>其他</w:t>
            </w:r>
          </w:p>
        </w:tc>
        <w:tc>
          <w:tcPr>
            <w:tcW w:w="2573" w:type="dxa"/>
            <w:tcBorders>
              <w:top w:val="single" w:sz="8" w:space="0" w:color="000000"/>
              <w:left w:val="single" w:sz="8" w:space="0" w:color="000000"/>
              <w:bottom w:val="single" w:sz="6" w:space="0" w:color="000000"/>
              <w:right w:val="single" w:sz="8" w:space="0" w:color="000000"/>
            </w:tcBorders>
            <w:vAlign w:val="center"/>
          </w:tcPr>
          <w:p w14:paraId="2AB4411A" w14:textId="77777777" w:rsidR="00B51DEA" w:rsidRDefault="00000000">
            <w:pPr>
              <w:pStyle w:val="biaogeright"/>
              <w:wordWrap w:val="0"/>
              <w:rPr>
                <w:rFonts w:hint="eastAsia"/>
              </w:rPr>
            </w:pPr>
            <w:r>
              <w:rPr>
                <w:rFonts w:hAnsi="Calibri"/>
                <w:color w:val="000000"/>
              </w:rPr>
              <w:t>-</w:t>
            </w:r>
          </w:p>
        </w:tc>
        <w:tc>
          <w:tcPr>
            <w:tcW w:w="1816" w:type="dxa"/>
            <w:tcBorders>
              <w:top w:val="single" w:sz="8" w:space="0" w:color="000000"/>
              <w:left w:val="single" w:sz="8" w:space="0" w:color="000000"/>
              <w:bottom w:val="single" w:sz="6" w:space="0" w:color="000000"/>
              <w:right w:val="single" w:sz="8" w:space="0" w:color="000000"/>
            </w:tcBorders>
            <w:vAlign w:val="center"/>
          </w:tcPr>
          <w:p w14:paraId="603251DE" w14:textId="77777777" w:rsidR="00B51DEA" w:rsidRDefault="00000000">
            <w:pPr>
              <w:pStyle w:val="biaogeright"/>
              <w:wordWrap w:val="0"/>
              <w:rPr>
                <w:rFonts w:hint="eastAsia"/>
              </w:rPr>
            </w:pPr>
            <w:r>
              <w:rPr>
                <w:rFonts w:hAnsi="Calibri"/>
                <w:color w:val="000000"/>
              </w:rPr>
              <w:t>-</w:t>
            </w:r>
          </w:p>
        </w:tc>
      </w:tr>
      <w:tr w:rsidR="00B51DEA" w14:paraId="33A86FCC" w14:textId="77777777">
        <w:tc>
          <w:tcPr>
            <w:tcW w:w="1210" w:type="dxa"/>
            <w:tcBorders>
              <w:top w:val="single" w:sz="8" w:space="0" w:color="000000"/>
              <w:left w:val="single" w:sz="8" w:space="0" w:color="000000"/>
              <w:bottom w:val="single" w:sz="6" w:space="0" w:color="000000"/>
              <w:right w:val="single" w:sz="8" w:space="0" w:color="000000"/>
            </w:tcBorders>
            <w:vAlign w:val="center"/>
          </w:tcPr>
          <w:p w14:paraId="72BC6863" w14:textId="77777777" w:rsidR="00B51DEA" w:rsidRDefault="00000000">
            <w:pPr>
              <w:pStyle w:val="biaogecenter"/>
              <w:wordWrap w:val="0"/>
              <w:rPr>
                <w:rFonts w:hint="eastAsia"/>
              </w:rPr>
            </w:pPr>
            <w:r>
              <w:rPr>
                <w:rFonts w:hAnsi="等线"/>
                <w:color w:val="000000"/>
              </w:rPr>
              <w:t>10</w:t>
            </w:r>
          </w:p>
        </w:tc>
        <w:tc>
          <w:tcPr>
            <w:tcW w:w="3481" w:type="dxa"/>
            <w:tcBorders>
              <w:top w:val="single" w:sz="8" w:space="0" w:color="000000"/>
              <w:left w:val="single" w:sz="8" w:space="0" w:color="000000"/>
              <w:bottom w:val="single" w:sz="6" w:space="0" w:color="000000"/>
              <w:right w:val="single" w:sz="8" w:space="0" w:color="000000"/>
            </w:tcBorders>
            <w:vAlign w:val="center"/>
          </w:tcPr>
          <w:p w14:paraId="40FD84D7" w14:textId="77777777" w:rsidR="00B51DEA" w:rsidRDefault="00000000">
            <w:pPr>
              <w:pStyle w:val="biaogeleft"/>
              <w:wordWrap w:val="0"/>
              <w:rPr>
                <w:rFonts w:hint="eastAsia"/>
              </w:rPr>
            </w:pPr>
            <w:r>
              <w:rPr>
                <w:rFonts w:hAnsi="等线"/>
                <w:color w:val="000000"/>
              </w:rPr>
              <w:t>合计</w:t>
            </w:r>
          </w:p>
        </w:tc>
        <w:tc>
          <w:tcPr>
            <w:tcW w:w="2573" w:type="dxa"/>
            <w:tcBorders>
              <w:top w:val="single" w:sz="8" w:space="0" w:color="000000"/>
              <w:left w:val="single" w:sz="8" w:space="0" w:color="000000"/>
              <w:bottom w:val="single" w:sz="6" w:space="0" w:color="000000"/>
              <w:right w:val="single" w:sz="8" w:space="0" w:color="000000"/>
            </w:tcBorders>
            <w:vAlign w:val="center"/>
          </w:tcPr>
          <w:p w14:paraId="58DE1514" w14:textId="77777777" w:rsidR="00B51DEA" w:rsidRDefault="00000000">
            <w:pPr>
              <w:pStyle w:val="biaogeright"/>
              <w:wordWrap w:val="0"/>
              <w:rPr>
                <w:rFonts w:hint="eastAsia"/>
              </w:rPr>
            </w:pPr>
            <w:r>
              <w:rPr>
                <w:rFonts w:hAnsi="Calibri"/>
                <w:color w:val="000000"/>
              </w:rPr>
              <w:t>23,500,558.69</w:t>
            </w:r>
          </w:p>
        </w:tc>
        <w:tc>
          <w:tcPr>
            <w:tcW w:w="1816" w:type="dxa"/>
            <w:tcBorders>
              <w:top w:val="single" w:sz="8" w:space="0" w:color="000000"/>
              <w:left w:val="single" w:sz="8" w:space="0" w:color="000000"/>
              <w:bottom w:val="single" w:sz="6" w:space="0" w:color="000000"/>
              <w:right w:val="single" w:sz="8" w:space="0" w:color="000000"/>
            </w:tcBorders>
            <w:vAlign w:val="center"/>
          </w:tcPr>
          <w:p w14:paraId="5ADB8C76" w14:textId="77777777" w:rsidR="00B51DEA" w:rsidRDefault="00000000">
            <w:pPr>
              <w:pStyle w:val="biaogeright"/>
              <w:wordWrap w:val="0"/>
              <w:rPr>
                <w:rFonts w:hint="eastAsia"/>
              </w:rPr>
            </w:pPr>
            <w:r>
              <w:rPr>
                <w:rFonts w:hAnsi="Calibri"/>
                <w:color w:val="000000"/>
              </w:rPr>
              <w:t>49.58</w:t>
            </w:r>
          </w:p>
        </w:tc>
      </w:tr>
    </w:tbl>
    <w:p w14:paraId="5FD5B249" w14:textId="77777777" w:rsidR="00B51DEA" w:rsidRDefault="00B51DEA">
      <w:pPr>
        <w:pStyle w:val="zhangjiep"/>
        <w:spacing w:line="360" w:lineRule="auto"/>
        <w:ind w:left="0" w:firstLineChars="200" w:firstLine="480"/>
        <w:outlineLvl w:val="9"/>
        <w:rPr>
          <w:rFonts w:asciiTheme="minorEastAsia" w:eastAsiaTheme="minorEastAsia" w:hAnsiTheme="minorEastAsia" w:hint="eastAsia"/>
          <w:bCs/>
        </w:rPr>
      </w:pPr>
    </w:p>
    <w:p w14:paraId="242577CF" w14:textId="77777777" w:rsidR="00B51DEA" w:rsidRDefault="00000000">
      <w:pPr>
        <w:pStyle w:val="zhangjiep"/>
        <w:spacing w:line="360" w:lineRule="auto"/>
        <w:ind w:left="0"/>
        <w:outlineLvl w:val="9"/>
        <w:rPr>
          <w:rFonts w:asciiTheme="minorEastAsia" w:eastAsiaTheme="minorEastAsia" w:hAnsiTheme="minorEastAsia" w:hint="eastAsia"/>
          <w:bCs/>
        </w:rPr>
      </w:pPr>
      <w:r>
        <w:rPr>
          <w:rFonts w:asciiTheme="minorEastAsia" w:eastAsiaTheme="minorEastAsia" w:hAnsiTheme="minorEastAsia"/>
          <w:bCs/>
        </w:rPr>
        <w:t xml:space="preserve">5、 </w:t>
      </w:r>
      <w:r>
        <w:rPr>
          <w:rFonts w:asciiTheme="minorEastAsia" w:eastAsiaTheme="minorEastAsia" w:hAnsiTheme="minorEastAsia" w:hint="eastAsia"/>
          <w:bCs/>
        </w:rPr>
        <w:t>报告期末按公允价值占基金资产净值比例大小排序的前五名债券投资明细</w:t>
      </w:r>
    </w:p>
    <w:tbl>
      <w:tblPr>
        <w:tblW w:w="9080" w:type="dxa"/>
        <w:tblInd w:w="108" w:type="dxa"/>
        <w:tblLook w:val="04A0" w:firstRow="1" w:lastRow="0" w:firstColumn="1" w:lastColumn="0" w:noHBand="0" w:noVBand="1"/>
      </w:tblPr>
      <w:tblGrid>
        <w:gridCol w:w="710"/>
        <w:gridCol w:w="1324"/>
        <w:gridCol w:w="2361"/>
        <w:gridCol w:w="1134"/>
        <w:gridCol w:w="1844"/>
        <w:gridCol w:w="1707"/>
      </w:tblGrid>
      <w:tr w:rsidR="00B51DEA" w14:paraId="46BC2F6A"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4C71F925" w14:textId="77777777" w:rsidR="00B51DEA" w:rsidRDefault="00000000">
            <w:pPr>
              <w:pStyle w:val="biaogecenter"/>
              <w:wordWrap w:val="0"/>
              <w:rPr>
                <w:rFonts w:hAnsi="等线" w:hint="eastAsia"/>
                <w:color w:val="000000"/>
              </w:rPr>
            </w:pPr>
            <w:r>
              <w:rPr>
                <w:rFonts w:hAnsi="等线"/>
                <w:color w:val="000000"/>
              </w:rPr>
              <w:t>序号</w:t>
            </w:r>
          </w:p>
        </w:tc>
        <w:tc>
          <w:tcPr>
            <w:tcW w:w="1324" w:type="dxa"/>
            <w:tcBorders>
              <w:top w:val="single" w:sz="8" w:space="0" w:color="000000"/>
              <w:left w:val="single" w:sz="8" w:space="0" w:color="000000"/>
              <w:bottom w:val="single" w:sz="6" w:space="0" w:color="000000"/>
              <w:right w:val="single" w:sz="8" w:space="0" w:color="000000"/>
            </w:tcBorders>
            <w:vAlign w:val="center"/>
          </w:tcPr>
          <w:p w14:paraId="4B6FDC14" w14:textId="77777777" w:rsidR="00B51DEA" w:rsidRDefault="00000000">
            <w:pPr>
              <w:pStyle w:val="biaogecenter"/>
              <w:wordWrap w:val="0"/>
              <w:rPr>
                <w:rFonts w:hAnsi="等线" w:hint="eastAsia"/>
                <w:color w:val="000000"/>
              </w:rPr>
            </w:pPr>
            <w:r>
              <w:rPr>
                <w:rFonts w:hAnsi="等线"/>
                <w:color w:val="000000"/>
              </w:rPr>
              <w:t>债券代码</w:t>
            </w:r>
          </w:p>
        </w:tc>
        <w:tc>
          <w:tcPr>
            <w:tcW w:w="2361" w:type="dxa"/>
            <w:tcBorders>
              <w:top w:val="single" w:sz="8" w:space="0" w:color="000000"/>
              <w:left w:val="single" w:sz="8" w:space="0" w:color="000000"/>
              <w:bottom w:val="single" w:sz="6" w:space="0" w:color="000000"/>
              <w:right w:val="single" w:sz="8" w:space="0" w:color="000000"/>
            </w:tcBorders>
            <w:vAlign w:val="center"/>
          </w:tcPr>
          <w:p w14:paraId="1D5ACABA" w14:textId="77777777" w:rsidR="00B51DEA" w:rsidRDefault="00000000">
            <w:pPr>
              <w:pStyle w:val="biaogecenter"/>
              <w:wordWrap w:val="0"/>
              <w:rPr>
                <w:rFonts w:hAnsi="等线" w:hint="eastAsia"/>
                <w:color w:val="000000"/>
              </w:rPr>
            </w:pPr>
            <w:r>
              <w:rPr>
                <w:rFonts w:hAnsi="等线"/>
                <w:color w:val="000000"/>
              </w:rPr>
              <w:t>债券名称</w:t>
            </w:r>
          </w:p>
        </w:tc>
        <w:tc>
          <w:tcPr>
            <w:tcW w:w="1134" w:type="dxa"/>
            <w:tcBorders>
              <w:top w:val="single" w:sz="8" w:space="0" w:color="000000"/>
              <w:left w:val="single" w:sz="8" w:space="0" w:color="000000"/>
              <w:bottom w:val="single" w:sz="6" w:space="0" w:color="000000"/>
              <w:right w:val="single" w:sz="8" w:space="0" w:color="000000"/>
            </w:tcBorders>
            <w:vAlign w:val="center"/>
          </w:tcPr>
          <w:p w14:paraId="3F2004C8" w14:textId="77777777" w:rsidR="00B51DEA" w:rsidRDefault="00000000">
            <w:pPr>
              <w:pStyle w:val="biaogecenter"/>
              <w:wordWrap w:val="0"/>
              <w:rPr>
                <w:rFonts w:hAnsi="等线" w:hint="eastAsia"/>
                <w:color w:val="000000"/>
              </w:rPr>
            </w:pPr>
            <w:r>
              <w:rPr>
                <w:rFonts w:hAnsi="等线"/>
                <w:color w:val="000000"/>
              </w:rPr>
              <w:t>数量（张）</w:t>
            </w:r>
          </w:p>
        </w:tc>
        <w:tc>
          <w:tcPr>
            <w:tcW w:w="1844" w:type="dxa"/>
            <w:tcBorders>
              <w:top w:val="single" w:sz="8" w:space="0" w:color="000000"/>
              <w:left w:val="single" w:sz="8" w:space="0" w:color="000000"/>
              <w:bottom w:val="single" w:sz="6" w:space="0" w:color="000000"/>
              <w:right w:val="single" w:sz="8" w:space="0" w:color="000000"/>
            </w:tcBorders>
            <w:vAlign w:val="center"/>
          </w:tcPr>
          <w:p w14:paraId="4A6443DF" w14:textId="77777777" w:rsidR="00B51DEA" w:rsidRDefault="00000000">
            <w:pPr>
              <w:pStyle w:val="biaogecenter"/>
              <w:wordWrap w:val="0"/>
              <w:rPr>
                <w:rFonts w:hAnsi="等线" w:hint="eastAsia"/>
                <w:color w:val="000000"/>
              </w:rPr>
            </w:pPr>
            <w:r>
              <w:rPr>
                <w:rFonts w:hAnsi="等线"/>
                <w:color w:val="000000"/>
              </w:rPr>
              <w:t>公允价值(元)</w:t>
            </w:r>
          </w:p>
        </w:tc>
        <w:tc>
          <w:tcPr>
            <w:tcW w:w="1707" w:type="dxa"/>
            <w:tcBorders>
              <w:top w:val="single" w:sz="8" w:space="0" w:color="000000"/>
              <w:left w:val="single" w:sz="8" w:space="0" w:color="000000"/>
              <w:bottom w:val="single" w:sz="6" w:space="0" w:color="000000"/>
              <w:right w:val="single" w:sz="8" w:space="0" w:color="000000"/>
            </w:tcBorders>
            <w:vAlign w:val="center"/>
          </w:tcPr>
          <w:p w14:paraId="038CAC57" w14:textId="77777777" w:rsidR="00B51DEA" w:rsidRDefault="00000000">
            <w:pPr>
              <w:pStyle w:val="biaogecenter"/>
              <w:wordWrap w:val="0"/>
              <w:rPr>
                <w:rFonts w:hAnsi="等线" w:hint="eastAsia"/>
                <w:color w:val="000000"/>
              </w:rPr>
            </w:pPr>
            <w:r>
              <w:rPr>
                <w:rFonts w:hAnsi="等线"/>
                <w:color w:val="000000"/>
              </w:rPr>
              <w:t>占基金资产净值比例（％）</w:t>
            </w:r>
          </w:p>
        </w:tc>
      </w:tr>
      <w:tr w:rsidR="00B51DEA" w14:paraId="5198340C"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3C73DCFC" w14:textId="77777777" w:rsidR="00B51DEA" w:rsidRDefault="00000000">
            <w:pPr>
              <w:pStyle w:val="biaogecenter"/>
              <w:wordWrap w:val="0"/>
              <w:rPr>
                <w:rFonts w:hAnsi="等线" w:hint="eastAsia"/>
                <w:color w:val="000000"/>
              </w:rPr>
            </w:pPr>
            <w:r>
              <w:rPr>
                <w:rFonts w:hAnsi="等线"/>
                <w:color w:val="000000"/>
              </w:rPr>
              <w:t>1</w:t>
            </w:r>
          </w:p>
        </w:tc>
        <w:tc>
          <w:tcPr>
            <w:tcW w:w="1324" w:type="dxa"/>
            <w:tcBorders>
              <w:top w:val="single" w:sz="8" w:space="0" w:color="000000"/>
              <w:left w:val="single" w:sz="8" w:space="0" w:color="000000"/>
              <w:bottom w:val="single" w:sz="6" w:space="0" w:color="000000"/>
              <w:right w:val="single" w:sz="8" w:space="0" w:color="000000"/>
            </w:tcBorders>
            <w:vAlign w:val="center"/>
          </w:tcPr>
          <w:p w14:paraId="43F18377" w14:textId="77777777" w:rsidR="00B51DEA" w:rsidRDefault="00000000">
            <w:pPr>
              <w:pStyle w:val="biaogecenter"/>
              <w:wordWrap w:val="0"/>
              <w:rPr>
                <w:rFonts w:hAnsi="等线" w:hint="eastAsia"/>
                <w:color w:val="000000"/>
              </w:rPr>
            </w:pPr>
            <w:r>
              <w:rPr>
                <w:rFonts w:hAnsi="Calibri"/>
                <w:color w:val="000000"/>
              </w:rPr>
              <w:t>260205</w:t>
            </w:r>
          </w:p>
        </w:tc>
        <w:tc>
          <w:tcPr>
            <w:tcW w:w="2361" w:type="dxa"/>
            <w:tcBorders>
              <w:top w:val="single" w:sz="8" w:space="0" w:color="000000"/>
              <w:left w:val="single" w:sz="8" w:space="0" w:color="000000"/>
              <w:bottom w:val="single" w:sz="6" w:space="0" w:color="000000"/>
              <w:right w:val="single" w:sz="8" w:space="0" w:color="000000"/>
            </w:tcBorders>
            <w:vAlign w:val="center"/>
          </w:tcPr>
          <w:p w14:paraId="234D56DB" w14:textId="77777777" w:rsidR="00B51DEA" w:rsidRDefault="00000000">
            <w:pPr>
              <w:pStyle w:val="biaogecenter"/>
              <w:wordWrap w:val="0"/>
              <w:rPr>
                <w:rFonts w:hAnsi="等线" w:hint="eastAsia"/>
                <w:color w:val="000000"/>
              </w:rPr>
            </w:pPr>
            <w:r>
              <w:rPr>
                <w:rFonts w:hAnsi="Calibri"/>
                <w:color w:val="000000"/>
              </w:rPr>
              <w:t>26国开05</w:t>
            </w:r>
          </w:p>
        </w:tc>
        <w:tc>
          <w:tcPr>
            <w:tcW w:w="1134" w:type="dxa"/>
            <w:tcBorders>
              <w:top w:val="single" w:sz="8" w:space="0" w:color="000000"/>
              <w:left w:val="single" w:sz="8" w:space="0" w:color="000000"/>
              <w:bottom w:val="single" w:sz="6" w:space="0" w:color="000000"/>
              <w:right w:val="single" w:sz="8" w:space="0" w:color="000000"/>
            </w:tcBorders>
            <w:vAlign w:val="center"/>
          </w:tcPr>
          <w:p w14:paraId="6909D53D" w14:textId="77777777" w:rsidR="00B51DEA" w:rsidRDefault="00000000">
            <w:pPr>
              <w:pStyle w:val="biaogecenter"/>
              <w:wordWrap w:val="0"/>
              <w:rPr>
                <w:rFonts w:hAnsi="等线" w:hint="eastAsia"/>
                <w:color w:val="000000"/>
              </w:rPr>
            </w:pPr>
            <w:r>
              <w:rPr>
                <w:rFonts w:hAnsi="Calibri"/>
                <w:color w:val="000000"/>
              </w:rPr>
              <w:t>100,000</w:t>
            </w:r>
          </w:p>
        </w:tc>
        <w:tc>
          <w:tcPr>
            <w:tcW w:w="1844" w:type="dxa"/>
            <w:tcBorders>
              <w:top w:val="single" w:sz="8" w:space="0" w:color="000000"/>
              <w:left w:val="single" w:sz="8" w:space="0" w:color="000000"/>
              <w:bottom w:val="single" w:sz="6" w:space="0" w:color="000000"/>
              <w:right w:val="single" w:sz="8" w:space="0" w:color="000000"/>
            </w:tcBorders>
            <w:vAlign w:val="center"/>
          </w:tcPr>
          <w:p w14:paraId="39468284" w14:textId="77777777" w:rsidR="00B51DEA" w:rsidRDefault="00000000">
            <w:pPr>
              <w:pStyle w:val="biaogecenter"/>
              <w:wordWrap w:val="0"/>
              <w:rPr>
                <w:rFonts w:hAnsi="等线" w:hint="eastAsia"/>
                <w:color w:val="000000"/>
              </w:rPr>
            </w:pPr>
            <w:r>
              <w:rPr>
                <w:rFonts w:hAnsi="Calibri"/>
                <w:color w:val="000000"/>
              </w:rPr>
              <w:t>10,185,545.21</w:t>
            </w:r>
          </w:p>
        </w:tc>
        <w:tc>
          <w:tcPr>
            <w:tcW w:w="1707" w:type="dxa"/>
            <w:tcBorders>
              <w:top w:val="single" w:sz="8" w:space="0" w:color="000000"/>
              <w:left w:val="single" w:sz="8" w:space="0" w:color="000000"/>
              <w:bottom w:val="single" w:sz="6" w:space="0" w:color="000000"/>
              <w:right w:val="single" w:sz="8" w:space="0" w:color="000000"/>
            </w:tcBorders>
            <w:vAlign w:val="center"/>
          </w:tcPr>
          <w:p w14:paraId="6109D75F" w14:textId="77777777" w:rsidR="00B51DEA" w:rsidRDefault="00000000">
            <w:pPr>
              <w:pStyle w:val="biaogecenter"/>
              <w:wordWrap w:val="0"/>
              <w:rPr>
                <w:rFonts w:hAnsi="等线" w:hint="eastAsia"/>
                <w:color w:val="000000"/>
              </w:rPr>
            </w:pPr>
            <w:r>
              <w:rPr>
                <w:rFonts w:hAnsi="Calibri"/>
                <w:color w:val="000000"/>
              </w:rPr>
              <w:t>21.49</w:t>
            </w:r>
          </w:p>
        </w:tc>
      </w:tr>
      <w:tr w:rsidR="00B51DEA" w14:paraId="27DB5106"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571196B6" w14:textId="77777777" w:rsidR="00B51DEA" w:rsidRDefault="00000000">
            <w:pPr>
              <w:pStyle w:val="biaogecenter"/>
              <w:wordWrap w:val="0"/>
              <w:rPr>
                <w:rFonts w:hAnsi="等线" w:hint="eastAsia"/>
                <w:color w:val="000000"/>
              </w:rPr>
            </w:pPr>
            <w:r>
              <w:rPr>
                <w:rFonts w:hAnsi="等线"/>
                <w:color w:val="000000"/>
              </w:rPr>
              <w:t>2</w:t>
            </w:r>
          </w:p>
        </w:tc>
        <w:tc>
          <w:tcPr>
            <w:tcW w:w="1324" w:type="dxa"/>
            <w:tcBorders>
              <w:top w:val="single" w:sz="8" w:space="0" w:color="000000"/>
              <w:left w:val="single" w:sz="8" w:space="0" w:color="000000"/>
              <w:bottom w:val="single" w:sz="6" w:space="0" w:color="000000"/>
              <w:right w:val="single" w:sz="8" w:space="0" w:color="000000"/>
            </w:tcBorders>
            <w:vAlign w:val="center"/>
          </w:tcPr>
          <w:p w14:paraId="58CFA29A" w14:textId="77777777" w:rsidR="00B51DEA" w:rsidRDefault="00000000">
            <w:pPr>
              <w:pStyle w:val="biaogecenter"/>
              <w:wordWrap w:val="0"/>
              <w:rPr>
                <w:rFonts w:hAnsi="等线" w:hint="eastAsia"/>
                <w:color w:val="000000"/>
              </w:rPr>
            </w:pPr>
            <w:r>
              <w:rPr>
                <w:rFonts w:hAnsi="Calibri"/>
                <w:color w:val="000000"/>
              </w:rPr>
              <w:t>019827</w:t>
            </w:r>
          </w:p>
        </w:tc>
        <w:tc>
          <w:tcPr>
            <w:tcW w:w="2361" w:type="dxa"/>
            <w:tcBorders>
              <w:top w:val="single" w:sz="8" w:space="0" w:color="000000"/>
              <w:left w:val="single" w:sz="8" w:space="0" w:color="000000"/>
              <w:bottom w:val="single" w:sz="6" w:space="0" w:color="000000"/>
              <w:right w:val="single" w:sz="8" w:space="0" w:color="000000"/>
            </w:tcBorders>
            <w:vAlign w:val="center"/>
          </w:tcPr>
          <w:p w14:paraId="309DC9A9" w14:textId="77777777" w:rsidR="00B51DEA" w:rsidRDefault="00000000">
            <w:pPr>
              <w:pStyle w:val="biaogecenter"/>
              <w:wordWrap w:val="0"/>
              <w:rPr>
                <w:rFonts w:hAnsi="等线" w:hint="eastAsia"/>
                <w:color w:val="000000"/>
              </w:rPr>
            </w:pPr>
            <w:r>
              <w:rPr>
                <w:rFonts w:hAnsi="Calibri"/>
                <w:color w:val="000000"/>
              </w:rPr>
              <w:t>26国债01</w:t>
            </w:r>
          </w:p>
        </w:tc>
        <w:tc>
          <w:tcPr>
            <w:tcW w:w="1134" w:type="dxa"/>
            <w:tcBorders>
              <w:top w:val="single" w:sz="8" w:space="0" w:color="000000"/>
              <w:left w:val="single" w:sz="8" w:space="0" w:color="000000"/>
              <w:bottom w:val="single" w:sz="6" w:space="0" w:color="000000"/>
              <w:right w:val="single" w:sz="8" w:space="0" w:color="000000"/>
            </w:tcBorders>
            <w:vAlign w:val="center"/>
          </w:tcPr>
          <w:p w14:paraId="304E1876" w14:textId="77777777" w:rsidR="00B51DEA" w:rsidRDefault="00000000">
            <w:pPr>
              <w:pStyle w:val="biaogecenter"/>
              <w:wordWrap w:val="0"/>
              <w:rPr>
                <w:rFonts w:hAnsi="等线" w:hint="eastAsia"/>
                <w:color w:val="000000"/>
              </w:rPr>
            </w:pPr>
            <w:r>
              <w:rPr>
                <w:rFonts w:hAnsi="Calibri"/>
                <w:color w:val="000000"/>
              </w:rPr>
              <w:t>80,000</w:t>
            </w:r>
          </w:p>
        </w:tc>
        <w:tc>
          <w:tcPr>
            <w:tcW w:w="1844" w:type="dxa"/>
            <w:tcBorders>
              <w:top w:val="single" w:sz="8" w:space="0" w:color="000000"/>
              <w:left w:val="single" w:sz="8" w:space="0" w:color="000000"/>
              <w:bottom w:val="single" w:sz="6" w:space="0" w:color="000000"/>
              <w:right w:val="single" w:sz="8" w:space="0" w:color="000000"/>
            </w:tcBorders>
            <w:vAlign w:val="center"/>
          </w:tcPr>
          <w:p w14:paraId="3F0D25F5" w14:textId="77777777" w:rsidR="00B51DEA" w:rsidRDefault="00000000">
            <w:pPr>
              <w:pStyle w:val="biaogecenter"/>
              <w:wordWrap w:val="0"/>
              <w:rPr>
                <w:rFonts w:hAnsi="等线" w:hint="eastAsia"/>
                <w:color w:val="000000"/>
              </w:rPr>
            </w:pPr>
            <w:r>
              <w:rPr>
                <w:rFonts w:hAnsi="Calibri"/>
                <w:color w:val="000000"/>
              </w:rPr>
              <w:t>8,051,855.34</w:t>
            </w:r>
          </w:p>
        </w:tc>
        <w:tc>
          <w:tcPr>
            <w:tcW w:w="1707" w:type="dxa"/>
            <w:tcBorders>
              <w:top w:val="single" w:sz="8" w:space="0" w:color="000000"/>
              <w:left w:val="single" w:sz="8" w:space="0" w:color="000000"/>
              <w:bottom w:val="single" w:sz="6" w:space="0" w:color="000000"/>
              <w:right w:val="single" w:sz="8" w:space="0" w:color="000000"/>
            </w:tcBorders>
            <w:vAlign w:val="center"/>
          </w:tcPr>
          <w:p w14:paraId="7675FF98" w14:textId="77777777" w:rsidR="00B51DEA" w:rsidRDefault="00000000">
            <w:pPr>
              <w:pStyle w:val="biaogecenter"/>
              <w:wordWrap w:val="0"/>
              <w:rPr>
                <w:rFonts w:hAnsi="等线" w:hint="eastAsia"/>
                <w:color w:val="000000"/>
              </w:rPr>
            </w:pPr>
            <w:r>
              <w:rPr>
                <w:rFonts w:hAnsi="Calibri"/>
                <w:color w:val="000000"/>
              </w:rPr>
              <w:t>16.99</w:t>
            </w:r>
          </w:p>
        </w:tc>
      </w:tr>
      <w:tr w:rsidR="00B51DEA" w14:paraId="71053F55"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23C00EC0" w14:textId="77777777" w:rsidR="00B51DEA" w:rsidRDefault="00000000">
            <w:pPr>
              <w:pStyle w:val="biaogecenter"/>
              <w:wordWrap w:val="0"/>
              <w:rPr>
                <w:rFonts w:hAnsi="等线" w:hint="eastAsia"/>
                <w:color w:val="000000"/>
              </w:rPr>
            </w:pPr>
            <w:r>
              <w:rPr>
                <w:rFonts w:hAnsi="等线"/>
                <w:color w:val="000000"/>
              </w:rPr>
              <w:t>3</w:t>
            </w:r>
          </w:p>
        </w:tc>
        <w:tc>
          <w:tcPr>
            <w:tcW w:w="1324" w:type="dxa"/>
            <w:tcBorders>
              <w:top w:val="single" w:sz="8" w:space="0" w:color="000000"/>
              <w:left w:val="single" w:sz="8" w:space="0" w:color="000000"/>
              <w:bottom w:val="single" w:sz="6" w:space="0" w:color="000000"/>
              <w:right w:val="single" w:sz="8" w:space="0" w:color="000000"/>
            </w:tcBorders>
            <w:vAlign w:val="center"/>
          </w:tcPr>
          <w:p w14:paraId="1A029EBD" w14:textId="77777777" w:rsidR="00B51DEA" w:rsidRDefault="00000000">
            <w:pPr>
              <w:pStyle w:val="biaogecenter"/>
              <w:wordWrap w:val="0"/>
              <w:rPr>
                <w:rFonts w:hAnsi="等线" w:hint="eastAsia"/>
                <w:color w:val="000000"/>
              </w:rPr>
            </w:pPr>
            <w:r>
              <w:rPr>
                <w:rFonts w:hAnsi="Calibri"/>
                <w:color w:val="000000"/>
              </w:rPr>
              <w:t>102481755</w:t>
            </w:r>
          </w:p>
        </w:tc>
        <w:tc>
          <w:tcPr>
            <w:tcW w:w="2361" w:type="dxa"/>
            <w:tcBorders>
              <w:top w:val="single" w:sz="8" w:space="0" w:color="000000"/>
              <w:left w:val="single" w:sz="8" w:space="0" w:color="000000"/>
              <w:bottom w:val="single" w:sz="6" w:space="0" w:color="000000"/>
              <w:right w:val="single" w:sz="8" w:space="0" w:color="000000"/>
            </w:tcBorders>
            <w:vAlign w:val="center"/>
          </w:tcPr>
          <w:p w14:paraId="71907AF8" w14:textId="77777777" w:rsidR="00B51DEA" w:rsidRDefault="00000000">
            <w:pPr>
              <w:pStyle w:val="biaogecenter"/>
              <w:wordWrap w:val="0"/>
              <w:rPr>
                <w:rFonts w:hAnsi="等线" w:hint="eastAsia"/>
                <w:color w:val="000000"/>
              </w:rPr>
            </w:pPr>
            <w:r>
              <w:rPr>
                <w:rFonts w:hAnsi="Calibri"/>
                <w:color w:val="000000"/>
              </w:rPr>
              <w:t>24</w:t>
            </w:r>
            <w:proofErr w:type="gramStart"/>
            <w:r>
              <w:rPr>
                <w:rFonts w:hAnsi="Calibri"/>
                <w:color w:val="000000"/>
              </w:rPr>
              <w:t>诚通控股</w:t>
            </w:r>
            <w:proofErr w:type="gramEnd"/>
            <w:r>
              <w:rPr>
                <w:rFonts w:hAnsi="Calibri"/>
                <w:color w:val="000000"/>
              </w:rPr>
              <w:t>MTN012B</w:t>
            </w:r>
          </w:p>
        </w:tc>
        <w:tc>
          <w:tcPr>
            <w:tcW w:w="1134" w:type="dxa"/>
            <w:tcBorders>
              <w:top w:val="single" w:sz="8" w:space="0" w:color="000000"/>
              <w:left w:val="single" w:sz="8" w:space="0" w:color="000000"/>
              <w:bottom w:val="single" w:sz="6" w:space="0" w:color="000000"/>
              <w:right w:val="single" w:sz="8" w:space="0" w:color="000000"/>
            </w:tcBorders>
            <w:vAlign w:val="center"/>
          </w:tcPr>
          <w:p w14:paraId="4ECA72C8" w14:textId="77777777" w:rsidR="00B51DEA" w:rsidRDefault="00000000">
            <w:pPr>
              <w:pStyle w:val="biaogecenter"/>
              <w:wordWrap w:val="0"/>
              <w:rPr>
                <w:rFonts w:hAnsi="等线" w:hint="eastAsia"/>
                <w:color w:val="000000"/>
              </w:rPr>
            </w:pPr>
            <w:r>
              <w:rPr>
                <w:rFonts w:hAnsi="Calibri"/>
                <w:color w:val="000000"/>
              </w:rPr>
              <w:t>40,000</w:t>
            </w:r>
          </w:p>
        </w:tc>
        <w:tc>
          <w:tcPr>
            <w:tcW w:w="1844" w:type="dxa"/>
            <w:tcBorders>
              <w:top w:val="single" w:sz="8" w:space="0" w:color="000000"/>
              <w:left w:val="single" w:sz="8" w:space="0" w:color="000000"/>
              <w:bottom w:val="single" w:sz="6" w:space="0" w:color="000000"/>
              <w:right w:val="single" w:sz="8" w:space="0" w:color="000000"/>
            </w:tcBorders>
            <w:vAlign w:val="center"/>
          </w:tcPr>
          <w:p w14:paraId="47A231B5" w14:textId="77777777" w:rsidR="00B51DEA" w:rsidRDefault="00000000">
            <w:pPr>
              <w:pStyle w:val="biaogecenter"/>
              <w:wordWrap w:val="0"/>
              <w:rPr>
                <w:rFonts w:hAnsi="等线" w:hint="eastAsia"/>
                <w:color w:val="000000"/>
              </w:rPr>
            </w:pPr>
            <w:r>
              <w:rPr>
                <w:rFonts w:hAnsi="Calibri"/>
                <w:color w:val="000000"/>
              </w:rPr>
              <w:t>4,460,914.19</w:t>
            </w:r>
          </w:p>
        </w:tc>
        <w:tc>
          <w:tcPr>
            <w:tcW w:w="1707" w:type="dxa"/>
            <w:tcBorders>
              <w:top w:val="single" w:sz="8" w:space="0" w:color="000000"/>
              <w:left w:val="single" w:sz="8" w:space="0" w:color="000000"/>
              <w:bottom w:val="single" w:sz="6" w:space="0" w:color="000000"/>
              <w:right w:val="single" w:sz="8" w:space="0" w:color="000000"/>
            </w:tcBorders>
            <w:vAlign w:val="center"/>
          </w:tcPr>
          <w:p w14:paraId="3459B86F" w14:textId="77777777" w:rsidR="00B51DEA" w:rsidRDefault="00000000">
            <w:pPr>
              <w:pStyle w:val="biaogecenter"/>
              <w:wordWrap w:val="0"/>
              <w:rPr>
                <w:rFonts w:hAnsi="等线" w:hint="eastAsia"/>
                <w:color w:val="000000"/>
              </w:rPr>
            </w:pPr>
            <w:r>
              <w:rPr>
                <w:rFonts w:hAnsi="Calibri"/>
                <w:color w:val="000000"/>
              </w:rPr>
              <w:t>9.41</w:t>
            </w:r>
          </w:p>
        </w:tc>
      </w:tr>
      <w:tr w:rsidR="00B51DEA" w14:paraId="7380ED60"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715B84E1" w14:textId="77777777" w:rsidR="00B51DEA" w:rsidRDefault="00000000">
            <w:pPr>
              <w:pStyle w:val="biaogecenter"/>
              <w:wordWrap w:val="0"/>
              <w:rPr>
                <w:rFonts w:hAnsi="等线" w:hint="eastAsia"/>
                <w:color w:val="000000"/>
              </w:rPr>
            </w:pPr>
            <w:r>
              <w:rPr>
                <w:rFonts w:hAnsi="等线"/>
                <w:color w:val="000000"/>
              </w:rPr>
              <w:t>4</w:t>
            </w:r>
          </w:p>
        </w:tc>
        <w:tc>
          <w:tcPr>
            <w:tcW w:w="1324" w:type="dxa"/>
            <w:tcBorders>
              <w:top w:val="single" w:sz="8" w:space="0" w:color="000000"/>
              <w:left w:val="single" w:sz="8" w:space="0" w:color="000000"/>
              <w:bottom w:val="single" w:sz="6" w:space="0" w:color="000000"/>
              <w:right w:val="single" w:sz="8" w:space="0" w:color="000000"/>
            </w:tcBorders>
            <w:vAlign w:val="center"/>
          </w:tcPr>
          <w:p w14:paraId="5F05A63F" w14:textId="77777777" w:rsidR="00B51DEA" w:rsidRDefault="00000000">
            <w:pPr>
              <w:pStyle w:val="biaogecenter"/>
              <w:wordWrap w:val="0"/>
              <w:rPr>
                <w:rFonts w:hAnsi="等线" w:hint="eastAsia"/>
                <w:color w:val="000000"/>
              </w:rPr>
            </w:pPr>
            <w:r>
              <w:rPr>
                <w:rFonts w:hAnsi="Calibri"/>
                <w:color w:val="000000"/>
              </w:rPr>
              <w:t>019782</w:t>
            </w:r>
          </w:p>
        </w:tc>
        <w:tc>
          <w:tcPr>
            <w:tcW w:w="2361" w:type="dxa"/>
            <w:tcBorders>
              <w:top w:val="single" w:sz="8" w:space="0" w:color="000000"/>
              <w:left w:val="single" w:sz="8" w:space="0" w:color="000000"/>
              <w:bottom w:val="single" w:sz="6" w:space="0" w:color="000000"/>
              <w:right w:val="single" w:sz="8" w:space="0" w:color="000000"/>
            </w:tcBorders>
            <w:vAlign w:val="center"/>
          </w:tcPr>
          <w:p w14:paraId="76C79820" w14:textId="77777777" w:rsidR="00B51DEA" w:rsidRDefault="00000000">
            <w:pPr>
              <w:pStyle w:val="biaogecenter"/>
              <w:wordWrap w:val="0"/>
              <w:rPr>
                <w:rFonts w:hAnsi="等线" w:hint="eastAsia"/>
                <w:color w:val="000000"/>
              </w:rPr>
            </w:pPr>
            <w:r>
              <w:rPr>
                <w:rFonts w:hAnsi="Calibri"/>
                <w:color w:val="000000"/>
              </w:rPr>
              <w:t>25国债12</w:t>
            </w:r>
          </w:p>
        </w:tc>
        <w:tc>
          <w:tcPr>
            <w:tcW w:w="1134" w:type="dxa"/>
            <w:tcBorders>
              <w:top w:val="single" w:sz="8" w:space="0" w:color="000000"/>
              <w:left w:val="single" w:sz="8" w:space="0" w:color="000000"/>
              <w:bottom w:val="single" w:sz="6" w:space="0" w:color="000000"/>
              <w:right w:val="single" w:sz="8" w:space="0" w:color="000000"/>
            </w:tcBorders>
            <w:vAlign w:val="center"/>
          </w:tcPr>
          <w:p w14:paraId="6223EA46" w14:textId="77777777" w:rsidR="00B51DEA" w:rsidRDefault="00000000">
            <w:pPr>
              <w:pStyle w:val="biaogecenter"/>
              <w:wordWrap w:val="0"/>
              <w:rPr>
                <w:rFonts w:hAnsi="等线" w:hint="eastAsia"/>
                <w:color w:val="000000"/>
              </w:rPr>
            </w:pPr>
            <w:r>
              <w:rPr>
                <w:rFonts w:hAnsi="Calibri"/>
                <w:color w:val="000000"/>
              </w:rPr>
              <w:t>8,000</w:t>
            </w:r>
          </w:p>
        </w:tc>
        <w:tc>
          <w:tcPr>
            <w:tcW w:w="1844" w:type="dxa"/>
            <w:tcBorders>
              <w:top w:val="single" w:sz="8" w:space="0" w:color="000000"/>
              <w:left w:val="single" w:sz="8" w:space="0" w:color="000000"/>
              <w:bottom w:val="single" w:sz="6" w:space="0" w:color="000000"/>
              <w:right w:val="single" w:sz="8" w:space="0" w:color="000000"/>
            </w:tcBorders>
            <w:vAlign w:val="center"/>
          </w:tcPr>
          <w:p w14:paraId="16DF79F1" w14:textId="77777777" w:rsidR="00B51DEA" w:rsidRDefault="00000000">
            <w:pPr>
              <w:pStyle w:val="biaogecenter"/>
              <w:wordWrap w:val="0"/>
              <w:rPr>
                <w:rFonts w:hAnsi="等线" w:hint="eastAsia"/>
                <w:color w:val="000000"/>
              </w:rPr>
            </w:pPr>
            <w:r>
              <w:rPr>
                <w:rFonts w:hAnsi="Calibri"/>
                <w:color w:val="000000"/>
              </w:rPr>
              <w:t>802,243.95</w:t>
            </w:r>
          </w:p>
        </w:tc>
        <w:tc>
          <w:tcPr>
            <w:tcW w:w="1707" w:type="dxa"/>
            <w:tcBorders>
              <w:top w:val="single" w:sz="8" w:space="0" w:color="000000"/>
              <w:left w:val="single" w:sz="8" w:space="0" w:color="000000"/>
              <w:bottom w:val="single" w:sz="6" w:space="0" w:color="000000"/>
              <w:right w:val="single" w:sz="8" w:space="0" w:color="000000"/>
            </w:tcBorders>
            <w:vAlign w:val="center"/>
          </w:tcPr>
          <w:p w14:paraId="1655C55B" w14:textId="77777777" w:rsidR="00B51DEA" w:rsidRDefault="00000000">
            <w:pPr>
              <w:pStyle w:val="biaogecenter"/>
              <w:wordWrap w:val="0"/>
              <w:rPr>
                <w:rFonts w:hAnsi="等线" w:hint="eastAsia"/>
                <w:color w:val="000000"/>
              </w:rPr>
            </w:pPr>
            <w:r>
              <w:rPr>
                <w:rFonts w:hAnsi="Calibri"/>
                <w:color w:val="000000"/>
              </w:rPr>
              <w:t>1.69</w:t>
            </w:r>
          </w:p>
        </w:tc>
      </w:tr>
    </w:tbl>
    <w:p w14:paraId="5766FDD0" w14:textId="77777777" w:rsidR="00B51DEA" w:rsidRDefault="00B51DEA">
      <w:pPr>
        <w:pStyle w:val="zhangjiep"/>
        <w:spacing w:line="360" w:lineRule="auto"/>
        <w:ind w:left="0" w:firstLineChars="100" w:firstLine="240"/>
        <w:outlineLvl w:val="9"/>
        <w:rPr>
          <w:rFonts w:asciiTheme="minorEastAsia" w:eastAsiaTheme="minorEastAsia" w:hAnsiTheme="minorEastAsia" w:hint="eastAsia"/>
          <w:bCs/>
        </w:rPr>
      </w:pPr>
    </w:p>
    <w:p w14:paraId="252407A8" w14:textId="77777777" w:rsidR="00B51DEA" w:rsidRDefault="00000000">
      <w:pPr>
        <w:pStyle w:val="zhangjiep"/>
        <w:spacing w:line="360" w:lineRule="auto"/>
        <w:ind w:left="0"/>
        <w:outlineLvl w:val="9"/>
        <w:rPr>
          <w:rFonts w:asciiTheme="minorEastAsia" w:eastAsiaTheme="minorEastAsia" w:hAnsiTheme="minorEastAsia" w:hint="eastAsia"/>
          <w:bCs/>
        </w:rPr>
      </w:pPr>
      <w:r>
        <w:rPr>
          <w:rFonts w:asciiTheme="minorEastAsia" w:eastAsiaTheme="minorEastAsia" w:hAnsiTheme="minorEastAsia"/>
          <w:bCs/>
        </w:rPr>
        <w:t>6、报告期末按公允价值占基金资产净值比例大小排序的前十名资产支持证券投资明细</w:t>
      </w:r>
    </w:p>
    <w:p w14:paraId="72466B81" w14:textId="77777777" w:rsidR="00B51DEA" w:rsidRDefault="00000000">
      <w:pPr>
        <w:pStyle w:val="neirong"/>
        <w:spacing w:line="360" w:lineRule="auto"/>
        <w:ind w:leftChars="7" w:firstLineChars="200" w:firstLine="480"/>
        <w:rPr>
          <w:rFonts w:asciiTheme="minorEastAsia" w:eastAsiaTheme="minorEastAsia" w:hAnsiTheme="minorEastAsia" w:hint="eastAsia"/>
          <w:bCs/>
        </w:rPr>
      </w:pPr>
      <w:r>
        <w:rPr>
          <w:rFonts w:asciiTheme="minorEastAsia" w:eastAsiaTheme="minorEastAsia" w:hAnsiTheme="minorEastAsia" w:hint="eastAsia"/>
          <w:bCs/>
        </w:rPr>
        <w:t>本基金本报告期末未持有资产支持证券。</w:t>
      </w:r>
    </w:p>
    <w:p w14:paraId="12972BE7" w14:textId="77777777" w:rsidR="00B51DEA" w:rsidRDefault="00B51DEA">
      <w:pPr>
        <w:pStyle w:val="neirong"/>
        <w:spacing w:line="360" w:lineRule="auto"/>
        <w:ind w:leftChars="7" w:firstLineChars="200" w:firstLine="480"/>
        <w:rPr>
          <w:rFonts w:asciiTheme="minorEastAsia" w:eastAsiaTheme="minorEastAsia" w:hAnsiTheme="minorEastAsia" w:hint="eastAsia"/>
          <w:bCs/>
        </w:rPr>
      </w:pPr>
    </w:p>
    <w:p w14:paraId="4C7BF018" w14:textId="77777777" w:rsidR="00B51DEA" w:rsidRDefault="00000000">
      <w:pPr>
        <w:pStyle w:val="zhangjiep"/>
        <w:spacing w:line="360" w:lineRule="auto"/>
        <w:outlineLvl w:val="9"/>
        <w:rPr>
          <w:rFonts w:asciiTheme="minorEastAsia" w:eastAsiaTheme="minorEastAsia" w:hAnsiTheme="minorEastAsia" w:hint="eastAsia"/>
          <w:bCs/>
        </w:rPr>
      </w:pPr>
      <w:r>
        <w:rPr>
          <w:rFonts w:asciiTheme="minorEastAsia" w:eastAsiaTheme="minorEastAsia" w:hAnsiTheme="minorEastAsia"/>
          <w:bCs/>
        </w:rPr>
        <w:t>7、报告期末按公允价值占基金资产净值比例大小排序的前五名贵金属投资明细</w:t>
      </w:r>
    </w:p>
    <w:p w14:paraId="49B6A4E1" w14:textId="77777777" w:rsidR="00B51DEA" w:rsidRDefault="00000000">
      <w:pPr>
        <w:pStyle w:val="neirong"/>
        <w:spacing w:line="360" w:lineRule="auto"/>
        <w:ind w:leftChars="7" w:firstLineChars="200" w:firstLine="480"/>
        <w:rPr>
          <w:rFonts w:asciiTheme="minorEastAsia" w:eastAsiaTheme="minorEastAsia" w:hAnsiTheme="minorEastAsia" w:hint="eastAsia"/>
          <w:bCs/>
        </w:rPr>
      </w:pPr>
      <w:r>
        <w:rPr>
          <w:rFonts w:asciiTheme="minorEastAsia" w:eastAsiaTheme="minorEastAsia" w:hAnsiTheme="minorEastAsia" w:hint="eastAsia"/>
          <w:bCs/>
        </w:rPr>
        <w:t>本基金本报告期末未持有贵金属。</w:t>
      </w:r>
    </w:p>
    <w:p w14:paraId="7EE0359C" w14:textId="77777777" w:rsidR="00B51DEA" w:rsidRDefault="00B51DEA">
      <w:pPr>
        <w:pStyle w:val="neirong"/>
        <w:spacing w:line="360" w:lineRule="auto"/>
        <w:ind w:leftChars="7" w:firstLineChars="200" w:firstLine="480"/>
        <w:rPr>
          <w:rFonts w:asciiTheme="minorEastAsia" w:eastAsiaTheme="minorEastAsia" w:hAnsiTheme="minorEastAsia" w:hint="eastAsia"/>
          <w:bCs/>
        </w:rPr>
      </w:pPr>
    </w:p>
    <w:p w14:paraId="7A7594C2" w14:textId="77777777" w:rsidR="00B51DEA" w:rsidRDefault="00000000">
      <w:pPr>
        <w:pStyle w:val="zhangjiep"/>
        <w:spacing w:line="360" w:lineRule="auto"/>
        <w:outlineLvl w:val="9"/>
        <w:rPr>
          <w:rFonts w:asciiTheme="minorEastAsia" w:eastAsiaTheme="minorEastAsia" w:hAnsiTheme="minorEastAsia" w:hint="eastAsia"/>
          <w:bCs/>
        </w:rPr>
      </w:pPr>
      <w:r>
        <w:rPr>
          <w:rFonts w:asciiTheme="minorEastAsia" w:eastAsiaTheme="minorEastAsia" w:hAnsiTheme="minorEastAsia"/>
          <w:bCs/>
        </w:rPr>
        <w:t>8、报告期末按公允价值占基金资产净值比例大小排序的前五名权证投资明细</w:t>
      </w:r>
    </w:p>
    <w:p w14:paraId="0BD8D6AF" w14:textId="77777777" w:rsidR="00B51DEA" w:rsidRDefault="00000000">
      <w:pPr>
        <w:pStyle w:val="neirong"/>
        <w:spacing w:line="360" w:lineRule="auto"/>
        <w:ind w:leftChars="7" w:firstLineChars="200" w:firstLine="480"/>
        <w:rPr>
          <w:rFonts w:asciiTheme="minorEastAsia" w:eastAsiaTheme="minorEastAsia" w:hAnsiTheme="minorEastAsia" w:hint="eastAsia"/>
          <w:bCs/>
        </w:rPr>
      </w:pPr>
      <w:r>
        <w:rPr>
          <w:rFonts w:asciiTheme="minorEastAsia" w:eastAsiaTheme="minorEastAsia" w:hAnsiTheme="minorEastAsia" w:hint="eastAsia"/>
          <w:bCs/>
        </w:rPr>
        <w:t>本基金本报告期末未持有权证。</w:t>
      </w:r>
    </w:p>
    <w:p w14:paraId="18B0A2F6" w14:textId="77777777" w:rsidR="00B51DEA" w:rsidRDefault="00B51DEA">
      <w:pPr>
        <w:pStyle w:val="neirong"/>
        <w:spacing w:line="360" w:lineRule="auto"/>
        <w:ind w:leftChars="7" w:firstLineChars="200" w:firstLine="480"/>
        <w:rPr>
          <w:rFonts w:asciiTheme="minorEastAsia" w:eastAsiaTheme="minorEastAsia" w:hAnsiTheme="minorEastAsia" w:hint="eastAsia"/>
          <w:bCs/>
        </w:rPr>
      </w:pPr>
    </w:p>
    <w:p w14:paraId="4B68715C" w14:textId="77777777" w:rsidR="00B51DEA" w:rsidRDefault="00000000">
      <w:pPr>
        <w:pStyle w:val="zhangjiep"/>
        <w:spacing w:line="360" w:lineRule="auto"/>
        <w:outlineLvl w:val="9"/>
        <w:rPr>
          <w:rFonts w:asciiTheme="minorEastAsia" w:eastAsiaTheme="minorEastAsia" w:hAnsiTheme="minorEastAsia" w:hint="eastAsia"/>
          <w:bCs/>
        </w:rPr>
      </w:pPr>
      <w:r>
        <w:rPr>
          <w:rFonts w:asciiTheme="minorEastAsia" w:eastAsiaTheme="minorEastAsia" w:hAnsiTheme="minorEastAsia"/>
          <w:bCs/>
        </w:rPr>
        <w:t>9、报告期末本基金投资的股指期货交易情况说明</w:t>
      </w:r>
    </w:p>
    <w:p w14:paraId="00D1C6E5" w14:textId="77777777" w:rsidR="00B51DEA" w:rsidRDefault="00000000">
      <w:pPr>
        <w:pStyle w:val="zhangjiep2"/>
        <w:spacing w:line="360" w:lineRule="auto"/>
        <w:rPr>
          <w:rFonts w:asciiTheme="minorEastAsia" w:eastAsiaTheme="minorEastAsia" w:hAnsiTheme="minorEastAsia" w:hint="eastAsia"/>
          <w:bCs/>
        </w:rPr>
      </w:pPr>
      <w:r>
        <w:rPr>
          <w:rFonts w:asciiTheme="minorEastAsia" w:eastAsiaTheme="minorEastAsia" w:hAnsiTheme="minorEastAsia" w:hint="eastAsia"/>
          <w:bCs/>
        </w:rPr>
        <w:t>（</w:t>
      </w:r>
      <w:r>
        <w:rPr>
          <w:rFonts w:asciiTheme="minorEastAsia" w:eastAsiaTheme="minorEastAsia" w:hAnsiTheme="minorEastAsia"/>
          <w:bCs/>
        </w:rPr>
        <w:t>1）报告期末本基金投资的股指期货持仓和损益明细</w:t>
      </w:r>
    </w:p>
    <w:p w14:paraId="0AC7E4F5" w14:textId="77777777" w:rsidR="00B51DEA" w:rsidRDefault="00000000">
      <w:pPr>
        <w:pStyle w:val="neirong"/>
        <w:spacing w:line="360" w:lineRule="auto"/>
        <w:ind w:leftChars="7" w:firstLineChars="200" w:firstLine="480"/>
        <w:rPr>
          <w:rFonts w:asciiTheme="minorEastAsia" w:eastAsiaTheme="minorEastAsia" w:hAnsiTheme="minorEastAsia" w:hint="eastAsia"/>
          <w:bCs/>
        </w:rPr>
      </w:pPr>
      <w:r>
        <w:rPr>
          <w:rFonts w:asciiTheme="minorEastAsia" w:eastAsiaTheme="minorEastAsia" w:hAnsiTheme="minorEastAsia" w:hint="eastAsia"/>
          <w:bCs/>
        </w:rPr>
        <w:t>本基金本报告期末未投资股指期货。</w:t>
      </w:r>
    </w:p>
    <w:p w14:paraId="31A75376" w14:textId="77777777" w:rsidR="00B51DEA" w:rsidRDefault="00000000">
      <w:pPr>
        <w:pStyle w:val="zhangjiep2"/>
        <w:spacing w:line="360" w:lineRule="auto"/>
        <w:rPr>
          <w:rFonts w:asciiTheme="minorEastAsia" w:eastAsiaTheme="minorEastAsia" w:hAnsiTheme="minorEastAsia" w:hint="eastAsia"/>
          <w:bCs/>
        </w:rPr>
      </w:pPr>
      <w:r>
        <w:rPr>
          <w:rFonts w:asciiTheme="minorEastAsia" w:eastAsiaTheme="minorEastAsia" w:hAnsiTheme="minorEastAsia" w:hint="eastAsia"/>
          <w:bCs/>
        </w:rPr>
        <w:t>（</w:t>
      </w:r>
      <w:r>
        <w:rPr>
          <w:rFonts w:asciiTheme="minorEastAsia" w:eastAsiaTheme="minorEastAsia" w:hAnsiTheme="minorEastAsia"/>
          <w:bCs/>
        </w:rPr>
        <w:t>2）本基金投资股指期货的投资政策</w:t>
      </w:r>
    </w:p>
    <w:p w14:paraId="7B39ADA4" w14:textId="77777777" w:rsidR="00B51DEA" w:rsidRDefault="00000000">
      <w:pPr>
        <w:pStyle w:val="biaogeleft"/>
        <w:spacing w:line="360" w:lineRule="auto"/>
        <w:ind w:firstLine="480"/>
        <w:rPr>
          <w:rFonts w:asciiTheme="minorEastAsia" w:eastAsiaTheme="minorEastAsia" w:hAnsiTheme="minorEastAsia" w:hint="eastAsia"/>
          <w:bCs/>
        </w:rPr>
      </w:pPr>
      <w:r>
        <w:rPr>
          <w:rFonts w:asciiTheme="minorEastAsia" w:eastAsiaTheme="minorEastAsia" w:hAnsiTheme="minorEastAsia" w:hint="eastAsia"/>
          <w:bCs/>
        </w:rPr>
        <w:t>本基金本报告期末未投资股指期货。</w:t>
      </w:r>
    </w:p>
    <w:p w14:paraId="6EC777FB" w14:textId="77777777" w:rsidR="00B51DEA" w:rsidRDefault="00B51DEA">
      <w:pPr>
        <w:pStyle w:val="biaogeleft"/>
        <w:spacing w:line="360" w:lineRule="auto"/>
        <w:ind w:firstLine="480"/>
        <w:rPr>
          <w:rFonts w:asciiTheme="minorEastAsia" w:eastAsiaTheme="minorEastAsia" w:hAnsiTheme="minorEastAsia" w:hint="eastAsia"/>
          <w:bCs/>
        </w:rPr>
      </w:pPr>
    </w:p>
    <w:p w14:paraId="7552C31A" w14:textId="77777777" w:rsidR="00B51DEA" w:rsidRDefault="00000000">
      <w:pPr>
        <w:pStyle w:val="zhangjiep"/>
        <w:spacing w:line="360" w:lineRule="auto"/>
        <w:outlineLvl w:val="9"/>
        <w:rPr>
          <w:rFonts w:asciiTheme="minorEastAsia" w:eastAsiaTheme="minorEastAsia" w:hAnsiTheme="minorEastAsia" w:hint="eastAsia"/>
          <w:bCs/>
        </w:rPr>
      </w:pPr>
      <w:r>
        <w:rPr>
          <w:rFonts w:asciiTheme="minorEastAsia" w:eastAsiaTheme="minorEastAsia" w:hAnsiTheme="minorEastAsia"/>
          <w:bCs/>
        </w:rPr>
        <w:lastRenderedPageBreak/>
        <w:t>10、报告期末本基金投资的国债期货交易情况说明</w:t>
      </w:r>
    </w:p>
    <w:p w14:paraId="0313C472" w14:textId="77777777" w:rsidR="00B51DEA" w:rsidRDefault="00000000">
      <w:pPr>
        <w:pStyle w:val="zhangjiep2"/>
        <w:spacing w:line="360" w:lineRule="auto"/>
        <w:rPr>
          <w:rFonts w:asciiTheme="minorEastAsia" w:eastAsiaTheme="minorEastAsia" w:hAnsiTheme="minorEastAsia" w:hint="eastAsia"/>
          <w:bCs/>
        </w:rPr>
      </w:pPr>
      <w:r>
        <w:rPr>
          <w:rFonts w:asciiTheme="minorEastAsia" w:eastAsiaTheme="minorEastAsia" w:hAnsiTheme="minorEastAsia" w:hint="eastAsia"/>
          <w:bCs/>
        </w:rPr>
        <w:t>（</w:t>
      </w:r>
      <w:r>
        <w:rPr>
          <w:rFonts w:asciiTheme="minorEastAsia" w:eastAsiaTheme="minorEastAsia" w:hAnsiTheme="minorEastAsia"/>
          <w:bCs/>
        </w:rPr>
        <w:t>1）本期国债期货投资政策</w:t>
      </w:r>
    </w:p>
    <w:p w14:paraId="2863F09A" w14:textId="77777777" w:rsidR="00B51DEA" w:rsidRDefault="00000000">
      <w:pPr>
        <w:pStyle w:val="biaogeleft"/>
        <w:spacing w:line="360" w:lineRule="auto"/>
        <w:ind w:firstLine="480"/>
        <w:rPr>
          <w:rFonts w:asciiTheme="minorEastAsia" w:eastAsiaTheme="minorEastAsia" w:hAnsiTheme="minorEastAsia" w:hint="eastAsia"/>
          <w:bCs/>
        </w:rPr>
      </w:pPr>
      <w:r>
        <w:rPr>
          <w:rFonts w:asciiTheme="minorEastAsia" w:eastAsiaTheme="minorEastAsia" w:hAnsiTheme="minorEastAsia" w:hint="eastAsia"/>
          <w:bCs/>
        </w:rPr>
        <w:t>本基金本报告期末未投资国债期货。</w:t>
      </w:r>
    </w:p>
    <w:p w14:paraId="1D121DB7" w14:textId="77777777" w:rsidR="00B51DEA" w:rsidRDefault="00000000">
      <w:pPr>
        <w:pStyle w:val="zhangjiep2"/>
        <w:spacing w:line="360" w:lineRule="auto"/>
        <w:rPr>
          <w:rFonts w:asciiTheme="minorEastAsia" w:eastAsiaTheme="minorEastAsia" w:hAnsiTheme="minorEastAsia" w:hint="eastAsia"/>
          <w:bCs/>
        </w:rPr>
      </w:pPr>
      <w:r>
        <w:rPr>
          <w:rFonts w:asciiTheme="minorEastAsia" w:eastAsiaTheme="minorEastAsia" w:hAnsiTheme="minorEastAsia" w:hint="eastAsia"/>
          <w:bCs/>
        </w:rPr>
        <w:t>（</w:t>
      </w:r>
      <w:r>
        <w:rPr>
          <w:rFonts w:asciiTheme="minorEastAsia" w:eastAsiaTheme="minorEastAsia" w:hAnsiTheme="minorEastAsia"/>
          <w:bCs/>
        </w:rPr>
        <w:t>2）报告期末本基金投资的国债期货持仓和损益明细</w:t>
      </w:r>
    </w:p>
    <w:p w14:paraId="5B0AB0D3" w14:textId="77777777" w:rsidR="00B51DEA" w:rsidRDefault="00000000">
      <w:pPr>
        <w:pStyle w:val="biaogeleft"/>
        <w:spacing w:line="360" w:lineRule="auto"/>
        <w:ind w:firstLine="480"/>
        <w:rPr>
          <w:rFonts w:asciiTheme="minorEastAsia" w:eastAsiaTheme="minorEastAsia" w:hAnsiTheme="minorEastAsia" w:hint="eastAsia"/>
          <w:bCs/>
        </w:rPr>
      </w:pPr>
      <w:r>
        <w:rPr>
          <w:rFonts w:asciiTheme="minorEastAsia" w:eastAsiaTheme="minorEastAsia" w:hAnsiTheme="minorEastAsia" w:hint="eastAsia"/>
          <w:bCs/>
        </w:rPr>
        <w:t>本基金本报告期末未投资国债期货。</w:t>
      </w:r>
    </w:p>
    <w:p w14:paraId="442E6319" w14:textId="77777777" w:rsidR="00B51DEA" w:rsidRDefault="00000000">
      <w:pPr>
        <w:pStyle w:val="zhangjiep2"/>
        <w:spacing w:line="360" w:lineRule="auto"/>
        <w:rPr>
          <w:rFonts w:asciiTheme="minorEastAsia" w:eastAsiaTheme="minorEastAsia" w:hAnsiTheme="minorEastAsia" w:hint="eastAsia"/>
          <w:bCs/>
        </w:rPr>
      </w:pPr>
      <w:r>
        <w:rPr>
          <w:rFonts w:asciiTheme="minorEastAsia" w:eastAsiaTheme="minorEastAsia" w:hAnsiTheme="minorEastAsia" w:hint="eastAsia"/>
          <w:bCs/>
        </w:rPr>
        <w:t>（</w:t>
      </w:r>
      <w:r>
        <w:rPr>
          <w:rFonts w:asciiTheme="minorEastAsia" w:eastAsiaTheme="minorEastAsia" w:hAnsiTheme="minorEastAsia"/>
          <w:bCs/>
        </w:rPr>
        <w:t xml:space="preserve">3） </w:t>
      </w:r>
      <w:r>
        <w:rPr>
          <w:rFonts w:asciiTheme="minorEastAsia" w:eastAsiaTheme="minorEastAsia" w:hAnsiTheme="minorEastAsia" w:hint="eastAsia"/>
          <w:bCs/>
        </w:rPr>
        <w:t>本期国债期货投资评价</w:t>
      </w:r>
    </w:p>
    <w:p w14:paraId="429C84C2" w14:textId="77777777" w:rsidR="00B51DEA" w:rsidRDefault="00000000">
      <w:pPr>
        <w:pStyle w:val="biaogeleft"/>
        <w:spacing w:line="360" w:lineRule="auto"/>
        <w:ind w:firstLine="480"/>
        <w:rPr>
          <w:rFonts w:asciiTheme="minorEastAsia" w:eastAsiaTheme="minorEastAsia" w:hAnsiTheme="minorEastAsia" w:hint="eastAsia"/>
          <w:bCs/>
        </w:rPr>
      </w:pPr>
      <w:r>
        <w:rPr>
          <w:rFonts w:asciiTheme="minorEastAsia" w:eastAsiaTheme="minorEastAsia" w:hAnsiTheme="minorEastAsia" w:hint="eastAsia"/>
          <w:bCs/>
        </w:rPr>
        <w:t>本基金本报告期末未投资国债期货。</w:t>
      </w:r>
    </w:p>
    <w:p w14:paraId="099DD5AE" w14:textId="77777777" w:rsidR="00B51DEA" w:rsidRDefault="00B51DEA">
      <w:pPr>
        <w:pStyle w:val="biaogeleft"/>
        <w:spacing w:line="360" w:lineRule="auto"/>
        <w:ind w:firstLine="480"/>
        <w:rPr>
          <w:rFonts w:asciiTheme="minorEastAsia" w:eastAsiaTheme="minorEastAsia" w:hAnsiTheme="minorEastAsia" w:hint="eastAsia"/>
          <w:bCs/>
        </w:rPr>
      </w:pPr>
    </w:p>
    <w:p w14:paraId="071B2777" w14:textId="77777777" w:rsidR="00B51DEA" w:rsidRDefault="00000000">
      <w:pPr>
        <w:pStyle w:val="zhangjiep"/>
        <w:spacing w:line="360" w:lineRule="auto"/>
        <w:outlineLvl w:val="9"/>
        <w:rPr>
          <w:rFonts w:asciiTheme="minorEastAsia" w:eastAsiaTheme="minorEastAsia" w:hAnsiTheme="minorEastAsia" w:hint="eastAsia"/>
          <w:bCs/>
        </w:rPr>
      </w:pPr>
      <w:r>
        <w:rPr>
          <w:rFonts w:asciiTheme="minorEastAsia" w:eastAsiaTheme="minorEastAsia" w:hAnsiTheme="minorEastAsia"/>
          <w:bCs/>
        </w:rPr>
        <w:t xml:space="preserve">11、投资组合报告附注 </w:t>
      </w:r>
    </w:p>
    <w:p w14:paraId="6A88AB55" w14:textId="77777777" w:rsidR="00B51DEA" w:rsidRDefault="00000000">
      <w:pPr>
        <w:pStyle w:val="zhangjiep2"/>
        <w:rPr>
          <w:rFonts w:hAnsi="Calibri"/>
          <w:b/>
          <w:color w:val="000000"/>
        </w:rPr>
      </w:pPr>
      <w:r>
        <w:rPr>
          <w:rFonts w:asciiTheme="minorEastAsia" w:eastAsiaTheme="minorEastAsia" w:hAnsiTheme="minorEastAsia" w:hint="eastAsia"/>
          <w:bCs/>
        </w:rPr>
        <w:t>（</w:t>
      </w:r>
      <w:r>
        <w:rPr>
          <w:rFonts w:asciiTheme="minorEastAsia" w:eastAsiaTheme="minorEastAsia" w:hAnsiTheme="minorEastAsia"/>
          <w:bCs/>
        </w:rPr>
        <w:t>1）</w:t>
      </w:r>
      <w:r>
        <w:rPr>
          <w:rFonts w:hAnsi="Calibri"/>
          <w:b/>
          <w:color w:val="000000"/>
        </w:rPr>
        <w:t>本基金投资的前十名证券的发行主体中，国家开发银行在报告编制日前一年内曾受到中国人民银行、国家外汇管理局北京市分局的处罚。</w:t>
      </w:r>
    </w:p>
    <w:p w14:paraId="37C5BD00" w14:textId="77777777" w:rsidR="00B51DEA" w:rsidRDefault="00000000">
      <w:pPr>
        <w:pStyle w:val="zhangjiep2"/>
        <w:ind w:firstLine="405"/>
        <w:rPr>
          <w:rFonts w:asciiTheme="minorEastAsia" w:eastAsiaTheme="minorEastAsia" w:hAnsiTheme="minorEastAsia" w:hint="eastAsia"/>
          <w:bCs/>
        </w:rPr>
      </w:pPr>
      <w:r>
        <w:rPr>
          <w:b/>
          <w:color w:val="000000"/>
        </w:rPr>
        <w:t>本基金对上述主体发行的相关证券的投资决策程序符合相关法律法规及基金合同的要求。除上述主体外，本基金投资的其他前十名证券的发行主体本期没有出现被监管部门立案调查，或在报告编制日前一年内受到公开谴责、处罚的情形。</w:t>
      </w:r>
    </w:p>
    <w:p w14:paraId="37F06864" w14:textId="77777777" w:rsidR="00B51DEA" w:rsidRDefault="00000000">
      <w:pPr>
        <w:pStyle w:val="zhangjiep2"/>
        <w:spacing w:line="360" w:lineRule="auto"/>
        <w:rPr>
          <w:rFonts w:asciiTheme="minorEastAsia" w:eastAsiaTheme="minorEastAsia" w:hAnsiTheme="minorEastAsia" w:hint="eastAsia"/>
          <w:bCs/>
        </w:rPr>
      </w:pPr>
      <w:r>
        <w:rPr>
          <w:rFonts w:asciiTheme="minorEastAsia" w:eastAsiaTheme="minorEastAsia" w:hAnsiTheme="minorEastAsia" w:hint="eastAsia"/>
          <w:bCs/>
        </w:rPr>
        <w:t>（</w:t>
      </w:r>
      <w:r>
        <w:rPr>
          <w:rFonts w:asciiTheme="minorEastAsia" w:eastAsiaTheme="minorEastAsia" w:hAnsiTheme="minorEastAsia"/>
          <w:bCs/>
        </w:rPr>
        <w:t>2）</w:t>
      </w:r>
      <w:r>
        <w:rPr>
          <w:rFonts w:hAnsi="等线"/>
          <w:b/>
          <w:color w:val="000000"/>
        </w:rPr>
        <w:t>本基金本报告期末未持有股票。</w:t>
      </w:r>
    </w:p>
    <w:p w14:paraId="1CE1916F" w14:textId="77777777" w:rsidR="00B51DEA" w:rsidRDefault="00000000">
      <w:pPr>
        <w:pStyle w:val="zhangjiep2"/>
        <w:spacing w:line="360" w:lineRule="auto"/>
        <w:rPr>
          <w:rFonts w:asciiTheme="minorEastAsia" w:eastAsiaTheme="minorEastAsia" w:hAnsiTheme="minorEastAsia" w:hint="eastAsia"/>
          <w:bCs/>
        </w:rPr>
      </w:pPr>
      <w:r>
        <w:rPr>
          <w:rFonts w:asciiTheme="minorEastAsia" w:eastAsiaTheme="minorEastAsia" w:hAnsiTheme="minorEastAsia" w:hint="eastAsia"/>
          <w:bCs/>
        </w:rPr>
        <w:t>（</w:t>
      </w:r>
      <w:r>
        <w:rPr>
          <w:rFonts w:asciiTheme="minorEastAsia" w:eastAsiaTheme="minorEastAsia" w:hAnsiTheme="minorEastAsia"/>
          <w:bCs/>
        </w:rPr>
        <w:t xml:space="preserve">3） </w:t>
      </w:r>
      <w:r>
        <w:rPr>
          <w:rFonts w:asciiTheme="minorEastAsia" w:eastAsiaTheme="minorEastAsia" w:hAnsiTheme="minorEastAsia" w:hint="eastAsia"/>
          <w:bCs/>
        </w:rPr>
        <w:t>其他资产构成</w:t>
      </w:r>
    </w:p>
    <w:tbl>
      <w:tblPr>
        <w:tblW w:w="9045" w:type="dxa"/>
        <w:tblInd w:w="108" w:type="dxa"/>
        <w:tblLook w:val="04A0" w:firstRow="1" w:lastRow="0" w:firstColumn="1" w:lastColumn="0" w:noHBand="0" w:noVBand="1"/>
      </w:tblPr>
      <w:tblGrid>
        <w:gridCol w:w="1276"/>
        <w:gridCol w:w="3709"/>
        <w:gridCol w:w="4060"/>
      </w:tblGrid>
      <w:tr w:rsidR="00B51DEA" w14:paraId="773AB812" w14:textId="77777777">
        <w:tc>
          <w:tcPr>
            <w:tcW w:w="1276" w:type="dxa"/>
            <w:tcBorders>
              <w:top w:val="single" w:sz="8" w:space="0" w:color="000000"/>
              <w:left w:val="single" w:sz="8" w:space="0" w:color="000000"/>
              <w:bottom w:val="single" w:sz="6" w:space="0" w:color="000000"/>
              <w:right w:val="single" w:sz="8" w:space="0" w:color="000000"/>
            </w:tcBorders>
            <w:vAlign w:val="center"/>
          </w:tcPr>
          <w:p w14:paraId="1494FF48" w14:textId="77777777" w:rsidR="00B51DEA" w:rsidRDefault="00000000">
            <w:pPr>
              <w:pStyle w:val="biaogecenter"/>
              <w:wordWrap w:val="0"/>
              <w:rPr>
                <w:rFonts w:hint="eastAsia"/>
              </w:rPr>
            </w:pPr>
            <w:r>
              <w:rPr>
                <w:rFonts w:hAnsi="等线" w:hint="eastAsia"/>
                <w:color w:val="000000"/>
              </w:rPr>
              <w:t>序号</w:t>
            </w:r>
          </w:p>
        </w:tc>
        <w:tc>
          <w:tcPr>
            <w:tcW w:w="3709" w:type="dxa"/>
            <w:tcBorders>
              <w:top w:val="single" w:sz="8" w:space="0" w:color="000000"/>
              <w:left w:val="single" w:sz="8" w:space="0" w:color="000000"/>
              <w:bottom w:val="single" w:sz="6" w:space="0" w:color="000000"/>
              <w:right w:val="single" w:sz="8" w:space="0" w:color="000000"/>
            </w:tcBorders>
            <w:vAlign w:val="center"/>
          </w:tcPr>
          <w:p w14:paraId="33122A39" w14:textId="77777777" w:rsidR="00B51DEA" w:rsidRDefault="00000000">
            <w:pPr>
              <w:pStyle w:val="biaogecenter"/>
              <w:wordWrap w:val="0"/>
              <w:rPr>
                <w:rFonts w:hint="eastAsia"/>
              </w:rPr>
            </w:pPr>
            <w:r>
              <w:rPr>
                <w:rFonts w:hint="eastAsia"/>
              </w:rPr>
              <w:t>名称</w:t>
            </w:r>
          </w:p>
        </w:tc>
        <w:tc>
          <w:tcPr>
            <w:tcW w:w="4060" w:type="dxa"/>
            <w:tcBorders>
              <w:top w:val="single" w:sz="8" w:space="0" w:color="000000"/>
              <w:left w:val="single" w:sz="8" w:space="0" w:color="000000"/>
              <w:bottom w:val="single" w:sz="6" w:space="0" w:color="000000"/>
              <w:right w:val="single" w:sz="8" w:space="0" w:color="000000"/>
            </w:tcBorders>
            <w:vAlign w:val="center"/>
          </w:tcPr>
          <w:p w14:paraId="5AEAA7F8" w14:textId="77777777" w:rsidR="00B51DEA" w:rsidRDefault="00000000">
            <w:pPr>
              <w:pStyle w:val="biaogecenter"/>
              <w:wordWrap w:val="0"/>
              <w:rPr>
                <w:rFonts w:hint="eastAsia"/>
              </w:rPr>
            </w:pPr>
            <w:r>
              <w:rPr>
                <w:rFonts w:hint="eastAsia"/>
              </w:rPr>
              <w:t>金额(元)</w:t>
            </w:r>
          </w:p>
        </w:tc>
      </w:tr>
      <w:tr w:rsidR="00B51DEA" w14:paraId="79A5EBD6" w14:textId="77777777">
        <w:tc>
          <w:tcPr>
            <w:tcW w:w="1276" w:type="dxa"/>
            <w:tcBorders>
              <w:top w:val="single" w:sz="8" w:space="0" w:color="000000"/>
              <w:left w:val="single" w:sz="8" w:space="0" w:color="000000"/>
              <w:bottom w:val="single" w:sz="6" w:space="0" w:color="000000"/>
              <w:right w:val="single" w:sz="8" w:space="0" w:color="000000"/>
            </w:tcBorders>
            <w:vAlign w:val="center"/>
          </w:tcPr>
          <w:p w14:paraId="22B488B8" w14:textId="77777777" w:rsidR="00B51DEA" w:rsidRDefault="00000000">
            <w:pPr>
              <w:pStyle w:val="biaogecenter"/>
              <w:wordWrap w:val="0"/>
              <w:rPr>
                <w:rFonts w:hint="eastAsia"/>
              </w:rPr>
            </w:pPr>
            <w:r>
              <w:rPr>
                <w:rFonts w:hAnsi="等线" w:hint="eastAsia"/>
                <w:color w:val="000000"/>
              </w:rPr>
              <w:t>1</w:t>
            </w:r>
          </w:p>
        </w:tc>
        <w:tc>
          <w:tcPr>
            <w:tcW w:w="3709" w:type="dxa"/>
            <w:tcBorders>
              <w:top w:val="single" w:sz="8" w:space="0" w:color="000000"/>
              <w:left w:val="single" w:sz="8" w:space="0" w:color="000000"/>
              <w:bottom w:val="single" w:sz="6" w:space="0" w:color="000000"/>
              <w:right w:val="single" w:sz="8" w:space="0" w:color="000000"/>
            </w:tcBorders>
            <w:vAlign w:val="center"/>
          </w:tcPr>
          <w:p w14:paraId="02EDD031" w14:textId="77777777" w:rsidR="00B51DEA" w:rsidRDefault="00000000">
            <w:pPr>
              <w:pStyle w:val="biaogeleft"/>
              <w:wordWrap w:val="0"/>
              <w:rPr>
                <w:rFonts w:hint="eastAsia"/>
              </w:rPr>
            </w:pPr>
            <w:r>
              <w:rPr>
                <w:rFonts w:hint="eastAsia"/>
              </w:rPr>
              <w:t>存出保证金</w:t>
            </w:r>
          </w:p>
        </w:tc>
        <w:tc>
          <w:tcPr>
            <w:tcW w:w="4060" w:type="dxa"/>
            <w:tcBorders>
              <w:top w:val="single" w:sz="8" w:space="0" w:color="000000"/>
              <w:left w:val="single" w:sz="8" w:space="0" w:color="000000"/>
              <w:bottom w:val="single" w:sz="6" w:space="0" w:color="000000"/>
              <w:right w:val="single" w:sz="8" w:space="0" w:color="000000"/>
            </w:tcBorders>
            <w:vAlign w:val="center"/>
          </w:tcPr>
          <w:p w14:paraId="78589701" w14:textId="77777777" w:rsidR="00B51DEA" w:rsidRDefault="00000000">
            <w:pPr>
              <w:pStyle w:val="biaogeright"/>
              <w:wordWrap w:val="0"/>
              <w:rPr>
                <w:rFonts w:hint="eastAsia"/>
              </w:rPr>
            </w:pPr>
            <w:r>
              <w:rPr>
                <w:rFonts w:hAnsi="Calibri"/>
                <w:color w:val="000000"/>
              </w:rPr>
              <w:t>77,128.87</w:t>
            </w:r>
          </w:p>
        </w:tc>
      </w:tr>
      <w:tr w:rsidR="00B51DEA" w14:paraId="2EB66C15" w14:textId="77777777">
        <w:tc>
          <w:tcPr>
            <w:tcW w:w="1276" w:type="dxa"/>
            <w:tcBorders>
              <w:top w:val="single" w:sz="8" w:space="0" w:color="000000"/>
              <w:left w:val="single" w:sz="8" w:space="0" w:color="000000"/>
              <w:bottom w:val="single" w:sz="6" w:space="0" w:color="000000"/>
              <w:right w:val="single" w:sz="8" w:space="0" w:color="000000"/>
            </w:tcBorders>
            <w:vAlign w:val="center"/>
          </w:tcPr>
          <w:p w14:paraId="6D5565DA" w14:textId="77777777" w:rsidR="00B51DEA" w:rsidRDefault="00000000">
            <w:pPr>
              <w:pStyle w:val="biaogecenter"/>
              <w:wordWrap w:val="0"/>
              <w:rPr>
                <w:rFonts w:hint="eastAsia"/>
              </w:rPr>
            </w:pPr>
            <w:r>
              <w:rPr>
                <w:rFonts w:hAnsi="等线" w:hint="eastAsia"/>
                <w:color w:val="000000"/>
              </w:rPr>
              <w:t>2</w:t>
            </w:r>
          </w:p>
        </w:tc>
        <w:tc>
          <w:tcPr>
            <w:tcW w:w="3709" w:type="dxa"/>
            <w:tcBorders>
              <w:top w:val="single" w:sz="8" w:space="0" w:color="000000"/>
              <w:left w:val="single" w:sz="8" w:space="0" w:color="000000"/>
              <w:bottom w:val="single" w:sz="6" w:space="0" w:color="000000"/>
              <w:right w:val="single" w:sz="8" w:space="0" w:color="000000"/>
            </w:tcBorders>
            <w:vAlign w:val="center"/>
          </w:tcPr>
          <w:p w14:paraId="003158CE" w14:textId="77777777" w:rsidR="00B51DEA" w:rsidRDefault="00000000">
            <w:pPr>
              <w:pStyle w:val="biaogeleft"/>
              <w:wordWrap w:val="0"/>
              <w:rPr>
                <w:rFonts w:hint="eastAsia"/>
              </w:rPr>
            </w:pPr>
            <w:r>
              <w:rPr>
                <w:rFonts w:hint="eastAsia"/>
              </w:rPr>
              <w:t>应收证券清算款</w:t>
            </w:r>
          </w:p>
        </w:tc>
        <w:tc>
          <w:tcPr>
            <w:tcW w:w="4060" w:type="dxa"/>
            <w:tcBorders>
              <w:top w:val="single" w:sz="8" w:space="0" w:color="000000"/>
              <w:left w:val="single" w:sz="8" w:space="0" w:color="000000"/>
              <w:bottom w:val="single" w:sz="6" w:space="0" w:color="000000"/>
              <w:right w:val="single" w:sz="8" w:space="0" w:color="000000"/>
            </w:tcBorders>
            <w:vAlign w:val="center"/>
          </w:tcPr>
          <w:p w14:paraId="00288D03" w14:textId="77777777" w:rsidR="00B51DEA" w:rsidRDefault="00000000">
            <w:pPr>
              <w:pStyle w:val="biaogeright"/>
              <w:wordWrap w:val="0"/>
              <w:rPr>
                <w:rFonts w:hint="eastAsia"/>
              </w:rPr>
            </w:pPr>
            <w:r>
              <w:rPr>
                <w:rFonts w:hAnsi="Calibri"/>
                <w:color w:val="000000"/>
              </w:rPr>
              <w:t>863.01</w:t>
            </w:r>
          </w:p>
        </w:tc>
      </w:tr>
      <w:tr w:rsidR="00B51DEA" w14:paraId="1634BDCB" w14:textId="77777777">
        <w:tc>
          <w:tcPr>
            <w:tcW w:w="1276" w:type="dxa"/>
            <w:tcBorders>
              <w:top w:val="single" w:sz="8" w:space="0" w:color="000000"/>
              <w:left w:val="single" w:sz="8" w:space="0" w:color="000000"/>
              <w:bottom w:val="single" w:sz="6" w:space="0" w:color="000000"/>
              <w:right w:val="single" w:sz="8" w:space="0" w:color="000000"/>
            </w:tcBorders>
            <w:vAlign w:val="center"/>
          </w:tcPr>
          <w:p w14:paraId="275D2820" w14:textId="77777777" w:rsidR="00B51DEA" w:rsidRDefault="00000000">
            <w:pPr>
              <w:pStyle w:val="biaogecenter"/>
              <w:wordWrap w:val="0"/>
              <w:rPr>
                <w:rFonts w:hint="eastAsia"/>
              </w:rPr>
            </w:pPr>
            <w:r>
              <w:rPr>
                <w:rFonts w:hAnsi="等线" w:hint="eastAsia"/>
                <w:color w:val="000000"/>
              </w:rPr>
              <w:t>3</w:t>
            </w:r>
          </w:p>
        </w:tc>
        <w:tc>
          <w:tcPr>
            <w:tcW w:w="3709" w:type="dxa"/>
            <w:tcBorders>
              <w:top w:val="single" w:sz="8" w:space="0" w:color="000000"/>
              <w:left w:val="single" w:sz="8" w:space="0" w:color="000000"/>
              <w:bottom w:val="single" w:sz="6" w:space="0" w:color="000000"/>
              <w:right w:val="single" w:sz="8" w:space="0" w:color="000000"/>
            </w:tcBorders>
            <w:vAlign w:val="center"/>
          </w:tcPr>
          <w:p w14:paraId="3BD924E3" w14:textId="77777777" w:rsidR="00B51DEA" w:rsidRDefault="00000000">
            <w:pPr>
              <w:pStyle w:val="biaogeleft"/>
              <w:wordWrap w:val="0"/>
              <w:rPr>
                <w:rFonts w:hint="eastAsia"/>
              </w:rPr>
            </w:pPr>
            <w:r>
              <w:rPr>
                <w:rFonts w:hint="eastAsia"/>
              </w:rPr>
              <w:t>应收股利</w:t>
            </w:r>
          </w:p>
        </w:tc>
        <w:tc>
          <w:tcPr>
            <w:tcW w:w="4060" w:type="dxa"/>
            <w:tcBorders>
              <w:top w:val="single" w:sz="8" w:space="0" w:color="000000"/>
              <w:left w:val="single" w:sz="8" w:space="0" w:color="000000"/>
              <w:bottom w:val="single" w:sz="6" w:space="0" w:color="000000"/>
              <w:right w:val="single" w:sz="8" w:space="0" w:color="000000"/>
            </w:tcBorders>
            <w:vAlign w:val="center"/>
          </w:tcPr>
          <w:p w14:paraId="1468DEB7" w14:textId="77777777" w:rsidR="00B51DEA" w:rsidRDefault="00000000">
            <w:pPr>
              <w:pStyle w:val="biaogeright"/>
              <w:wordWrap w:val="0"/>
              <w:rPr>
                <w:rFonts w:hint="eastAsia"/>
              </w:rPr>
            </w:pPr>
            <w:r>
              <w:rPr>
                <w:rFonts w:hAnsi="Calibri"/>
                <w:color w:val="000000"/>
              </w:rPr>
              <w:t>-</w:t>
            </w:r>
          </w:p>
        </w:tc>
      </w:tr>
      <w:tr w:rsidR="00B51DEA" w14:paraId="5BB3D9E2" w14:textId="77777777">
        <w:tc>
          <w:tcPr>
            <w:tcW w:w="1276" w:type="dxa"/>
            <w:tcBorders>
              <w:top w:val="single" w:sz="8" w:space="0" w:color="000000"/>
              <w:left w:val="single" w:sz="8" w:space="0" w:color="000000"/>
              <w:bottom w:val="single" w:sz="6" w:space="0" w:color="000000"/>
              <w:right w:val="single" w:sz="8" w:space="0" w:color="000000"/>
            </w:tcBorders>
            <w:vAlign w:val="center"/>
          </w:tcPr>
          <w:p w14:paraId="0061C7C7" w14:textId="77777777" w:rsidR="00B51DEA" w:rsidRDefault="00000000">
            <w:pPr>
              <w:pStyle w:val="biaogecenter"/>
              <w:wordWrap w:val="0"/>
              <w:rPr>
                <w:rFonts w:hint="eastAsia"/>
              </w:rPr>
            </w:pPr>
            <w:r>
              <w:rPr>
                <w:rFonts w:hAnsi="等线" w:hint="eastAsia"/>
                <w:color w:val="000000"/>
              </w:rPr>
              <w:t>4</w:t>
            </w:r>
          </w:p>
        </w:tc>
        <w:tc>
          <w:tcPr>
            <w:tcW w:w="3709" w:type="dxa"/>
            <w:tcBorders>
              <w:top w:val="single" w:sz="8" w:space="0" w:color="000000"/>
              <w:left w:val="single" w:sz="8" w:space="0" w:color="000000"/>
              <w:bottom w:val="single" w:sz="6" w:space="0" w:color="000000"/>
              <w:right w:val="single" w:sz="8" w:space="0" w:color="000000"/>
            </w:tcBorders>
            <w:vAlign w:val="center"/>
          </w:tcPr>
          <w:p w14:paraId="4239C528" w14:textId="77777777" w:rsidR="00B51DEA" w:rsidRDefault="00000000">
            <w:pPr>
              <w:pStyle w:val="biaogeleft"/>
              <w:wordWrap w:val="0"/>
              <w:rPr>
                <w:rFonts w:hint="eastAsia"/>
              </w:rPr>
            </w:pPr>
            <w:r>
              <w:rPr>
                <w:rFonts w:hint="eastAsia"/>
              </w:rPr>
              <w:t>应收利息</w:t>
            </w:r>
          </w:p>
        </w:tc>
        <w:tc>
          <w:tcPr>
            <w:tcW w:w="4060" w:type="dxa"/>
            <w:tcBorders>
              <w:top w:val="single" w:sz="8" w:space="0" w:color="000000"/>
              <w:left w:val="single" w:sz="8" w:space="0" w:color="000000"/>
              <w:bottom w:val="single" w:sz="6" w:space="0" w:color="000000"/>
              <w:right w:val="single" w:sz="8" w:space="0" w:color="000000"/>
            </w:tcBorders>
            <w:vAlign w:val="center"/>
          </w:tcPr>
          <w:p w14:paraId="3D4D5B49" w14:textId="77777777" w:rsidR="00B51DEA" w:rsidRDefault="00000000">
            <w:pPr>
              <w:pStyle w:val="biaogeright"/>
              <w:wordWrap w:val="0"/>
              <w:rPr>
                <w:rFonts w:hint="eastAsia"/>
              </w:rPr>
            </w:pPr>
            <w:r>
              <w:rPr>
                <w:rFonts w:hAnsi="Calibri"/>
                <w:color w:val="000000"/>
              </w:rPr>
              <w:t>-</w:t>
            </w:r>
          </w:p>
        </w:tc>
      </w:tr>
      <w:tr w:rsidR="00B51DEA" w14:paraId="0282AA65" w14:textId="77777777">
        <w:tc>
          <w:tcPr>
            <w:tcW w:w="1276" w:type="dxa"/>
            <w:tcBorders>
              <w:top w:val="single" w:sz="8" w:space="0" w:color="000000"/>
              <w:left w:val="single" w:sz="8" w:space="0" w:color="000000"/>
              <w:bottom w:val="single" w:sz="6" w:space="0" w:color="000000"/>
              <w:right w:val="single" w:sz="8" w:space="0" w:color="000000"/>
            </w:tcBorders>
            <w:vAlign w:val="center"/>
          </w:tcPr>
          <w:p w14:paraId="1DBA8F31" w14:textId="77777777" w:rsidR="00B51DEA" w:rsidRDefault="00000000">
            <w:pPr>
              <w:pStyle w:val="biaogecenter"/>
              <w:wordWrap w:val="0"/>
              <w:rPr>
                <w:rFonts w:hint="eastAsia"/>
              </w:rPr>
            </w:pPr>
            <w:r>
              <w:rPr>
                <w:rFonts w:hAnsi="等线" w:hint="eastAsia"/>
                <w:color w:val="000000"/>
              </w:rPr>
              <w:t>5</w:t>
            </w:r>
          </w:p>
        </w:tc>
        <w:tc>
          <w:tcPr>
            <w:tcW w:w="3709" w:type="dxa"/>
            <w:tcBorders>
              <w:top w:val="single" w:sz="8" w:space="0" w:color="000000"/>
              <w:left w:val="single" w:sz="8" w:space="0" w:color="000000"/>
              <w:bottom w:val="single" w:sz="6" w:space="0" w:color="000000"/>
              <w:right w:val="single" w:sz="8" w:space="0" w:color="000000"/>
            </w:tcBorders>
            <w:vAlign w:val="center"/>
          </w:tcPr>
          <w:p w14:paraId="19140758" w14:textId="77777777" w:rsidR="00B51DEA" w:rsidRDefault="00000000">
            <w:pPr>
              <w:pStyle w:val="biaogeleft"/>
              <w:wordWrap w:val="0"/>
              <w:rPr>
                <w:rFonts w:hint="eastAsia"/>
              </w:rPr>
            </w:pPr>
            <w:r>
              <w:rPr>
                <w:rFonts w:hint="eastAsia"/>
              </w:rPr>
              <w:t>应收申购款</w:t>
            </w:r>
          </w:p>
        </w:tc>
        <w:tc>
          <w:tcPr>
            <w:tcW w:w="4060" w:type="dxa"/>
            <w:tcBorders>
              <w:top w:val="single" w:sz="8" w:space="0" w:color="000000"/>
              <w:left w:val="single" w:sz="8" w:space="0" w:color="000000"/>
              <w:bottom w:val="single" w:sz="6" w:space="0" w:color="000000"/>
              <w:right w:val="single" w:sz="8" w:space="0" w:color="000000"/>
            </w:tcBorders>
            <w:vAlign w:val="center"/>
          </w:tcPr>
          <w:p w14:paraId="306A8BD1" w14:textId="77777777" w:rsidR="00B51DEA" w:rsidRDefault="00000000">
            <w:pPr>
              <w:pStyle w:val="biaogeright"/>
              <w:wordWrap w:val="0"/>
              <w:rPr>
                <w:rFonts w:hint="eastAsia"/>
              </w:rPr>
            </w:pPr>
            <w:r>
              <w:rPr>
                <w:rFonts w:hAnsi="Calibri"/>
                <w:color w:val="000000"/>
              </w:rPr>
              <w:t>7,842.77</w:t>
            </w:r>
          </w:p>
        </w:tc>
      </w:tr>
      <w:tr w:rsidR="00B51DEA" w14:paraId="3C84D82A" w14:textId="77777777">
        <w:tc>
          <w:tcPr>
            <w:tcW w:w="1276" w:type="dxa"/>
            <w:tcBorders>
              <w:top w:val="single" w:sz="8" w:space="0" w:color="000000"/>
              <w:left w:val="single" w:sz="8" w:space="0" w:color="000000"/>
              <w:bottom w:val="single" w:sz="6" w:space="0" w:color="000000"/>
              <w:right w:val="single" w:sz="8" w:space="0" w:color="000000"/>
            </w:tcBorders>
            <w:vAlign w:val="center"/>
          </w:tcPr>
          <w:p w14:paraId="69CF9385" w14:textId="77777777" w:rsidR="00B51DEA" w:rsidRDefault="00000000">
            <w:pPr>
              <w:pStyle w:val="biaogecenter"/>
              <w:wordWrap w:val="0"/>
              <w:rPr>
                <w:rFonts w:hint="eastAsia"/>
              </w:rPr>
            </w:pPr>
            <w:r>
              <w:rPr>
                <w:rFonts w:hAnsi="等线" w:hint="eastAsia"/>
                <w:color w:val="000000"/>
              </w:rPr>
              <w:t>6</w:t>
            </w:r>
          </w:p>
        </w:tc>
        <w:tc>
          <w:tcPr>
            <w:tcW w:w="3709" w:type="dxa"/>
            <w:tcBorders>
              <w:top w:val="single" w:sz="8" w:space="0" w:color="000000"/>
              <w:left w:val="single" w:sz="8" w:space="0" w:color="000000"/>
              <w:bottom w:val="single" w:sz="6" w:space="0" w:color="000000"/>
              <w:right w:val="single" w:sz="8" w:space="0" w:color="000000"/>
            </w:tcBorders>
            <w:vAlign w:val="center"/>
          </w:tcPr>
          <w:p w14:paraId="5B5B4350" w14:textId="77777777" w:rsidR="00B51DEA" w:rsidRDefault="00000000">
            <w:pPr>
              <w:pStyle w:val="biaogeleft"/>
              <w:wordWrap w:val="0"/>
              <w:rPr>
                <w:rFonts w:hint="eastAsia"/>
              </w:rPr>
            </w:pPr>
            <w:r>
              <w:rPr>
                <w:rFonts w:hint="eastAsia"/>
              </w:rPr>
              <w:t>其他应收款</w:t>
            </w:r>
          </w:p>
        </w:tc>
        <w:tc>
          <w:tcPr>
            <w:tcW w:w="4060" w:type="dxa"/>
            <w:tcBorders>
              <w:top w:val="single" w:sz="8" w:space="0" w:color="000000"/>
              <w:left w:val="single" w:sz="8" w:space="0" w:color="000000"/>
              <w:bottom w:val="single" w:sz="6" w:space="0" w:color="000000"/>
              <w:right w:val="single" w:sz="8" w:space="0" w:color="000000"/>
            </w:tcBorders>
            <w:vAlign w:val="center"/>
          </w:tcPr>
          <w:p w14:paraId="5732376B" w14:textId="77777777" w:rsidR="00B51DEA" w:rsidRDefault="00000000">
            <w:pPr>
              <w:pStyle w:val="biaogeright"/>
              <w:wordWrap w:val="0"/>
              <w:rPr>
                <w:rFonts w:hint="eastAsia"/>
              </w:rPr>
            </w:pPr>
            <w:r>
              <w:rPr>
                <w:rFonts w:hAnsi="Calibri"/>
                <w:color w:val="000000"/>
              </w:rPr>
              <w:t>50,000.00</w:t>
            </w:r>
          </w:p>
        </w:tc>
      </w:tr>
      <w:tr w:rsidR="00B51DEA" w14:paraId="354348FB" w14:textId="77777777">
        <w:tc>
          <w:tcPr>
            <w:tcW w:w="1276" w:type="dxa"/>
            <w:tcBorders>
              <w:top w:val="single" w:sz="8" w:space="0" w:color="000000"/>
              <w:left w:val="single" w:sz="8" w:space="0" w:color="000000"/>
              <w:bottom w:val="single" w:sz="6" w:space="0" w:color="000000"/>
              <w:right w:val="single" w:sz="8" w:space="0" w:color="000000"/>
            </w:tcBorders>
            <w:vAlign w:val="center"/>
          </w:tcPr>
          <w:p w14:paraId="4F65AA5C" w14:textId="77777777" w:rsidR="00B51DEA" w:rsidRDefault="00000000">
            <w:pPr>
              <w:pStyle w:val="biaogecenter"/>
              <w:wordWrap w:val="0"/>
              <w:rPr>
                <w:rFonts w:hint="eastAsia"/>
              </w:rPr>
            </w:pPr>
            <w:r>
              <w:rPr>
                <w:rFonts w:hAnsi="等线" w:hint="eastAsia"/>
                <w:color w:val="000000"/>
              </w:rPr>
              <w:t>7</w:t>
            </w:r>
          </w:p>
        </w:tc>
        <w:tc>
          <w:tcPr>
            <w:tcW w:w="3709" w:type="dxa"/>
            <w:tcBorders>
              <w:top w:val="single" w:sz="8" w:space="0" w:color="000000"/>
              <w:left w:val="single" w:sz="8" w:space="0" w:color="000000"/>
              <w:bottom w:val="single" w:sz="6" w:space="0" w:color="000000"/>
              <w:right w:val="single" w:sz="8" w:space="0" w:color="000000"/>
            </w:tcBorders>
            <w:vAlign w:val="center"/>
          </w:tcPr>
          <w:p w14:paraId="0A4562DE" w14:textId="77777777" w:rsidR="00B51DEA" w:rsidRDefault="00000000">
            <w:pPr>
              <w:pStyle w:val="biaogeleft"/>
              <w:wordWrap w:val="0"/>
              <w:rPr>
                <w:rFonts w:hint="eastAsia"/>
              </w:rPr>
            </w:pPr>
            <w:r>
              <w:rPr>
                <w:rFonts w:hint="eastAsia"/>
              </w:rPr>
              <w:t>其他</w:t>
            </w:r>
          </w:p>
        </w:tc>
        <w:tc>
          <w:tcPr>
            <w:tcW w:w="4060" w:type="dxa"/>
            <w:tcBorders>
              <w:top w:val="single" w:sz="8" w:space="0" w:color="000000"/>
              <w:left w:val="single" w:sz="8" w:space="0" w:color="000000"/>
              <w:bottom w:val="single" w:sz="6" w:space="0" w:color="000000"/>
              <w:right w:val="single" w:sz="8" w:space="0" w:color="000000"/>
            </w:tcBorders>
            <w:vAlign w:val="center"/>
          </w:tcPr>
          <w:p w14:paraId="22EE9127" w14:textId="77777777" w:rsidR="00B51DEA" w:rsidRDefault="00000000">
            <w:pPr>
              <w:pStyle w:val="biaogeright"/>
              <w:wordWrap w:val="0"/>
              <w:rPr>
                <w:rFonts w:hint="eastAsia"/>
              </w:rPr>
            </w:pPr>
            <w:r>
              <w:rPr>
                <w:rFonts w:hAnsi="Calibri"/>
                <w:color w:val="000000"/>
              </w:rPr>
              <w:t>-</w:t>
            </w:r>
          </w:p>
        </w:tc>
      </w:tr>
      <w:tr w:rsidR="00B51DEA" w14:paraId="2C1A36B8" w14:textId="77777777">
        <w:tc>
          <w:tcPr>
            <w:tcW w:w="1276" w:type="dxa"/>
            <w:tcBorders>
              <w:top w:val="single" w:sz="8" w:space="0" w:color="000000"/>
              <w:left w:val="single" w:sz="8" w:space="0" w:color="000000"/>
              <w:bottom w:val="single" w:sz="6" w:space="0" w:color="000000"/>
              <w:right w:val="single" w:sz="8" w:space="0" w:color="000000"/>
            </w:tcBorders>
            <w:vAlign w:val="center"/>
          </w:tcPr>
          <w:p w14:paraId="7153876B" w14:textId="77777777" w:rsidR="00B51DEA" w:rsidRDefault="00000000">
            <w:pPr>
              <w:pStyle w:val="biaogecenter"/>
              <w:wordWrap w:val="0"/>
              <w:rPr>
                <w:rFonts w:hint="eastAsia"/>
              </w:rPr>
            </w:pPr>
            <w:r>
              <w:rPr>
                <w:rFonts w:hAnsi="等线" w:hint="eastAsia"/>
                <w:color w:val="000000"/>
              </w:rPr>
              <w:t>8</w:t>
            </w:r>
          </w:p>
        </w:tc>
        <w:tc>
          <w:tcPr>
            <w:tcW w:w="3709" w:type="dxa"/>
            <w:tcBorders>
              <w:top w:val="single" w:sz="8" w:space="0" w:color="000000"/>
              <w:left w:val="single" w:sz="8" w:space="0" w:color="000000"/>
              <w:bottom w:val="single" w:sz="6" w:space="0" w:color="000000"/>
              <w:right w:val="single" w:sz="8" w:space="0" w:color="000000"/>
            </w:tcBorders>
            <w:vAlign w:val="center"/>
          </w:tcPr>
          <w:p w14:paraId="2C7F0397" w14:textId="77777777" w:rsidR="00B51DEA" w:rsidRDefault="00000000">
            <w:pPr>
              <w:pStyle w:val="biaogeleft"/>
              <w:wordWrap w:val="0"/>
              <w:rPr>
                <w:rFonts w:hint="eastAsia"/>
              </w:rPr>
            </w:pPr>
            <w:r>
              <w:rPr>
                <w:rFonts w:hint="eastAsia"/>
              </w:rPr>
              <w:t>合计</w:t>
            </w:r>
          </w:p>
        </w:tc>
        <w:tc>
          <w:tcPr>
            <w:tcW w:w="4060" w:type="dxa"/>
            <w:tcBorders>
              <w:top w:val="single" w:sz="8" w:space="0" w:color="000000"/>
              <w:left w:val="single" w:sz="8" w:space="0" w:color="000000"/>
              <w:bottom w:val="single" w:sz="6" w:space="0" w:color="000000"/>
              <w:right w:val="single" w:sz="8" w:space="0" w:color="000000"/>
            </w:tcBorders>
            <w:vAlign w:val="center"/>
          </w:tcPr>
          <w:p w14:paraId="1FB98B1A" w14:textId="77777777" w:rsidR="00B51DEA" w:rsidRDefault="00000000">
            <w:pPr>
              <w:pStyle w:val="biaogeright"/>
              <w:wordWrap w:val="0"/>
              <w:rPr>
                <w:rFonts w:hint="eastAsia"/>
              </w:rPr>
            </w:pPr>
            <w:r>
              <w:rPr>
                <w:rFonts w:hAnsi="Calibri"/>
                <w:color w:val="000000"/>
              </w:rPr>
              <w:t>135,834.65</w:t>
            </w:r>
          </w:p>
        </w:tc>
      </w:tr>
    </w:tbl>
    <w:p w14:paraId="04B1F542" w14:textId="77777777" w:rsidR="00B51DEA" w:rsidRDefault="00000000">
      <w:pPr>
        <w:pStyle w:val="zhangjiep2"/>
        <w:spacing w:line="360" w:lineRule="auto"/>
        <w:ind w:left="0"/>
        <w:rPr>
          <w:rFonts w:asciiTheme="minorEastAsia" w:eastAsiaTheme="minorEastAsia" w:hAnsiTheme="minorEastAsia" w:hint="eastAsia"/>
          <w:bCs/>
        </w:rPr>
      </w:pPr>
      <w:r>
        <w:rPr>
          <w:rFonts w:asciiTheme="minorEastAsia" w:eastAsiaTheme="minorEastAsia" w:hAnsiTheme="minorEastAsia" w:hint="eastAsia"/>
          <w:bCs/>
        </w:rPr>
        <w:t>（</w:t>
      </w:r>
      <w:r>
        <w:rPr>
          <w:rFonts w:asciiTheme="minorEastAsia" w:eastAsiaTheme="minorEastAsia" w:hAnsiTheme="minorEastAsia"/>
          <w:bCs/>
        </w:rPr>
        <w:t>4）</w:t>
      </w:r>
      <w:r>
        <w:rPr>
          <w:rFonts w:asciiTheme="minorEastAsia" w:eastAsiaTheme="minorEastAsia" w:hAnsiTheme="minorEastAsia" w:hint="eastAsia"/>
          <w:bCs/>
        </w:rPr>
        <w:t>报告期末持有的处于转股期的可转换债券明细</w:t>
      </w:r>
    </w:p>
    <w:p w14:paraId="2885EA6B" w14:textId="77777777" w:rsidR="00B51DEA" w:rsidRDefault="00000000">
      <w:pPr>
        <w:pStyle w:val="zhangjiep2"/>
        <w:spacing w:line="360" w:lineRule="auto"/>
        <w:ind w:firstLineChars="200" w:firstLine="480"/>
        <w:rPr>
          <w:rFonts w:asciiTheme="minorEastAsia" w:eastAsiaTheme="minorEastAsia" w:hAnsiTheme="minorEastAsia" w:hint="eastAsia"/>
          <w:bCs/>
        </w:rPr>
      </w:pPr>
      <w:r>
        <w:rPr>
          <w:rFonts w:hAnsi="Calibri"/>
          <w:color w:val="000000"/>
        </w:rPr>
        <w:t>本基金本报告期末未持有处于转股期的可转换债券。</w:t>
      </w:r>
    </w:p>
    <w:p w14:paraId="347EC624" w14:textId="77777777" w:rsidR="00B51DEA" w:rsidRDefault="00000000">
      <w:pPr>
        <w:pStyle w:val="zhangjiep2"/>
        <w:spacing w:line="360" w:lineRule="auto"/>
        <w:rPr>
          <w:rFonts w:asciiTheme="minorEastAsia" w:eastAsiaTheme="minorEastAsia" w:hAnsiTheme="minorEastAsia" w:hint="eastAsia"/>
          <w:bCs/>
        </w:rPr>
      </w:pPr>
      <w:r>
        <w:rPr>
          <w:rFonts w:asciiTheme="minorEastAsia" w:eastAsiaTheme="minorEastAsia" w:hAnsiTheme="minorEastAsia" w:hint="eastAsia"/>
          <w:bCs/>
        </w:rPr>
        <w:t>（</w:t>
      </w:r>
      <w:r>
        <w:rPr>
          <w:rFonts w:asciiTheme="minorEastAsia" w:eastAsiaTheme="minorEastAsia" w:hAnsiTheme="minorEastAsia"/>
          <w:bCs/>
        </w:rPr>
        <w:t>5）报告</w:t>
      </w:r>
      <w:proofErr w:type="gramStart"/>
      <w:r>
        <w:rPr>
          <w:rFonts w:asciiTheme="minorEastAsia" w:eastAsiaTheme="minorEastAsia" w:hAnsiTheme="minorEastAsia" w:hint="eastAsia"/>
          <w:bCs/>
        </w:rPr>
        <w:t>期末前</w:t>
      </w:r>
      <w:proofErr w:type="gramEnd"/>
      <w:r>
        <w:rPr>
          <w:rFonts w:asciiTheme="minorEastAsia" w:eastAsiaTheme="minorEastAsia" w:hAnsiTheme="minorEastAsia" w:hint="eastAsia"/>
          <w:bCs/>
        </w:rPr>
        <w:t>十名股票中存在流通受限情况的说明</w:t>
      </w:r>
    </w:p>
    <w:p w14:paraId="7E84208D" w14:textId="77777777" w:rsidR="00B51DEA" w:rsidRDefault="00000000">
      <w:pPr>
        <w:pStyle w:val="neirong"/>
        <w:ind w:leftChars="7" w:firstLineChars="200" w:firstLine="480"/>
        <w:rPr>
          <w:rFonts w:hAnsi="等线" w:hint="eastAsia"/>
          <w:color w:val="000000"/>
        </w:rPr>
      </w:pPr>
      <w:r>
        <w:rPr>
          <w:rFonts w:hAnsi="等线"/>
          <w:color w:val="000000"/>
        </w:rPr>
        <w:t>本基金本报告期末未持有股票。</w:t>
      </w:r>
    </w:p>
    <w:p w14:paraId="2DE1BA62" w14:textId="77777777" w:rsidR="00B51DEA" w:rsidRDefault="00B51DEA">
      <w:pPr>
        <w:pStyle w:val="neirong"/>
        <w:ind w:leftChars="7" w:firstLineChars="200" w:firstLine="480"/>
        <w:rPr>
          <w:rFonts w:asciiTheme="minorEastAsia" w:eastAsiaTheme="minorEastAsia" w:hAnsiTheme="minorEastAsia" w:hint="eastAsia"/>
        </w:rPr>
      </w:pPr>
    </w:p>
    <w:p w14:paraId="47B81080" w14:textId="77777777" w:rsidR="00B51DEA" w:rsidRDefault="00000000">
      <w:pPr>
        <w:pStyle w:val="zhangjiep2"/>
        <w:spacing w:line="360" w:lineRule="auto"/>
        <w:rPr>
          <w:rFonts w:asciiTheme="minorEastAsia" w:eastAsiaTheme="minorEastAsia" w:hAnsiTheme="minorEastAsia" w:hint="eastAsia"/>
          <w:bCs/>
        </w:rPr>
      </w:pPr>
      <w:r>
        <w:rPr>
          <w:rFonts w:asciiTheme="minorEastAsia" w:eastAsiaTheme="minorEastAsia" w:hAnsiTheme="minorEastAsia" w:hint="eastAsia"/>
          <w:bCs/>
        </w:rPr>
        <w:lastRenderedPageBreak/>
        <w:t>（</w:t>
      </w:r>
      <w:r>
        <w:rPr>
          <w:rFonts w:asciiTheme="minorEastAsia" w:eastAsiaTheme="minorEastAsia" w:hAnsiTheme="minorEastAsia"/>
          <w:bCs/>
        </w:rPr>
        <w:t xml:space="preserve">6） </w:t>
      </w:r>
      <w:r>
        <w:rPr>
          <w:rFonts w:asciiTheme="minorEastAsia" w:eastAsiaTheme="minorEastAsia" w:hAnsiTheme="minorEastAsia" w:hint="eastAsia"/>
          <w:bCs/>
        </w:rPr>
        <w:t>投资组合报告附注的其他文字描述部分</w:t>
      </w:r>
    </w:p>
    <w:p w14:paraId="7B5DE29A" w14:textId="77777777" w:rsidR="00B51DEA" w:rsidRDefault="00000000">
      <w:pPr>
        <w:pStyle w:val="biaogeleft"/>
        <w:spacing w:line="360" w:lineRule="auto"/>
        <w:ind w:firstLine="480"/>
        <w:rPr>
          <w:rFonts w:asciiTheme="minorEastAsia" w:eastAsiaTheme="minorEastAsia" w:hAnsiTheme="minorEastAsia" w:hint="eastAsia"/>
          <w:bCs/>
        </w:rPr>
      </w:pPr>
      <w:r>
        <w:rPr>
          <w:rFonts w:asciiTheme="minorEastAsia" w:eastAsiaTheme="minorEastAsia" w:hAnsiTheme="minorEastAsia" w:hint="eastAsia"/>
          <w:bCs/>
        </w:rPr>
        <w:t>由于四舍五入原因，分项之和与合计可能存在尾差。</w:t>
      </w:r>
    </w:p>
    <w:p w14:paraId="5BCB218F" w14:textId="77777777" w:rsidR="00B51DEA" w:rsidRDefault="00B51DEA">
      <w:pPr>
        <w:ind w:firstLineChars="200" w:firstLine="480"/>
        <w:rPr>
          <w:rFonts w:asciiTheme="minorEastAsia" w:hAnsiTheme="minorEastAsia" w:hint="eastAsia"/>
          <w:sz w:val="24"/>
          <w:szCs w:val="24"/>
        </w:rPr>
      </w:pPr>
    </w:p>
    <w:p w14:paraId="1AD34F48" w14:textId="77777777" w:rsidR="00B51DEA" w:rsidRDefault="00000000">
      <w:pPr>
        <w:widowControl/>
        <w:jc w:val="left"/>
        <w:rPr>
          <w:rFonts w:asciiTheme="minorEastAsia" w:hAnsiTheme="minorEastAsia" w:cs="Arial" w:hint="eastAsia"/>
          <w:b/>
          <w:bCs/>
          <w:sz w:val="24"/>
          <w:szCs w:val="24"/>
        </w:rPr>
      </w:pPr>
      <w:r>
        <w:rPr>
          <w:rFonts w:asciiTheme="minorEastAsia" w:hAnsiTheme="minorEastAsia" w:cs="Arial" w:hint="eastAsia"/>
          <w:b/>
          <w:bCs/>
          <w:sz w:val="24"/>
          <w:szCs w:val="24"/>
        </w:rPr>
        <w:t>九、基金净值表现</w:t>
      </w:r>
    </w:p>
    <w:p w14:paraId="379538F3" w14:textId="77777777" w:rsidR="00B51DEA" w:rsidRDefault="00000000">
      <w:pPr>
        <w:pStyle w:val="zhangjiep2"/>
        <w:spacing w:line="360" w:lineRule="auto"/>
        <w:rPr>
          <w:rFonts w:asciiTheme="minorEastAsia" w:eastAsiaTheme="minorEastAsia" w:hAnsiTheme="minorEastAsia" w:hint="eastAsia"/>
          <w:bCs/>
        </w:rPr>
      </w:pPr>
      <w:r>
        <w:rPr>
          <w:rFonts w:asciiTheme="minorEastAsia" w:eastAsiaTheme="minorEastAsia" w:hAnsiTheme="minorEastAsia"/>
          <w:bCs/>
        </w:rPr>
        <w:t>1、基金管理人依照恪尽职守、诚实信用、勤勉尽责的原则管理和运用基金资产，但不保证基金一定盈利，也不保证最低收益。基金的过往业绩并不代表其未来表现。投资有风险，投资者在做出投资决策前应仔细阅读本基金的招募说明书。</w:t>
      </w:r>
    </w:p>
    <w:p w14:paraId="72B69A2A" w14:textId="77777777" w:rsidR="00B51DEA" w:rsidRDefault="00000000">
      <w:pPr>
        <w:spacing w:line="360" w:lineRule="auto"/>
        <w:rPr>
          <w:rFonts w:asciiTheme="minorEastAsia" w:hAnsiTheme="minorEastAsia" w:hint="eastAsia"/>
          <w:bCs/>
          <w:sz w:val="24"/>
          <w:szCs w:val="24"/>
        </w:rPr>
      </w:pPr>
      <w:r>
        <w:rPr>
          <w:rFonts w:asciiTheme="minorEastAsia" w:hAnsiTheme="minorEastAsia" w:hint="eastAsia"/>
          <w:bCs/>
          <w:sz w:val="24"/>
          <w:szCs w:val="24"/>
        </w:rPr>
        <w:t>（</w:t>
      </w:r>
      <w:r>
        <w:rPr>
          <w:rFonts w:asciiTheme="minorEastAsia" w:hAnsiTheme="minorEastAsia"/>
          <w:bCs/>
          <w:sz w:val="24"/>
          <w:szCs w:val="24"/>
        </w:rPr>
        <w:t>1）富荣价值精选混合A（基金代码：006109）</w:t>
      </w:r>
    </w:p>
    <w:tbl>
      <w:tblPr>
        <w:tblW w:w="5000" w:type="pct"/>
        <w:tblLook w:val="04A0" w:firstRow="1" w:lastRow="0" w:firstColumn="1" w:lastColumn="0" w:noHBand="0" w:noVBand="1"/>
      </w:tblPr>
      <w:tblGrid>
        <w:gridCol w:w="2421"/>
        <w:gridCol w:w="1198"/>
        <w:gridCol w:w="886"/>
        <w:gridCol w:w="1044"/>
        <w:gridCol w:w="887"/>
        <w:gridCol w:w="1199"/>
        <w:gridCol w:w="887"/>
      </w:tblGrid>
      <w:tr w:rsidR="00B51DEA" w14:paraId="072DA6A5" w14:textId="77777777">
        <w:trPr>
          <w:trHeight w:val="406"/>
        </w:trPr>
        <w:tc>
          <w:tcPr>
            <w:tcW w:w="1080" w:type="pct"/>
            <w:tcBorders>
              <w:top w:val="single" w:sz="8" w:space="0" w:color="000000"/>
              <w:left w:val="single" w:sz="8" w:space="0" w:color="000000"/>
              <w:bottom w:val="single" w:sz="6" w:space="0" w:color="000000"/>
              <w:right w:val="single" w:sz="8" w:space="0" w:color="000000"/>
            </w:tcBorders>
          </w:tcPr>
          <w:p w14:paraId="62453FEE" w14:textId="77777777" w:rsidR="00B51DEA" w:rsidRDefault="00000000">
            <w:pPr>
              <w:spacing w:line="360" w:lineRule="auto"/>
              <w:jc w:val="left"/>
              <w:rPr>
                <w:rFonts w:asciiTheme="minorEastAsia" w:hAnsiTheme="minorEastAsia" w:hint="eastAsia"/>
                <w:bCs/>
                <w:szCs w:val="24"/>
              </w:rPr>
            </w:pPr>
            <w:r>
              <w:rPr>
                <w:rFonts w:asciiTheme="minorEastAsia" w:hAnsiTheme="minorEastAsia" w:hint="eastAsia"/>
                <w:bCs/>
                <w:szCs w:val="24"/>
              </w:rPr>
              <w:t>阶段</w:t>
            </w:r>
          </w:p>
        </w:tc>
        <w:tc>
          <w:tcPr>
            <w:tcW w:w="760" w:type="pct"/>
            <w:tcBorders>
              <w:top w:val="single" w:sz="8" w:space="0" w:color="000000"/>
              <w:left w:val="single" w:sz="8" w:space="0" w:color="000000"/>
              <w:bottom w:val="single" w:sz="6" w:space="0" w:color="000000"/>
              <w:right w:val="single" w:sz="8" w:space="0" w:color="000000"/>
            </w:tcBorders>
          </w:tcPr>
          <w:p w14:paraId="15B28546" w14:textId="77777777" w:rsidR="00B51DEA" w:rsidRDefault="00000000">
            <w:pPr>
              <w:spacing w:line="360" w:lineRule="auto"/>
              <w:jc w:val="left"/>
              <w:rPr>
                <w:rFonts w:asciiTheme="minorEastAsia" w:hAnsiTheme="minorEastAsia" w:hint="eastAsia"/>
                <w:bCs/>
                <w:szCs w:val="24"/>
              </w:rPr>
            </w:pPr>
            <w:r>
              <w:rPr>
                <w:rFonts w:asciiTheme="minorEastAsia" w:hAnsiTheme="minorEastAsia" w:hint="eastAsia"/>
                <w:bCs/>
                <w:szCs w:val="24"/>
              </w:rPr>
              <w:t>净值增长率①</w:t>
            </w:r>
          </w:p>
        </w:tc>
        <w:tc>
          <w:tcPr>
            <w:tcW w:w="577" w:type="pct"/>
            <w:tcBorders>
              <w:top w:val="single" w:sz="8" w:space="0" w:color="000000"/>
              <w:left w:val="single" w:sz="8" w:space="0" w:color="000000"/>
              <w:bottom w:val="single" w:sz="6" w:space="0" w:color="000000"/>
              <w:right w:val="single" w:sz="8" w:space="0" w:color="000000"/>
            </w:tcBorders>
          </w:tcPr>
          <w:p w14:paraId="7CAF92E9" w14:textId="77777777" w:rsidR="00B51DEA" w:rsidRDefault="00000000">
            <w:pPr>
              <w:spacing w:line="360" w:lineRule="auto"/>
              <w:jc w:val="left"/>
              <w:rPr>
                <w:rFonts w:asciiTheme="minorEastAsia" w:hAnsiTheme="minorEastAsia" w:hint="eastAsia"/>
                <w:bCs/>
                <w:szCs w:val="24"/>
              </w:rPr>
            </w:pPr>
            <w:r>
              <w:rPr>
                <w:rFonts w:asciiTheme="minorEastAsia" w:hAnsiTheme="minorEastAsia" w:hint="eastAsia"/>
                <w:bCs/>
                <w:szCs w:val="24"/>
              </w:rPr>
              <w:t>净值增长率标准差②</w:t>
            </w:r>
          </w:p>
        </w:tc>
        <w:tc>
          <w:tcPr>
            <w:tcW w:w="669" w:type="pct"/>
            <w:tcBorders>
              <w:top w:val="single" w:sz="8" w:space="0" w:color="000000"/>
              <w:left w:val="single" w:sz="8" w:space="0" w:color="000000"/>
              <w:bottom w:val="single" w:sz="6" w:space="0" w:color="000000"/>
              <w:right w:val="single" w:sz="8" w:space="0" w:color="000000"/>
            </w:tcBorders>
          </w:tcPr>
          <w:p w14:paraId="76A3F598" w14:textId="77777777" w:rsidR="00B51DEA" w:rsidRDefault="00000000">
            <w:pPr>
              <w:spacing w:line="360" w:lineRule="auto"/>
              <w:jc w:val="left"/>
              <w:rPr>
                <w:rFonts w:asciiTheme="minorEastAsia" w:hAnsiTheme="minorEastAsia" w:hint="eastAsia"/>
                <w:bCs/>
                <w:szCs w:val="24"/>
              </w:rPr>
            </w:pPr>
            <w:r>
              <w:rPr>
                <w:rFonts w:asciiTheme="minorEastAsia" w:hAnsiTheme="minorEastAsia" w:hint="eastAsia"/>
                <w:bCs/>
                <w:szCs w:val="24"/>
              </w:rPr>
              <w:t>业绩比较基准收益率③</w:t>
            </w:r>
          </w:p>
        </w:tc>
        <w:tc>
          <w:tcPr>
            <w:tcW w:w="577" w:type="pct"/>
            <w:tcBorders>
              <w:top w:val="single" w:sz="8" w:space="0" w:color="000000"/>
              <w:left w:val="single" w:sz="8" w:space="0" w:color="000000"/>
              <w:bottom w:val="single" w:sz="6" w:space="0" w:color="000000"/>
              <w:right w:val="single" w:sz="8" w:space="0" w:color="000000"/>
            </w:tcBorders>
          </w:tcPr>
          <w:p w14:paraId="0B11B94A" w14:textId="77777777" w:rsidR="00B51DEA" w:rsidRDefault="00000000">
            <w:pPr>
              <w:spacing w:line="360" w:lineRule="auto"/>
              <w:jc w:val="left"/>
              <w:rPr>
                <w:rFonts w:asciiTheme="minorEastAsia" w:hAnsiTheme="minorEastAsia" w:hint="eastAsia"/>
                <w:bCs/>
                <w:szCs w:val="24"/>
              </w:rPr>
            </w:pPr>
            <w:r>
              <w:rPr>
                <w:rFonts w:asciiTheme="minorEastAsia" w:hAnsiTheme="minorEastAsia" w:hint="eastAsia"/>
                <w:bCs/>
                <w:szCs w:val="24"/>
              </w:rPr>
              <w:t>业绩比较基准收益率标准差④</w:t>
            </w:r>
          </w:p>
        </w:tc>
        <w:tc>
          <w:tcPr>
            <w:tcW w:w="760" w:type="pct"/>
            <w:tcBorders>
              <w:top w:val="single" w:sz="8" w:space="0" w:color="000000"/>
              <w:left w:val="single" w:sz="8" w:space="0" w:color="000000"/>
              <w:bottom w:val="single" w:sz="6" w:space="0" w:color="000000"/>
              <w:right w:val="single" w:sz="8" w:space="0" w:color="000000"/>
            </w:tcBorders>
          </w:tcPr>
          <w:p w14:paraId="41FE031B" w14:textId="77777777" w:rsidR="00B51DEA" w:rsidRDefault="00000000">
            <w:pPr>
              <w:spacing w:line="360" w:lineRule="auto"/>
              <w:jc w:val="left"/>
              <w:rPr>
                <w:rFonts w:asciiTheme="minorEastAsia" w:hAnsiTheme="minorEastAsia" w:hint="eastAsia"/>
                <w:bCs/>
                <w:szCs w:val="24"/>
              </w:rPr>
            </w:pPr>
            <w:r>
              <w:rPr>
                <w:rFonts w:asciiTheme="minorEastAsia" w:hAnsiTheme="minorEastAsia" w:hint="eastAsia"/>
                <w:bCs/>
                <w:szCs w:val="24"/>
              </w:rPr>
              <w:t>①</w:t>
            </w:r>
            <w:r>
              <w:rPr>
                <w:rFonts w:asciiTheme="minorEastAsia" w:hAnsiTheme="minorEastAsia"/>
                <w:bCs/>
                <w:szCs w:val="24"/>
              </w:rPr>
              <w:t>-③</w:t>
            </w:r>
          </w:p>
        </w:tc>
        <w:tc>
          <w:tcPr>
            <w:tcW w:w="577" w:type="pct"/>
            <w:tcBorders>
              <w:top w:val="single" w:sz="8" w:space="0" w:color="000000"/>
              <w:left w:val="single" w:sz="8" w:space="0" w:color="000000"/>
              <w:bottom w:val="single" w:sz="6" w:space="0" w:color="000000"/>
              <w:right w:val="single" w:sz="8" w:space="0" w:color="000000"/>
            </w:tcBorders>
          </w:tcPr>
          <w:p w14:paraId="48C9F7A1" w14:textId="77777777" w:rsidR="00B51DEA" w:rsidRDefault="00000000">
            <w:pPr>
              <w:spacing w:line="360" w:lineRule="auto"/>
              <w:jc w:val="left"/>
              <w:rPr>
                <w:rFonts w:asciiTheme="minorEastAsia" w:hAnsiTheme="minorEastAsia" w:hint="eastAsia"/>
                <w:bCs/>
                <w:szCs w:val="24"/>
              </w:rPr>
            </w:pPr>
            <w:r>
              <w:rPr>
                <w:rFonts w:asciiTheme="minorEastAsia" w:hAnsiTheme="minorEastAsia" w:hint="eastAsia"/>
                <w:bCs/>
                <w:szCs w:val="24"/>
              </w:rPr>
              <w:t>②</w:t>
            </w:r>
            <w:r>
              <w:rPr>
                <w:rFonts w:asciiTheme="minorEastAsia" w:hAnsiTheme="minorEastAsia"/>
                <w:bCs/>
                <w:szCs w:val="24"/>
              </w:rPr>
              <w:t>-④</w:t>
            </w:r>
          </w:p>
        </w:tc>
      </w:tr>
      <w:tr w:rsidR="00B51DEA" w14:paraId="5DB57914" w14:textId="77777777">
        <w:trPr>
          <w:trHeight w:val="501"/>
        </w:trPr>
        <w:tc>
          <w:tcPr>
            <w:tcW w:w="1080" w:type="pct"/>
            <w:tcBorders>
              <w:top w:val="single" w:sz="8" w:space="0" w:color="000000"/>
              <w:left w:val="single" w:sz="8" w:space="0" w:color="000000"/>
              <w:bottom w:val="single" w:sz="8" w:space="0" w:color="000000"/>
              <w:right w:val="single" w:sz="8" w:space="0" w:color="000000"/>
            </w:tcBorders>
            <w:vAlign w:val="center"/>
          </w:tcPr>
          <w:p w14:paraId="7D5EC288" w14:textId="77777777" w:rsidR="00B51DEA" w:rsidRDefault="00000000">
            <w:pPr>
              <w:spacing w:line="360" w:lineRule="auto"/>
              <w:jc w:val="left"/>
              <w:rPr>
                <w:rFonts w:asciiTheme="minorEastAsia" w:hAnsiTheme="minorEastAsia" w:hint="eastAsia"/>
                <w:bCs/>
                <w:szCs w:val="24"/>
              </w:rPr>
            </w:pPr>
            <w:r>
              <w:rPr>
                <w:rFonts w:asciiTheme="minorEastAsia" w:hAnsiTheme="minorEastAsia"/>
                <w:bCs/>
                <w:szCs w:val="24"/>
              </w:rPr>
              <w:t>2018.8.10~2018.12.31</w:t>
            </w:r>
          </w:p>
        </w:tc>
        <w:tc>
          <w:tcPr>
            <w:tcW w:w="760" w:type="pct"/>
            <w:tcBorders>
              <w:top w:val="single" w:sz="8" w:space="0" w:color="000000"/>
              <w:left w:val="single" w:sz="8" w:space="0" w:color="000000"/>
              <w:bottom w:val="single" w:sz="8" w:space="0" w:color="000000"/>
              <w:right w:val="single" w:sz="8" w:space="0" w:color="000000"/>
            </w:tcBorders>
            <w:vAlign w:val="center"/>
          </w:tcPr>
          <w:p w14:paraId="3759DD42" w14:textId="77777777" w:rsidR="00B51DEA" w:rsidRDefault="00000000">
            <w:pPr>
              <w:spacing w:line="360" w:lineRule="auto"/>
              <w:jc w:val="left"/>
              <w:rPr>
                <w:rFonts w:asciiTheme="minorEastAsia" w:hAnsiTheme="minorEastAsia" w:hint="eastAsia"/>
                <w:szCs w:val="24"/>
              </w:rPr>
            </w:pPr>
            <w:r>
              <w:rPr>
                <w:rFonts w:asciiTheme="minorEastAsia" w:hAnsiTheme="minorEastAsia"/>
                <w:bCs/>
                <w:szCs w:val="24"/>
              </w:rPr>
              <w:t>-21.41%</w:t>
            </w:r>
          </w:p>
        </w:tc>
        <w:tc>
          <w:tcPr>
            <w:tcW w:w="577" w:type="pct"/>
            <w:tcBorders>
              <w:top w:val="single" w:sz="8" w:space="0" w:color="000000"/>
              <w:left w:val="single" w:sz="8" w:space="0" w:color="000000"/>
              <w:bottom w:val="single" w:sz="8" w:space="0" w:color="000000"/>
              <w:right w:val="single" w:sz="8" w:space="0" w:color="000000"/>
            </w:tcBorders>
            <w:vAlign w:val="center"/>
          </w:tcPr>
          <w:p w14:paraId="0D89FE94" w14:textId="77777777" w:rsidR="00B51DEA" w:rsidRDefault="00000000">
            <w:pPr>
              <w:spacing w:line="360" w:lineRule="auto"/>
              <w:jc w:val="left"/>
              <w:rPr>
                <w:rFonts w:asciiTheme="minorEastAsia" w:hAnsiTheme="minorEastAsia" w:hint="eastAsia"/>
                <w:szCs w:val="24"/>
              </w:rPr>
            </w:pPr>
            <w:r>
              <w:rPr>
                <w:rFonts w:asciiTheme="minorEastAsia" w:hAnsiTheme="minorEastAsia"/>
                <w:bCs/>
                <w:szCs w:val="24"/>
              </w:rPr>
              <w:t>1.11%</w:t>
            </w:r>
          </w:p>
        </w:tc>
        <w:tc>
          <w:tcPr>
            <w:tcW w:w="669" w:type="pct"/>
            <w:tcBorders>
              <w:top w:val="single" w:sz="8" w:space="0" w:color="000000"/>
              <w:left w:val="single" w:sz="8" w:space="0" w:color="000000"/>
              <w:bottom w:val="single" w:sz="8" w:space="0" w:color="000000"/>
              <w:right w:val="single" w:sz="8" w:space="0" w:color="000000"/>
            </w:tcBorders>
            <w:vAlign w:val="center"/>
          </w:tcPr>
          <w:p w14:paraId="01F81FD4" w14:textId="77777777" w:rsidR="00B51DEA" w:rsidRDefault="00000000">
            <w:pPr>
              <w:spacing w:line="360" w:lineRule="auto"/>
              <w:jc w:val="left"/>
              <w:rPr>
                <w:rFonts w:asciiTheme="minorEastAsia" w:hAnsiTheme="minorEastAsia" w:hint="eastAsia"/>
                <w:szCs w:val="24"/>
              </w:rPr>
            </w:pPr>
            <w:r>
              <w:rPr>
                <w:rFonts w:asciiTheme="minorEastAsia" w:hAnsiTheme="minorEastAsia"/>
                <w:bCs/>
                <w:szCs w:val="24"/>
              </w:rPr>
              <w:t>-5.35%</w:t>
            </w:r>
          </w:p>
        </w:tc>
        <w:tc>
          <w:tcPr>
            <w:tcW w:w="577" w:type="pct"/>
            <w:tcBorders>
              <w:top w:val="single" w:sz="8" w:space="0" w:color="000000"/>
              <w:left w:val="single" w:sz="8" w:space="0" w:color="000000"/>
              <w:bottom w:val="single" w:sz="8" w:space="0" w:color="000000"/>
              <w:right w:val="single" w:sz="8" w:space="0" w:color="000000"/>
            </w:tcBorders>
            <w:vAlign w:val="center"/>
          </w:tcPr>
          <w:p w14:paraId="26E9B400" w14:textId="77777777" w:rsidR="00B51DEA" w:rsidRDefault="00000000">
            <w:pPr>
              <w:spacing w:line="360" w:lineRule="auto"/>
              <w:jc w:val="left"/>
              <w:rPr>
                <w:rFonts w:asciiTheme="minorEastAsia" w:hAnsiTheme="minorEastAsia" w:hint="eastAsia"/>
                <w:szCs w:val="24"/>
              </w:rPr>
            </w:pPr>
            <w:r>
              <w:rPr>
                <w:rFonts w:asciiTheme="minorEastAsia" w:hAnsiTheme="minorEastAsia"/>
                <w:bCs/>
                <w:szCs w:val="24"/>
              </w:rPr>
              <w:t>0.82%</w:t>
            </w:r>
          </w:p>
        </w:tc>
        <w:tc>
          <w:tcPr>
            <w:tcW w:w="760" w:type="pct"/>
            <w:tcBorders>
              <w:top w:val="single" w:sz="8" w:space="0" w:color="000000"/>
              <w:left w:val="single" w:sz="8" w:space="0" w:color="000000"/>
              <w:bottom w:val="single" w:sz="8" w:space="0" w:color="000000"/>
              <w:right w:val="single" w:sz="8" w:space="0" w:color="000000"/>
            </w:tcBorders>
            <w:vAlign w:val="center"/>
          </w:tcPr>
          <w:p w14:paraId="6EAB2F61" w14:textId="77777777" w:rsidR="00B51DEA" w:rsidRDefault="00000000">
            <w:pPr>
              <w:spacing w:line="360" w:lineRule="auto"/>
              <w:jc w:val="left"/>
              <w:rPr>
                <w:rFonts w:asciiTheme="minorEastAsia" w:hAnsiTheme="minorEastAsia" w:hint="eastAsia"/>
                <w:szCs w:val="24"/>
              </w:rPr>
            </w:pPr>
            <w:r>
              <w:rPr>
                <w:rFonts w:asciiTheme="minorEastAsia" w:hAnsiTheme="minorEastAsia"/>
                <w:bCs/>
                <w:szCs w:val="24"/>
              </w:rPr>
              <w:t>-16.06%</w:t>
            </w:r>
          </w:p>
        </w:tc>
        <w:tc>
          <w:tcPr>
            <w:tcW w:w="577" w:type="pct"/>
            <w:tcBorders>
              <w:top w:val="single" w:sz="8" w:space="0" w:color="000000"/>
              <w:left w:val="single" w:sz="8" w:space="0" w:color="000000"/>
              <w:bottom w:val="single" w:sz="8" w:space="0" w:color="000000"/>
              <w:right w:val="single" w:sz="8" w:space="0" w:color="000000"/>
            </w:tcBorders>
            <w:vAlign w:val="center"/>
          </w:tcPr>
          <w:p w14:paraId="384582BE" w14:textId="77777777" w:rsidR="00B51DEA" w:rsidRDefault="00000000">
            <w:pPr>
              <w:spacing w:line="360" w:lineRule="auto"/>
              <w:jc w:val="left"/>
              <w:rPr>
                <w:rFonts w:asciiTheme="minorEastAsia" w:hAnsiTheme="minorEastAsia" w:hint="eastAsia"/>
                <w:szCs w:val="24"/>
              </w:rPr>
            </w:pPr>
            <w:r>
              <w:rPr>
                <w:rFonts w:asciiTheme="minorEastAsia" w:hAnsiTheme="minorEastAsia"/>
                <w:bCs/>
                <w:szCs w:val="24"/>
              </w:rPr>
              <w:t>0.29%</w:t>
            </w:r>
          </w:p>
        </w:tc>
      </w:tr>
      <w:tr w:rsidR="00B51DEA" w14:paraId="281AD8CA" w14:textId="77777777">
        <w:trPr>
          <w:trHeight w:val="501"/>
        </w:trPr>
        <w:tc>
          <w:tcPr>
            <w:tcW w:w="1080" w:type="pct"/>
            <w:tcBorders>
              <w:top w:val="single" w:sz="8" w:space="0" w:color="000000"/>
              <w:left w:val="single" w:sz="8" w:space="0" w:color="000000"/>
              <w:bottom w:val="single" w:sz="8" w:space="0" w:color="000000"/>
              <w:right w:val="single" w:sz="8" w:space="0" w:color="000000"/>
            </w:tcBorders>
            <w:vAlign w:val="center"/>
          </w:tcPr>
          <w:p w14:paraId="15F2EE1A" w14:textId="77777777" w:rsidR="00B51DEA" w:rsidRDefault="00000000">
            <w:pPr>
              <w:spacing w:line="360" w:lineRule="auto"/>
              <w:jc w:val="left"/>
              <w:rPr>
                <w:rFonts w:asciiTheme="minorEastAsia" w:hAnsiTheme="minorEastAsia" w:hint="eastAsia"/>
                <w:bCs/>
                <w:szCs w:val="24"/>
              </w:rPr>
            </w:pPr>
            <w:r>
              <w:rPr>
                <w:rFonts w:asciiTheme="minorEastAsia" w:hAnsiTheme="minorEastAsia"/>
                <w:bCs/>
                <w:szCs w:val="24"/>
              </w:rPr>
              <w:t>2019.01.01~2019.12.31</w:t>
            </w:r>
          </w:p>
        </w:tc>
        <w:tc>
          <w:tcPr>
            <w:tcW w:w="760" w:type="pct"/>
            <w:tcBorders>
              <w:top w:val="single" w:sz="8" w:space="0" w:color="000000"/>
              <w:left w:val="single" w:sz="8" w:space="0" w:color="000000"/>
              <w:bottom w:val="single" w:sz="8" w:space="0" w:color="000000"/>
              <w:right w:val="single" w:sz="8" w:space="0" w:color="000000"/>
            </w:tcBorders>
            <w:vAlign w:val="center"/>
          </w:tcPr>
          <w:p w14:paraId="23A51C43" w14:textId="77777777" w:rsidR="00B51DEA" w:rsidRDefault="00000000">
            <w:pPr>
              <w:spacing w:line="360" w:lineRule="auto"/>
              <w:jc w:val="left"/>
              <w:rPr>
                <w:rFonts w:asciiTheme="minorEastAsia" w:hAnsiTheme="minorEastAsia" w:hint="eastAsia"/>
                <w:szCs w:val="24"/>
              </w:rPr>
            </w:pPr>
            <w:r>
              <w:rPr>
                <w:rFonts w:asciiTheme="minorEastAsia" w:hAnsiTheme="minorEastAsia"/>
                <w:szCs w:val="24"/>
              </w:rPr>
              <w:t>137.65%</w:t>
            </w:r>
          </w:p>
        </w:tc>
        <w:tc>
          <w:tcPr>
            <w:tcW w:w="577" w:type="pct"/>
            <w:tcBorders>
              <w:top w:val="single" w:sz="8" w:space="0" w:color="000000"/>
              <w:left w:val="single" w:sz="8" w:space="0" w:color="000000"/>
              <w:bottom w:val="single" w:sz="8" w:space="0" w:color="000000"/>
              <w:right w:val="single" w:sz="8" w:space="0" w:color="000000"/>
            </w:tcBorders>
            <w:vAlign w:val="center"/>
          </w:tcPr>
          <w:p w14:paraId="1039EE64" w14:textId="77777777" w:rsidR="00B51DEA" w:rsidRDefault="00000000">
            <w:pPr>
              <w:spacing w:line="360" w:lineRule="auto"/>
              <w:jc w:val="left"/>
              <w:rPr>
                <w:rFonts w:asciiTheme="minorEastAsia" w:hAnsiTheme="minorEastAsia" w:hint="eastAsia"/>
                <w:szCs w:val="24"/>
              </w:rPr>
            </w:pPr>
            <w:r>
              <w:rPr>
                <w:rFonts w:asciiTheme="minorEastAsia" w:hAnsiTheme="minorEastAsia"/>
                <w:szCs w:val="24"/>
              </w:rPr>
              <w:t>6.56%</w:t>
            </w:r>
          </w:p>
        </w:tc>
        <w:tc>
          <w:tcPr>
            <w:tcW w:w="669" w:type="pct"/>
            <w:tcBorders>
              <w:top w:val="single" w:sz="8" w:space="0" w:color="000000"/>
              <w:left w:val="single" w:sz="8" w:space="0" w:color="000000"/>
              <w:bottom w:val="single" w:sz="8" w:space="0" w:color="000000"/>
              <w:right w:val="single" w:sz="8" w:space="0" w:color="000000"/>
            </w:tcBorders>
            <w:vAlign w:val="center"/>
          </w:tcPr>
          <w:p w14:paraId="197B20B6" w14:textId="77777777" w:rsidR="00B51DEA" w:rsidRDefault="00000000">
            <w:pPr>
              <w:spacing w:line="360" w:lineRule="auto"/>
              <w:jc w:val="left"/>
              <w:rPr>
                <w:rFonts w:asciiTheme="minorEastAsia" w:hAnsiTheme="minorEastAsia" w:hint="eastAsia"/>
                <w:szCs w:val="24"/>
              </w:rPr>
            </w:pPr>
            <w:r>
              <w:rPr>
                <w:rFonts w:asciiTheme="minorEastAsia" w:hAnsiTheme="minorEastAsia"/>
                <w:szCs w:val="24"/>
              </w:rPr>
              <w:t>21.32%</w:t>
            </w:r>
          </w:p>
        </w:tc>
        <w:tc>
          <w:tcPr>
            <w:tcW w:w="577" w:type="pct"/>
            <w:tcBorders>
              <w:top w:val="single" w:sz="8" w:space="0" w:color="000000"/>
              <w:left w:val="single" w:sz="8" w:space="0" w:color="000000"/>
              <w:bottom w:val="single" w:sz="8" w:space="0" w:color="000000"/>
              <w:right w:val="single" w:sz="8" w:space="0" w:color="000000"/>
            </w:tcBorders>
            <w:vAlign w:val="center"/>
          </w:tcPr>
          <w:p w14:paraId="23A2AA4E" w14:textId="77777777" w:rsidR="00B51DEA" w:rsidRDefault="00000000">
            <w:pPr>
              <w:spacing w:line="360" w:lineRule="auto"/>
              <w:jc w:val="left"/>
              <w:rPr>
                <w:rFonts w:asciiTheme="minorEastAsia" w:hAnsiTheme="minorEastAsia" w:hint="eastAsia"/>
                <w:szCs w:val="24"/>
              </w:rPr>
            </w:pPr>
            <w:r>
              <w:rPr>
                <w:rFonts w:asciiTheme="minorEastAsia" w:hAnsiTheme="minorEastAsia"/>
                <w:szCs w:val="24"/>
              </w:rPr>
              <w:t>0.69%</w:t>
            </w:r>
          </w:p>
        </w:tc>
        <w:tc>
          <w:tcPr>
            <w:tcW w:w="760" w:type="pct"/>
            <w:tcBorders>
              <w:top w:val="single" w:sz="8" w:space="0" w:color="000000"/>
              <w:left w:val="single" w:sz="8" w:space="0" w:color="000000"/>
              <w:bottom w:val="single" w:sz="8" w:space="0" w:color="000000"/>
              <w:right w:val="single" w:sz="8" w:space="0" w:color="000000"/>
            </w:tcBorders>
            <w:vAlign w:val="center"/>
          </w:tcPr>
          <w:p w14:paraId="326C310D" w14:textId="77777777" w:rsidR="00B51DEA" w:rsidRDefault="00000000">
            <w:pPr>
              <w:spacing w:line="360" w:lineRule="auto"/>
              <w:jc w:val="left"/>
              <w:rPr>
                <w:rFonts w:asciiTheme="minorEastAsia" w:hAnsiTheme="minorEastAsia" w:hint="eastAsia"/>
                <w:szCs w:val="24"/>
              </w:rPr>
            </w:pPr>
            <w:r>
              <w:rPr>
                <w:rFonts w:asciiTheme="minorEastAsia" w:hAnsiTheme="minorEastAsia"/>
                <w:szCs w:val="24"/>
              </w:rPr>
              <w:t>116.33%</w:t>
            </w:r>
          </w:p>
        </w:tc>
        <w:tc>
          <w:tcPr>
            <w:tcW w:w="577" w:type="pct"/>
            <w:tcBorders>
              <w:top w:val="single" w:sz="8" w:space="0" w:color="000000"/>
              <w:left w:val="single" w:sz="8" w:space="0" w:color="000000"/>
              <w:bottom w:val="single" w:sz="8" w:space="0" w:color="000000"/>
              <w:right w:val="single" w:sz="8" w:space="0" w:color="000000"/>
            </w:tcBorders>
            <w:vAlign w:val="center"/>
          </w:tcPr>
          <w:p w14:paraId="7BA29AD5" w14:textId="77777777" w:rsidR="00B51DEA" w:rsidRDefault="00000000">
            <w:pPr>
              <w:spacing w:line="360" w:lineRule="auto"/>
              <w:jc w:val="left"/>
              <w:rPr>
                <w:rFonts w:asciiTheme="minorEastAsia" w:hAnsiTheme="minorEastAsia" w:hint="eastAsia"/>
                <w:szCs w:val="24"/>
              </w:rPr>
            </w:pPr>
            <w:r>
              <w:rPr>
                <w:rFonts w:asciiTheme="minorEastAsia" w:hAnsiTheme="minorEastAsia"/>
                <w:szCs w:val="24"/>
              </w:rPr>
              <w:t>5.87%</w:t>
            </w:r>
          </w:p>
        </w:tc>
      </w:tr>
      <w:tr w:rsidR="00B51DEA" w14:paraId="07CF7AE3" w14:textId="77777777">
        <w:trPr>
          <w:trHeight w:val="501"/>
        </w:trPr>
        <w:tc>
          <w:tcPr>
            <w:tcW w:w="1080" w:type="pct"/>
            <w:tcBorders>
              <w:top w:val="single" w:sz="8" w:space="0" w:color="000000"/>
              <w:left w:val="single" w:sz="8" w:space="0" w:color="000000"/>
              <w:bottom w:val="single" w:sz="8" w:space="0" w:color="000000"/>
              <w:right w:val="single" w:sz="8" w:space="0" w:color="000000"/>
            </w:tcBorders>
            <w:vAlign w:val="center"/>
          </w:tcPr>
          <w:p w14:paraId="28FB7727" w14:textId="77777777" w:rsidR="00B51DEA" w:rsidRDefault="00000000">
            <w:pPr>
              <w:spacing w:line="360" w:lineRule="auto"/>
              <w:jc w:val="left"/>
              <w:rPr>
                <w:rFonts w:asciiTheme="minorEastAsia" w:hAnsiTheme="minorEastAsia" w:hint="eastAsia"/>
                <w:bCs/>
                <w:szCs w:val="24"/>
              </w:rPr>
            </w:pPr>
            <w:r>
              <w:rPr>
                <w:rFonts w:asciiTheme="minorEastAsia" w:hAnsiTheme="minorEastAsia"/>
                <w:bCs/>
                <w:szCs w:val="24"/>
              </w:rPr>
              <w:t>2020.01.01~2020</w:t>
            </w:r>
            <w:r>
              <w:rPr>
                <w:rFonts w:asciiTheme="minorEastAsia" w:hAnsiTheme="minorEastAsia"/>
                <w:color w:val="000000"/>
                <w:szCs w:val="21"/>
              </w:rPr>
              <w:t>.</w:t>
            </w:r>
            <w:r>
              <w:rPr>
                <w:rFonts w:asciiTheme="minorEastAsia" w:hAnsiTheme="minorEastAsia" w:hint="eastAsia"/>
                <w:color w:val="000000"/>
                <w:szCs w:val="21"/>
              </w:rPr>
              <w:t>12</w:t>
            </w:r>
            <w:r>
              <w:rPr>
                <w:rFonts w:asciiTheme="minorEastAsia" w:hAnsiTheme="minorEastAsia"/>
                <w:color w:val="000000"/>
                <w:szCs w:val="21"/>
              </w:rPr>
              <w:t>.</w:t>
            </w:r>
            <w:r>
              <w:rPr>
                <w:rFonts w:asciiTheme="minorEastAsia" w:hAnsiTheme="minorEastAsia" w:hint="eastAsia"/>
                <w:color w:val="000000"/>
                <w:szCs w:val="21"/>
              </w:rPr>
              <w:t>31</w:t>
            </w:r>
          </w:p>
        </w:tc>
        <w:tc>
          <w:tcPr>
            <w:tcW w:w="760" w:type="pct"/>
            <w:tcBorders>
              <w:top w:val="single" w:sz="8" w:space="0" w:color="000000"/>
              <w:left w:val="single" w:sz="8" w:space="0" w:color="000000"/>
              <w:bottom w:val="single" w:sz="8" w:space="0" w:color="000000"/>
              <w:right w:val="single" w:sz="8" w:space="0" w:color="000000"/>
            </w:tcBorders>
            <w:vAlign w:val="center"/>
          </w:tcPr>
          <w:p w14:paraId="5216EEBB" w14:textId="77777777" w:rsidR="00B51DEA" w:rsidRDefault="00000000">
            <w:pPr>
              <w:spacing w:line="360" w:lineRule="auto"/>
              <w:jc w:val="left"/>
              <w:rPr>
                <w:rFonts w:asciiTheme="minorEastAsia" w:hAnsiTheme="minorEastAsia" w:hint="eastAsia"/>
                <w:szCs w:val="24"/>
              </w:rPr>
            </w:pPr>
            <w:r>
              <w:rPr>
                <w:rFonts w:asciiTheme="minorEastAsia" w:hAnsiTheme="minorEastAsia" w:hint="eastAsia"/>
                <w:szCs w:val="24"/>
              </w:rPr>
              <w:t>23.85%</w:t>
            </w:r>
          </w:p>
        </w:tc>
        <w:tc>
          <w:tcPr>
            <w:tcW w:w="577" w:type="pct"/>
            <w:tcBorders>
              <w:top w:val="single" w:sz="8" w:space="0" w:color="000000"/>
              <w:left w:val="single" w:sz="8" w:space="0" w:color="000000"/>
              <w:bottom w:val="single" w:sz="8" w:space="0" w:color="000000"/>
              <w:right w:val="single" w:sz="8" w:space="0" w:color="000000"/>
            </w:tcBorders>
            <w:vAlign w:val="center"/>
          </w:tcPr>
          <w:p w14:paraId="54D1546C" w14:textId="77777777" w:rsidR="00B51DEA" w:rsidRDefault="00000000">
            <w:pPr>
              <w:spacing w:line="360" w:lineRule="auto"/>
              <w:jc w:val="left"/>
              <w:rPr>
                <w:rFonts w:asciiTheme="minorEastAsia" w:hAnsiTheme="minorEastAsia" w:hint="eastAsia"/>
                <w:szCs w:val="24"/>
              </w:rPr>
            </w:pPr>
            <w:r>
              <w:rPr>
                <w:rFonts w:asciiTheme="minorEastAsia" w:hAnsiTheme="minorEastAsia" w:hint="eastAsia"/>
                <w:szCs w:val="24"/>
              </w:rPr>
              <w:t>1.21%</w:t>
            </w:r>
          </w:p>
        </w:tc>
        <w:tc>
          <w:tcPr>
            <w:tcW w:w="669" w:type="pct"/>
            <w:tcBorders>
              <w:top w:val="single" w:sz="8" w:space="0" w:color="000000"/>
              <w:left w:val="single" w:sz="8" w:space="0" w:color="000000"/>
              <w:bottom w:val="single" w:sz="8" w:space="0" w:color="000000"/>
              <w:right w:val="single" w:sz="8" w:space="0" w:color="000000"/>
            </w:tcBorders>
            <w:vAlign w:val="center"/>
          </w:tcPr>
          <w:p w14:paraId="7DA0A0ED" w14:textId="77777777" w:rsidR="00B51DEA" w:rsidRDefault="00000000">
            <w:pPr>
              <w:spacing w:line="360" w:lineRule="auto"/>
              <w:jc w:val="left"/>
              <w:rPr>
                <w:rFonts w:asciiTheme="minorEastAsia" w:hAnsiTheme="minorEastAsia" w:hint="eastAsia"/>
                <w:szCs w:val="24"/>
              </w:rPr>
            </w:pPr>
            <w:r>
              <w:rPr>
                <w:rFonts w:asciiTheme="minorEastAsia" w:hAnsiTheme="minorEastAsia" w:hint="eastAsia"/>
                <w:szCs w:val="24"/>
              </w:rPr>
              <w:t>16.76%</w:t>
            </w:r>
          </w:p>
        </w:tc>
        <w:tc>
          <w:tcPr>
            <w:tcW w:w="577" w:type="pct"/>
            <w:tcBorders>
              <w:top w:val="single" w:sz="8" w:space="0" w:color="000000"/>
              <w:left w:val="single" w:sz="8" w:space="0" w:color="000000"/>
              <w:bottom w:val="single" w:sz="8" w:space="0" w:color="000000"/>
              <w:right w:val="single" w:sz="8" w:space="0" w:color="000000"/>
            </w:tcBorders>
            <w:vAlign w:val="center"/>
          </w:tcPr>
          <w:p w14:paraId="164AA14E" w14:textId="77777777" w:rsidR="00B51DEA" w:rsidRDefault="00000000">
            <w:pPr>
              <w:spacing w:line="360" w:lineRule="auto"/>
              <w:jc w:val="left"/>
              <w:rPr>
                <w:rFonts w:asciiTheme="minorEastAsia" w:hAnsiTheme="minorEastAsia" w:hint="eastAsia"/>
                <w:szCs w:val="24"/>
              </w:rPr>
            </w:pPr>
            <w:r>
              <w:rPr>
                <w:rFonts w:asciiTheme="minorEastAsia" w:hAnsiTheme="minorEastAsia" w:hint="eastAsia"/>
                <w:szCs w:val="24"/>
              </w:rPr>
              <w:t>0.78%</w:t>
            </w:r>
          </w:p>
        </w:tc>
        <w:tc>
          <w:tcPr>
            <w:tcW w:w="760" w:type="pct"/>
            <w:tcBorders>
              <w:top w:val="single" w:sz="8" w:space="0" w:color="000000"/>
              <w:left w:val="single" w:sz="8" w:space="0" w:color="000000"/>
              <w:bottom w:val="single" w:sz="8" w:space="0" w:color="000000"/>
              <w:right w:val="single" w:sz="8" w:space="0" w:color="000000"/>
            </w:tcBorders>
            <w:vAlign w:val="center"/>
          </w:tcPr>
          <w:p w14:paraId="481AF4E4" w14:textId="77777777" w:rsidR="00B51DEA" w:rsidRDefault="00000000">
            <w:pPr>
              <w:spacing w:line="360" w:lineRule="auto"/>
              <w:jc w:val="left"/>
              <w:rPr>
                <w:rFonts w:asciiTheme="minorEastAsia" w:hAnsiTheme="minorEastAsia" w:hint="eastAsia"/>
                <w:szCs w:val="24"/>
              </w:rPr>
            </w:pPr>
            <w:r>
              <w:rPr>
                <w:rFonts w:asciiTheme="minorEastAsia" w:hAnsiTheme="minorEastAsia" w:hint="eastAsia"/>
                <w:szCs w:val="24"/>
              </w:rPr>
              <w:t>7.09%</w:t>
            </w:r>
          </w:p>
        </w:tc>
        <w:tc>
          <w:tcPr>
            <w:tcW w:w="577" w:type="pct"/>
            <w:tcBorders>
              <w:top w:val="single" w:sz="8" w:space="0" w:color="000000"/>
              <w:left w:val="single" w:sz="8" w:space="0" w:color="000000"/>
              <w:bottom w:val="single" w:sz="8" w:space="0" w:color="000000"/>
              <w:right w:val="single" w:sz="8" w:space="0" w:color="000000"/>
            </w:tcBorders>
            <w:vAlign w:val="center"/>
          </w:tcPr>
          <w:p w14:paraId="4D31BA93" w14:textId="77777777" w:rsidR="00B51DEA" w:rsidRDefault="00000000">
            <w:pPr>
              <w:spacing w:line="360" w:lineRule="auto"/>
              <w:jc w:val="left"/>
              <w:rPr>
                <w:rFonts w:asciiTheme="minorEastAsia" w:hAnsiTheme="minorEastAsia" w:hint="eastAsia"/>
                <w:szCs w:val="24"/>
              </w:rPr>
            </w:pPr>
            <w:r>
              <w:rPr>
                <w:rFonts w:asciiTheme="minorEastAsia" w:hAnsiTheme="minorEastAsia" w:hint="eastAsia"/>
                <w:szCs w:val="24"/>
              </w:rPr>
              <w:t>0.43%</w:t>
            </w:r>
          </w:p>
        </w:tc>
      </w:tr>
      <w:tr w:rsidR="00B51DEA" w14:paraId="28501DCC" w14:textId="77777777">
        <w:trPr>
          <w:trHeight w:val="501"/>
        </w:trPr>
        <w:tc>
          <w:tcPr>
            <w:tcW w:w="1080" w:type="pct"/>
            <w:tcBorders>
              <w:top w:val="single" w:sz="8" w:space="0" w:color="000000"/>
              <w:left w:val="single" w:sz="8" w:space="0" w:color="000000"/>
              <w:bottom w:val="single" w:sz="8" w:space="0" w:color="000000"/>
              <w:right w:val="single" w:sz="8" w:space="0" w:color="000000"/>
            </w:tcBorders>
            <w:vAlign w:val="center"/>
          </w:tcPr>
          <w:p w14:paraId="3DAA1601" w14:textId="77777777" w:rsidR="00B51DEA" w:rsidRDefault="00000000">
            <w:pPr>
              <w:spacing w:line="360" w:lineRule="auto"/>
              <w:jc w:val="left"/>
              <w:rPr>
                <w:rFonts w:asciiTheme="minorEastAsia" w:hAnsiTheme="minorEastAsia" w:hint="eastAsia"/>
                <w:bCs/>
                <w:szCs w:val="24"/>
              </w:rPr>
            </w:pPr>
            <w:r>
              <w:rPr>
                <w:rFonts w:asciiTheme="minorEastAsia" w:hAnsiTheme="minorEastAsia"/>
                <w:color w:val="000000"/>
                <w:szCs w:val="21"/>
              </w:rPr>
              <w:t>202</w:t>
            </w:r>
            <w:r>
              <w:rPr>
                <w:rFonts w:asciiTheme="minorEastAsia" w:hAnsiTheme="minorEastAsia" w:hint="eastAsia"/>
                <w:color w:val="000000"/>
                <w:szCs w:val="21"/>
              </w:rPr>
              <w:t>1</w:t>
            </w:r>
            <w:r>
              <w:rPr>
                <w:rFonts w:asciiTheme="minorEastAsia" w:hAnsiTheme="minorEastAsia"/>
                <w:color w:val="000000"/>
                <w:szCs w:val="21"/>
              </w:rPr>
              <w:t>.01.01~202</w:t>
            </w:r>
            <w:r>
              <w:rPr>
                <w:rFonts w:asciiTheme="minorEastAsia" w:hAnsiTheme="minorEastAsia" w:hint="eastAsia"/>
                <w:color w:val="000000"/>
                <w:szCs w:val="21"/>
              </w:rPr>
              <w:t>1</w:t>
            </w:r>
            <w:r>
              <w:rPr>
                <w:rFonts w:asciiTheme="minorEastAsia" w:hAnsiTheme="minorEastAsia"/>
                <w:color w:val="000000"/>
                <w:szCs w:val="21"/>
              </w:rPr>
              <w:t>.</w:t>
            </w:r>
            <w:r>
              <w:rPr>
                <w:rFonts w:asciiTheme="minorEastAsia" w:hAnsiTheme="minorEastAsia" w:hint="eastAsia"/>
                <w:color w:val="000000"/>
                <w:szCs w:val="21"/>
              </w:rPr>
              <w:t>12</w:t>
            </w:r>
            <w:r>
              <w:rPr>
                <w:rFonts w:asciiTheme="minorEastAsia" w:hAnsiTheme="minorEastAsia"/>
                <w:color w:val="000000"/>
                <w:szCs w:val="21"/>
              </w:rPr>
              <w:t>.3</w:t>
            </w:r>
            <w:r>
              <w:rPr>
                <w:rFonts w:asciiTheme="minorEastAsia" w:hAnsiTheme="minorEastAsia" w:hint="eastAsia"/>
                <w:color w:val="000000"/>
                <w:szCs w:val="21"/>
              </w:rPr>
              <w:t>1</w:t>
            </w:r>
          </w:p>
        </w:tc>
        <w:tc>
          <w:tcPr>
            <w:tcW w:w="760" w:type="pct"/>
            <w:tcBorders>
              <w:top w:val="single" w:sz="8" w:space="0" w:color="000000"/>
              <w:left w:val="single" w:sz="8" w:space="0" w:color="000000"/>
              <w:bottom w:val="single" w:sz="8" w:space="0" w:color="000000"/>
              <w:right w:val="single" w:sz="8" w:space="0" w:color="000000"/>
            </w:tcBorders>
            <w:vAlign w:val="center"/>
          </w:tcPr>
          <w:p w14:paraId="411AFF67" w14:textId="77777777" w:rsidR="00B51DEA" w:rsidRDefault="00000000">
            <w:pPr>
              <w:spacing w:line="360" w:lineRule="auto"/>
              <w:jc w:val="left"/>
              <w:rPr>
                <w:rFonts w:asciiTheme="minorEastAsia" w:hAnsiTheme="minorEastAsia" w:hint="eastAsia"/>
                <w:szCs w:val="24"/>
              </w:rPr>
            </w:pPr>
            <w:r>
              <w:rPr>
                <w:rFonts w:asciiTheme="minorEastAsia" w:hAnsiTheme="minorEastAsia" w:hint="eastAsia"/>
                <w:szCs w:val="24"/>
              </w:rPr>
              <w:t>-6.48%</w:t>
            </w:r>
          </w:p>
        </w:tc>
        <w:tc>
          <w:tcPr>
            <w:tcW w:w="577" w:type="pct"/>
            <w:tcBorders>
              <w:top w:val="single" w:sz="8" w:space="0" w:color="000000"/>
              <w:left w:val="single" w:sz="8" w:space="0" w:color="000000"/>
              <w:bottom w:val="single" w:sz="8" w:space="0" w:color="000000"/>
              <w:right w:val="single" w:sz="8" w:space="0" w:color="000000"/>
            </w:tcBorders>
            <w:vAlign w:val="center"/>
          </w:tcPr>
          <w:p w14:paraId="43C4E07E" w14:textId="77777777" w:rsidR="00B51DEA" w:rsidRDefault="00000000">
            <w:pPr>
              <w:spacing w:line="360" w:lineRule="auto"/>
              <w:jc w:val="left"/>
              <w:rPr>
                <w:rFonts w:asciiTheme="minorEastAsia" w:hAnsiTheme="minorEastAsia" w:hint="eastAsia"/>
                <w:szCs w:val="24"/>
              </w:rPr>
            </w:pPr>
            <w:r>
              <w:rPr>
                <w:rFonts w:asciiTheme="minorEastAsia" w:hAnsiTheme="minorEastAsia" w:hint="eastAsia"/>
                <w:szCs w:val="24"/>
              </w:rPr>
              <w:t>0.56%</w:t>
            </w:r>
          </w:p>
        </w:tc>
        <w:tc>
          <w:tcPr>
            <w:tcW w:w="669" w:type="pct"/>
            <w:tcBorders>
              <w:top w:val="single" w:sz="8" w:space="0" w:color="000000"/>
              <w:left w:val="single" w:sz="8" w:space="0" w:color="000000"/>
              <w:bottom w:val="single" w:sz="8" w:space="0" w:color="000000"/>
              <w:right w:val="single" w:sz="8" w:space="0" w:color="000000"/>
            </w:tcBorders>
            <w:vAlign w:val="center"/>
          </w:tcPr>
          <w:p w14:paraId="72E525F3" w14:textId="77777777" w:rsidR="00B51DEA" w:rsidRDefault="00000000">
            <w:pPr>
              <w:spacing w:line="360" w:lineRule="auto"/>
              <w:jc w:val="left"/>
              <w:rPr>
                <w:rFonts w:asciiTheme="minorEastAsia" w:hAnsiTheme="minorEastAsia" w:hint="eastAsia"/>
                <w:szCs w:val="24"/>
              </w:rPr>
            </w:pPr>
            <w:r>
              <w:rPr>
                <w:rFonts w:asciiTheme="minorEastAsia" w:hAnsiTheme="minorEastAsia" w:hint="eastAsia"/>
                <w:szCs w:val="24"/>
              </w:rPr>
              <w:t>-0.66%</w:t>
            </w:r>
          </w:p>
        </w:tc>
        <w:tc>
          <w:tcPr>
            <w:tcW w:w="577" w:type="pct"/>
            <w:tcBorders>
              <w:top w:val="single" w:sz="8" w:space="0" w:color="000000"/>
              <w:left w:val="single" w:sz="8" w:space="0" w:color="000000"/>
              <w:bottom w:val="single" w:sz="8" w:space="0" w:color="000000"/>
              <w:right w:val="single" w:sz="8" w:space="0" w:color="000000"/>
            </w:tcBorders>
            <w:vAlign w:val="center"/>
          </w:tcPr>
          <w:p w14:paraId="5BEDD5DC" w14:textId="77777777" w:rsidR="00B51DEA" w:rsidRDefault="00000000">
            <w:pPr>
              <w:spacing w:line="360" w:lineRule="auto"/>
              <w:jc w:val="left"/>
              <w:rPr>
                <w:rFonts w:asciiTheme="minorEastAsia" w:hAnsiTheme="minorEastAsia" w:hint="eastAsia"/>
                <w:szCs w:val="24"/>
              </w:rPr>
            </w:pPr>
            <w:r>
              <w:rPr>
                <w:rFonts w:asciiTheme="minorEastAsia" w:hAnsiTheme="minorEastAsia" w:hint="eastAsia"/>
                <w:szCs w:val="24"/>
              </w:rPr>
              <w:t>0.65%</w:t>
            </w:r>
          </w:p>
        </w:tc>
        <w:tc>
          <w:tcPr>
            <w:tcW w:w="760" w:type="pct"/>
            <w:tcBorders>
              <w:top w:val="single" w:sz="8" w:space="0" w:color="000000"/>
              <w:left w:val="single" w:sz="8" w:space="0" w:color="000000"/>
              <w:bottom w:val="single" w:sz="8" w:space="0" w:color="000000"/>
              <w:right w:val="single" w:sz="8" w:space="0" w:color="000000"/>
            </w:tcBorders>
            <w:vAlign w:val="center"/>
          </w:tcPr>
          <w:p w14:paraId="4E32390E" w14:textId="77777777" w:rsidR="00B51DEA" w:rsidRDefault="00000000">
            <w:pPr>
              <w:spacing w:line="360" w:lineRule="auto"/>
              <w:jc w:val="left"/>
              <w:rPr>
                <w:rFonts w:asciiTheme="minorEastAsia" w:hAnsiTheme="minorEastAsia" w:hint="eastAsia"/>
                <w:szCs w:val="24"/>
              </w:rPr>
            </w:pPr>
            <w:r>
              <w:rPr>
                <w:rFonts w:asciiTheme="minorEastAsia" w:hAnsiTheme="minorEastAsia" w:hint="eastAsia"/>
                <w:szCs w:val="24"/>
              </w:rPr>
              <w:t>-5.82%</w:t>
            </w:r>
          </w:p>
        </w:tc>
        <w:tc>
          <w:tcPr>
            <w:tcW w:w="577" w:type="pct"/>
            <w:tcBorders>
              <w:top w:val="single" w:sz="8" w:space="0" w:color="000000"/>
              <w:left w:val="single" w:sz="8" w:space="0" w:color="000000"/>
              <w:bottom w:val="single" w:sz="8" w:space="0" w:color="000000"/>
              <w:right w:val="single" w:sz="8" w:space="0" w:color="000000"/>
            </w:tcBorders>
            <w:vAlign w:val="center"/>
          </w:tcPr>
          <w:p w14:paraId="77C3A9A5" w14:textId="77777777" w:rsidR="00B51DEA" w:rsidRDefault="00000000">
            <w:pPr>
              <w:spacing w:line="360" w:lineRule="auto"/>
              <w:jc w:val="left"/>
              <w:rPr>
                <w:rFonts w:asciiTheme="minorEastAsia" w:hAnsiTheme="minorEastAsia" w:hint="eastAsia"/>
                <w:szCs w:val="24"/>
              </w:rPr>
            </w:pPr>
            <w:r>
              <w:rPr>
                <w:rFonts w:asciiTheme="minorEastAsia" w:hAnsiTheme="minorEastAsia" w:hint="eastAsia"/>
                <w:szCs w:val="24"/>
              </w:rPr>
              <w:t>-0.09%</w:t>
            </w:r>
          </w:p>
        </w:tc>
      </w:tr>
      <w:tr w:rsidR="00B51DEA" w14:paraId="461A1742" w14:textId="77777777">
        <w:trPr>
          <w:trHeight w:val="501"/>
        </w:trPr>
        <w:tc>
          <w:tcPr>
            <w:tcW w:w="1080" w:type="pct"/>
            <w:tcBorders>
              <w:top w:val="single" w:sz="4" w:space="0" w:color="auto"/>
              <w:left w:val="single" w:sz="8" w:space="0" w:color="000000"/>
              <w:bottom w:val="single" w:sz="8" w:space="0" w:color="000000"/>
              <w:right w:val="single" w:sz="8" w:space="0" w:color="000000"/>
            </w:tcBorders>
            <w:vAlign w:val="center"/>
          </w:tcPr>
          <w:p w14:paraId="2493E285" w14:textId="77777777" w:rsidR="00B51DEA" w:rsidRDefault="00000000">
            <w:pPr>
              <w:spacing w:line="360" w:lineRule="auto"/>
              <w:jc w:val="left"/>
              <w:rPr>
                <w:rFonts w:asciiTheme="minorEastAsia" w:hAnsiTheme="minorEastAsia" w:hint="eastAsia"/>
                <w:color w:val="000000"/>
                <w:szCs w:val="21"/>
              </w:rPr>
            </w:pPr>
            <w:r>
              <w:rPr>
                <w:rFonts w:asciiTheme="minorEastAsia" w:hAnsiTheme="minorEastAsia"/>
                <w:color w:val="000000"/>
                <w:szCs w:val="21"/>
              </w:rPr>
              <w:t>202</w:t>
            </w:r>
            <w:r>
              <w:rPr>
                <w:rFonts w:asciiTheme="minorEastAsia" w:hAnsiTheme="minorEastAsia" w:hint="eastAsia"/>
                <w:color w:val="000000"/>
                <w:szCs w:val="21"/>
              </w:rPr>
              <w:t>2</w:t>
            </w:r>
            <w:r>
              <w:rPr>
                <w:rFonts w:asciiTheme="minorEastAsia" w:hAnsiTheme="minorEastAsia"/>
                <w:color w:val="000000"/>
                <w:szCs w:val="21"/>
              </w:rPr>
              <w:t>.01.01~202</w:t>
            </w:r>
            <w:r>
              <w:rPr>
                <w:rFonts w:asciiTheme="minorEastAsia" w:hAnsiTheme="minorEastAsia" w:hint="eastAsia"/>
                <w:color w:val="000000"/>
                <w:szCs w:val="21"/>
              </w:rPr>
              <w:t>2</w:t>
            </w:r>
            <w:r>
              <w:rPr>
                <w:rFonts w:asciiTheme="minorEastAsia" w:hAnsiTheme="minorEastAsia"/>
                <w:color w:val="000000"/>
                <w:szCs w:val="21"/>
              </w:rPr>
              <w:t>.</w:t>
            </w:r>
            <w:r>
              <w:rPr>
                <w:rFonts w:asciiTheme="minorEastAsia" w:hAnsiTheme="minorEastAsia" w:hint="eastAsia"/>
                <w:color w:val="000000"/>
                <w:szCs w:val="21"/>
              </w:rPr>
              <w:t>12</w:t>
            </w:r>
            <w:r>
              <w:rPr>
                <w:rFonts w:asciiTheme="minorEastAsia" w:hAnsiTheme="minorEastAsia"/>
                <w:color w:val="000000"/>
                <w:szCs w:val="21"/>
              </w:rPr>
              <w:t>.3</w:t>
            </w:r>
            <w:r>
              <w:rPr>
                <w:rFonts w:asciiTheme="minorEastAsia" w:hAnsiTheme="minorEastAsia" w:hint="eastAsia"/>
                <w:color w:val="000000"/>
                <w:szCs w:val="21"/>
              </w:rPr>
              <w:t>1</w:t>
            </w:r>
          </w:p>
        </w:tc>
        <w:tc>
          <w:tcPr>
            <w:tcW w:w="760" w:type="pct"/>
            <w:tcBorders>
              <w:top w:val="single" w:sz="4" w:space="0" w:color="auto"/>
              <w:left w:val="single" w:sz="8" w:space="0" w:color="000000"/>
              <w:bottom w:val="single" w:sz="8" w:space="0" w:color="000000"/>
              <w:right w:val="single" w:sz="8" w:space="0" w:color="000000"/>
            </w:tcBorders>
            <w:vAlign w:val="center"/>
          </w:tcPr>
          <w:p w14:paraId="5865BFC3" w14:textId="77777777" w:rsidR="00B51DEA" w:rsidRDefault="00000000">
            <w:pPr>
              <w:spacing w:line="360" w:lineRule="auto"/>
              <w:jc w:val="left"/>
              <w:rPr>
                <w:rFonts w:asciiTheme="minorEastAsia" w:hAnsiTheme="minorEastAsia" w:hint="eastAsia"/>
                <w:szCs w:val="24"/>
              </w:rPr>
            </w:pPr>
            <w:r>
              <w:rPr>
                <w:rFonts w:asciiTheme="minorEastAsia" w:hAnsiTheme="minorEastAsia"/>
                <w:szCs w:val="24"/>
              </w:rPr>
              <w:t>-32.18%</w:t>
            </w:r>
          </w:p>
        </w:tc>
        <w:tc>
          <w:tcPr>
            <w:tcW w:w="577" w:type="pct"/>
            <w:tcBorders>
              <w:top w:val="single" w:sz="4" w:space="0" w:color="auto"/>
              <w:left w:val="single" w:sz="8" w:space="0" w:color="000000"/>
              <w:bottom w:val="single" w:sz="8" w:space="0" w:color="000000"/>
              <w:right w:val="single" w:sz="8" w:space="0" w:color="000000"/>
            </w:tcBorders>
            <w:vAlign w:val="center"/>
          </w:tcPr>
          <w:p w14:paraId="527A8590" w14:textId="77777777" w:rsidR="00B51DEA" w:rsidRDefault="00000000">
            <w:pPr>
              <w:spacing w:line="360" w:lineRule="auto"/>
              <w:jc w:val="left"/>
              <w:rPr>
                <w:rFonts w:asciiTheme="minorEastAsia" w:hAnsiTheme="minorEastAsia" w:hint="eastAsia"/>
                <w:szCs w:val="24"/>
              </w:rPr>
            </w:pPr>
            <w:r>
              <w:rPr>
                <w:rFonts w:asciiTheme="minorEastAsia" w:hAnsiTheme="minorEastAsia"/>
                <w:szCs w:val="24"/>
              </w:rPr>
              <w:t>1.23%</w:t>
            </w:r>
          </w:p>
        </w:tc>
        <w:tc>
          <w:tcPr>
            <w:tcW w:w="669" w:type="pct"/>
            <w:tcBorders>
              <w:top w:val="single" w:sz="4" w:space="0" w:color="auto"/>
              <w:left w:val="single" w:sz="8" w:space="0" w:color="000000"/>
              <w:bottom w:val="single" w:sz="8" w:space="0" w:color="000000"/>
              <w:right w:val="single" w:sz="8" w:space="0" w:color="000000"/>
            </w:tcBorders>
            <w:vAlign w:val="center"/>
          </w:tcPr>
          <w:p w14:paraId="4162CA77" w14:textId="77777777" w:rsidR="00B51DEA" w:rsidRDefault="00000000">
            <w:pPr>
              <w:spacing w:line="360" w:lineRule="auto"/>
              <w:jc w:val="left"/>
              <w:rPr>
                <w:rFonts w:asciiTheme="minorEastAsia" w:hAnsiTheme="minorEastAsia" w:hint="eastAsia"/>
                <w:szCs w:val="24"/>
              </w:rPr>
            </w:pPr>
            <w:r>
              <w:rPr>
                <w:rFonts w:asciiTheme="minorEastAsia" w:hAnsiTheme="minorEastAsia"/>
                <w:szCs w:val="24"/>
              </w:rPr>
              <w:t>-10.69%</w:t>
            </w:r>
          </w:p>
        </w:tc>
        <w:tc>
          <w:tcPr>
            <w:tcW w:w="577" w:type="pct"/>
            <w:tcBorders>
              <w:top w:val="single" w:sz="4" w:space="0" w:color="auto"/>
              <w:left w:val="single" w:sz="8" w:space="0" w:color="000000"/>
              <w:bottom w:val="single" w:sz="8" w:space="0" w:color="000000"/>
              <w:right w:val="single" w:sz="8" w:space="0" w:color="000000"/>
            </w:tcBorders>
            <w:vAlign w:val="center"/>
          </w:tcPr>
          <w:p w14:paraId="05FE1951" w14:textId="77777777" w:rsidR="00B51DEA" w:rsidRDefault="00000000">
            <w:pPr>
              <w:spacing w:line="360" w:lineRule="auto"/>
              <w:jc w:val="left"/>
              <w:rPr>
                <w:rFonts w:asciiTheme="minorEastAsia" w:hAnsiTheme="minorEastAsia" w:hint="eastAsia"/>
                <w:szCs w:val="24"/>
              </w:rPr>
            </w:pPr>
            <w:r>
              <w:rPr>
                <w:rFonts w:asciiTheme="minorEastAsia" w:hAnsiTheme="minorEastAsia"/>
                <w:szCs w:val="24"/>
              </w:rPr>
              <w:t>0.71%</w:t>
            </w:r>
          </w:p>
        </w:tc>
        <w:tc>
          <w:tcPr>
            <w:tcW w:w="760" w:type="pct"/>
            <w:tcBorders>
              <w:top w:val="single" w:sz="4" w:space="0" w:color="auto"/>
              <w:left w:val="single" w:sz="8" w:space="0" w:color="000000"/>
              <w:bottom w:val="single" w:sz="8" w:space="0" w:color="000000"/>
              <w:right w:val="single" w:sz="8" w:space="0" w:color="000000"/>
            </w:tcBorders>
            <w:vAlign w:val="center"/>
          </w:tcPr>
          <w:p w14:paraId="001DE2FD" w14:textId="77777777" w:rsidR="00B51DEA" w:rsidRDefault="00000000">
            <w:pPr>
              <w:spacing w:line="360" w:lineRule="auto"/>
              <w:jc w:val="left"/>
              <w:rPr>
                <w:rFonts w:asciiTheme="minorEastAsia" w:hAnsiTheme="minorEastAsia" w:hint="eastAsia"/>
                <w:szCs w:val="24"/>
              </w:rPr>
            </w:pPr>
            <w:r>
              <w:rPr>
                <w:rFonts w:asciiTheme="minorEastAsia" w:hAnsiTheme="minorEastAsia"/>
                <w:szCs w:val="24"/>
              </w:rPr>
              <w:t>-21.49%</w:t>
            </w:r>
          </w:p>
        </w:tc>
        <w:tc>
          <w:tcPr>
            <w:tcW w:w="577" w:type="pct"/>
            <w:tcBorders>
              <w:top w:val="single" w:sz="4" w:space="0" w:color="auto"/>
              <w:left w:val="single" w:sz="8" w:space="0" w:color="000000"/>
              <w:bottom w:val="single" w:sz="8" w:space="0" w:color="000000"/>
              <w:right w:val="single" w:sz="8" w:space="0" w:color="000000"/>
            </w:tcBorders>
            <w:vAlign w:val="center"/>
          </w:tcPr>
          <w:p w14:paraId="1599BDFC" w14:textId="77777777" w:rsidR="00B51DEA" w:rsidRDefault="00000000">
            <w:pPr>
              <w:spacing w:line="360" w:lineRule="auto"/>
              <w:jc w:val="left"/>
              <w:rPr>
                <w:rFonts w:asciiTheme="minorEastAsia" w:hAnsiTheme="minorEastAsia" w:hint="eastAsia"/>
                <w:szCs w:val="24"/>
              </w:rPr>
            </w:pPr>
            <w:r>
              <w:rPr>
                <w:rFonts w:asciiTheme="minorEastAsia" w:hAnsiTheme="minorEastAsia"/>
                <w:szCs w:val="24"/>
              </w:rPr>
              <w:t>0.52%</w:t>
            </w:r>
          </w:p>
        </w:tc>
      </w:tr>
      <w:tr w:rsidR="00B51DEA" w14:paraId="094DEA8C" w14:textId="77777777">
        <w:trPr>
          <w:trHeight w:val="501"/>
        </w:trPr>
        <w:tc>
          <w:tcPr>
            <w:tcW w:w="1080" w:type="pct"/>
            <w:tcBorders>
              <w:top w:val="single" w:sz="4" w:space="0" w:color="auto"/>
              <w:left w:val="single" w:sz="8" w:space="0" w:color="000000"/>
              <w:bottom w:val="single" w:sz="8" w:space="0" w:color="000000"/>
              <w:right w:val="single" w:sz="8" w:space="0" w:color="000000"/>
            </w:tcBorders>
            <w:vAlign w:val="center"/>
          </w:tcPr>
          <w:p w14:paraId="71FB1559" w14:textId="77777777" w:rsidR="00B51DEA" w:rsidRDefault="00000000">
            <w:pPr>
              <w:spacing w:line="360" w:lineRule="auto"/>
              <w:jc w:val="left"/>
              <w:rPr>
                <w:rFonts w:asciiTheme="minorEastAsia" w:hAnsiTheme="minorEastAsia" w:hint="eastAsia"/>
                <w:color w:val="000000"/>
                <w:szCs w:val="21"/>
              </w:rPr>
            </w:pPr>
            <w:r>
              <w:rPr>
                <w:rFonts w:asciiTheme="minorEastAsia" w:hAnsiTheme="minorEastAsia" w:hint="eastAsia"/>
                <w:color w:val="000000"/>
                <w:szCs w:val="21"/>
              </w:rPr>
              <w:t>2023.01.01~2023.12.31</w:t>
            </w:r>
          </w:p>
        </w:tc>
        <w:tc>
          <w:tcPr>
            <w:tcW w:w="760" w:type="pct"/>
            <w:tcBorders>
              <w:top w:val="single" w:sz="4" w:space="0" w:color="auto"/>
              <w:left w:val="single" w:sz="8" w:space="0" w:color="000000"/>
              <w:bottom w:val="single" w:sz="8" w:space="0" w:color="000000"/>
              <w:right w:val="single" w:sz="8" w:space="0" w:color="000000"/>
            </w:tcBorders>
            <w:vAlign w:val="center"/>
          </w:tcPr>
          <w:p w14:paraId="486EE999" w14:textId="77777777" w:rsidR="00B51DEA" w:rsidRDefault="00000000">
            <w:pPr>
              <w:spacing w:line="360" w:lineRule="auto"/>
              <w:jc w:val="left"/>
              <w:rPr>
                <w:rFonts w:asciiTheme="minorEastAsia" w:hAnsiTheme="minorEastAsia" w:hint="eastAsia"/>
                <w:szCs w:val="24"/>
              </w:rPr>
            </w:pPr>
            <w:r>
              <w:rPr>
                <w:rFonts w:asciiTheme="minorEastAsia" w:hAnsiTheme="minorEastAsia"/>
                <w:szCs w:val="24"/>
              </w:rPr>
              <w:t>-12.36%</w:t>
            </w:r>
          </w:p>
        </w:tc>
        <w:tc>
          <w:tcPr>
            <w:tcW w:w="577" w:type="pct"/>
            <w:tcBorders>
              <w:top w:val="single" w:sz="4" w:space="0" w:color="auto"/>
              <w:left w:val="single" w:sz="8" w:space="0" w:color="000000"/>
              <w:bottom w:val="single" w:sz="8" w:space="0" w:color="000000"/>
              <w:right w:val="single" w:sz="8" w:space="0" w:color="000000"/>
            </w:tcBorders>
            <w:vAlign w:val="center"/>
          </w:tcPr>
          <w:p w14:paraId="62046C92" w14:textId="77777777" w:rsidR="00B51DEA" w:rsidRDefault="00000000">
            <w:pPr>
              <w:spacing w:line="360" w:lineRule="auto"/>
              <w:jc w:val="left"/>
              <w:rPr>
                <w:rFonts w:asciiTheme="minorEastAsia" w:hAnsiTheme="minorEastAsia" w:hint="eastAsia"/>
                <w:szCs w:val="24"/>
              </w:rPr>
            </w:pPr>
            <w:r>
              <w:rPr>
                <w:rFonts w:asciiTheme="minorEastAsia" w:hAnsiTheme="minorEastAsia"/>
                <w:szCs w:val="24"/>
              </w:rPr>
              <w:t>0.91%</w:t>
            </w:r>
          </w:p>
        </w:tc>
        <w:tc>
          <w:tcPr>
            <w:tcW w:w="669" w:type="pct"/>
            <w:tcBorders>
              <w:top w:val="single" w:sz="4" w:space="0" w:color="auto"/>
              <w:left w:val="single" w:sz="8" w:space="0" w:color="000000"/>
              <w:bottom w:val="single" w:sz="8" w:space="0" w:color="000000"/>
              <w:right w:val="single" w:sz="8" w:space="0" w:color="000000"/>
            </w:tcBorders>
            <w:vAlign w:val="center"/>
          </w:tcPr>
          <w:p w14:paraId="5EC5FCA5" w14:textId="77777777" w:rsidR="00B51DEA" w:rsidRDefault="00000000">
            <w:pPr>
              <w:spacing w:line="360" w:lineRule="auto"/>
              <w:jc w:val="left"/>
              <w:rPr>
                <w:rFonts w:asciiTheme="minorEastAsia" w:hAnsiTheme="minorEastAsia" w:hint="eastAsia"/>
                <w:szCs w:val="24"/>
              </w:rPr>
            </w:pPr>
            <w:r>
              <w:rPr>
                <w:rFonts w:asciiTheme="minorEastAsia" w:hAnsiTheme="minorEastAsia"/>
                <w:szCs w:val="24"/>
              </w:rPr>
              <w:t>-4.64%</w:t>
            </w:r>
          </w:p>
        </w:tc>
        <w:tc>
          <w:tcPr>
            <w:tcW w:w="577" w:type="pct"/>
            <w:tcBorders>
              <w:top w:val="single" w:sz="4" w:space="0" w:color="auto"/>
              <w:left w:val="single" w:sz="8" w:space="0" w:color="000000"/>
              <w:bottom w:val="single" w:sz="8" w:space="0" w:color="000000"/>
              <w:right w:val="single" w:sz="8" w:space="0" w:color="000000"/>
            </w:tcBorders>
            <w:vAlign w:val="center"/>
          </w:tcPr>
          <w:p w14:paraId="6C7A3D73" w14:textId="77777777" w:rsidR="00B51DEA" w:rsidRDefault="00000000">
            <w:pPr>
              <w:spacing w:line="360" w:lineRule="auto"/>
              <w:jc w:val="left"/>
              <w:rPr>
                <w:rFonts w:asciiTheme="minorEastAsia" w:hAnsiTheme="minorEastAsia" w:hint="eastAsia"/>
                <w:szCs w:val="24"/>
              </w:rPr>
            </w:pPr>
            <w:r>
              <w:rPr>
                <w:rFonts w:asciiTheme="minorEastAsia" w:hAnsiTheme="minorEastAsia"/>
                <w:szCs w:val="24"/>
              </w:rPr>
              <w:t>0.46%</w:t>
            </w:r>
          </w:p>
        </w:tc>
        <w:tc>
          <w:tcPr>
            <w:tcW w:w="760" w:type="pct"/>
            <w:tcBorders>
              <w:top w:val="single" w:sz="4" w:space="0" w:color="auto"/>
              <w:left w:val="single" w:sz="8" w:space="0" w:color="000000"/>
              <w:bottom w:val="single" w:sz="8" w:space="0" w:color="000000"/>
              <w:right w:val="single" w:sz="8" w:space="0" w:color="000000"/>
            </w:tcBorders>
            <w:vAlign w:val="center"/>
          </w:tcPr>
          <w:p w14:paraId="28945A1E" w14:textId="77777777" w:rsidR="00B51DEA" w:rsidRDefault="00000000">
            <w:pPr>
              <w:spacing w:line="360" w:lineRule="auto"/>
              <w:jc w:val="left"/>
              <w:rPr>
                <w:rFonts w:asciiTheme="minorEastAsia" w:hAnsiTheme="minorEastAsia" w:hint="eastAsia"/>
                <w:szCs w:val="24"/>
              </w:rPr>
            </w:pPr>
            <w:r>
              <w:rPr>
                <w:rFonts w:asciiTheme="minorEastAsia" w:hAnsiTheme="minorEastAsia"/>
                <w:szCs w:val="24"/>
              </w:rPr>
              <w:t>-7.72%</w:t>
            </w:r>
          </w:p>
        </w:tc>
        <w:tc>
          <w:tcPr>
            <w:tcW w:w="577" w:type="pct"/>
            <w:tcBorders>
              <w:top w:val="single" w:sz="4" w:space="0" w:color="auto"/>
              <w:left w:val="single" w:sz="8" w:space="0" w:color="000000"/>
              <w:bottom w:val="single" w:sz="8" w:space="0" w:color="000000"/>
              <w:right w:val="single" w:sz="8" w:space="0" w:color="000000"/>
            </w:tcBorders>
            <w:vAlign w:val="center"/>
          </w:tcPr>
          <w:p w14:paraId="5E51F5C2" w14:textId="77777777" w:rsidR="00B51DEA" w:rsidRDefault="00000000">
            <w:pPr>
              <w:spacing w:line="360" w:lineRule="auto"/>
              <w:jc w:val="left"/>
              <w:rPr>
                <w:rFonts w:asciiTheme="minorEastAsia" w:hAnsiTheme="minorEastAsia" w:hint="eastAsia"/>
                <w:szCs w:val="24"/>
              </w:rPr>
            </w:pPr>
            <w:r>
              <w:rPr>
                <w:rFonts w:asciiTheme="minorEastAsia" w:hAnsiTheme="minorEastAsia"/>
                <w:szCs w:val="24"/>
              </w:rPr>
              <w:t>0.45%</w:t>
            </w:r>
          </w:p>
        </w:tc>
      </w:tr>
      <w:tr w:rsidR="00B51DEA" w14:paraId="530525EC" w14:textId="77777777">
        <w:trPr>
          <w:trHeight w:val="501"/>
        </w:trPr>
        <w:tc>
          <w:tcPr>
            <w:tcW w:w="1080" w:type="pct"/>
            <w:tcBorders>
              <w:top w:val="single" w:sz="4" w:space="0" w:color="auto"/>
              <w:left w:val="single" w:sz="8" w:space="0" w:color="000000"/>
              <w:bottom w:val="single" w:sz="8" w:space="0" w:color="000000"/>
              <w:right w:val="single" w:sz="8" w:space="0" w:color="000000"/>
            </w:tcBorders>
            <w:vAlign w:val="center"/>
          </w:tcPr>
          <w:p w14:paraId="0D2BB2E3" w14:textId="77777777" w:rsidR="00B51DEA" w:rsidRDefault="00000000">
            <w:pPr>
              <w:spacing w:line="360" w:lineRule="auto"/>
              <w:jc w:val="left"/>
              <w:rPr>
                <w:rFonts w:asciiTheme="minorEastAsia" w:hAnsiTheme="minorEastAsia" w:hint="eastAsia"/>
                <w:color w:val="000000"/>
                <w:szCs w:val="21"/>
              </w:rPr>
            </w:pPr>
            <w:r>
              <w:rPr>
                <w:rFonts w:asciiTheme="minorEastAsia" w:hAnsiTheme="minorEastAsia" w:hint="eastAsia"/>
                <w:color w:val="000000"/>
                <w:szCs w:val="21"/>
              </w:rPr>
              <w:t>2024.01.01~2024.12.31</w:t>
            </w:r>
          </w:p>
        </w:tc>
        <w:tc>
          <w:tcPr>
            <w:tcW w:w="760" w:type="pct"/>
            <w:tcBorders>
              <w:top w:val="single" w:sz="4" w:space="0" w:color="auto"/>
              <w:left w:val="single" w:sz="8" w:space="0" w:color="000000"/>
              <w:bottom w:val="single" w:sz="8" w:space="0" w:color="000000"/>
              <w:right w:val="single" w:sz="8" w:space="0" w:color="000000"/>
            </w:tcBorders>
            <w:vAlign w:val="center"/>
          </w:tcPr>
          <w:p w14:paraId="607A6084" w14:textId="77777777" w:rsidR="00B51DEA" w:rsidRDefault="00000000">
            <w:pPr>
              <w:spacing w:line="360" w:lineRule="auto"/>
              <w:jc w:val="left"/>
              <w:rPr>
                <w:rFonts w:asciiTheme="minorEastAsia" w:hAnsiTheme="minorEastAsia" w:hint="eastAsia"/>
                <w:color w:val="000000"/>
                <w:szCs w:val="21"/>
              </w:rPr>
            </w:pPr>
            <w:r>
              <w:rPr>
                <w:rFonts w:asciiTheme="minorEastAsia" w:hAnsiTheme="minorEastAsia"/>
                <w:color w:val="000000"/>
                <w:szCs w:val="21"/>
              </w:rPr>
              <w:t>-33.21%</w:t>
            </w:r>
          </w:p>
        </w:tc>
        <w:tc>
          <w:tcPr>
            <w:tcW w:w="577" w:type="pct"/>
            <w:tcBorders>
              <w:top w:val="single" w:sz="4" w:space="0" w:color="auto"/>
              <w:left w:val="single" w:sz="8" w:space="0" w:color="000000"/>
              <w:bottom w:val="single" w:sz="8" w:space="0" w:color="000000"/>
              <w:right w:val="single" w:sz="8" w:space="0" w:color="000000"/>
            </w:tcBorders>
            <w:vAlign w:val="center"/>
          </w:tcPr>
          <w:p w14:paraId="51D58EAE" w14:textId="77777777" w:rsidR="00B51DEA" w:rsidRDefault="00000000">
            <w:pPr>
              <w:spacing w:line="360" w:lineRule="auto"/>
              <w:jc w:val="left"/>
              <w:rPr>
                <w:rFonts w:asciiTheme="minorEastAsia" w:hAnsiTheme="minorEastAsia" w:hint="eastAsia"/>
                <w:color w:val="000000"/>
                <w:szCs w:val="21"/>
              </w:rPr>
            </w:pPr>
            <w:r>
              <w:rPr>
                <w:rFonts w:asciiTheme="minorEastAsia" w:hAnsiTheme="minorEastAsia"/>
                <w:color w:val="000000"/>
                <w:szCs w:val="21"/>
              </w:rPr>
              <w:t>1.90%</w:t>
            </w:r>
          </w:p>
        </w:tc>
        <w:tc>
          <w:tcPr>
            <w:tcW w:w="669" w:type="pct"/>
            <w:tcBorders>
              <w:top w:val="single" w:sz="4" w:space="0" w:color="auto"/>
              <w:left w:val="single" w:sz="8" w:space="0" w:color="000000"/>
              <w:bottom w:val="single" w:sz="8" w:space="0" w:color="000000"/>
              <w:right w:val="single" w:sz="8" w:space="0" w:color="000000"/>
            </w:tcBorders>
            <w:vAlign w:val="center"/>
          </w:tcPr>
          <w:p w14:paraId="08CF842D" w14:textId="77777777" w:rsidR="00B51DEA" w:rsidRDefault="00000000">
            <w:pPr>
              <w:spacing w:line="360" w:lineRule="auto"/>
              <w:jc w:val="left"/>
              <w:rPr>
                <w:rFonts w:asciiTheme="minorEastAsia" w:hAnsiTheme="minorEastAsia" w:hint="eastAsia"/>
                <w:color w:val="000000"/>
                <w:szCs w:val="21"/>
              </w:rPr>
            </w:pPr>
            <w:r>
              <w:rPr>
                <w:rFonts w:asciiTheme="minorEastAsia" w:hAnsiTheme="minorEastAsia"/>
                <w:color w:val="000000"/>
                <w:szCs w:val="21"/>
              </w:rPr>
              <w:t>12.26%</w:t>
            </w:r>
          </w:p>
        </w:tc>
        <w:tc>
          <w:tcPr>
            <w:tcW w:w="577" w:type="pct"/>
            <w:tcBorders>
              <w:top w:val="single" w:sz="4" w:space="0" w:color="auto"/>
              <w:left w:val="single" w:sz="8" w:space="0" w:color="000000"/>
              <w:bottom w:val="single" w:sz="8" w:space="0" w:color="000000"/>
              <w:right w:val="single" w:sz="8" w:space="0" w:color="000000"/>
            </w:tcBorders>
            <w:vAlign w:val="center"/>
          </w:tcPr>
          <w:p w14:paraId="1C0E7975" w14:textId="77777777" w:rsidR="00B51DEA" w:rsidRDefault="00000000">
            <w:pPr>
              <w:spacing w:line="360" w:lineRule="auto"/>
              <w:jc w:val="left"/>
              <w:rPr>
                <w:rFonts w:asciiTheme="minorEastAsia" w:hAnsiTheme="minorEastAsia" w:hint="eastAsia"/>
                <w:color w:val="000000"/>
                <w:szCs w:val="21"/>
              </w:rPr>
            </w:pPr>
            <w:r>
              <w:rPr>
                <w:rFonts w:asciiTheme="minorEastAsia" w:hAnsiTheme="minorEastAsia"/>
                <w:color w:val="000000"/>
                <w:szCs w:val="21"/>
              </w:rPr>
              <w:t>0.73%</w:t>
            </w:r>
          </w:p>
        </w:tc>
        <w:tc>
          <w:tcPr>
            <w:tcW w:w="760" w:type="pct"/>
            <w:tcBorders>
              <w:top w:val="single" w:sz="4" w:space="0" w:color="auto"/>
              <w:left w:val="single" w:sz="8" w:space="0" w:color="000000"/>
              <w:bottom w:val="single" w:sz="8" w:space="0" w:color="000000"/>
              <w:right w:val="single" w:sz="8" w:space="0" w:color="000000"/>
            </w:tcBorders>
            <w:vAlign w:val="center"/>
          </w:tcPr>
          <w:p w14:paraId="72563F70" w14:textId="77777777" w:rsidR="00B51DEA" w:rsidRDefault="00000000">
            <w:pPr>
              <w:spacing w:line="360" w:lineRule="auto"/>
              <w:jc w:val="left"/>
              <w:rPr>
                <w:rFonts w:asciiTheme="minorEastAsia" w:hAnsiTheme="minorEastAsia" w:hint="eastAsia"/>
                <w:color w:val="000000"/>
                <w:szCs w:val="21"/>
              </w:rPr>
            </w:pPr>
            <w:r>
              <w:rPr>
                <w:rFonts w:asciiTheme="minorEastAsia" w:hAnsiTheme="minorEastAsia"/>
                <w:color w:val="000000"/>
                <w:szCs w:val="21"/>
              </w:rPr>
              <w:t>-45.47%</w:t>
            </w:r>
          </w:p>
        </w:tc>
        <w:tc>
          <w:tcPr>
            <w:tcW w:w="577" w:type="pct"/>
            <w:tcBorders>
              <w:top w:val="single" w:sz="4" w:space="0" w:color="auto"/>
              <w:left w:val="single" w:sz="8" w:space="0" w:color="000000"/>
              <w:bottom w:val="single" w:sz="8" w:space="0" w:color="000000"/>
              <w:right w:val="single" w:sz="8" w:space="0" w:color="000000"/>
            </w:tcBorders>
            <w:vAlign w:val="center"/>
          </w:tcPr>
          <w:p w14:paraId="71CCA5E5" w14:textId="77777777" w:rsidR="00B51DEA" w:rsidRDefault="00000000">
            <w:pPr>
              <w:spacing w:line="360" w:lineRule="auto"/>
              <w:jc w:val="left"/>
              <w:rPr>
                <w:rFonts w:asciiTheme="minorEastAsia" w:hAnsiTheme="minorEastAsia" w:hint="eastAsia"/>
                <w:color w:val="000000"/>
                <w:szCs w:val="21"/>
              </w:rPr>
            </w:pPr>
            <w:r>
              <w:rPr>
                <w:rFonts w:asciiTheme="minorEastAsia" w:hAnsiTheme="minorEastAsia"/>
                <w:color w:val="000000"/>
                <w:szCs w:val="21"/>
              </w:rPr>
              <w:t>1.17%</w:t>
            </w:r>
          </w:p>
        </w:tc>
      </w:tr>
      <w:tr w:rsidR="00B51DEA" w14:paraId="6A9804B1" w14:textId="77777777">
        <w:trPr>
          <w:trHeight w:val="501"/>
        </w:trPr>
        <w:tc>
          <w:tcPr>
            <w:tcW w:w="1080" w:type="pct"/>
            <w:tcBorders>
              <w:top w:val="single" w:sz="4" w:space="0" w:color="auto"/>
              <w:left w:val="single" w:sz="8" w:space="0" w:color="000000"/>
              <w:bottom w:val="single" w:sz="8" w:space="0" w:color="000000"/>
              <w:right w:val="single" w:sz="8" w:space="0" w:color="000000"/>
            </w:tcBorders>
            <w:vAlign w:val="center"/>
          </w:tcPr>
          <w:p w14:paraId="70B1807A" w14:textId="77777777" w:rsidR="00B51DEA" w:rsidRDefault="00000000">
            <w:pPr>
              <w:spacing w:line="360" w:lineRule="auto"/>
              <w:jc w:val="left"/>
              <w:rPr>
                <w:rFonts w:asciiTheme="minorEastAsia" w:hAnsiTheme="minorEastAsia" w:hint="eastAsia"/>
                <w:color w:val="000000"/>
                <w:szCs w:val="21"/>
              </w:rPr>
            </w:pPr>
            <w:r>
              <w:rPr>
                <w:rFonts w:asciiTheme="minorEastAsia" w:hAnsiTheme="minorEastAsia" w:hint="eastAsia"/>
                <w:color w:val="000000"/>
                <w:szCs w:val="21"/>
              </w:rPr>
              <w:t>2025.01.01~2025.12.31</w:t>
            </w:r>
          </w:p>
        </w:tc>
        <w:tc>
          <w:tcPr>
            <w:tcW w:w="760" w:type="pct"/>
            <w:tcBorders>
              <w:top w:val="single" w:sz="4" w:space="0" w:color="auto"/>
              <w:left w:val="single" w:sz="8" w:space="0" w:color="000000"/>
              <w:bottom w:val="single" w:sz="8" w:space="0" w:color="000000"/>
              <w:right w:val="single" w:sz="8" w:space="0" w:color="000000"/>
            </w:tcBorders>
            <w:vAlign w:val="center"/>
          </w:tcPr>
          <w:p w14:paraId="649AAB99" w14:textId="77777777" w:rsidR="00B51DEA" w:rsidRDefault="00000000">
            <w:pPr>
              <w:spacing w:line="360" w:lineRule="auto"/>
              <w:jc w:val="left"/>
              <w:rPr>
                <w:rFonts w:asciiTheme="minorEastAsia" w:hAnsiTheme="minorEastAsia" w:hint="eastAsia"/>
                <w:color w:val="000000"/>
                <w:szCs w:val="21"/>
              </w:rPr>
            </w:pPr>
            <w:r>
              <w:rPr>
                <w:rFonts w:asciiTheme="minorEastAsia" w:hAnsiTheme="minorEastAsia" w:hint="eastAsia"/>
                <w:color w:val="000000"/>
                <w:szCs w:val="21"/>
              </w:rPr>
              <w:t>1.68%</w:t>
            </w:r>
          </w:p>
        </w:tc>
        <w:tc>
          <w:tcPr>
            <w:tcW w:w="577" w:type="pct"/>
            <w:tcBorders>
              <w:top w:val="single" w:sz="4" w:space="0" w:color="auto"/>
              <w:left w:val="single" w:sz="8" w:space="0" w:color="000000"/>
              <w:bottom w:val="single" w:sz="8" w:space="0" w:color="000000"/>
              <w:right w:val="single" w:sz="8" w:space="0" w:color="000000"/>
            </w:tcBorders>
            <w:vAlign w:val="center"/>
          </w:tcPr>
          <w:p w14:paraId="1CB60059" w14:textId="77777777" w:rsidR="00B51DEA" w:rsidRDefault="00000000">
            <w:pPr>
              <w:spacing w:line="360" w:lineRule="auto"/>
              <w:jc w:val="left"/>
              <w:rPr>
                <w:rFonts w:asciiTheme="minorEastAsia" w:hAnsiTheme="minorEastAsia" w:hint="eastAsia"/>
                <w:color w:val="000000"/>
                <w:szCs w:val="21"/>
              </w:rPr>
            </w:pPr>
            <w:r>
              <w:rPr>
                <w:rFonts w:asciiTheme="minorEastAsia" w:hAnsiTheme="minorEastAsia" w:hint="eastAsia"/>
                <w:color w:val="000000"/>
                <w:szCs w:val="21"/>
              </w:rPr>
              <w:t>0.22%</w:t>
            </w:r>
          </w:p>
        </w:tc>
        <w:tc>
          <w:tcPr>
            <w:tcW w:w="669" w:type="pct"/>
            <w:tcBorders>
              <w:top w:val="single" w:sz="4" w:space="0" w:color="auto"/>
              <w:left w:val="single" w:sz="8" w:space="0" w:color="000000"/>
              <w:bottom w:val="single" w:sz="8" w:space="0" w:color="000000"/>
              <w:right w:val="single" w:sz="8" w:space="0" w:color="000000"/>
            </w:tcBorders>
            <w:vAlign w:val="center"/>
          </w:tcPr>
          <w:p w14:paraId="0D38222A" w14:textId="77777777" w:rsidR="00B51DEA" w:rsidRDefault="00000000">
            <w:pPr>
              <w:spacing w:line="360" w:lineRule="auto"/>
              <w:jc w:val="left"/>
              <w:rPr>
                <w:rFonts w:asciiTheme="minorEastAsia" w:hAnsiTheme="minorEastAsia" w:hint="eastAsia"/>
                <w:color w:val="000000"/>
                <w:szCs w:val="21"/>
              </w:rPr>
            </w:pPr>
            <w:r>
              <w:rPr>
                <w:rFonts w:asciiTheme="minorEastAsia" w:hAnsiTheme="minorEastAsia" w:hint="eastAsia"/>
                <w:color w:val="000000"/>
                <w:szCs w:val="21"/>
              </w:rPr>
              <w:t>0.62%</w:t>
            </w:r>
          </w:p>
        </w:tc>
        <w:tc>
          <w:tcPr>
            <w:tcW w:w="577" w:type="pct"/>
            <w:tcBorders>
              <w:top w:val="single" w:sz="4" w:space="0" w:color="auto"/>
              <w:left w:val="single" w:sz="8" w:space="0" w:color="000000"/>
              <w:bottom w:val="single" w:sz="8" w:space="0" w:color="000000"/>
              <w:right w:val="single" w:sz="8" w:space="0" w:color="000000"/>
            </w:tcBorders>
            <w:vAlign w:val="center"/>
          </w:tcPr>
          <w:p w14:paraId="3D8351D7" w14:textId="77777777" w:rsidR="00B51DEA" w:rsidRDefault="00000000">
            <w:pPr>
              <w:spacing w:line="360" w:lineRule="auto"/>
              <w:jc w:val="left"/>
              <w:rPr>
                <w:rFonts w:asciiTheme="minorEastAsia" w:hAnsiTheme="minorEastAsia" w:hint="eastAsia"/>
                <w:color w:val="000000"/>
                <w:szCs w:val="21"/>
              </w:rPr>
            </w:pPr>
            <w:r>
              <w:rPr>
                <w:rFonts w:asciiTheme="minorEastAsia" w:hAnsiTheme="minorEastAsia" w:hint="eastAsia"/>
                <w:color w:val="000000"/>
                <w:szCs w:val="21"/>
              </w:rPr>
              <w:t>0.37%</w:t>
            </w:r>
          </w:p>
        </w:tc>
        <w:tc>
          <w:tcPr>
            <w:tcW w:w="760" w:type="pct"/>
            <w:tcBorders>
              <w:top w:val="single" w:sz="4" w:space="0" w:color="auto"/>
              <w:left w:val="single" w:sz="8" w:space="0" w:color="000000"/>
              <w:bottom w:val="single" w:sz="8" w:space="0" w:color="000000"/>
              <w:right w:val="single" w:sz="8" w:space="0" w:color="000000"/>
            </w:tcBorders>
            <w:vAlign w:val="center"/>
          </w:tcPr>
          <w:p w14:paraId="71E781DD" w14:textId="77777777" w:rsidR="00B51DEA" w:rsidRDefault="00000000">
            <w:pPr>
              <w:spacing w:line="360" w:lineRule="auto"/>
              <w:jc w:val="left"/>
              <w:rPr>
                <w:rFonts w:asciiTheme="minorEastAsia" w:hAnsiTheme="minorEastAsia" w:hint="eastAsia"/>
                <w:color w:val="000000"/>
                <w:szCs w:val="21"/>
              </w:rPr>
            </w:pPr>
            <w:r>
              <w:rPr>
                <w:rFonts w:asciiTheme="minorEastAsia" w:hAnsiTheme="minorEastAsia" w:hint="eastAsia"/>
                <w:color w:val="000000"/>
                <w:szCs w:val="21"/>
              </w:rPr>
              <w:t>1.06%</w:t>
            </w:r>
          </w:p>
        </w:tc>
        <w:tc>
          <w:tcPr>
            <w:tcW w:w="577" w:type="pct"/>
            <w:tcBorders>
              <w:top w:val="single" w:sz="4" w:space="0" w:color="auto"/>
              <w:left w:val="single" w:sz="8" w:space="0" w:color="000000"/>
              <w:bottom w:val="single" w:sz="8" w:space="0" w:color="000000"/>
              <w:right w:val="single" w:sz="8" w:space="0" w:color="000000"/>
            </w:tcBorders>
            <w:vAlign w:val="center"/>
          </w:tcPr>
          <w:p w14:paraId="596DF68A" w14:textId="77777777" w:rsidR="00B51DEA" w:rsidRDefault="00000000">
            <w:pPr>
              <w:spacing w:line="360" w:lineRule="auto"/>
              <w:jc w:val="left"/>
              <w:rPr>
                <w:rFonts w:asciiTheme="minorEastAsia" w:hAnsiTheme="minorEastAsia" w:hint="eastAsia"/>
                <w:color w:val="000000"/>
                <w:szCs w:val="21"/>
              </w:rPr>
            </w:pPr>
            <w:r>
              <w:rPr>
                <w:rFonts w:asciiTheme="minorEastAsia" w:hAnsiTheme="minorEastAsia" w:hint="eastAsia"/>
                <w:color w:val="000000"/>
                <w:szCs w:val="21"/>
              </w:rPr>
              <w:t>-0.15%</w:t>
            </w:r>
          </w:p>
        </w:tc>
      </w:tr>
      <w:tr w:rsidR="00B51DEA" w14:paraId="584C1922" w14:textId="77777777">
        <w:trPr>
          <w:trHeight w:val="987"/>
        </w:trPr>
        <w:tc>
          <w:tcPr>
            <w:tcW w:w="1080" w:type="pct"/>
            <w:tcBorders>
              <w:top w:val="single" w:sz="8" w:space="0" w:color="000000"/>
              <w:left w:val="single" w:sz="8" w:space="0" w:color="000000"/>
              <w:bottom w:val="single" w:sz="6" w:space="0" w:color="000000"/>
              <w:right w:val="single" w:sz="8" w:space="0" w:color="000000"/>
            </w:tcBorders>
            <w:vAlign w:val="center"/>
          </w:tcPr>
          <w:p w14:paraId="38D2F098" w14:textId="77777777" w:rsidR="00B51DEA" w:rsidRDefault="00000000">
            <w:pPr>
              <w:spacing w:line="360" w:lineRule="auto"/>
              <w:jc w:val="left"/>
              <w:rPr>
                <w:rFonts w:asciiTheme="minorEastAsia" w:hAnsiTheme="minorEastAsia" w:hint="eastAsia"/>
                <w:color w:val="000000"/>
                <w:szCs w:val="21"/>
              </w:rPr>
            </w:pPr>
            <w:r>
              <w:rPr>
                <w:rFonts w:asciiTheme="minorEastAsia" w:hAnsiTheme="minorEastAsia" w:hint="eastAsia"/>
                <w:color w:val="000000"/>
                <w:szCs w:val="21"/>
              </w:rPr>
              <w:t>自基金合同生效起至2026</w:t>
            </w:r>
            <w:r>
              <w:rPr>
                <w:rFonts w:asciiTheme="minorEastAsia" w:hAnsiTheme="minorEastAsia"/>
                <w:color w:val="000000"/>
                <w:szCs w:val="21"/>
              </w:rPr>
              <w:t>.06.30</w:t>
            </w:r>
          </w:p>
        </w:tc>
        <w:tc>
          <w:tcPr>
            <w:tcW w:w="760" w:type="pct"/>
            <w:tcBorders>
              <w:top w:val="single" w:sz="8" w:space="0" w:color="000000"/>
              <w:left w:val="single" w:sz="8" w:space="0" w:color="000000"/>
              <w:bottom w:val="single" w:sz="6" w:space="0" w:color="000000"/>
              <w:right w:val="single" w:sz="8" w:space="0" w:color="000000"/>
            </w:tcBorders>
            <w:vAlign w:val="center"/>
          </w:tcPr>
          <w:p w14:paraId="0F64CC6A" w14:textId="77777777" w:rsidR="00B51DEA" w:rsidRDefault="00000000">
            <w:pPr>
              <w:spacing w:line="360" w:lineRule="auto"/>
              <w:jc w:val="left"/>
              <w:rPr>
                <w:rFonts w:asciiTheme="minorEastAsia" w:hAnsiTheme="minorEastAsia" w:hint="eastAsia"/>
                <w:color w:val="000000"/>
                <w:szCs w:val="21"/>
              </w:rPr>
            </w:pPr>
            <w:r>
              <w:rPr>
                <w:rFonts w:asciiTheme="minorEastAsia" w:hAnsiTheme="minorEastAsia"/>
                <w:color w:val="000000"/>
                <w:szCs w:val="21"/>
              </w:rPr>
              <w:t>-15.07%</w:t>
            </w:r>
          </w:p>
        </w:tc>
        <w:tc>
          <w:tcPr>
            <w:tcW w:w="577" w:type="pct"/>
            <w:tcBorders>
              <w:top w:val="single" w:sz="8" w:space="0" w:color="000000"/>
              <w:left w:val="single" w:sz="8" w:space="0" w:color="000000"/>
              <w:bottom w:val="single" w:sz="6" w:space="0" w:color="000000"/>
              <w:right w:val="single" w:sz="8" w:space="0" w:color="000000"/>
            </w:tcBorders>
            <w:vAlign w:val="center"/>
          </w:tcPr>
          <w:p w14:paraId="2902C624" w14:textId="77777777" w:rsidR="00B51DEA" w:rsidRDefault="00000000">
            <w:pPr>
              <w:spacing w:line="360" w:lineRule="auto"/>
              <w:jc w:val="left"/>
              <w:rPr>
                <w:rFonts w:asciiTheme="minorEastAsia" w:hAnsiTheme="minorEastAsia" w:hint="eastAsia"/>
                <w:color w:val="000000"/>
                <w:szCs w:val="21"/>
              </w:rPr>
            </w:pPr>
            <w:r>
              <w:rPr>
                <w:rFonts w:asciiTheme="minorEastAsia" w:hAnsiTheme="minorEastAsia"/>
                <w:color w:val="000000"/>
                <w:szCs w:val="21"/>
              </w:rPr>
              <w:t>2.57%</w:t>
            </w:r>
          </w:p>
        </w:tc>
        <w:tc>
          <w:tcPr>
            <w:tcW w:w="669" w:type="pct"/>
            <w:tcBorders>
              <w:top w:val="single" w:sz="8" w:space="0" w:color="000000"/>
              <w:left w:val="single" w:sz="8" w:space="0" w:color="000000"/>
              <w:bottom w:val="single" w:sz="6" w:space="0" w:color="000000"/>
              <w:right w:val="single" w:sz="8" w:space="0" w:color="000000"/>
            </w:tcBorders>
            <w:vAlign w:val="center"/>
          </w:tcPr>
          <w:p w14:paraId="6A781F6E" w14:textId="77777777" w:rsidR="00B51DEA" w:rsidRDefault="00000000">
            <w:pPr>
              <w:spacing w:line="360" w:lineRule="auto"/>
              <w:jc w:val="left"/>
              <w:rPr>
                <w:rFonts w:asciiTheme="minorEastAsia" w:hAnsiTheme="minorEastAsia" w:hint="eastAsia"/>
                <w:color w:val="000000"/>
                <w:szCs w:val="21"/>
              </w:rPr>
            </w:pPr>
            <w:r>
              <w:rPr>
                <w:rFonts w:asciiTheme="minorEastAsia" w:hAnsiTheme="minorEastAsia"/>
                <w:color w:val="000000"/>
                <w:szCs w:val="21"/>
              </w:rPr>
              <w:t>29.83%</w:t>
            </w:r>
          </w:p>
        </w:tc>
        <w:tc>
          <w:tcPr>
            <w:tcW w:w="577" w:type="pct"/>
            <w:tcBorders>
              <w:top w:val="single" w:sz="8" w:space="0" w:color="000000"/>
              <w:left w:val="single" w:sz="8" w:space="0" w:color="000000"/>
              <w:bottom w:val="single" w:sz="6" w:space="0" w:color="000000"/>
              <w:right w:val="single" w:sz="8" w:space="0" w:color="000000"/>
            </w:tcBorders>
            <w:vAlign w:val="center"/>
          </w:tcPr>
          <w:p w14:paraId="1D5A9C53" w14:textId="77777777" w:rsidR="00B51DEA" w:rsidRDefault="00000000">
            <w:pPr>
              <w:spacing w:line="360" w:lineRule="auto"/>
              <w:jc w:val="left"/>
              <w:rPr>
                <w:rFonts w:asciiTheme="minorEastAsia" w:hAnsiTheme="minorEastAsia" w:hint="eastAsia"/>
                <w:color w:val="000000"/>
                <w:szCs w:val="21"/>
              </w:rPr>
            </w:pPr>
            <w:r>
              <w:rPr>
                <w:rFonts w:asciiTheme="minorEastAsia" w:hAnsiTheme="minorEastAsia"/>
                <w:color w:val="000000"/>
                <w:szCs w:val="21"/>
              </w:rPr>
              <w:t>0.63%</w:t>
            </w:r>
          </w:p>
        </w:tc>
        <w:tc>
          <w:tcPr>
            <w:tcW w:w="760" w:type="pct"/>
            <w:tcBorders>
              <w:top w:val="single" w:sz="8" w:space="0" w:color="000000"/>
              <w:left w:val="single" w:sz="8" w:space="0" w:color="000000"/>
              <w:bottom w:val="single" w:sz="6" w:space="0" w:color="000000"/>
              <w:right w:val="single" w:sz="8" w:space="0" w:color="000000"/>
            </w:tcBorders>
            <w:vAlign w:val="center"/>
          </w:tcPr>
          <w:p w14:paraId="382BDC11" w14:textId="77777777" w:rsidR="00B51DEA" w:rsidRDefault="00000000">
            <w:pPr>
              <w:spacing w:line="360" w:lineRule="auto"/>
              <w:jc w:val="left"/>
              <w:rPr>
                <w:rFonts w:asciiTheme="minorEastAsia" w:hAnsiTheme="minorEastAsia" w:hint="eastAsia"/>
                <w:color w:val="000000"/>
                <w:szCs w:val="21"/>
              </w:rPr>
            </w:pPr>
            <w:r>
              <w:rPr>
                <w:rFonts w:asciiTheme="minorEastAsia" w:hAnsiTheme="minorEastAsia"/>
                <w:color w:val="000000"/>
                <w:szCs w:val="21"/>
              </w:rPr>
              <w:t>-44.90%</w:t>
            </w:r>
          </w:p>
        </w:tc>
        <w:tc>
          <w:tcPr>
            <w:tcW w:w="577" w:type="pct"/>
            <w:tcBorders>
              <w:top w:val="single" w:sz="8" w:space="0" w:color="000000"/>
              <w:left w:val="single" w:sz="8" w:space="0" w:color="000000"/>
              <w:bottom w:val="single" w:sz="6" w:space="0" w:color="000000"/>
              <w:right w:val="single" w:sz="8" w:space="0" w:color="000000"/>
            </w:tcBorders>
            <w:vAlign w:val="center"/>
          </w:tcPr>
          <w:p w14:paraId="05A64FB2" w14:textId="77777777" w:rsidR="00B51DEA" w:rsidRDefault="00000000">
            <w:pPr>
              <w:spacing w:line="360" w:lineRule="auto"/>
              <w:jc w:val="left"/>
              <w:rPr>
                <w:rFonts w:asciiTheme="minorEastAsia" w:hAnsiTheme="minorEastAsia" w:hint="eastAsia"/>
                <w:color w:val="000000"/>
                <w:szCs w:val="21"/>
              </w:rPr>
            </w:pPr>
            <w:r>
              <w:rPr>
                <w:rFonts w:asciiTheme="minorEastAsia" w:hAnsiTheme="minorEastAsia"/>
                <w:color w:val="000000"/>
                <w:szCs w:val="21"/>
              </w:rPr>
              <w:t>1.94%</w:t>
            </w:r>
          </w:p>
        </w:tc>
      </w:tr>
    </w:tbl>
    <w:p w14:paraId="7A6D1367" w14:textId="77777777" w:rsidR="00B51DEA" w:rsidRDefault="00B51DEA">
      <w:pPr>
        <w:spacing w:line="360" w:lineRule="auto"/>
        <w:rPr>
          <w:rFonts w:asciiTheme="minorEastAsia" w:hAnsiTheme="minorEastAsia" w:hint="eastAsia"/>
          <w:bCs/>
          <w:sz w:val="24"/>
          <w:szCs w:val="24"/>
        </w:rPr>
      </w:pPr>
    </w:p>
    <w:p w14:paraId="458E3F64" w14:textId="77777777" w:rsidR="00B51DEA" w:rsidRDefault="00000000">
      <w:pPr>
        <w:spacing w:line="360" w:lineRule="auto"/>
        <w:rPr>
          <w:rFonts w:asciiTheme="minorEastAsia" w:hAnsiTheme="minorEastAsia" w:cs="Times New Roman" w:hint="eastAsia"/>
          <w:bCs/>
          <w:sz w:val="24"/>
          <w:szCs w:val="24"/>
        </w:rPr>
      </w:pPr>
      <w:r>
        <w:rPr>
          <w:rFonts w:asciiTheme="minorEastAsia" w:hAnsiTheme="minorEastAsia" w:hint="eastAsia"/>
          <w:bCs/>
          <w:sz w:val="24"/>
          <w:szCs w:val="24"/>
        </w:rPr>
        <w:t>（</w:t>
      </w:r>
      <w:r>
        <w:rPr>
          <w:rFonts w:asciiTheme="minorEastAsia" w:hAnsiTheme="minorEastAsia"/>
          <w:bCs/>
          <w:sz w:val="24"/>
          <w:szCs w:val="24"/>
        </w:rPr>
        <w:t>2）富荣价值精选混合C（基金代码：006110）</w:t>
      </w:r>
    </w:p>
    <w:tbl>
      <w:tblPr>
        <w:tblW w:w="8790" w:type="dxa"/>
        <w:tblInd w:w="-318" w:type="dxa"/>
        <w:tblLook w:val="04A0" w:firstRow="1" w:lastRow="0" w:firstColumn="1" w:lastColumn="0" w:noHBand="0" w:noVBand="1"/>
      </w:tblPr>
      <w:tblGrid>
        <w:gridCol w:w="2421"/>
        <w:gridCol w:w="1177"/>
        <w:gridCol w:w="930"/>
        <w:gridCol w:w="1103"/>
        <w:gridCol w:w="1317"/>
        <w:gridCol w:w="951"/>
        <w:gridCol w:w="891"/>
      </w:tblGrid>
      <w:tr w:rsidR="00B51DEA" w14:paraId="6E7DCE04" w14:textId="77777777">
        <w:trPr>
          <w:trHeight w:val="1442"/>
        </w:trPr>
        <w:tc>
          <w:tcPr>
            <w:tcW w:w="2421" w:type="dxa"/>
            <w:tcBorders>
              <w:top w:val="single" w:sz="8" w:space="0" w:color="000000"/>
              <w:left w:val="single" w:sz="8" w:space="0" w:color="000000"/>
              <w:bottom w:val="single" w:sz="6" w:space="0" w:color="000000"/>
              <w:right w:val="single" w:sz="8" w:space="0" w:color="000000"/>
            </w:tcBorders>
            <w:vAlign w:val="center"/>
          </w:tcPr>
          <w:p w14:paraId="7D22CB99" w14:textId="77777777" w:rsidR="00B51DEA" w:rsidRDefault="00000000">
            <w:pPr>
              <w:spacing w:line="360" w:lineRule="auto"/>
              <w:rPr>
                <w:rFonts w:asciiTheme="minorEastAsia" w:hAnsiTheme="minorEastAsia" w:hint="eastAsia"/>
                <w:bCs/>
                <w:szCs w:val="24"/>
              </w:rPr>
            </w:pPr>
            <w:r>
              <w:rPr>
                <w:rFonts w:asciiTheme="minorEastAsia" w:hAnsiTheme="minorEastAsia" w:hint="eastAsia"/>
                <w:bCs/>
                <w:szCs w:val="24"/>
              </w:rPr>
              <w:t>阶段</w:t>
            </w:r>
          </w:p>
        </w:tc>
        <w:tc>
          <w:tcPr>
            <w:tcW w:w="1177" w:type="dxa"/>
            <w:tcBorders>
              <w:top w:val="single" w:sz="8" w:space="0" w:color="000000"/>
              <w:left w:val="single" w:sz="8" w:space="0" w:color="000000"/>
              <w:bottom w:val="single" w:sz="6" w:space="0" w:color="000000"/>
              <w:right w:val="single" w:sz="8" w:space="0" w:color="000000"/>
            </w:tcBorders>
            <w:vAlign w:val="center"/>
          </w:tcPr>
          <w:p w14:paraId="3AE9987B" w14:textId="77777777" w:rsidR="00B51DEA" w:rsidRDefault="00000000">
            <w:pPr>
              <w:spacing w:line="360" w:lineRule="auto"/>
              <w:rPr>
                <w:rFonts w:asciiTheme="minorEastAsia" w:hAnsiTheme="minorEastAsia" w:hint="eastAsia"/>
                <w:bCs/>
                <w:szCs w:val="24"/>
              </w:rPr>
            </w:pPr>
            <w:r>
              <w:rPr>
                <w:rFonts w:asciiTheme="minorEastAsia" w:hAnsiTheme="minorEastAsia" w:hint="eastAsia"/>
                <w:bCs/>
                <w:szCs w:val="24"/>
              </w:rPr>
              <w:t>净值增长率①</w:t>
            </w:r>
          </w:p>
        </w:tc>
        <w:tc>
          <w:tcPr>
            <w:tcW w:w="930" w:type="dxa"/>
            <w:tcBorders>
              <w:top w:val="single" w:sz="8" w:space="0" w:color="000000"/>
              <w:left w:val="single" w:sz="8" w:space="0" w:color="000000"/>
              <w:bottom w:val="single" w:sz="6" w:space="0" w:color="000000"/>
              <w:right w:val="single" w:sz="8" w:space="0" w:color="000000"/>
            </w:tcBorders>
            <w:vAlign w:val="center"/>
          </w:tcPr>
          <w:p w14:paraId="2E8B6FBD" w14:textId="77777777" w:rsidR="00B51DEA" w:rsidRDefault="00000000">
            <w:pPr>
              <w:spacing w:line="360" w:lineRule="auto"/>
              <w:rPr>
                <w:rFonts w:asciiTheme="minorEastAsia" w:hAnsiTheme="minorEastAsia" w:hint="eastAsia"/>
                <w:bCs/>
                <w:szCs w:val="24"/>
              </w:rPr>
            </w:pPr>
            <w:r>
              <w:rPr>
                <w:rFonts w:asciiTheme="minorEastAsia" w:hAnsiTheme="minorEastAsia" w:hint="eastAsia"/>
                <w:bCs/>
                <w:szCs w:val="24"/>
              </w:rPr>
              <w:t>净值增长率标准差②</w:t>
            </w:r>
          </w:p>
        </w:tc>
        <w:tc>
          <w:tcPr>
            <w:tcW w:w="1103" w:type="dxa"/>
            <w:tcBorders>
              <w:top w:val="single" w:sz="8" w:space="0" w:color="000000"/>
              <w:left w:val="single" w:sz="8" w:space="0" w:color="000000"/>
              <w:bottom w:val="single" w:sz="6" w:space="0" w:color="000000"/>
              <w:right w:val="single" w:sz="8" w:space="0" w:color="000000"/>
            </w:tcBorders>
            <w:vAlign w:val="center"/>
          </w:tcPr>
          <w:p w14:paraId="364A8352" w14:textId="77777777" w:rsidR="00B51DEA" w:rsidRDefault="00000000">
            <w:pPr>
              <w:spacing w:line="360" w:lineRule="auto"/>
              <w:rPr>
                <w:rFonts w:asciiTheme="minorEastAsia" w:hAnsiTheme="minorEastAsia" w:hint="eastAsia"/>
                <w:bCs/>
                <w:szCs w:val="24"/>
              </w:rPr>
            </w:pPr>
            <w:r>
              <w:rPr>
                <w:rFonts w:asciiTheme="minorEastAsia" w:hAnsiTheme="minorEastAsia" w:hint="eastAsia"/>
                <w:bCs/>
                <w:szCs w:val="24"/>
              </w:rPr>
              <w:t>业绩比较基准收益率③</w:t>
            </w:r>
          </w:p>
        </w:tc>
        <w:tc>
          <w:tcPr>
            <w:tcW w:w="1317" w:type="dxa"/>
            <w:tcBorders>
              <w:top w:val="single" w:sz="8" w:space="0" w:color="000000"/>
              <w:left w:val="single" w:sz="8" w:space="0" w:color="000000"/>
              <w:bottom w:val="single" w:sz="6" w:space="0" w:color="000000"/>
              <w:right w:val="single" w:sz="8" w:space="0" w:color="000000"/>
            </w:tcBorders>
            <w:vAlign w:val="center"/>
          </w:tcPr>
          <w:p w14:paraId="639CBC93" w14:textId="77777777" w:rsidR="00B51DEA" w:rsidRDefault="00000000">
            <w:pPr>
              <w:spacing w:line="360" w:lineRule="auto"/>
              <w:rPr>
                <w:rFonts w:asciiTheme="minorEastAsia" w:hAnsiTheme="minorEastAsia" w:hint="eastAsia"/>
                <w:bCs/>
                <w:szCs w:val="24"/>
              </w:rPr>
            </w:pPr>
            <w:r>
              <w:rPr>
                <w:rFonts w:asciiTheme="minorEastAsia" w:hAnsiTheme="minorEastAsia" w:hint="eastAsia"/>
                <w:bCs/>
                <w:szCs w:val="24"/>
              </w:rPr>
              <w:t>业绩比较基准收益率标准差④</w:t>
            </w:r>
          </w:p>
        </w:tc>
        <w:tc>
          <w:tcPr>
            <w:tcW w:w="951" w:type="dxa"/>
            <w:tcBorders>
              <w:top w:val="single" w:sz="8" w:space="0" w:color="000000"/>
              <w:left w:val="single" w:sz="8" w:space="0" w:color="000000"/>
              <w:bottom w:val="single" w:sz="6" w:space="0" w:color="000000"/>
              <w:right w:val="single" w:sz="8" w:space="0" w:color="000000"/>
            </w:tcBorders>
            <w:vAlign w:val="center"/>
          </w:tcPr>
          <w:p w14:paraId="0EFB40CD" w14:textId="77777777" w:rsidR="00B51DEA" w:rsidRDefault="00000000">
            <w:pPr>
              <w:spacing w:line="360" w:lineRule="auto"/>
              <w:rPr>
                <w:rFonts w:asciiTheme="minorEastAsia" w:hAnsiTheme="minorEastAsia" w:hint="eastAsia"/>
                <w:bCs/>
                <w:szCs w:val="24"/>
              </w:rPr>
            </w:pPr>
            <w:r>
              <w:rPr>
                <w:rFonts w:asciiTheme="minorEastAsia" w:hAnsiTheme="minorEastAsia" w:hint="eastAsia"/>
                <w:bCs/>
                <w:szCs w:val="24"/>
              </w:rPr>
              <w:t>①</w:t>
            </w:r>
            <w:r>
              <w:rPr>
                <w:rFonts w:asciiTheme="minorEastAsia" w:hAnsiTheme="minorEastAsia"/>
                <w:bCs/>
                <w:szCs w:val="24"/>
              </w:rPr>
              <w:t>-③</w:t>
            </w:r>
          </w:p>
        </w:tc>
        <w:tc>
          <w:tcPr>
            <w:tcW w:w="891" w:type="dxa"/>
            <w:tcBorders>
              <w:top w:val="single" w:sz="8" w:space="0" w:color="000000"/>
              <w:left w:val="single" w:sz="8" w:space="0" w:color="000000"/>
              <w:bottom w:val="single" w:sz="6" w:space="0" w:color="000000"/>
              <w:right w:val="single" w:sz="8" w:space="0" w:color="000000"/>
            </w:tcBorders>
            <w:vAlign w:val="center"/>
          </w:tcPr>
          <w:p w14:paraId="57F1B371" w14:textId="77777777" w:rsidR="00B51DEA" w:rsidRDefault="00000000">
            <w:pPr>
              <w:spacing w:line="360" w:lineRule="auto"/>
              <w:rPr>
                <w:rFonts w:asciiTheme="minorEastAsia" w:hAnsiTheme="minorEastAsia" w:hint="eastAsia"/>
                <w:bCs/>
                <w:szCs w:val="24"/>
              </w:rPr>
            </w:pPr>
            <w:r>
              <w:rPr>
                <w:rFonts w:asciiTheme="minorEastAsia" w:hAnsiTheme="minorEastAsia" w:hint="eastAsia"/>
                <w:bCs/>
                <w:szCs w:val="24"/>
              </w:rPr>
              <w:t>②</w:t>
            </w:r>
            <w:r>
              <w:rPr>
                <w:rFonts w:asciiTheme="minorEastAsia" w:hAnsiTheme="minorEastAsia"/>
                <w:bCs/>
                <w:szCs w:val="24"/>
              </w:rPr>
              <w:t>-④</w:t>
            </w:r>
          </w:p>
        </w:tc>
      </w:tr>
      <w:tr w:rsidR="00B51DEA" w14:paraId="573F74EE" w14:textId="77777777">
        <w:trPr>
          <w:trHeight w:val="475"/>
        </w:trPr>
        <w:tc>
          <w:tcPr>
            <w:tcW w:w="2421" w:type="dxa"/>
            <w:tcBorders>
              <w:top w:val="single" w:sz="8" w:space="0" w:color="000000"/>
              <w:left w:val="single" w:sz="8" w:space="0" w:color="000000"/>
              <w:bottom w:val="single" w:sz="8" w:space="0" w:color="000000"/>
              <w:right w:val="single" w:sz="8" w:space="0" w:color="000000"/>
            </w:tcBorders>
            <w:vAlign w:val="center"/>
          </w:tcPr>
          <w:p w14:paraId="6B5552BB" w14:textId="77777777" w:rsidR="00B51DEA" w:rsidRDefault="00000000">
            <w:pPr>
              <w:spacing w:line="360" w:lineRule="auto"/>
              <w:rPr>
                <w:rFonts w:asciiTheme="minorEastAsia" w:hAnsiTheme="minorEastAsia" w:hint="eastAsia"/>
                <w:bCs/>
                <w:szCs w:val="24"/>
              </w:rPr>
            </w:pPr>
            <w:r>
              <w:rPr>
                <w:rFonts w:asciiTheme="minorEastAsia" w:hAnsiTheme="minorEastAsia"/>
                <w:bCs/>
                <w:szCs w:val="24"/>
              </w:rPr>
              <w:t>2018.8.10~2018.12.31</w:t>
            </w:r>
          </w:p>
        </w:tc>
        <w:tc>
          <w:tcPr>
            <w:tcW w:w="1177" w:type="dxa"/>
            <w:tcBorders>
              <w:top w:val="single" w:sz="8" w:space="0" w:color="000000"/>
              <w:left w:val="single" w:sz="8" w:space="0" w:color="000000"/>
              <w:bottom w:val="single" w:sz="8" w:space="0" w:color="000000"/>
              <w:right w:val="single" w:sz="8" w:space="0" w:color="000000"/>
            </w:tcBorders>
            <w:vAlign w:val="center"/>
          </w:tcPr>
          <w:p w14:paraId="4353C3B3" w14:textId="77777777" w:rsidR="00B51DEA" w:rsidRDefault="00000000">
            <w:pPr>
              <w:spacing w:line="360" w:lineRule="auto"/>
              <w:jc w:val="left"/>
              <w:rPr>
                <w:rFonts w:asciiTheme="minorEastAsia" w:hAnsiTheme="minorEastAsia" w:hint="eastAsia"/>
                <w:szCs w:val="24"/>
              </w:rPr>
            </w:pPr>
            <w:r>
              <w:rPr>
                <w:rFonts w:asciiTheme="minorEastAsia" w:hAnsiTheme="minorEastAsia"/>
                <w:szCs w:val="24"/>
              </w:rPr>
              <w:t>-21.51%</w:t>
            </w:r>
          </w:p>
        </w:tc>
        <w:tc>
          <w:tcPr>
            <w:tcW w:w="0" w:type="auto"/>
            <w:tcBorders>
              <w:top w:val="single" w:sz="8" w:space="0" w:color="000000"/>
              <w:left w:val="single" w:sz="8" w:space="0" w:color="000000"/>
              <w:bottom w:val="single" w:sz="8" w:space="0" w:color="000000"/>
              <w:right w:val="single" w:sz="8" w:space="0" w:color="000000"/>
            </w:tcBorders>
            <w:vAlign w:val="center"/>
          </w:tcPr>
          <w:p w14:paraId="7F8775ED" w14:textId="77777777" w:rsidR="00B51DEA" w:rsidRDefault="00000000">
            <w:pPr>
              <w:spacing w:line="360" w:lineRule="auto"/>
              <w:jc w:val="left"/>
              <w:rPr>
                <w:rFonts w:asciiTheme="minorEastAsia" w:hAnsiTheme="minorEastAsia" w:hint="eastAsia"/>
                <w:szCs w:val="24"/>
              </w:rPr>
            </w:pPr>
            <w:r>
              <w:rPr>
                <w:rFonts w:asciiTheme="minorEastAsia" w:hAnsiTheme="minorEastAsia"/>
                <w:szCs w:val="24"/>
              </w:rPr>
              <w:t>1.11%</w:t>
            </w:r>
          </w:p>
        </w:tc>
        <w:tc>
          <w:tcPr>
            <w:tcW w:w="0" w:type="auto"/>
            <w:tcBorders>
              <w:top w:val="single" w:sz="8" w:space="0" w:color="000000"/>
              <w:left w:val="single" w:sz="8" w:space="0" w:color="000000"/>
              <w:bottom w:val="single" w:sz="8" w:space="0" w:color="000000"/>
              <w:right w:val="single" w:sz="8" w:space="0" w:color="000000"/>
            </w:tcBorders>
            <w:vAlign w:val="center"/>
          </w:tcPr>
          <w:p w14:paraId="0AC40561" w14:textId="77777777" w:rsidR="00B51DEA" w:rsidRDefault="00000000">
            <w:pPr>
              <w:spacing w:line="360" w:lineRule="auto"/>
              <w:jc w:val="left"/>
              <w:rPr>
                <w:rFonts w:asciiTheme="minorEastAsia" w:hAnsiTheme="minorEastAsia" w:hint="eastAsia"/>
                <w:szCs w:val="24"/>
              </w:rPr>
            </w:pPr>
            <w:r>
              <w:rPr>
                <w:rFonts w:asciiTheme="minorEastAsia" w:hAnsiTheme="minorEastAsia"/>
                <w:szCs w:val="24"/>
              </w:rPr>
              <w:t>-5.35%</w:t>
            </w:r>
          </w:p>
        </w:tc>
        <w:tc>
          <w:tcPr>
            <w:tcW w:w="1317" w:type="dxa"/>
            <w:tcBorders>
              <w:top w:val="single" w:sz="8" w:space="0" w:color="000000"/>
              <w:left w:val="single" w:sz="8" w:space="0" w:color="000000"/>
              <w:bottom w:val="single" w:sz="8" w:space="0" w:color="000000"/>
              <w:right w:val="single" w:sz="8" w:space="0" w:color="000000"/>
            </w:tcBorders>
            <w:vAlign w:val="center"/>
          </w:tcPr>
          <w:p w14:paraId="1D0F0C85" w14:textId="77777777" w:rsidR="00B51DEA" w:rsidRDefault="00000000">
            <w:pPr>
              <w:spacing w:line="360" w:lineRule="auto"/>
              <w:jc w:val="left"/>
              <w:rPr>
                <w:rFonts w:asciiTheme="minorEastAsia" w:hAnsiTheme="minorEastAsia" w:hint="eastAsia"/>
                <w:szCs w:val="24"/>
              </w:rPr>
            </w:pPr>
            <w:r>
              <w:rPr>
                <w:rFonts w:asciiTheme="minorEastAsia" w:hAnsiTheme="minorEastAsia"/>
                <w:szCs w:val="24"/>
              </w:rPr>
              <w:t>0.82%</w:t>
            </w:r>
          </w:p>
        </w:tc>
        <w:tc>
          <w:tcPr>
            <w:tcW w:w="951" w:type="dxa"/>
            <w:tcBorders>
              <w:top w:val="single" w:sz="8" w:space="0" w:color="000000"/>
              <w:left w:val="single" w:sz="8" w:space="0" w:color="000000"/>
              <w:bottom w:val="single" w:sz="8" w:space="0" w:color="000000"/>
              <w:right w:val="single" w:sz="8" w:space="0" w:color="000000"/>
            </w:tcBorders>
            <w:vAlign w:val="center"/>
          </w:tcPr>
          <w:p w14:paraId="655FF938" w14:textId="77777777" w:rsidR="00B51DEA" w:rsidRDefault="00000000">
            <w:pPr>
              <w:spacing w:line="360" w:lineRule="auto"/>
              <w:jc w:val="left"/>
              <w:rPr>
                <w:rFonts w:asciiTheme="minorEastAsia" w:hAnsiTheme="minorEastAsia" w:hint="eastAsia"/>
                <w:szCs w:val="24"/>
              </w:rPr>
            </w:pPr>
            <w:r>
              <w:rPr>
                <w:rFonts w:asciiTheme="minorEastAsia" w:hAnsiTheme="minorEastAsia"/>
                <w:szCs w:val="24"/>
              </w:rPr>
              <w:t>-16.16%</w:t>
            </w:r>
          </w:p>
        </w:tc>
        <w:tc>
          <w:tcPr>
            <w:tcW w:w="891" w:type="dxa"/>
            <w:tcBorders>
              <w:top w:val="single" w:sz="8" w:space="0" w:color="000000"/>
              <w:left w:val="single" w:sz="8" w:space="0" w:color="000000"/>
              <w:bottom w:val="single" w:sz="8" w:space="0" w:color="000000"/>
              <w:right w:val="single" w:sz="8" w:space="0" w:color="000000"/>
            </w:tcBorders>
            <w:vAlign w:val="center"/>
          </w:tcPr>
          <w:p w14:paraId="2DE8CE4F" w14:textId="77777777" w:rsidR="00B51DEA" w:rsidRDefault="00000000">
            <w:pPr>
              <w:spacing w:line="360" w:lineRule="auto"/>
              <w:jc w:val="left"/>
              <w:rPr>
                <w:rFonts w:asciiTheme="minorEastAsia" w:hAnsiTheme="minorEastAsia" w:hint="eastAsia"/>
                <w:szCs w:val="24"/>
              </w:rPr>
            </w:pPr>
            <w:r>
              <w:rPr>
                <w:rFonts w:asciiTheme="minorEastAsia" w:hAnsiTheme="minorEastAsia"/>
                <w:szCs w:val="24"/>
              </w:rPr>
              <w:t>0.29%</w:t>
            </w:r>
          </w:p>
        </w:tc>
      </w:tr>
      <w:tr w:rsidR="00B51DEA" w14:paraId="3A0549BB" w14:textId="77777777">
        <w:trPr>
          <w:trHeight w:val="475"/>
        </w:trPr>
        <w:tc>
          <w:tcPr>
            <w:tcW w:w="2421" w:type="dxa"/>
            <w:tcBorders>
              <w:top w:val="single" w:sz="8" w:space="0" w:color="000000"/>
              <w:left w:val="single" w:sz="8" w:space="0" w:color="000000"/>
              <w:bottom w:val="single" w:sz="8" w:space="0" w:color="000000"/>
              <w:right w:val="single" w:sz="8" w:space="0" w:color="000000"/>
            </w:tcBorders>
            <w:vAlign w:val="center"/>
          </w:tcPr>
          <w:p w14:paraId="3875AC32" w14:textId="77777777" w:rsidR="00B51DEA" w:rsidRDefault="00000000">
            <w:pPr>
              <w:spacing w:line="360" w:lineRule="auto"/>
              <w:rPr>
                <w:rFonts w:asciiTheme="minorEastAsia" w:hAnsiTheme="minorEastAsia" w:hint="eastAsia"/>
                <w:bCs/>
                <w:szCs w:val="24"/>
              </w:rPr>
            </w:pPr>
            <w:r>
              <w:rPr>
                <w:rFonts w:asciiTheme="minorEastAsia" w:hAnsiTheme="minorEastAsia"/>
                <w:bCs/>
                <w:szCs w:val="24"/>
              </w:rPr>
              <w:lastRenderedPageBreak/>
              <w:t>2019.01.01~2019.12.31</w:t>
            </w:r>
          </w:p>
        </w:tc>
        <w:tc>
          <w:tcPr>
            <w:tcW w:w="1177" w:type="dxa"/>
            <w:tcBorders>
              <w:top w:val="single" w:sz="8" w:space="0" w:color="000000"/>
              <w:left w:val="single" w:sz="8" w:space="0" w:color="000000"/>
              <w:bottom w:val="single" w:sz="8" w:space="0" w:color="000000"/>
              <w:right w:val="single" w:sz="8" w:space="0" w:color="000000"/>
            </w:tcBorders>
            <w:vAlign w:val="center"/>
          </w:tcPr>
          <w:p w14:paraId="155BDCEC" w14:textId="77777777" w:rsidR="00B51DEA" w:rsidRDefault="00000000">
            <w:pPr>
              <w:spacing w:line="360" w:lineRule="auto"/>
              <w:jc w:val="left"/>
              <w:rPr>
                <w:rFonts w:asciiTheme="minorEastAsia" w:hAnsiTheme="minorEastAsia" w:hint="eastAsia"/>
                <w:szCs w:val="24"/>
              </w:rPr>
            </w:pPr>
            <w:r>
              <w:rPr>
                <w:rFonts w:asciiTheme="minorEastAsia" w:hAnsiTheme="minorEastAsia"/>
                <w:szCs w:val="24"/>
              </w:rPr>
              <w:t>16.42%</w:t>
            </w:r>
          </w:p>
        </w:tc>
        <w:tc>
          <w:tcPr>
            <w:tcW w:w="0" w:type="auto"/>
            <w:tcBorders>
              <w:top w:val="single" w:sz="8" w:space="0" w:color="000000"/>
              <w:left w:val="single" w:sz="8" w:space="0" w:color="000000"/>
              <w:bottom w:val="single" w:sz="8" w:space="0" w:color="000000"/>
              <w:right w:val="single" w:sz="8" w:space="0" w:color="000000"/>
            </w:tcBorders>
            <w:vAlign w:val="center"/>
          </w:tcPr>
          <w:p w14:paraId="00370CA6" w14:textId="77777777" w:rsidR="00B51DEA" w:rsidRDefault="00000000">
            <w:pPr>
              <w:spacing w:line="360" w:lineRule="auto"/>
              <w:jc w:val="left"/>
              <w:rPr>
                <w:rFonts w:asciiTheme="minorEastAsia" w:hAnsiTheme="minorEastAsia" w:hint="eastAsia"/>
                <w:szCs w:val="24"/>
              </w:rPr>
            </w:pPr>
            <w:r>
              <w:rPr>
                <w:rFonts w:asciiTheme="minorEastAsia" w:hAnsiTheme="minorEastAsia"/>
                <w:szCs w:val="24"/>
              </w:rPr>
              <w:t>1.52%</w:t>
            </w:r>
          </w:p>
        </w:tc>
        <w:tc>
          <w:tcPr>
            <w:tcW w:w="0" w:type="auto"/>
            <w:tcBorders>
              <w:top w:val="single" w:sz="8" w:space="0" w:color="000000"/>
              <w:left w:val="single" w:sz="8" w:space="0" w:color="000000"/>
              <w:bottom w:val="single" w:sz="8" w:space="0" w:color="000000"/>
              <w:right w:val="single" w:sz="8" w:space="0" w:color="000000"/>
            </w:tcBorders>
            <w:vAlign w:val="center"/>
          </w:tcPr>
          <w:p w14:paraId="5AECF7A6" w14:textId="77777777" w:rsidR="00B51DEA" w:rsidRDefault="00000000">
            <w:pPr>
              <w:spacing w:line="360" w:lineRule="auto"/>
              <w:jc w:val="left"/>
              <w:rPr>
                <w:rFonts w:asciiTheme="minorEastAsia" w:hAnsiTheme="minorEastAsia" w:hint="eastAsia"/>
                <w:szCs w:val="24"/>
              </w:rPr>
            </w:pPr>
            <w:r>
              <w:rPr>
                <w:rFonts w:asciiTheme="minorEastAsia" w:hAnsiTheme="minorEastAsia"/>
                <w:szCs w:val="24"/>
              </w:rPr>
              <w:t>21.32%</w:t>
            </w:r>
          </w:p>
        </w:tc>
        <w:tc>
          <w:tcPr>
            <w:tcW w:w="1317" w:type="dxa"/>
            <w:tcBorders>
              <w:top w:val="single" w:sz="8" w:space="0" w:color="000000"/>
              <w:left w:val="single" w:sz="8" w:space="0" w:color="000000"/>
              <w:bottom w:val="single" w:sz="8" w:space="0" w:color="000000"/>
              <w:right w:val="single" w:sz="8" w:space="0" w:color="000000"/>
            </w:tcBorders>
            <w:vAlign w:val="center"/>
          </w:tcPr>
          <w:p w14:paraId="4FE56FC0" w14:textId="77777777" w:rsidR="00B51DEA" w:rsidRDefault="00000000">
            <w:pPr>
              <w:spacing w:line="360" w:lineRule="auto"/>
              <w:jc w:val="left"/>
              <w:rPr>
                <w:rFonts w:asciiTheme="minorEastAsia" w:hAnsiTheme="minorEastAsia" w:hint="eastAsia"/>
                <w:szCs w:val="24"/>
              </w:rPr>
            </w:pPr>
            <w:r>
              <w:rPr>
                <w:rFonts w:asciiTheme="minorEastAsia" w:hAnsiTheme="minorEastAsia"/>
                <w:szCs w:val="24"/>
              </w:rPr>
              <w:t>0.69%</w:t>
            </w:r>
          </w:p>
        </w:tc>
        <w:tc>
          <w:tcPr>
            <w:tcW w:w="951" w:type="dxa"/>
            <w:tcBorders>
              <w:top w:val="single" w:sz="8" w:space="0" w:color="000000"/>
              <w:left w:val="single" w:sz="8" w:space="0" w:color="000000"/>
              <w:bottom w:val="single" w:sz="8" w:space="0" w:color="000000"/>
              <w:right w:val="single" w:sz="8" w:space="0" w:color="000000"/>
            </w:tcBorders>
            <w:vAlign w:val="center"/>
          </w:tcPr>
          <w:p w14:paraId="2FFCF5D0" w14:textId="77777777" w:rsidR="00B51DEA" w:rsidRDefault="00000000">
            <w:pPr>
              <w:spacing w:line="360" w:lineRule="auto"/>
              <w:jc w:val="left"/>
              <w:rPr>
                <w:rFonts w:asciiTheme="minorEastAsia" w:hAnsiTheme="minorEastAsia" w:hint="eastAsia"/>
                <w:szCs w:val="24"/>
              </w:rPr>
            </w:pPr>
            <w:r>
              <w:rPr>
                <w:rFonts w:asciiTheme="minorEastAsia" w:hAnsiTheme="minorEastAsia"/>
                <w:szCs w:val="24"/>
              </w:rPr>
              <w:t>-4.90%</w:t>
            </w:r>
          </w:p>
        </w:tc>
        <w:tc>
          <w:tcPr>
            <w:tcW w:w="891" w:type="dxa"/>
            <w:tcBorders>
              <w:top w:val="single" w:sz="8" w:space="0" w:color="000000"/>
              <w:left w:val="single" w:sz="8" w:space="0" w:color="000000"/>
              <w:bottom w:val="single" w:sz="8" w:space="0" w:color="000000"/>
              <w:right w:val="single" w:sz="8" w:space="0" w:color="000000"/>
            </w:tcBorders>
            <w:vAlign w:val="center"/>
          </w:tcPr>
          <w:p w14:paraId="166EF6F8" w14:textId="77777777" w:rsidR="00B51DEA" w:rsidRDefault="00000000">
            <w:pPr>
              <w:spacing w:line="360" w:lineRule="auto"/>
              <w:jc w:val="left"/>
              <w:rPr>
                <w:rFonts w:asciiTheme="minorEastAsia" w:hAnsiTheme="minorEastAsia" w:hint="eastAsia"/>
                <w:szCs w:val="24"/>
              </w:rPr>
            </w:pPr>
            <w:r>
              <w:rPr>
                <w:rFonts w:asciiTheme="minorEastAsia" w:hAnsiTheme="minorEastAsia"/>
                <w:szCs w:val="24"/>
              </w:rPr>
              <w:t>0.83%</w:t>
            </w:r>
          </w:p>
        </w:tc>
      </w:tr>
      <w:tr w:rsidR="00B51DEA" w14:paraId="50A9C06B" w14:textId="77777777">
        <w:trPr>
          <w:trHeight w:val="475"/>
        </w:trPr>
        <w:tc>
          <w:tcPr>
            <w:tcW w:w="2421" w:type="dxa"/>
            <w:tcBorders>
              <w:top w:val="single" w:sz="8" w:space="0" w:color="000000"/>
              <w:left w:val="single" w:sz="8" w:space="0" w:color="000000"/>
              <w:bottom w:val="single" w:sz="8" w:space="0" w:color="000000"/>
              <w:right w:val="single" w:sz="8" w:space="0" w:color="000000"/>
            </w:tcBorders>
            <w:vAlign w:val="center"/>
          </w:tcPr>
          <w:p w14:paraId="77EA6944" w14:textId="77777777" w:rsidR="00B51DEA" w:rsidRDefault="00000000">
            <w:pPr>
              <w:spacing w:line="360" w:lineRule="auto"/>
              <w:rPr>
                <w:rFonts w:asciiTheme="minorEastAsia" w:hAnsiTheme="minorEastAsia" w:hint="eastAsia"/>
                <w:bCs/>
                <w:szCs w:val="24"/>
              </w:rPr>
            </w:pPr>
            <w:r>
              <w:rPr>
                <w:rFonts w:asciiTheme="minorEastAsia" w:hAnsiTheme="minorEastAsia"/>
                <w:bCs/>
                <w:szCs w:val="24"/>
              </w:rPr>
              <w:t>2020.01.01~2020</w:t>
            </w:r>
            <w:r>
              <w:rPr>
                <w:rFonts w:asciiTheme="minorEastAsia" w:hAnsiTheme="minorEastAsia"/>
                <w:color w:val="000000"/>
                <w:szCs w:val="21"/>
              </w:rPr>
              <w:t>.</w:t>
            </w:r>
            <w:r>
              <w:rPr>
                <w:rFonts w:asciiTheme="minorEastAsia" w:hAnsiTheme="minorEastAsia" w:hint="eastAsia"/>
                <w:color w:val="000000"/>
                <w:szCs w:val="21"/>
              </w:rPr>
              <w:t>12</w:t>
            </w:r>
            <w:r>
              <w:rPr>
                <w:rFonts w:asciiTheme="minorEastAsia" w:hAnsiTheme="minorEastAsia"/>
                <w:color w:val="000000"/>
                <w:szCs w:val="21"/>
              </w:rPr>
              <w:t>.</w:t>
            </w:r>
            <w:r>
              <w:rPr>
                <w:rFonts w:asciiTheme="minorEastAsia" w:hAnsiTheme="minorEastAsia" w:hint="eastAsia"/>
                <w:color w:val="000000"/>
                <w:szCs w:val="21"/>
              </w:rPr>
              <w:t>31</w:t>
            </w:r>
          </w:p>
        </w:tc>
        <w:tc>
          <w:tcPr>
            <w:tcW w:w="1177" w:type="dxa"/>
            <w:tcBorders>
              <w:top w:val="single" w:sz="8" w:space="0" w:color="000000"/>
              <w:left w:val="single" w:sz="8" w:space="0" w:color="000000"/>
              <w:bottom w:val="single" w:sz="8" w:space="0" w:color="000000"/>
              <w:right w:val="single" w:sz="8" w:space="0" w:color="000000"/>
            </w:tcBorders>
            <w:vAlign w:val="center"/>
          </w:tcPr>
          <w:p w14:paraId="76D549D7" w14:textId="77777777" w:rsidR="00B51DEA" w:rsidRDefault="00000000">
            <w:pPr>
              <w:spacing w:line="360" w:lineRule="auto"/>
              <w:jc w:val="left"/>
              <w:rPr>
                <w:rFonts w:asciiTheme="minorEastAsia" w:hAnsiTheme="minorEastAsia" w:hint="eastAsia"/>
                <w:szCs w:val="24"/>
              </w:rPr>
            </w:pPr>
            <w:r>
              <w:rPr>
                <w:rFonts w:asciiTheme="minorEastAsia" w:hAnsiTheme="minorEastAsia" w:hint="eastAsia"/>
                <w:szCs w:val="24"/>
              </w:rPr>
              <w:t>23.53%</w:t>
            </w:r>
          </w:p>
        </w:tc>
        <w:tc>
          <w:tcPr>
            <w:tcW w:w="0" w:type="auto"/>
            <w:tcBorders>
              <w:top w:val="single" w:sz="8" w:space="0" w:color="000000"/>
              <w:left w:val="single" w:sz="8" w:space="0" w:color="000000"/>
              <w:bottom w:val="single" w:sz="8" w:space="0" w:color="000000"/>
              <w:right w:val="single" w:sz="8" w:space="0" w:color="000000"/>
            </w:tcBorders>
            <w:vAlign w:val="center"/>
          </w:tcPr>
          <w:p w14:paraId="6F7EABEC" w14:textId="77777777" w:rsidR="00B51DEA" w:rsidRDefault="00000000">
            <w:pPr>
              <w:spacing w:line="360" w:lineRule="auto"/>
              <w:jc w:val="left"/>
              <w:rPr>
                <w:rFonts w:asciiTheme="minorEastAsia" w:hAnsiTheme="minorEastAsia" w:hint="eastAsia"/>
                <w:szCs w:val="24"/>
              </w:rPr>
            </w:pPr>
            <w:r>
              <w:rPr>
                <w:rFonts w:asciiTheme="minorEastAsia" w:hAnsiTheme="minorEastAsia" w:hint="eastAsia"/>
                <w:szCs w:val="24"/>
              </w:rPr>
              <w:t>1.21%</w:t>
            </w:r>
          </w:p>
        </w:tc>
        <w:tc>
          <w:tcPr>
            <w:tcW w:w="0" w:type="auto"/>
            <w:tcBorders>
              <w:top w:val="single" w:sz="8" w:space="0" w:color="000000"/>
              <w:left w:val="single" w:sz="8" w:space="0" w:color="000000"/>
              <w:bottom w:val="single" w:sz="8" w:space="0" w:color="000000"/>
              <w:right w:val="single" w:sz="8" w:space="0" w:color="000000"/>
            </w:tcBorders>
            <w:vAlign w:val="center"/>
          </w:tcPr>
          <w:p w14:paraId="69966F73" w14:textId="77777777" w:rsidR="00B51DEA" w:rsidRDefault="00000000">
            <w:pPr>
              <w:spacing w:line="360" w:lineRule="auto"/>
              <w:jc w:val="left"/>
              <w:rPr>
                <w:rFonts w:asciiTheme="minorEastAsia" w:hAnsiTheme="minorEastAsia" w:hint="eastAsia"/>
                <w:szCs w:val="24"/>
              </w:rPr>
            </w:pPr>
            <w:r>
              <w:rPr>
                <w:rFonts w:asciiTheme="minorEastAsia" w:hAnsiTheme="minorEastAsia" w:hint="eastAsia"/>
                <w:szCs w:val="24"/>
              </w:rPr>
              <w:t>16.76%</w:t>
            </w:r>
          </w:p>
        </w:tc>
        <w:tc>
          <w:tcPr>
            <w:tcW w:w="1317" w:type="dxa"/>
            <w:tcBorders>
              <w:top w:val="single" w:sz="8" w:space="0" w:color="000000"/>
              <w:left w:val="single" w:sz="8" w:space="0" w:color="000000"/>
              <w:bottom w:val="single" w:sz="8" w:space="0" w:color="000000"/>
              <w:right w:val="single" w:sz="8" w:space="0" w:color="000000"/>
            </w:tcBorders>
            <w:vAlign w:val="center"/>
          </w:tcPr>
          <w:p w14:paraId="4B3E6C36" w14:textId="77777777" w:rsidR="00B51DEA" w:rsidRDefault="00000000">
            <w:pPr>
              <w:spacing w:line="360" w:lineRule="auto"/>
              <w:jc w:val="left"/>
              <w:rPr>
                <w:rFonts w:asciiTheme="minorEastAsia" w:hAnsiTheme="minorEastAsia" w:hint="eastAsia"/>
                <w:szCs w:val="24"/>
              </w:rPr>
            </w:pPr>
            <w:r>
              <w:rPr>
                <w:rFonts w:asciiTheme="minorEastAsia" w:hAnsiTheme="minorEastAsia" w:hint="eastAsia"/>
                <w:szCs w:val="24"/>
              </w:rPr>
              <w:t>0.78%</w:t>
            </w:r>
          </w:p>
        </w:tc>
        <w:tc>
          <w:tcPr>
            <w:tcW w:w="951" w:type="dxa"/>
            <w:tcBorders>
              <w:top w:val="single" w:sz="8" w:space="0" w:color="000000"/>
              <w:left w:val="single" w:sz="8" w:space="0" w:color="000000"/>
              <w:bottom w:val="single" w:sz="8" w:space="0" w:color="000000"/>
              <w:right w:val="single" w:sz="8" w:space="0" w:color="000000"/>
            </w:tcBorders>
            <w:vAlign w:val="center"/>
          </w:tcPr>
          <w:p w14:paraId="34CA40DD" w14:textId="77777777" w:rsidR="00B51DEA" w:rsidRDefault="00000000">
            <w:pPr>
              <w:spacing w:line="360" w:lineRule="auto"/>
              <w:jc w:val="left"/>
              <w:rPr>
                <w:rFonts w:asciiTheme="minorEastAsia" w:hAnsiTheme="minorEastAsia" w:hint="eastAsia"/>
                <w:szCs w:val="24"/>
              </w:rPr>
            </w:pPr>
            <w:r>
              <w:rPr>
                <w:rFonts w:asciiTheme="minorEastAsia" w:hAnsiTheme="minorEastAsia" w:hint="eastAsia"/>
                <w:szCs w:val="24"/>
              </w:rPr>
              <w:t>6.77%</w:t>
            </w:r>
          </w:p>
        </w:tc>
        <w:tc>
          <w:tcPr>
            <w:tcW w:w="891" w:type="dxa"/>
            <w:tcBorders>
              <w:top w:val="single" w:sz="8" w:space="0" w:color="000000"/>
              <w:left w:val="single" w:sz="8" w:space="0" w:color="000000"/>
              <w:bottom w:val="single" w:sz="8" w:space="0" w:color="000000"/>
              <w:right w:val="single" w:sz="8" w:space="0" w:color="000000"/>
            </w:tcBorders>
            <w:vAlign w:val="center"/>
          </w:tcPr>
          <w:p w14:paraId="4E2731AE" w14:textId="77777777" w:rsidR="00B51DEA" w:rsidRDefault="00000000">
            <w:pPr>
              <w:spacing w:line="360" w:lineRule="auto"/>
              <w:jc w:val="left"/>
              <w:rPr>
                <w:rFonts w:asciiTheme="minorEastAsia" w:hAnsiTheme="minorEastAsia" w:hint="eastAsia"/>
                <w:szCs w:val="24"/>
              </w:rPr>
            </w:pPr>
            <w:r>
              <w:rPr>
                <w:rFonts w:asciiTheme="minorEastAsia" w:hAnsiTheme="minorEastAsia" w:hint="eastAsia"/>
                <w:szCs w:val="24"/>
              </w:rPr>
              <w:t>0.43%</w:t>
            </w:r>
          </w:p>
        </w:tc>
      </w:tr>
      <w:tr w:rsidR="00B51DEA" w14:paraId="246A552E" w14:textId="77777777">
        <w:trPr>
          <w:trHeight w:val="475"/>
        </w:trPr>
        <w:tc>
          <w:tcPr>
            <w:tcW w:w="2421" w:type="dxa"/>
            <w:tcBorders>
              <w:top w:val="single" w:sz="8" w:space="0" w:color="000000"/>
              <w:left w:val="single" w:sz="8" w:space="0" w:color="000000"/>
              <w:bottom w:val="single" w:sz="8" w:space="0" w:color="000000"/>
              <w:right w:val="single" w:sz="8" w:space="0" w:color="000000"/>
            </w:tcBorders>
            <w:vAlign w:val="center"/>
          </w:tcPr>
          <w:p w14:paraId="1B47AB68" w14:textId="77777777" w:rsidR="00B51DEA" w:rsidRDefault="00000000">
            <w:pPr>
              <w:spacing w:line="360" w:lineRule="auto"/>
              <w:rPr>
                <w:rFonts w:asciiTheme="minorEastAsia" w:hAnsiTheme="minorEastAsia" w:hint="eastAsia"/>
                <w:bCs/>
                <w:szCs w:val="24"/>
              </w:rPr>
            </w:pPr>
            <w:r>
              <w:rPr>
                <w:rFonts w:asciiTheme="minorEastAsia" w:hAnsiTheme="minorEastAsia"/>
                <w:color w:val="000000"/>
                <w:szCs w:val="21"/>
              </w:rPr>
              <w:t>202</w:t>
            </w:r>
            <w:r>
              <w:rPr>
                <w:rFonts w:asciiTheme="minorEastAsia" w:hAnsiTheme="minorEastAsia" w:hint="eastAsia"/>
                <w:color w:val="000000"/>
                <w:szCs w:val="21"/>
              </w:rPr>
              <w:t>1</w:t>
            </w:r>
            <w:r>
              <w:rPr>
                <w:rFonts w:asciiTheme="minorEastAsia" w:hAnsiTheme="minorEastAsia"/>
                <w:color w:val="000000"/>
                <w:szCs w:val="21"/>
              </w:rPr>
              <w:t>.01.01~202</w:t>
            </w:r>
            <w:r>
              <w:rPr>
                <w:rFonts w:asciiTheme="minorEastAsia" w:hAnsiTheme="minorEastAsia" w:hint="eastAsia"/>
                <w:color w:val="000000"/>
                <w:szCs w:val="21"/>
              </w:rPr>
              <w:t>1</w:t>
            </w:r>
            <w:r>
              <w:rPr>
                <w:rFonts w:asciiTheme="minorEastAsia" w:hAnsiTheme="minorEastAsia"/>
                <w:color w:val="000000"/>
                <w:szCs w:val="21"/>
              </w:rPr>
              <w:t>.</w:t>
            </w:r>
            <w:r>
              <w:rPr>
                <w:rFonts w:asciiTheme="minorEastAsia" w:hAnsiTheme="minorEastAsia" w:hint="eastAsia"/>
                <w:color w:val="000000"/>
                <w:szCs w:val="21"/>
              </w:rPr>
              <w:t>12</w:t>
            </w:r>
            <w:r>
              <w:rPr>
                <w:rFonts w:asciiTheme="minorEastAsia" w:hAnsiTheme="minorEastAsia"/>
                <w:color w:val="000000"/>
                <w:szCs w:val="21"/>
              </w:rPr>
              <w:t>.3</w:t>
            </w:r>
            <w:r>
              <w:rPr>
                <w:rFonts w:asciiTheme="minorEastAsia" w:hAnsiTheme="minorEastAsia" w:hint="eastAsia"/>
                <w:color w:val="000000"/>
                <w:szCs w:val="21"/>
              </w:rPr>
              <w:t>1</w:t>
            </w:r>
          </w:p>
        </w:tc>
        <w:tc>
          <w:tcPr>
            <w:tcW w:w="1177" w:type="dxa"/>
            <w:tcBorders>
              <w:top w:val="single" w:sz="8" w:space="0" w:color="000000"/>
              <w:left w:val="single" w:sz="8" w:space="0" w:color="000000"/>
              <w:bottom w:val="single" w:sz="8" w:space="0" w:color="000000"/>
              <w:right w:val="single" w:sz="8" w:space="0" w:color="000000"/>
            </w:tcBorders>
            <w:vAlign w:val="center"/>
          </w:tcPr>
          <w:p w14:paraId="278762CA" w14:textId="77777777" w:rsidR="00B51DEA" w:rsidRDefault="00000000">
            <w:pPr>
              <w:spacing w:line="360" w:lineRule="auto"/>
              <w:jc w:val="left"/>
              <w:rPr>
                <w:rFonts w:asciiTheme="minorEastAsia" w:hAnsiTheme="minorEastAsia" w:hint="eastAsia"/>
                <w:szCs w:val="24"/>
              </w:rPr>
            </w:pPr>
            <w:r>
              <w:rPr>
                <w:rFonts w:asciiTheme="minorEastAsia" w:hAnsiTheme="minorEastAsia" w:hint="eastAsia"/>
                <w:szCs w:val="24"/>
              </w:rPr>
              <w:t>-6.76%</w:t>
            </w:r>
          </w:p>
        </w:tc>
        <w:tc>
          <w:tcPr>
            <w:tcW w:w="0" w:type="auto"/>
            <w:tcBorders>
              <w:top w:val="single" w:sz="8" w:space="0" w:color="000000"/>
              <w:left w:val="single" w:sz="8" w:space="0" w:color="000000"/>
              <w:bottom w:val="single" w:sz="8" w:space="0" w:color="000000"/>
              <w:right w:val="single" w:sz="8" w:space="0" w:color="000000"/>
            </w:tcBorders>
            <w:vAlign w:val="center"/>
          </w:tcPr>
          <w:p w14:paraId="0FE5A718" w14:textId="77777777" w:rsidR="00B51DEA" w:rsidRDefault="00000000">
            <w:pPr>
              <w:spacing w:line="360" w:lineRule="auto"/>
              <w:jc w:val="left"/>
              <w:rPr>
                <w:rFonts w:asciiTheme="minorEastAsia" w:hAnsiTheme="minorEastAsia" w:hint="eastAsia"/>
                <w:szCs w:val="24"/>
              </w:rPr>
            </w:pPr>
            <w:r>
              <w:rPr>
                <w:rFonts w:asciiTheme="minorEastAsia" w:hAnsiTheme="minorEastAsia" w:hint="eastAsia"/>
                <w:szCs w:val="24"/>
              </w:rPr>
              <w:t>0.56%</w:t>
            </w:r>
          </w:p>
        </w:tc>
        <w:tc>
          <w:tcPr>
            <w:tcW w:w="0" w:type="auto"/>
            <w:tcBorders>
              <w:top w:val="single" w:sz="8" w:space="0" w:color="000000"/>
              <w:left w:val="single" w:sz="8" w:space="0" w:color="000000"/>
              <w:bottom w:val="single" w:sz="8" w:space="0" w:color="000000"/>
              <w:right w:val="single" w:sz="8" w:space="0" w:color="000000"/>
            </w:tcBorders>
            <w:vAlign w:val="center"/>
          </w:tcPr>
          <w:p w14:paraId="7847F0AC" w14:textId="77777777" w:rsidR="00B51DEA" w:rsidRDefault="00000000">
            <w:pPr>
              <w:spacing w:line="360" w:lineRule="auto"/>
              <w:jc w:val="left"/>
              <w:rPr>
                <w:rFonts w:asciiTheme="minorEastAsia" w:hAnsiTheme="minorEastAsia" w:hint="eastAsia"/>
                <w:szCs w:val="24"/>
              </w:rPr>
            </w:pPr>
            <w:r>
              <w:rPr>
                <w:rFonts w:asciiTheme="minorEastAsia" w:hAnsiTheme="minorEastAsia" w:hint="eastAsia"/>
                <w:szCs w:val="24"/>
              </w:rPr>
              <w:t>-0.66%</w:t>
            </w:r>
          </w:p>
        </w:tc>
        <w:tc>
          <w:tcPr>
            <w:tcW w:w="1317" w:type="dxa"/>
            <w:tcBorders>
              <w:top w:val="single" w:sz="8" w:space="0" w:color="000000"/>
              <w:left w:val="single" w:sz="8" w:space="0" w:color="000000"/>
              <w:bottom w:val="single" w:sz="8" w:space="0" w:color="000000"/>
              <w:right w:val="single" w:sz="8" w:space="0" w:color="000000"/>
            </w:tcBorders>
            <w:vAlign w:val="center"/>
          </w:tcPr>
          <w:p w14:paraId="7AE8F616" w14:textId="77777777" w:rsidR="00B51DEA" w:rsidRDefault="00000000">
            <w:pPr>
              <w:spacing w:line="360" w:lineRule="auto"/>
              <w:jc w:val="left"/>
              <w:rPr>
                <w:rFonts w:asciiTheme="minorEastAsia" w:hAnsiTheme="minorEastAsia" w:hint="eastAsia"/>
                <w:szCs w:val="24"/>
              </w:rPr>
            </w:pPr>
            <w:r>
              <w:rPr>
                <w:rFonts w:asciiTheme="minorEastAsia" w:hAnsiTheme="minorEastAsia" w:hint="eastAsia"/>
                <w:szCs w:val="24"/>
              </w:rPr>
              <w:t>0.65%</w:t>
            </w:r>
          </w:p>
        </w:tc>
        <w:tc>
          <w:tcPr>
            <w:tcW w:w="951" w:type="dxa"/>
            <w:tcBorders>
              <w:top w:val="single" w:sz="8" w:space="0" w:color="000000"/>
              <w:left w:val="single" w:sz="8" w:space="0" w:color="000000"/>
              <w:bottom w:val="single" w:sz="8" w:space="0" w:color="000000"/>
              <w:right w:val="single" w:sz="8" w:space="0" w:color="000000"/>
            </w:tcBorders>
            <w:vAlign w:val="center"/>
          </w:tcPr>
          <w:p w14:paraId="563590B8" w14:textId="77777777" w:rsidR="00B51DEA" w:rsidRDefault="00000000">
            <w:pPr>
              <w:spacing w:line="360" w:lineRule="auto"/>
              <w:jc w:val="left"/>
              <w:rPr>
                <w:rFonts w:asciiTheme="minorEastAsia" w:hAnsiTheme="minorEastAsia" w:hint="eastAsia"/>
                <w:szCs w:val="24"/>
              </w:rPr>
            </w:pPr>
            <w:r>
              <w:rPr>
                <w:rFonts w:asciiTheme="minorEastAsia" w:hAnsiTheme="minorEastAsia" w:hint="eastAsia"/>
                <w:szCs w:val="24"/>
              </w:rPr>
              <w:t>-6.10%</w:t>
            </w:r>
          </w:p>
        </w:tc>
        <w:tc>
          <w:tcPr>
            <w:tcW w:w="891" w:type="dxa"/>
            <w:tcBorders>
              <w:top w:val="single" w:sz="8" w:space="0" w:color="000000"/>
              <w:left w:val="single" w:sz="8" w:space="0" w:color="000000"/>
              <w:bottom w:val="single" w:sz="8" w:space="0" w:color="000000"/>
              <w:right w:val="single" w:sz="8" w:space="0" w:color="000000"/>
            </w:tcBorders>
            <w:vAlign w:val="center"/>
          </w:tcPr>
          <w:p w14:paraId="5FFDBDE1" w14:textId="77777777" w:rsidR="00B51DEA" w:rsidRDefault="00000000">
            <w:pPr>
              <w:spacing w:line="360" w:lineRule="auto"/>
              <w:jc w:val="left"/>
              <w:rPr>
                <w:rFonts w:asciiTheme="minorEastAsia" w:hAnsiTheme="minorEastAsia" w:hint="eastAsia"/>
                <w:szCs w:val="24"/>
              </w:rPr>
            </w:pPr>
            <w:r>
              <w:rPr>
                <w:rFonts w:asciiTheme="minorEastAsia" w:hAnsiTheme="minorEastAsia" w:hint="eastAsia"/>
                <w:szCs w:val="24"/>
              </w:rPr>
              <w:t>-0.09%</w:t>
            </w:r>
          </w:p>
        </w:tc>
      </w:tr>
      <w:tr w:rsidR="00B51DEA" w14:paraId="088D25BC" w14:textId="77777777">
        <w:trPr>
          <w:trHeight w:val="475"/>
        </w:trPr>
        <w:tc>
          <w:tcPr>
            <w:tcW w:w="2421" w:type="dxa"/>
            <w:tcBorders>
              <w:top w:val="single" w:sz="4" w:space="0" w:color="auto"/>
              <w:left w:val="single" w:sz="8" w:space="0" w:color="000000"/>
              <w:bottom w:val="single" w:sz="8" w:space="0" w:color="000000"/>
              <w:right w:val="single" w:sz="8" w:space="0" w:color="000000"/>
            </w:tcBorders>
            <w:vAlign w:val="center"/>
          </w:tcPr>
          <w:p w14:paraId="1E528387" w14:textId="77777777" w:rsidR="00B51DEA" w:rsidRDefault="00000000">
            <w:pPr>
              <w:spacing w:line="360" w:lineRule="auto"/>
              <w:rPr>
                <w:rFonts w:asciiTheme="minorEastAsia" w:hAnsiTheme="minorEastAsia" w:hint="eastAsia"/>
                <w:color w:val="000000"/>
                <w:szCs w:val="21"/>
              </w:rPr>
            </w:pPr>
            <w:r>
              <w:rPr>
                <w:rFonts w:asciiTheme="minorEastAsia" w:hAnsiTheme="minorEastAsia"/>
                <w:color w:val="000000"/>
                <w:szCs w:val="21"/>
              </w:rPr>
              <w:t>202</w:t>
            </w:r>
            <w:r>
              <w:rPr>
                <w:rFonts w:asciiTheme="minorEastAsia" w:hAnsiTheme="minorEastAsia" w:hint="eastAsia"/>
                <w:color w:val="000000"/>
                <w:szCs w:val="21"/>
              </w:rPr>
              <w:t>2</w:t>
            </w:r>
            <w:r>
              <w:rPr>
                <w:rFonts w:asciiTheme="minorEastAsia" w:hAnsiTheme="minorEastAsia"/>
                <w:color w:val="000000"/>
                <w:szCs w:val="21"/>
              </w:rPr>
              <w:t>.01.01~202</w:t>
            </w:r>
            <w:r>
              <w:rPr>
                <w:rFonts w:asciiTheme="minorEastAsia" w:hAnsiTheme="minorEastAsia" w:hint="eastAsia"/>
                <w:color w:val="000000"/>
                <w:szCs w:val="21"/>
              </w:rPr>
              <w:t>2</w:t>
            </w:r>
            <w:r>
              <w:rPr>
                <w:rFonts w:asciiTheme="minorEastAsia" w:hAnsiTheme="minorEastAsia"/>
                <w:color w:val="000000"/>
                <w:szCs w:val="21"/>
              </w:rPr>
              <w:t>.</w:t>
            </w:r>
            <w:r>
              <w:rPr>
                <w:rFonts w:asciiTheme="minorEastAsia" w:hAnsiTheme="minorEastAsia" w:hint="eastAsia"/>
                <w:color w:val="000000"/>
                <w:szCs w:val="21"/>
              </w:rPr>
              <w:t>12</w:t>
            </w:r>
            <w:r>
              <w:rPr>
                <w:rFonts w:asciiTheme="minorEastAsia" w:hAnsiTheme="minorEastAsia"/>
                <w:color w:val="000000"/>
                <w:szCs w:val="21"/>
              </w:rPr>
              <w:t>.3</w:t>
            </w:r>
            <w:r>
              <w:rPr>
                <w:rFonts w:asciiTheme="minorEastAsia" w:hAnsiTheme="minorEastAsia" w:hint="eastAsia"/>
                <w:color w:val="000000"/>
                <w:szCs w:val="21"/>
              </w:rPr>
              <w:t>1</w:t>
            </w:r>
          </w:p>
        </w:tc>
        <w:tc>
          <w:tcPr>
            <w:tcW w:w="1177" w:type="dxa"/>
            <w:tcBorders>
              <w:top w:val="single" w:sz="4" w:space="0" w:color="auto"/>
              <w:left w:val="single" w:sz="8" w:space="0" w:color="000000"/>
              <w:bottom w:val="single" w:sz="8" w:space="0" w:color="000000"/>
              <w:right w:val="single" w:sz="8" w:space="0" w:color="000000"/>
            </w:tcBorders>
            <w:vAlign w:val="center"/>
          </w:tcPr>
          <w:p w14:paraId="5E8CA643" w14:textId="77777777" w:rsidR="00B51DEA" w:rsidRDefault="00000000">
            <w:pPr>
              <w:spacing w:line="360" w:lineRule="auto"/>
              <w:jc w:val="left"/>
              <w:rPr>
                <w:rFonts w:asciiTheme="minorEastAsia" w:hAnsiTheme="minorEastAsia" w:hint="eastAsia"/>
                <w:szCs w:val="24"/>
              </w:rPr>
            </w:pPr>
            <w:r>
              <w:rPr>
                <w:rFonts w:asciiTheme="minorEastAsia" w:hAnsiTheme="minorEastAsia"/>
                <w:szCs w:val="24"/>
              </w:rPr>
              <w:t>-32.44%</w:t>
            </w:r>
          </w:p>
        </w:tc>
        <w:tc>
          <w:tcPr>
            <w:tcW w:w="0" w:type="auto"/>
            <w:tcBorders>
              <w:top w:val="single" w:sz="4" w:space="0" w:color="auto"/>
              <w:left w:val="single" w:sz="8" w:space="0" w:color="000000"/>
              <w:bottom w:val="single" w:sz="8" w:space="0" w:color="000000"/>
              <w:right w:val="single" w:sz="8" w:space="0" w:color="000000"/>
            </w:tcBorders>
            <w:vAlign w:val="center"/>
          </w:tcPr>
          <w:p w14:paraId="54D33879" w14:textId="77777777" w:rsidR="00B51DEA" w:rsidRDefault="00000000">
            <w:pPr>
              <w:spacing w:line="360" w:lineRule="auto"/>
              <w:jc w:val="left"/>
              <w:rPr>
                <w:rFonts w:asciiTheme="minorEastAsia" w:hAnsiTheme="minorEastAsia" w:hint="eastAsia"/>
                <w:szCs w:val="24"/>
              </w:rPr>
            </w:pPr>
            <w:r>
              <w:rPr>
                <w:rFonts w:asciiTheme="minorEastAsia" w:hAnsiTheme="minorEastAsia"/>
                <w:szCs w:val="24"/>
              </w:rPr>
              <w:t>1.23%</w:t>
            </w:r>
          </w:p>
        </w:tc>
        <w:tc>
          <w:tcPr>
            <w:tcW w:w="0" w:type="auto"/>
            <w:tcBorders>
              <w:top w:val="single" w:sz="4" w:space="0" w:color="auto"/>
              <w:left w:val="single" w:sz="8" w:space="0" w:color="000000"/>
              <w:bottom w:val="single" w:sz="8" w:space="0" w:color="000000"/>
              <w:right w:val="single" w:sz="8" w:space="0" w:color="000000"/>
            </w:tcBorders>
            <w:vAlign w:val="center"/>
          </w:tcPr>
          <w:p w14:paraId="462A5585" w14:textId="77777777" w:rsidR="00B51DEA" w:rsidRDefault="00000000">
            <w:pPr>
              <w:spacing w:line="360" w:lineRule="auto"/>
              <w:jc w:val="left"/>
              <w:rPr>
                <w:rFonts w:asciiTheme="minorEastAsia" w:hAnsiTheme="minorEastAsia" w:hint="eastAsia"/>
                <w:szCs w:val="24"/>
              </w:rPr>
            </w:pPr>
            <w:r>
              <w:rPr>
                <w:rFonts w:asciiTheme="minorEastAsia" w:hAnsiTheme="minorEastAsia"/>
                <w:szCs w:val="24"/>
              </w:rPr>
              <w:t>-10.69%</w:t>
            </w:r>
          </w:p>
        </w:tc>
        <w:tc>
          <w:tcPr>
            <w:tcW w:w="1317" w:type="dxa"/>
            <w:tcBorders>
              <w:top w:val="single" w:sz="4" w:space="0" w:color="auto"/>
              <w:left w:val="single" w:sz="8" w:space="0" w:color="000000"/>
              <w:bottom w:val="single" w:sz="8" w:space="0" w:color="000000"/>
              <w:right w:val="single" w:sz="8" w:space="0" w:color="000000"/>
            </w:tcBorders>
            <w:vAlign w:val="center"/>
          </w:tcPr>
          <w:p w14:paraId="611FA7CE" w14:textId="77777777" w:rsidR="00B51DEA" w:rsidRDefault="00000000">
            <w:pPr>
              <w:spacing w:line="360" w:lineRule="auto"/>
              <w:jc w:val="left"/>
              <w:rPr>
                <w:rFonts w:asciiTheme="minorEastAsia" w:hAnsiTheme="minorEastAsia" w:hint="eastAsia"/>
                <w:szCs w:val="24"/>
              </w:rPr>
            </w:pPr>
            <w:r>
              <w:rPr>
                <w:rFonts w:asciiTheme="minorEastAsia" w:hAnsiTheme="minorEastAsia"/>
                <w:szCs w:val="24"/>
              </w:rPr>
              <w:t>0.71%</w:t>
            </w:r>
          </w:p>
        </w:tc>
        <w:tc>
          <w:tcPr>
            <w:tcW w:w="951" w:type="dxa"/>
            <w:tcBorders>
              <w:top w:val="single" w:sz="4" w:space="0" w:color="auto"/>
              <w:left w:val="single" w:sz="8" w:space="0" w:color="000000"/>
              <w:bottom w:val="single" w:sz="8" w:space="0" w:color="000000"/>
              <w:right w:val="single" w:sz="8" w:space="0" w:color="000000"/>
            </w:tcBorders>
            <w:vAlign w:val="center"/>
          </w:tcPr>
          <w:p w14:paraId="16757789" w14:textId="77777777" w:rsidR="00B51DEA" w:rsidRDefault="00000000">
            <w:pPr>
              <w:spacing w:line="360" w:lineRule="auto"/>
              <w:jc w:val="left"/>
              <w:rPr>
                <w:rFonts w:asciiTheme="minorEastAsia" w:hAnsiTheme="minorEastAsia" w:hint="eastAsia"/>
                <w:szCs w:val="24"/>
              </w:rPr>
            </w:pPr>
            <w:r>
              <w:rPr>
                <w:rFonts w:asciiTheme="minorEastAsia" w:hAnsiTheme="minorEastAsia"/>
                <w:szCs w:val="24"/>
              </w:rPr>
              <w:t>-21.75%</w:t>
            </w:r>
          </w:p>
        </w:tc>
        <w:tc>
          <w:tcPr>
            <w:tcW w:w="891" w:type="dxa"/>
            <w:tcBorders>
              <w:top w:val="single" w:sz="4" w:space="0" w:color="auto"/>
              <w:left w:val="single" w:sz="8" w:space="0" w:color="000000"/>
              <w:bottom w:val="single" w:sz="8" w:space="0" w:color="000000"/>
              <w:right w:val="single" w:sz="8" w:space="0" w:color="000000"/>
            </w:tcBorders>
            <w:vAlign w:val="center"/>
          </w:tcPr>
          <w:p w14:paraId="33777340" w14:textId="77777777" w:rsidR="00B51DEA" w:rsidRDefault="00000000">
            <w:pPr>
              <w:spacing w:line="360" w:lineRule="auto"/>
              <w:jc w:val="left"/>
              <w:rPr>
                <w:rFonts w:asciiTheme="minorEastAsia" w:hAnsiTheme="minorEastAsia" w:hint="eastAsia"/>
                <w:szCs w:val="24"/>
              </w:rPr>
            </w:pPr>
            <w:r>
              <w:rPr>
                <w:rFonts w:asciiTheme="minorEastAsia" w:hAnsiTheme="minorEastAsia"/>
                <w:szCs w:val="24"/>
              </w:rPr>
              <w:t>0.52%</w:t>
            </w:r>
          </w:p>
        </w:tc>
      </w:tr>
      <w:tr w:rsidR="00B51DEA" w14:paraId="74DE26E6" w14:textId="77777777">
        <w:trPr>
          <w:trHeight w:val="475"/>
        </w:trPr>
        <w:tc>
          <w:tcPr>
            <w:tcW w:w="2421" w:type="dxa"/>
            <w:tcBorders>
              <w:top w:val="single" w:sz="4" w:space="0" w:color="auto"/>
              <w:left w:val="single" w:sz="8" w:space="0" w:color="000000"/>
              <w:bottom w:val="single" w:sz="8" w:space="0" w:color="000000"/>
              <w:right w:val="single" w:sz="8" w:space="0" w:color="000000"/>
            </w:tcBorders>
            <w:vAlign w:val="center"/>
          </w:tcPr>
          <w:p w14:paraId="29ED5BB7" w14:textId="77777777" w:rsidR="00B51DEA" w:rsidRDefault="00000000">
            <w:pPr>
              <w:spacing w:line="360" w:lineRule="auto"/>
              <w:rPr>
                <w:rFonts w:asciiTheme="minorEastAsia" w:hAnsiTheme="minorEastAsia" w:hint="eastAsia"/>
                <w:color w:val="000000"/>
                <w:szCs w:val="21"/>
              </w:rPr>
            </w:pPr>
            <w:r>
              <w:rPr>
                <w:rFonts w:asciiTheme="minorEastAsia" w:hAnsiTheme="minorEastAsia"/>
                <w:color w:val="000000"/>
                <w:szCs w:val="21"/>
              </w:rPr>
              <w:t>202</w:t>
            </w:r>
            <w:r>
              <w:rPr>
                <w:rFonts w:asciiTheme="minorEastAsia" w:hAnsiTheme="minorEastAsia" w:hint="eastAsia"/>
                <w:color w:val="000000"/>
                <w:szCs w:val="21"/>
              </w:rPr>
              <w:t>3</w:t>
            </w:r>
            <w:r>
              <w:rPr>
                <w:rFonts w:asciiTheme="minorEastAsia" w:hAnsiTheme="minorEastAsia"/>
                <w:color w:val="000000"/>
                <w:szCs w:val="21"/>
              </w:rPr>
              <w:t>.01.01~202</w:t>
            </w:r>
            <w:r>
              <w:rPr>
                <w:rFonts w:asciiTheme="minorEastAsia" w:hAnsiTheme="minorEastAsia" w:hint="eastAsia"/>
                <w:color w:val="000000"/>
                <w:szCs w:val="21"/>
              </w:rPr>
              <w:t>3</w:t>
            </w:r>
            <w:r>
              <w:rPr>
                <w:rFonts w:asciiTheme="minorEastAsia" w:hAnsiTheme="minorEastAsia"/>
                <w:color w:val="000000"/>
                <w:szCs w:val="21"/>
              </w:rPr>
              <w:t>.</w:t>
            </w:r>
            <w:r>
              <w:rPr>
                <w:rFonts w:asciiTheme="minorEastAsia" w:hAnsiTheme="minorEastAsia" w:hint="eastAsia"/>
                <w:color w:val="000000"/>
                <w:szCs w:val="21"/>
              </w:rPr>
              <w:t>12</w:t>
            </w:r>
            <w:r>
              <w:rPr>
                <w:rFonts w:asciiTheme="minorEastAsia" w:hAnsiTheme="minorEastAsia"/>
                <w:color w:val="000000"/>
                <w:szCs w:val="21"/>
              </w:rPr>
              <w:t>.3</w:t>
            </w:r>
            <w:r>
              <w:rPr>
                <w:rFonts w:asciiTheme="minorEastAsia" w:hAnsiTheme="minorEastAsia" w:hint="eastAsia"/>
                <w:color w:val="000000"/>
                <w:szCs w:val="21"/>
              </w:rPr>
              <w:t>1</w:t>
            </w:r>
          </w:p>
        </w:tc>
        <w:tc>
          <w:tcPr>
            <w:tcW w:w="1177" w:type="dxa"/>
            <w:tcBorders>
              <w:top w:val="single" w:sz="4" w:space="0" w:color="auto"/>
              <w:left w:val="single" w:sz="8" w:space="0" w:color="000000"/>
              <w:bottom w:val="single" w:sz="8" w:space="0" w:color="000000"/>
              <w:right w:val="single" w:sz="8" w:space="0" w:color="000000"/>
            </w:tcBorders>
            <w:vAlign w:val="center"/>
          </w:tcPr>
          <w:p w14:paraId="11E43AB9" w14:textId="77777777" w:rsidR="00B51DEA" w:rsidRDefault="00000000">
            <w:pPr>
              <w:spacing w:line="360" w:lineRule="auto"/>
              <w:jc w:val="left"/>
              <w:rPr>
                <w:rFonts w:asciiTheme="minorEastAsia" w:hAnsiTheme="minorEastAsia" w:hint="eastAsia"/>
                <w:szCs w:val="24"/>
              </w:rPr>
            </w:pPr>
            <w:r>
              <w:rPr>
                <w:rFonts w:asciiTheme="minorEastAsia" w:hAnsiTheme="minorEastAsia"/>
                <w:szCs w:val="24"/>
              </w:rPr>
              <w:t>-12.63%</w:t>
            </w:r>
          </w:p>
        </w:tc>
        <w:tc>
          <w:tcPr>
            <w:tcW w:w="0" w:type="auto"/>
            <w:tcBorders>
              <w:top w:val="single" w:sz="4" w:space="0" w:color="auto"/>
              <w:left w:val="single" w:sz="8" w:space="0" w:color="000000"/>
              <w:bottom w:val="single" w:sz="8" w:space="0" w:color="000000"/>
              <w:right w:val="single" w:sz="8" w:space="0" w:color="000000"/>
            </w:tcBorders>
            <w:vAlign w:val="center"/>
          </w:tcPr>
          <w:p w14:paraId="7BAD8A5E" w14:textId="77777777" w:rsidR="00B51DEA" w:rsidRDefault="00000000">
            <w:pPr>
              <w:spacing w:line="360" w:lineRule="auto"/>
              <w:jc w:val="left"/>
              <w:rPr>
                <w:rFonts w:asciiTheme="minorEastAsia" w:hAnsiTheme="minorEastAsia" w:hint="eastAsia"/>
                <w:szCs w:val="24"/>
              </w:rPr>
            </w:pPr>
            <w:r>
              <w:rPr>
                <w:rFonts w:asciiTheme="minorEastAsia" w:hAnsiTheme="minorEastAsia"/>
                <w:szCs w:val="24"/>
              </w:rPr>
              <w:t>0.91%</w:t>
            </w:r>
          </w:p>
        </w:tc>
        <w:tc>
          <w:tcPr>
            <w:tcW w:w="0" w:type="auto"/>
            <w:tcBorders>
              <w:top w:val="single" w:sz="4" w:space="0" w:color="auto"/>
              <w:left w:val="single" w:sz="8" w:space="0" w:color="000000"/>
              <w:bottom w:val="single" w:sz="8" w:space="0" w:color="000000"/>
              <w:right w:val="single" w:sz="8" w:space="0" w:color="000000"/>
            </w:tcBorders>
            <w:vAlign w:val="center"/>
          </w:tcPr>
          <w:p w14:paraId="4BA23D12" w14:textId="77777777" w:rsidR="00B51DEA" w:rsidRDefault="00000000">
            <w:pPr>
              <w:spacing w:line="360" w:lineRule="auto"/>
              <w:jc w:val="left"/>
              <w:rPr>
                <w:rFonts w:asciiTheme="minorEastAsia" w:hAnsiTheme="minorEastAsia" w:hint="eastAsia"/>
                <w:szCs w:val="24"/>
              </w:rPr>
            </w:pPr>
            <w:r>
              <w:rPr>
                <w:rFonts w:asciiTheme="minorEastAsia" w:hAnsiTheme="minorEastAsia"/>
                <w:szCs w:val="24"/>
              </w:rPr>
              <w:t>-4.64%</w:t>
            </w:r>
          </w:p>
        </w:tc>
        <w:tc>
          <w:tcPr>
            <w:tcW w:w="1317" w:type="dxa"/>
            <w:tcBorders>
              <w:top w:val="single" w:sz="4" w:space="0" w:color="auto"/>
              <w:left w:val="single" w:sz="8" w:space="0" w:color="000000"/>
              <w:bottom w:val="single" w:sz="8" w:space="0" w:color="000000"/>
              <w:right w:val="single" w:sz="8" w:space="0" w:color="000000"/>
            </w:tcBorders>
            <w:vAlign w:val="center"/>
          </w:tcPr>
          <w:p w14:paraId="2A0DBE5F" w14:textId="77777777" w:rsidR="00B51DEA" w:rsidRDefault="00000000">
            <w:pPr>
              <w:spacing w:line="360" w:lineRule="auto"/>
              <w:jc w:val="left"/>
              <w:rPr>
                <w:rFonts w:asciiTheme="minorEastAsia" w:hAnsiTheme="minorEastAsia" w:hint="eastAsia"/>
                <w:szCs w:val="24"/>
              </w:rPr>
            </w:pPr>
            <w:r>
              <w:rPr>
                <w:rFonts w:asciiTheme="minorEastAsia" w:hAnsiTheme="minorEastAsia"/>
                <w:szCs w:val="24"/>
              </w:rPr>
              <w:t>0.46%</w:t>
            </w:r>
          </w:p>
        </w:tc>
        <w:tc>
          <w:tcPr>
            <w:tcW w:w="951" w:type="dxa"/>
            <w:tcBorders>
              <w:top w:val="single" w:sz="4" w:space="0" w:color="auto"/>
              <w:left w:val="single" w:sz="8" w:space="0" w:color="000000"/>
              <w:bottom w:val="single" w:sz="8" w:space="0" w:color="000000"/>
              <w:right w:val="single" w:sz="8" w:space="0" w:color="000000"/>
            </w:tcBorders>
            <w:vAlign w:val="center"/>
          </w:tcPr>
          <w:p w14:paraId="6C4D0C63" w14:textId="77777777" w:rsidR="00B51DEA" w:rsidRDefault="00000000">
            <w:pPr>
              <w:spacing w:line="360" w:lineRule="auto"/>
              <w:jc w:val="left"/>
              <w:rPr>
                <w:rFonts w:asciiTheme="minorEastAsia" w:hAnsiTheme="minorEastAsia" w:hint="eastAsia"/>
                <w:szCs w:val="24"/>
              </w:rPr>
            </w:pPr>
            <w:r>
              <w:rPr>
                <w:rFonts w:asciiTheme="minorEastAsia" w:hAnsiTheme="minorEastAsia"/>
                <w:szCs w:val="24"/>
              </w:rPr>
              <w:t>-7.99%</w:t>
            </w:r>
          </w:p>
        </w:tc>
        <w:tc>
          <w:tcPr>
            <w:tcW w:w="891" w:type="dxa"/>
            <w:tcBorders>
              <w:top w:val="single" w:sz="4" w:space="0" w:color="auto"/>
              <w:left w:val="single" w:sz="8" w:space="0" w:color="000000"/>
              <w:bottom w:val="single" w:sz="8" w:space="0" w:color="000000"/>
              <w:right w:val="single" w:sz="8" w:space="0" w:color="000000"/>
            </w:tcBorders>
            <w:vAlign w:val="center"/>
          </w:tcPr>
          <w:p w14:paraId="62E135E9" w14:textId="77777777" w:rsidR="00B51DEA" w:rsidRDefault="00000000">
            <w:pPr>
              <w:spacing w:line="360" w:lineRule="auto"/>
              <w:jc w:val="left"/>
              <w:rPr>
                <w:rFonts w:asciiTheme="minorEastAsia" w:hAnsiTheme="minorEastAsia" w:hint="eastAsia"/>
                <w:szCs w:val="24"/>
              </w:rPr>
            </w:pPr>
            <w:r>
              <w:rPr>
                <w:rFonts w:asciiTheme="minorEastAsia" w:hAnsiTheme="minorEastAsia"/>
                <w:szCs w:val="24"/>
              </w:rPr>
              <w:t>0.45%</w:t>
            </w:r>
          </w:p>
        </w:tc>
      </w:tr>
      <w:tr w:rsidR="00B51DEA" w14:paraId="2044111D" w14:textId="77777777">
        <w:trPr>
          <w:trHeight w:val="475"/>
        </w:trPr>
        <w:tc>
          <w:tcPr>
            <w:tcW w:w="2421" w:type="dxa"/>
            <w:tcBorders>
              <w:top w:val="single" w:sz="4" w:space="0" w:color="auto"/>
              <w:left w:val="single" w:sz="8" w:space="0" w:color="000000"/>
              <w:bottom w:val="single" w:sz="8" w:space="0" w:color="000000"/>
              <w:right w:val="single" w:sz="8" w:space="0" w:color="000000"/>
            </w:tcBorders>
            <w:vAlign w:val="center"/>
          </w:tcPr>
          <w:p w14:paraId="09873E0B" w14:textId="77777777" w:rsidR="00B51DEA" w:rsidRDefault="00000000">
            <w:pPr>
              <w:spacing w:line="360" w:lineRule="auto"/>
              <w:rPr>
                <w:rFonts w:asciiTheme="minorEastAsia" w:hAnsiTheme="minorEastAsia" w:hint="eastAsia"/>
                <w:color w:val="000000"/>
                <w:szCs w:val="21"/>
              </w:rPr>
            </w:pPr>
            <w:r>
              <w:rPr>
                <w:rFonts w:asciiTheme="minorEastAsia" w:hAnsiTheme="minorEastAsia"/>
                <w:color w:val="000000"/>
                <w:szCs w:val="21"/>
              </w:rPr>
              <w:t>202</w:t>
            </w:r>
            <w:r>
              <w:rPr>
                <w:rFonts w:asciiTheme="minorEastAsia" w:hAnsiTheme="minorEastAsia" w:hint="eastAsia"/>
                <w:color w:val="000000"/>
                <w:szCs w:val="21"/>
              </w:rPr>
              <w:t>4</w:t>
            </w:r>
            <w:r>
              <w:rPr>
                <w:rFonts w:asciiTheme="minorEastAsia" w:hAnsiTheme="minorEastAsia"/>
                <w:color w:val="000000"/>
                <w:szCs w:val="21"/>
              </w:rPr>
              <w:t>.01.01~202</w:t>
            </w:r>
            <w:r>
              <w:rPr>
                <w:rFonts w:asciiTheme="minorEastAsia" w:hAnsiTheme="minorEastAsia" w:hint="eastAsia"/>
                <w:color w:val="000000"/>
                <w:szCs w:val="21"/>
              </w:rPr>
              <w:t>4</w:t>
            </w:r>
            <w:r>
              <w:rPr>
                <w:rFonts w:asciiTheme="minorEastAsia" w:hAnsiTheme="minorEastAsia"/>
                <w:color w:val="000000"/>
                <w:szCs w:val="21"/>
              </w:rPr>
              <w:t>.</w:t>
            </w:r>
            <w:r>
              <w:rPr>
                <w:rFonts w:asciiTheme="minorEastAsia" w:hAnsiTheme="minorEastAsia" w:hint="eastAsia"/>
                <w:color w:val="000000"/>
                <w:szCs w:val="21"/>
              </w:rPr>
              <w:t>12</w:t>
            </w:r>
            <w:r>
              <w:rPr>
                <w:rFonts w:asciiTheme="minorEastAsia" w:hAnsiTheme="minorEastAsia"/>
                <w:color w:val="000000"/>
                <w:szCs w:val="21"/>
              </w:rPr>
              <w:t>.3</w:t>
            </w:r>
            <w:r>
              <w:rPr>
                <w:rFonts w:asciiTheme="minorEastAsia" w:hAnsiTheme="minorEastAsia" w:hint="eastAsia"/>
                <w:color w:val="000000"/>
                <w:szCs w:val="21"/>
              </w:rPr>
              <w:t>1</w:t>
            </w:r>
          </w:p>
        </w:tc>
        <w:tc>
          <w:tcPr>
            <w:tcW w:w="1177" w:type="dxa"/>
            <w:tcBorders>
              <w:top w:val="single" w:sz="4" w:space="0" w:color="auto"/>
              <w:left w:val="single" w:sz="8" w:space="0" w:color="000000"/>
              <w:bottom w:val="single" w:sz="8" w:space="0" w:color="000000"/>
              <w:right w:val="single" w:sz="8" w:space="0" w:color="000000"/>
            </w:tcBorders>
            <w:vAlign w:val="center"/>
          </w:tcPr>
          <w:p w14:paraId="2463E279" w14:textId="77777777" w:rsidR="00B51DEA" w:rsidRDefault="00000000">
            <w:pPr>
              <w:spacing w:line="360" w:lineRule="auto"/>
              <w:rPr>
                <w:rFonts w:asciiTheme="minorEastAsia" w:hAnsiTheme="minorEastAsia" w:hint="eastAsia"/>
                <w:color w:val="000000"/>
                <w:szCs w:val="21"/>
              </w:rPr>
            </w:pPr>
            <w:r>
              <w:rPr>
                <w:rFonts w:asciiTheme="minorEastAsia" w:hAnsiTheme="minorEastAsia"/>
                <w:color w:val="000000"/>
                <w:szCs w:val="21"/>
              </w:rPr>
              <w:t>-33.40%</w:t>
            </w:r>
          </w:p>
        </w:tc>
        <w:tc>
          <w:tcPr>
            <w:tcW w:w="0" w:type="auto"/>
            <w:tcBorders>
              <w:top w:val="single" w:sz="4" w:space="0" w:color="auto"/>
              <w:left w:val="single" w:sz="8" w:space="0" w:color="000000"/>
              <w:bottom w:val="single" w:sz="8" w:space="0" w:color="000000"/>
              <w:right w:val="single" w:sz="8" w:space="0" w:color="000000"/>
            </w:tcBorders>
            <w:vAlign w:val="center"/>
          </w:tcPr>
          <w:p w14:paraId="26F3F175" w14:textId="77777777" w:rsidR="00B51DEA" w:rsidRDefault="00000000">
            <w:pPr>
              <w:spacing w:line="360" w:lineRule="auto"/>
              <w:rPr>
                <w:rFonts w:asciiTheme="minorEastAsia" w:hAnsiTheme="minorEastAsia" w:hint="eastAsia"/>
                <w:color w:val="000000"/>
                <w:szCs w:val="21"/>
              </w:rPr>
            </w:pPr>
            <w:r>
              <w:rPr>
                <w:rFonts w:asciiTheme="minorEastAsia" w:hAnsiTheme="minorEastAsia"/>
                <w:color w:val="000000"/>
                <w:szCs w:val="21"/>
              </w:rPr>
              <w:t>1.90%</w:t>
            </w:r>
          </w:p>
        </w:tc>
        <w:tc>
          <w:tcPr>
            <w:tcW w:w="0" w:type="auto"/>
            <w:tcBorders>
              <w:top w:val="single" w:sz="4" w:space="0" w:color="auto"/>
              <w:left w:val="single" w:sz="8" w:space="0" w:color="000000"/>
              <w:bottom w:val="single" w:sz="8" w:space="0" w:color="000000"/>
              <w:right w:val="single" w:sz="8" w:space="0" w:color="000000"/>
            </w:tcBorders>
            <w:vAlign w:val="center"/>
          </w:tcPr>
          <w:p w14:paraId="7782E380" w14:textId="77777777" w:rsidR="00B51DEA" w:rsidRDefault="00000000">
            <w:pPr>
              <w:spacing w:line="360" w:lineRule="auto"/>
              <w:rPr>
                <w:rFonts w:asciiTheme="minorEastAsia" w:hAnsiTheme="minorEastAsia" w:hint="eastAsia"/>
                <w:color w:val="000000"/>
                <w:szCs w:val="21"/>
              </w:rPr>
            </w:pPr>
            <w:r>
              <w:rPr>
                <w:rFonts w:asciiTheme="minorEastAsia" w:hAnsiTheme="minorEastAsia"/>
                <w:color w:val="000000"/>
                <w:szCs w:val="21"/>
              </w:rPr>
              <w:t>12.26%</w:t>
            </w:r>
          </w:p>
        </w:tc>
        <w:tc>
          <w:tcPr>
            <w:tcW w:w="1317" w:type="dxa"/>
            <w:tcBorders>
              <w:top w:val="single" w:sz="4" w:space="0" w:color="auto"/>
              <w:left w:val="single" w:sz="8" w:space="0" w:color="000000"/>
              <w:bottom w:val="single" w:sz="8" w:space="0" w:color="000000"/>
              <w:right w:val="single" w:sz="8" w:space="0" w:color="000000"/>
            </w:tcBorders>
            <w:vAlign w:val="center"/>
          </w:tcPr>
          <w:p w14:paraId="735EA912" w14:textId="77777777" w:rsidR="00B51DEA" w:rsidRDefault="00000000">
            <w:pPr>
              <w:spacing w:line="360" w:lineRule="auto"/>
              <w:rPr>
                <w:rFonts w:asciiTheme="minorEastAsia" w:hAnsiTheme="minorEastAsia" w:hint="eastAsia"/>
                <w:color w:val="000000"/>
                <w:szCs w:val="21"/>
              </w:rPr>
            </w:pPr>
            <w:r>
              <w:rPr>
                <w:rFonts w:asciiTheme="minorEastAsia" w:hAnsiTheme="minorEastAsia"/>
                <w:color w:val="000000"/>
                <w:szCs w:val="21"/>
              </w:rPr>
              <w:t>0.73%</w:t>
            </w:r>
          </w:p>
        </w:tc>
        <w:tc>
          <w:tcPr>
            <w:tcW w:w="951" w:type="dxa"/>
            <w:tcBorders>
              <w:top w:val="single" w:sz="4" w:space="0" w:color="auto"/>
              <w:left w:val="single" w:sz="8" w:space="0" w:color="000000"/>
              <w:bottom w:val="single" w:sz="8" w:space="0" w:color="000000"/>
              <w:right w:val="single" w:sz="8" w:space="0" w:color="000000"/>
            </w:tcBorders>
            <w:vAlign w:val="center"/>
          </w:tcPr>
          <w:p w14:paraId="1189163F" w14:textId="77777777" w:rsidR="00B51DEA" w:rsidRDefault="00000000">
            <w:pPr>
              <w:spacing w:line="360" w:lineRule="auto"/>
              <w:rPr>
                <w:rFonts w:asciiTheme="minorEastAsia" w:hAnsiTheme="minorEastAsia" w:hint="eastAsia"/>
                <w:color w:val="000000"/>
                <w:szCs w:val="21"/>
              </w:rPr>
            </w:pPr>
            <w:r>
              <w:rPr>
                <w:rFonts w:asciiTheme="minorEastAsia" w:hAnsiTheme="minorEastAsia"/>
                <w:color w:val="000000"/>
                <w:szCs w:val="21"/>
              </w:rPr>
              <w:t>-45.66%</w:t>
            </w:r>
          </w:p>
        </w:tc>
        <w:tc>
          <w:tcPr>
            <w:tcW w:w="891" w:type="dxa"/>
            <w:tcBorders>
              <w:top w:val="single" w:sz="4" w:space="0" w:color="auto"/>
              <w:left w:val="single" w:sz="8" w:space="0" w:color="000000"/>
              <w:bottom w:val="single" w:sz="8" w:space="0" w:color="000000"/>
              <w:right w:val="single" w:sz="8" w:space="0" w:color="000000"/>
            </w:tcBorders>
            <w:vAlign w:val="center"/>
          </w:tcPr>
          <w:p w14:paraId="5327285B" w14:textId="77777777" w:rsidR="00B51DEA" w:rsidRDefault="00000000">
            <w:pPr>
              <w:spacing w:line="360" w:lineRule="auto"/>
              <w:rPr>
                <w:rFonts w:asciiTheme="minorEastAsia" w:hAnsiTheme="minorEastAsia" w:hint="eastAsia"/>
                <w:color w:val="000000"/>
                <w:szCs w:val="21"/>
              </w:rPr>
            </w:pPr>
            <w:r>
              <w:rPr>
                <w:rFonts w:asciiTheme="minorEastAsia" w:hAnsiTheme="minorEastAsia"/>
                <w:color w:val="000000"/>
                <w:szCs w:val="21"/>
              </w:rPr>
              <w:t>1.17%</w:t>
            </w:r>
          </w:p>
        </w:tc>
      </w:tr>
      <w:tr w:rsidR="00B51DEA" w14:paraId="7E71B411" w14:textId="77777777">
        <w:trPr>
          <w:trHeight w:val="475"/>
        </w:trPr>
        <w:tc>
          <w:tcPr>
            <w:tcW w:w="2421" w:type="dxa"/>
            <w:tcBorders>
              <w:top w:val="single" w:sz="4" w:space="0" w:color="auto"/>
              <w:left w:val="single" w:sz="8" w:space="0" w:color="000000"/>
              <w:bottom w:val="single" w:sz="8" w:space="0" w:color="000000"/>
              <w:right w:val="single" w:sz="8" w:space="0" w:color="000000"/>
            </w:tcBorders>
            <w:vAlign w:val="center"/>
          </w:tcPr>
          <w:p w14:paraId="547D8EB6" w14:textId="77777777" w:rsidR="00B51DEA" w:rsidRDefault="00000000">
            <w:pPr>
              <w:spacing w:line="360" w:lineRule="auto"/>
              <w:rPr>
                <w:rFonts w:asciiTheme="minorEastAsia" w:hAnsiTheme="minorEastAsia" w:hint="eastAsia"/>
                <w:color w:val="000000"/>
                <w:szCs w:val="21"/>
              </w:rPr>
            </w:pPr>
            <w:r>
              <w:rPr>
                <w:rFonts w:asciiTheme="minorEastAsia" w:hAnsiTheme="minorEastAsia"/>
                <w:color w:val="000000"/>
                <w:szCs w:val="21"/>
              </w:rPr>
              <w:t>202</w:t>
            </w:r>
            <w:r>
              <w:rPr>
                <w:rFonts w:asciiTheme="minorEastAsia" w:hAnsiTheme="minorEastAsia" w:hint="eastAsia"/>
                <w:color w:val="000000"/>
                <w:szCs w:val="21"/>
              </w:rPr>
              <w:t>5</w:t>
            </w:r>
            <w:r>
              <w:rPr>
                <w:rFonts w:asciiTheme="minorEastAsia" w:hAnsiTheme="minorEastAsia"/>
                <w:color w:val="000000"/>
                <w:szCs w:val="21"/>
              </w:rPr>
              <w:t>.01.01~202</w:t>
            </w:r>
            <w:r>
              <w:rPr>
                <w:rFonts w:asciiTheme="minorEastAsia" w:hAnsiTheme="minorEastAsia" w:hint="eastAsia"/>
                <w:color w:val="000000"/>
                <w:szCs w:val="21"/>
              </w:rPr>
              <w:t>5</w:t>
            </w:r>
            <w:r>
              <w:rPr>
                <w:rFonts w:asciiTheme="minorEastAsia" w:hAnsiTheme="minorEastAsia"/>
                <w:color w:val="000000"/>
                <w:szCs w:val="21"/>
              </w:rPr>
              <w:t>.</w:t>
            </w:r>
            <w:r>
              <w:rPr>
                <w:rFonts w:asciiTheme="minorEastAsia" w:hAnsiTheme="minorEastAsia" w:hint="eastAsia"/>
                <w:color w:val="000000"/>
                <w:szCs w:val="21"/>
              </w:rPr>
              <w:t>12</w:t>
            </w:r>
            <w:r>
              <w:rPr>
                <w:rFonts w:asciiTheme="minorEastAsia" w:hAnsiTheme="minorEastAsia"/>
                <w:color w:val="000000"/>
                <w:szCs w:val="21"/>
              </w:rPr>
              <w:t>.3</w:t>
            </w:r>
            <w:r>
              <w:rPr>
                <w:rFonts w:asciiTheme="minorEastAsia" w:hAnsiTheme="minorEastAsia" w:hint="eastAsia"/>
                <w:color w:val="000000"/>
                <w:szCs w:val="21"/>
              </w:rPr>
              <w:t>1</w:t>
            </w:r>
          </w:p>
        </w:tc>
        <w:tc>
          <w:tcPr>
            <w:tcW w:w="1177" w:type="dxa"/>
            <w:tcBorders>
              <w:top w:val="single" w:sz="4" w:space="0" w:color="auto"/>
              <w:left w:val="single" w:sz="8" w:space="0" w:color="000000"/>
              <w:bottom w:val="single" w:sz="8" w:space="0" w:color="000000"/>
              <w:right w:val="single" w:sz="8" w:space="0" w:color="000000"/>
            </w:tcBorders>
            <w:vAlign w:val="center"/>
          </w:tcPr>
          <w:p w14:paraId="6FD8C96F" w14:textId="77777777" w:rsidR="00B51DEA" w:rsidRDefault="00000000">
            <w:pPr>
              <w:spacing w:line="360" w:lineRule="auto"/>
              <w:rPr>
                <w:rFonts w:asciiTheme="minorEastAsia" w:hAnsiTheme="minorEastAsia" w:hint="eastAsia"/>
                <w:color w:val="000000"/>
                <w:szCs w:val="21"/>
              </w:rPr>
            </w:pPr>
            <w:r>
              <w:rPr>
                <w:rFonts w:asciiTheme="minorEastAsia" w:hAnsiTheme="minorEastAsia" w:hint="eastAsia"/>
                <w:color w:val="000000"/>
                <w:szCs w:val="21"/>
              </w:rPr>
              <w:t>1.35%</w:t>
            </w:r>
          </w:p>
        </w:tc>
        <w:tc>
          <w:tcPr>
            <w:tcW w:w="0" w:type="auto"/>
            <w:tcBorders>
              <w:top w:val="single" w:sz="4" w:space="0" w:color="auto"/>
              <w:left w:val="single" w:sz="8" w:space="0" w:color="000000"/>
              <w:bottom w:val="single" w:sz="8" w:space="0" w:color="000000"/>
              <w:right w:val="single" w:sz="8" w:space="0" w:color="000000"/>
            </w:tcBorders>
            <w:vAlign w:val="center"/>
          </w:tcPr>
          <w:p w14:paraId="6AB4A80C" w14:textId="77777777" w:rsidR="00B51DEA" w:rsidRDefault="00000000">
            <w:pPr>
              <w:spacing w:line="360" w:lineRule="auto"/>
              <w:rPr>
                <w:rFonts w:asciiTheme="minorEastAsia" w:hAnsiTheme="minorEastAsia" w:hint="eastAsia"/>
                <w:color w:val="000000"/>
                <w:szCs w:val="21"/>
              </w:rPr>
            </w:pPr>
            <w:r>
              <w:rPr>
                <w:rFonts w:asciiTheme="minorEastAsia" w:hAnsiTheme="minorEastAsia" w:hint="eastAsia"/>
                <w:color w:val="000000"/>
                <w:szCs w:val="21"/>
              </w:rPr>
              <w:t>0.22%</w:t>
            </w:r>
          </w:p>
        </w:tc>
        <w:tc>
          <w:tcPr>
            <w:tcW w:w="0" w:type="auto"/>
            <w:tcBorders>
              <w:top w:val="single" w:sz="4" w:space="0" w:color="auto"/>
              <w:left w:val="single" w:sz="8" w:space="0" w:color="000000"/>
              <w:bottom w:val="single" w:sz="8" w:space="0" w:color="000000"/>
              <w:right w:val="single" w:sz="8" w:space="0" w:color="000000"/>
            </w:tcBorders>
            <w:vAlign w:val="center"/>
          </w:tcPr>
          <w:p w14:paraId="2F9FD6F6" w14:textId="77777777" w:rsidR="00B51DEA" w:rsidRDefault="00000000">
            <w:pPr>
              <w:spacing w:line="360" w:lineRule="auto"/>
              <w:rPr>
                <w:rFonts w:asciiTheme="minorEastAsia" w:hAnsiTheme="minorEastAsia" w:hint="eastAsia"/>
                <w:color w:val="000000"/>
                <w:szCs w:val="21"/>
              </w:rPr>
            </w:pPr>
            <w:r>
              <w:rPr>
                <w:rFonts w:asciiTheme="minorEastAsia" w:hAnsiTheme="minorEastAsia" w:hint="eastAsia"/>
                <w:color w:val="000000"/>
                <w:szCs w:val="21"/>
              </w:rPr>
              <w:t>0.62%</w:t>
            </w:r>
          </w:p>
        </w:tc>
        <w:tc>
          <w:tcPr>
            <w:tcW w:w="1317" w:type="dxa"/>
            <w:tcBorders>
              <w:top w:val="single" w:sz="4" w:space="0" w:color="auto"/>
              <w:left w:val="single" w:sz="8" w:space="0" w:color="000000"/>
              <w:bottom w:val="single" w:sz="8" w:space="0" w:color="000000"/>
              <w:right w:val="single" w:sz="8" w:space="0" w:color="000000"/>
            </w:tcBorders>
            <w:vAlign w:val="center"/>
          </w:tcPr>
          <w:p w14:paraId="220665D9" w14:textId="77777777" w:rsidR="00B51DEA" w:rsidRDefault="00000000">
            <w:pPr>
              <w:spacing w:line="360" w:lineRule="auto"/>
              <w:rPr>
                <w:rFonts w:asciiTheme="minorEastAsia" w:hAnsiTheme="minorEastAsia" w:hint="eastAsia"/>
                <w:color w:val="000000"/>
                <w:szCs w:val="21"/>
              </w:rPr>
            </w:pPr>
            <w:r>
              <w:rPr>
                <w:rFonts w:asciiTheme="minorEastAsia" w:hAnsiTheme="minorEastAsia" w:hint="eastAsia"/>
                <w:color w:val="000000"/>
                <w:szCs w:val="21"/>
              </w:rPr>
              <w:t>0.37%</w:t>
            </w:r>
          </w:p>
        </w:tc>
        <w:tc>
          <w:tcPr>
            <w:tcW w:w="951" w:type="dxa"/>
            <w:tcBorders>
              <w:top w:val="single" w:sz="4" w:space="0" w:color="auto"/>
              <w:left w:val="single" w:sz="8" w:space="0" w:color="000000"/>
              <w:bottom w:val="single" w:sz="8" w:space="0" w:color="000000"/>
              <w:right w:val="single" w:sz="8" w:space="0" w:color="000000"/>
            </w:tcBorders>
            <w:vAlign w:val="center"/>
          </w:tcPr>
          <w:p w14:paraId="6A7DFE6F" w14:textId="77777777" w:rsidR="00B51DEA" w:rsidRDefault="00000000">
            <w:pPr>
              <w:spacing w:line="360" w:lineRule="auto"/>
              <w:rPr>
                <w:rFonts w:asciiTheme="minorEastAsia" w:hAnsiTheme="minorEastAsia" w:hint="eastAsia"/>
                <w:color w:val="000000"/>
                <w:szCs w:val="21"/>
              </w:rPr>
            </w:pPr>
            <w:r>
              <w:rPr>
                <w:rFonts w:asciiTheme="minorEastAsia" w:hAnsiTheme="minorEastAsia" w:hint="eastAsia"/>
                <w:color w:val="000000"/>
                <w:szCs w:val="21"/>
              </w:rPr>
              <w:t>0.73%</w:t>
            </w:r>
          </w:p>
        </w:tc>
        <w:tc>
          <w:tcPr>
            <w:tcW w:w="891" w:type="dxa"/>
            <w:tcBorders>
              <w:top w:val="single" w:sz="4" w:space="0" w:color="auto"/>
              <w:left w:val="single" w:sz="8" w:space="0" w:color="000000"/>
              <w:bottom w:val="single" w:sz="8" w:space="0" w:color="000000"/>
              <w:right w:val="single" w:sz="8" w:space="0" w:color="000000"/>
            </w:tcBorders>
            <w:vAlign w:val="center"/>
          </w:tcPr>
          <w:p w14:paraId="7E96E8E6" w14:textId="77777777" w:rsidR="00B51DEA" w:rsidRDefault="00000000">
            <w:pPr>
              <w:spacing w:line="360" w:lineRule="auto"/>
              <w:rPr>
                <w:rFonts w:asciiTheme="minorEastAsia" w:hAnsiTheme="minorEastAsia" w:hint="eastAsia"/>
                <w:color w:val="000000"/>
                <w:szCs w:val="21"/>
              </w:rPr>
            </w:pPr>
            <w:r>
              <w:rPr>
                <w:rFonts w:asciiTheme="minorEastAsia" w:hAnsiTheme="minorEastAsia" w:hint="eastAsia"/>
                <w:color w:val="000000"/>
                <w:szCs w:val="21"/>
              </w:rPr>
              <w:t>-0.15%</w:t>
            </w:r>
          </w:p>
        </w:tc>
      </w:tr>
      <w:tr w:rsidR="00B51DEA" w14:paraId="3F927A79" w14:textId="77777777">
        <w:trPr>
          <w:trHeight w:val="491"/>
        </w:trPr>
        <w:tc>
          <w:tcPr>
            <w:tcW w:w="2421" w:type="dxa"/>
            <w:tcBorders>
              <w:top w:val="single" w:sz="8" w:space="0" w:color="000000"/>
              <w:left w:val="single" w:sz="8" w:space="0" w:color="000000"/>
              <w:bottom w:val="single" w:sz="6" w:space="0" w:color="000000"/>
              <w:right w:val="single" w:sz="8" w:space="0" w:color="000000"/>
            </w:tcBorders>
            <w:vAlign w:val="center"/>
          </w:tcPr>
          <w:p w14:paraId="3F499FA3" w14:textId="77777777" w:rsidR="00B51DEA" w:rsidRDefault="00000000">
            <w:pPr>
              <w:spacing w:line="360" w:lineRule="auto"/>
              <w:rPr>
                <w:rFonts w:asciiTheme="minorEastAsia" w:hAnsiTheme="minorEastAsia" w:hint="eastAsia"/>
                <w:color w:val="000000"/>
                <w:szCs w:val="21"/>
              </w:rPr>
            </w:pPr>
            <w:r>
              <w:rPr>
                <w:rFonts w:asciiTheme="minorEastAsia" w:hAnsiTheme="minorEastAsia" w:hint="eastAsia"/>
                <w:color w:val="000000"/>
                <w:szCs w:val="21"/>
              </w:rPr>
              <w:t>自基金合同生效起至2026</w:t>
            </w:r>
            <w:r>
              <w:rPr>
                <w:rFonts w:asciiTheme="minorEastAsia" w:hAnsiTheme="minorEastAsia"/>
                <w:color w:val="000000"/>
                <w:szCs w:val="21"/>
              </w:rPr>
              <w:t>.06.30</w:t>
            </w:r>
          </w:p>
        </w:tc>
        <w:tc>
          <w:tcPr>
            <w:tcW w:w="1177" w:type="dxa"/>
            <w:tcBorders>
              <w:top w:val="single" w:sz="8" w:space="0" w:color="000000"/>
              <w:left w:val="single" w:sz="8" w:space="0" w:color="000000"/>
              <w:bottom w:val="single" w:sz="6" w:space="0" w:color="000000"/>
              <w:right w:val="single" w:sz="8" w:space="0" w:color="000000"/>
            </w:tcBorders>
            <w:vAlign w:val="center"/>
          </w:tcPr>
          <w:p w14:paraId="067E1526" w14:textId="77777777" w:rsidR="00B51DEA" w:rsidRDefault="00000000">
            <w:pPr>
              <w:spacing w:line="360" w:lineRule="auto"/>
              <w:rPr>
                <w:rFonts w:asciiTheme="minorEastAsia" w:hAnsiTheme="minorEastAsia" w:hint="eastAsia"/>
                <w:color w:val="000000"/>
                <w:szCs w:val="21"/>
              </w:rPr>
            </w:pPr>
            <w:r>
              <w:rPr>
                <w:rFonts w:asciiTheme="minorEastAsia" w:hAnsiTheme="minorEastAsia"/>
                <w:color w:val="000000"/>
                <w:szCs w:val="21"/>
              </w:rPr>
              <w:t>-59.26%</w:t>
            </w:r>
          </w:p>
        </w:tc>
        <w:tc>
          <w:tcPr>
            <w:tcW w:w="0" w:type="auto"/>
            <w:tcBorders>
              <w:top w:val="single" w:sz="8" w:space="0" w:color="000000"/>
              <w:left w:val="single" w:sz="8" w:space="0" w:color="000000"/>
              <w:bottom w:val="single" w:sz="6" w:space="0" w:color="000000"/>
              <w:right w:val="single" w:sz="8" w:space="0" w:color="000000"/>
            </w:tcBorders>
            <w:vAlign w:val="center"/>
          </w:tcPr>
          <w:p w14:paraId="2DFDF99E" w14:textId="77777777" w:rsidR="00B51DEA" w:rsidRDefault="00000000">
            <w:pPr>
              <w:spacing w:line="360" w:lineRule="auto"/>
              <w:rPr>
                <w:rFonts w:asciiTheme="minorEastAsia" w:hAnsiTheme="minorEastAsia" w:hint="eastAsia"/>
                <w:color w:val="000000"/>
                <w:szCs w:val="21"/>
              </w:rPr>
            </w:pPr>
            <w:r>
              <w:rPr>
                <w:rFonts w:asciiTheme="minorEastAsia" w:hAnsiTheme="minorEastAsia"/>
                <w:color w:val="000000"/>
                <w:szCs w:val="21"/>
              </w:rPr>
              <w:t>1.17%</w:t>
            </w:r>
          </w:p>
        </w:tc>
        <w:tc>
          <w:tcPr>
            <w:tcW w:w="0" w:type="auto"/>
            <w:tcBorders>
              <w:top w:val="single" w:sz="8" w:space="0" w:color="000000"/>
              <w:left w:val="single" w:sz="8" w:space="0" w:color="000000"/>
              <w:bottom w:val="single" w:sz="6" w:space="0" w:color="000000"/>
              <w:right w:val="single" w:sz="8" w:space="0" w:color="000000"/>
            </w:tcBorders>
            <w:vAlign w:val="center"/>
          </w:tcPr>
          <w:p w14:paraId="035DFFB0" w14:textId="77777777" w:rsidR="00B51DEA" w:rsidRDefault="00000000">
            <w:pPr>
              <w:spacing w:line="360" w:lineRule="auto"/>
              <w:rPr>
                <w:rFonts w:asciiTheme="minorEastAsia" w:hAnsiTheme="minorEastAsia" w:hint="eastAsia"/>
                <w:color w:val="000000"/>
                <w:szCs w:val="21"/>
              </w:rPr>
            </w:pPr>
            <w:r>
              <w:rPr>
                <w:rFonts w:asciiTheme="minorEastAsia" w:hAnsiTheme="minorEastAsia"/>
                <w:color w:val="000000"/>
                <w:szCs w:val="21"/>
              </w:rPr>
              <w:t>29.83%</w:t>
            </w:r>
          </w:p>
        </w:tc>
        <w:tc>
          <w:tcPr>
            <w:tcW w:w="1317" w:type="dxa"/>
            <w:tcBorders>
              <w:top w:val="single" w:sz="8" w:space="0" w:color="000000"/>
              <w:left w:val="single" w:sz="8" w:space="0" w:color="000000"/>
              <w:bottom w:val="single" w:sz="6" w:space="0" w:color="000000"/>
              <w:right w:val="single" w:sz="8" w:space="0" w:color="000000"/>
            </w:tcBorders>
            <w:vAlign w:val="center"/>
          </w:tcPr>
          <w:p w14:paraId="4826BBE2" w14:textId="77777777" w:rsidR="00B51DEA" w:rsidRDefault="00000000">
            <w:pPr>
              <w:spacing w:line="360" w:lineRule="auto"/>
              <w:rPr>
                <w:rFonts w:asciiTheme="minorEastAsia" w:hAnsiTheme="minorEastAsia" w:hint="eastAsia"/>
                <w:color w:val="000000"/>
                <w:szCs w:val="21"/>
              </w:rPr>
            </w:pPr>
            <w:r>
              <w:rPr>
                <w:rFonts w:asciiTheme="minorEastAsia" w:hAnsiTheme="minorEastAsia"/>
                <w:color w:val="000000"/>
                <w:szCs w:val="21"/>
              </w:rPr>
              <w:t>0.63%</w:t>
            </w:r>
          </w:p>
        </w:tc>
        <w:tc>
          <w:tcPr>
            <w:tcW w:w="951" w:type="dxa"/>
            <w:tcBorders>
              <w:top w:val="single" w:sz="8" w:space="0" w:color="000000"/>
              <w:left w:val="single" w:sz="8" w:space="0" w:color="000000"/>
              <w:bottom w:val="single" w:sz="6" w:space="0" w:color="000000"/>
              <w:right w:val="single" w:sz="8" w:space="0" w:color="000000"/>
            </w:tcBorders>
            <w:vAlign w:val="center"/>
          </w:tcPr>
          <w:p w14:paraId="1102A8BE" w14:textId="77777777" w:rsidR="00B51DEA" w:rsidRDefault="00000000">
            <w:pPr>
              <w:spacing w:line="360" w:lineRule="auto"/>
              <w:rPr>
                <w:rFonts w:asciiTheme="minorEastAsia" w:hAnsiTheme="minorEastAsia" w:hint="eastAsia"/>
                <w:color w:val="000000"/>
                <w:szCs w:val="21"/>
              </w:rPr>
            </w:pPr>
            <w:r>
              <w:rPr>
                <w:rFonts w:asciiTheme="minorEastAsia" w:hAnsiTheme="minorEastAsia"/>
                <w:color w:val="000000"/>
                <w:szCs w:val="21"/>
              </w:rPr>
              <w:t>-89.09%</w:t>
            </w:r>
          </w:p>
        </w:tc>
        <w:tc>
          <w:tcPr>
            <w:tcW w:w="891" w:type="dxa"/>
            <w:tcBorders>
              <w:top w:val="single" w:sz="8" w:space="0" w:color="000000"/>
              <w:left w:val="single" w:sz="8" w:space="0" w:color="000000"/>
              <w:bottom w:val="single" w:sz="6" w:space="0" w:color="000000"/>
              <w:right w:val="single" w:sz="8" w:space="0" w:color="000000"/>
            </w:tcBorders>
            <w:vAlign w:val="center"/>
          </w:tcPr>
          <w:p w14:paraId="2E103A1F" w14:textId="77777777" w:rsidR="00B51DEA" w:rsidRDefault="00000000">
            <w:pPr>
              <w:spacing w:line="360" w:lineRule="auto"/>
              <w:rPr>
                <w:rFonts w:asciiTheme="minorEastAsia" w:hAnsiTheme="minorEastAsia" w:hint="eastAsia"/>
                <w:color w:val="000000"/>
                <w:szCs w:val="21"/>
              </w:rPr>
            </w:pPr>
            <w:r>
              <w:rPr>
                <w:rFonts w:asciiTheme="minorEastAsia" w:hAnsiTheme="minorEastAsia"/>
                <w:color w:val="000000"/>
                <w:szCs w:val="21"/>
              </w:rPr>
              <w:t>0.54%</w:t>
            </w:r>
          </w:p>
        </w:tc>
      </w:tr>
    </w:tbl>
    <w:p w14:paraId="23A829EB" w14:textId="77777777" w:rsidR="00B51DEA" w:rsidRDefault="00000000">
      <w:pPr>
        <w:widowControl/>
        <w:spacing w:line="360" w:lineRule="auto"/>
        <w:ind w:firstLine="42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注：自2025年4月28日起，本基金业绩比较基准由“沪深300指数收益率×55%+上证国债指数收益率×45%”调整为“中债综合全价（总值）指数收益率×80%+中证可转换债券指数收益率×20%”。自2026年9月21日起，本基金业绩比较基准调整为“中证可转换债券指数收益率*65%+中证800指数收益率*30%+活期存款基准利率*5%”。</w:t>
      </w:r>
    </w:p>
    <w:p w14:paraId="71714B2C" w14:textId="77777777" w:rsidR="00B51DEA" w:rsidRDefault="00B51DEA">
      <w:pPr>
        <w:widowControl/>
        <w:spacing w:line="360" w:lineRule="auto"/>
        <w:jc w:val="left"/>
        <w:rPr>
          <w:rFonts w:asciiTheme="minorEastAsia" w:hAnsiTheme="minorEastAsia" w:hint="eastAsia"/>
          <w:bCs/>
          <w:sz w:val="24"/>
          <w:szCs w:val="24"/>
        </w:rPr>
      </w:pPr>
    </w:p>
    <w:p w14:paraId="225DC14F" w14:textId="77777777" w:rsidR="00B51DEA" w:rsidRDefault="00000000">
      <w:pPr>
        <w:widowControl/>
        <w:spacing w:line="360" w:lineRule="auto"/>
        <w:jc w:val="left"/>
        <w:rPr>
          <w:rFonts w:asciiTheme="minorEastAsia" w:hAnsiTheme="minorEastAsia" w:cs="宋体" w:hint="eastAsia"/>
          <w:kern w:val="0"/>
          <w:sz w:val="24"/>
          <w:szCs w:val="24"/>
        </w:rPr>
      </w:pPr>
      <w:r>
        <w:rPr>
          <w:rFonts w:asciiTheme="minorEastAsia" w:hAnsiTheme="minorEastAsia" w:cs="宋体"/>
          <w:kern w:val="0"/>
          <w:sz w:val="24"/>
          <w:szCs w:val="24"/>
        </w:rPr>
        <w:t xml:space="preserve">2、 </w:t>
      </w:r>
      <w:r>
        <w:rPr>
          <w:rFonts w:asciiTheme="minorEastAsia" w:hAnsiTheme="minorEastAsia" w:cs="宋体" w:hint="eastAsia"/>
          <w:kern w:val="0"/>
          <w:sz w:val="24"/>
          <w:szCs w:val="24"/>
        </w:rPr>
        <w:t>自基金合同生效以来基金累计净值增长率变动及其与同期业绩比较基准收益率变动的比较</w:t>
      </w:r>
    </w:p>
    <w:p w14:paraId="01CDC3F4" w14:textId="77777777" w:rsidR="00B51DEA" w:rsidRDefault="00000000">
      <w:pPr>
        <w:pStyle w:val="biaogeleft"/>
        <w:spacing w:line="360" w:lineRule="auto"/>
        <w:rPr>
          <w:rFonts w:asciiTheme="minorEastAsia" w:eastAsiaTheme="minorEastAsia" w:hAnsiTheme="minorEastAsia" w:hint="eastAsia"/>
          <w:sz w:val="21"/>
          <w:szCs w:val="21"/>
        </w:rPr>
      </w:pPr>
      <w:r>
        <w:rPr>
          <w:rFonts w:hAnsi="Calibri"/>
          <w:noProof/>
          <w:color w:val="000000"/>
        </w:rPr>
        <w:drawing>
          <wp:inline distT="0" distB="0" distL="0" distR="0" wp14:anchorId="163AD3C9" wp14:editId="69DB95F7">
            <wp:extent cx="5274310" cy="3430905"/>
            <wp:effectExtent l="0" t="0" r="2540" b="0"/>
            <wp:docPr id="1" name="图片 1" descr="说明: D:\GZ\Bin\MOD\TMP\CN_51130000_006109_FB030020_20260004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说明: D:\GZ\Bin\MOD\TMP\CN_51130000_006109_FB030020_20260004_2.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5274310" cy="3430905"/>
                    </a:xfrm>
                    <a:prstGeom prst="rect">
                      <a:avLst/>
                    </a:prstGeom>
                    <a:noFill/>
                    <a:ln>
                      <a:noFill/>
                    </a:ln>
                  </pic:spPr>
                </pic:pic>
              </a:graphicData>
            </a:graphic>
          </wp:inline>
        </w:drawing>
      </w:r>
    </w:p>
    <w:p w14:paraId="4DE3095C" w14:textId="77777777" w:rsidR="00B51DEA" w:rsidRDefault="00000000">
      <w:pPr>
        <w:pStyle w:val="biaogeleft"/>
        <w:spacing w:line="360" w:lineRule="auto"/>
        <w:rPr>
          <w:rFonts w:asciiTheme="minorEastAsia" w:eastAsiaTheme="minorEastAsia" w:hAnsiTheme="minorEastAsia" w:hint="eastAsia"/>
          <w:sz w:val="21"/>
          <w:szCs w:val="21"/>
        </w:rPr>
      </w:pPr>
      <w:r>
        <w:rPr>
          <w:rFonts w:hAnsi="Calibri"/>
          <w:noProof/>
          <w:color w:val="000000"/>
        </w:rPr>
        <w:lastRenderedPageBreak/>
        <w:drawing>
          <wp:inline distT="0" distB="0" distL="0" distR="0" wp14:anchorId="28151DAB" wp14:editId="4D1FE30A">
            <wp:extent cx="5274310" cy="3430905"/>
            <wp:effectExtent l="0" t="0" r="2540" b="0"/>
            <wp:docPr id="2" name="图片 2" descr="说明: D:\GZ\Bin\MOD\TMP\CN_51130000_006109_FB030020_20260004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说明: D:\GZ\Bin\MOD\TMP\CN_51130000_006109_FB030020_20260004_3.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5274310" cy="3430905"/>
                    </a:xfrm>
                    <a:prstGeom prst="rect">
                      <a:avLst/>
                    </a:prstGeom>
                    <a:noFill/>
                    <a:ln>
                      <a:noFill/>
                    </a:ln>
                  </pic:spPr>
                </pic:pic>
              </a:graphicData>
            </a:graphic>
          </wp:inline>
        </w:drawing>
      </w:r>
    </w:p>
    <w:p w14:paraId="625C0C58" w14:textId="77777777" w:rsidR="00B51DEA" w:rsidRDefault="00B51DEA">
      <w:pPr>
        <w:widowControl/>
        <w:jc w:val="left"/>
        <w:rPr>
          <w:rFonts w:asciiTheme="minorEastAsia" w:hAnsiTheme="minorEastAsia" w:cs="Times New Roman" w:hint="eastAsia"/>
          <w:b/>
          <w:color w:val="000000"/>
          <w:kern w:val="0"/>
          <w:sz w:val="30"/>
          <w:szCs w:val="30"/>
        </w:rPr>
      </w:pPr>
    </w:p>
    <w:p w14:paraId="00526B6E" w14:textId="77777777" w:rsidR="00B51DEA" w:rsidRDefault="00000000">
      <w:pPr>
        <w:pStyle w:val="1"/>
        <w:jc w:val="center"/>
        <w:rPr>
          <w:rFonts w:asciiTheme="minorEastAsia" w:eastAsiaTheme="minorEastAsia" w:hAnsiTheme="minorEastAsia" w:hint="eastAsia"/>
          <w:sz w:val="30"/>
          <w:szCs w:val="30"/>
        </w:rPr>
      </w:pPr>
      <w:bookmarkStart w:id="232" w:name="_Toc2677411"/>
      <w:r>
        <w:rPr>
          <w:rFonts w:asciiTheme="minorEastAsia" w:eastAsiaTheme="minorEastAsia" w:hAnsiTheme="minorEastAsia"/>
          <w:sz w:val="30"/>
          <w:szCs w:val="30"/>
        </w:rPr>
        <w:br w:type="page"/>
      </w:r>
    </w:p>
    <w:p w14:paraId="74F01E2B" w14:textId="77777777" w:rsidR="00B51DEA" w:rsidRDefault="00000000">
      <w:pPr>
        <w:pStyle w:val="1"/>
        <w:jc w:val="center"/>
        <w:rPr>
          <w:rFonts w:asciiTheme="minorEastAsia" w:eastAsiaTheme="minorEastAsia" w:hAnsiTheme="minorEastAsia" w:hint="eastAsia"/>
          <w:sz w:val="30"/>
          <w:szCs w:val="30"/>
        </w:rPr>
      </w:pPr>
      <w:r>
        <w:rPr>
          <w:rFonts w:asciiTheme="minorEastAsia" w:eastAsiaTheme="minorEastAsia" w:hAnsiTheme="minorEastAsia" w:hint="eastAsia"/>
          <w:sz w:val="30"/>
          <w:szCs w:val="30"/>
        </w:rPr>
        <w:lastRenderedPageBreak/>
        <w:t>第十部分</w:t>
      </w:r>
      <w:r>
        <w:rPr>
          <w:rFonts w:asciiTheme="minorEastAsia" w:eastAsiaTheme="minorEastAsia" w:hAnsiTheme="minorEastAsia"/>
          <w:sz w:val="30"/>
          <w:szCs w:val="30"/>
        </w:rPr>
        <w:t xml:space="preserve">  </w:t>
      </w:r>
      <w:r>
        <w:rPr>
          <w:rFonts w:asciiTheme="minorEastAsia" w:eastAsiaTheme="minorEastAsia" w:hAnsiTheme="minorEastAsia" w:hint="eastAsia"/>
          <w:sz w:val="30"/>
          <w:szCs w:val="30"/>
        </w:rPr>
        <w:t>基金的财产</w:t>
      </w:r>
      <w:bookmarkEnd w:id="211"/>
      <w:bookmarkEnd w:id="232"/>
    </w:p>
    <w:p w14:paraId="3AC25534" w14:textId="77777777" w:rsidR="00B51DEA" w:rsidRDefault="00000000">
      <w:pPr>
        <w:adjustRightInd w:val="0"/>
        <w:snapToGrid w:val="0"/>
        <w:spacing w:line="360" w:lineRule="auto"/>
        <w:ind w:firstLineChars="200" w:firstLine="480"/>
        <w:rPr>
          <w:rFonts w:asciiTheme="minorEastAsia" w:hAnsiTheme="minorEastAsia" w:cs="Arial" w:hint="eastAsia"/>
          <w:sz w:val="24"/>
          <w:szCs w:val="24"/>
        </w:rPr>
      </w:pPr>
      <w:bookmarkStart w:id="233" w:name="_Toc214873600"/>
      <w:bookmarkStart w:id="234" w:name="_Toc263092319"/>
      <w:bookmarkStart w:id="235" w:name="_Toc416264547"/>
      <w:bookmarkStart w:id="236" w:name="_Toc22538"/>
      <w:bookmarkStart w:id="237" w:name="_Toc13343"/>
      <w:bookmarkStart w:id="238" w:name="_Toc2981"/>
      <w:bookmarkStart w:id="239" w:name="_Toc5477"/>
      <w:bookmarkStart w:id="240" w:name="_Toc21917"/>
      <w:bookmarkStart w:id="241" w:name="_Toc16437"/>
      <w:bookmarkStart w:id="242" w:name="_Toc801"/>
      <w:bookmarkStart w:id="243" w:name="_Toc11395"/>
      <w:bookmarkStart w:id="244" w:name="_Toc3872"/>
      <w:bookmarkStart w:id="245" w:name="_Toc11351"/>
      <w:bookmarkStart w:id="246" w:name="_Toc578"/>
      <w:bookmarkStart w:id="247" w:name="_Toc352229758"/>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r>
        <w:rPr>
          <w:rFonts w:asciiTheme="minorEastAsia" w:hAnsiTheme="minorEastAsia" w:cs="Arial" w:hint="eastAsia"/>
          <w:sz w:val="24"/>
          <w:szCs w:val="24"/>
        </w:rPr>
        <w:t>一、基金资产总值</w:t>
      </w:r>
    </w:p>
    <w:p w14:paraId="4C4B7E3D"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基金资产总值是指购买的各类证券及票据价值、银行存款本息和基金应收的申购基金款以及其他投资所形成的价值总和。</w:t>
      </w:r>
    </w:p>
    <w:p w14:paraId="0736B58B" w14:textId="77777777" w:rsidR="00B51DEA" w:rsidRDefault="00000000">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二、基金资产净值</w:t>
      </w:r>
    </w:p>
    <w:p w14:paraId="58DF3EA1" w14:textId="77777777" w:rsidR="00B51DEA" w:rsidRDefault="00000000">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基金资产净值是指基金资产总值减去基金负债后的价值。</w:t>
      </w:r>
    </w:p>
    <w:p w14:paraId="07729BFB" w14:textId="77777777" w:rsidR="00B51DEA" w:rsidRDefault="00000000">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三、基金财产的账户</w:t>
      </w:r>
    </w:p>
    <w:p w14:paraId="52D69877"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托管人根据相关法律法规、规范性文件为本基金开立资金账户、证券账户以及投资所需的其他专用账户。开立的基金专用账户与基金管理人、基金托管人、基金销售机构和基金登记机构自有的财产账户以及其他基金财产账户相独立。</w:t>
      </w:r>
      <w:bookmarkStart w:id="248" w:name="_Hlt88841837"/>
      <w:bookmarkEnd w:id="248"/>
    </w:p>
    <w:p w14:paraId="0DA3F47C" w14:textId="77777777" w:rsidR="00B51DEA" w:rsidRDefault="00000000">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四、基金财产的保管和处分</w:t>
      </w:r>
    </w:p>
    <w:p w14:paraId="65E6F80F"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本基金财产独立于基金管理人、基金托管人和基金销售机构的财产，并由基金托管人保管。基金管理人、基金托管人、基金登记机构和基金销售机构以其自有的财产承担其自身的法律责任，其债权人不得对本基金财产行使请求冻结、扣押或其他权利。除依法</w:t>
      </w:r>
      <w:proofErr w:type="gramStart"/>
      <w:r>
        <w:rPr>
          <w:rFonts w:asciiTheme="minorEastAsia" w:hAnsiTheme="minorEastAsia" w:hint="eastAsia"/>
          <w:bCs/>
          <w:sz w:val="24"/>
        </w:rPr>
        <w:t>律法规</w:t>
      </w:r>
      <w:proofErr w:type="gramEnd"/>
      <w:r>
        <w:rPr>
          <w:rFonts w:asciiTheme="minorEastAsia" w:hAnsiTheme="minorEastAsia" w:hint="eastAsia"/>
          <w:bCs/>
          <w:sz w:val="24"/>
        </w:rPr>
        <w:t>和《基金合同》的规定处分外，基金财产不得被处分。</w:t>
      </w:r>
    </w:p>
    <w:p w14:paraId="68C74E6F" w14:textId="77777777" w:rsidR="00B51DEA" w:rsidRDefault="00000000">
      <w:pPr>
        <w:autoSpaceDE w:val="0"/>
        <w:autoSpaceDN w:val="0"/>
        <w:spacing w:line="360" w:lineRule="auto"/>
        <w:ind w:firstLineChars="200" w:firstLine="480"/>
        <w:textAlignment w:val="bottom"/>
        <w:rPr>
          <w:rFonts w:asciiTheme="minorEastAsia" w:hAnsiTheme="minorEastAsia" w:hint="eastAsia"/>
          <w:b/>
          <w:bCs/>
          <w:kern w:val="44"/>
          <w:sz w:val="18"/>
        </w:rPr>
        <w:sectPr w:rsidR="00B51DEA">
          <w:pgSz w:w="11906" w:h="16838"/>
          <w:pgMar w:top="1440" w:right="1800" w:bottom="1440" w:left="1800" w:header="851" w:footer="992" w:gutter="0"/>
          <w:pgNumType w:chapStyle="1"/>
          <w:cols w:space="720"/>
          <w:docGrid w:type="lines" w:linePitch="312"/>
        </w:sectPr>
      </w:pPr>
      <w:r>
        <w:rPr>
          <w:rFonts w:asciiTheme="minorEastAsia" w:hAnsiTheme="minorEastAsia" w:hint="eastAsia"/>
          <w:bCs/>
          <w:sz w:val="24"/>
        </w:rPr>
        <w:t>基金管理人、基金托管人因依法解散、被依法撤销或者被依法宣告破产等原因进行清算的，基金财产不属于其清算财产。基金管理人管理运作基金财产所产生的债权，不得与其固有资产产生的债务相互</w:t>
      </w:r>
      <w:proofErr w:type="gramStart"/>
      <w:r>
        <w:rPr>
          <w:rFonts w:asciiTheme="minorEastAsia" w:hAnsiTheme="minorEastAsia" w:hint="eastAsia"/>
          <w:bCs/>
          <w:sz w:val="24"/>
        </w:rPr>
        <w:t>抵销</w:t>
      </w:r>
      <w:proofErr w:type="gramEnd"/>
      <w:r>
        <w:rPr>
          <w:rFonts w:asciiTheme="minorEastAsia" w:hAnsiTheme="minorEastAsia" w:hint="eastAsia"/>
          <w:bCs/>
          <w:sz w:val="24"/>
        </w:rPr>
        <w:t>；基金管理人管理运作不同基金的基金财产所产生的债权债务不得相互</w:t>
      </w:r>
      <w:proofErr w:type="gramStart"/>
      <w:r>
        <w:rPr>
          <w:rFonts w:asciiTheme="minorEastAsia" w:hAnsiTheme="minorEastAsia" w:hint="eastAsia"/>
          <w:bCs/>
          <w:sz w:val="24"/>
        </w:rPr>
        <w:t>抵销</w:t>
      </w:r>
      <w:proofErr w:type="gramEnd"/>
      <w:r>
        <w:rPr>
          <w:rFonts w:asciiTheme="minorEastAsia" w:hAnsiTheme="minorEastAsia" w:hint="eastAsia"/>
          <w:bCs/>
          <w:sz w:val="24"/>
        </w:rPr>
        <w:t>。</w:t>
      </w:r>
    </w:p>
    <w:p w14:paraId="4118E33F" w14:textId="77777777" w:rsidR="00B51DEA" w:rsidRDefault="00000000">
      <w:pPr>
        <w:pStyle w:val="1"/>
        <w:jc w:val="center"/>
        <w:rPr>
          <w:rFonts w:asciiTheme="minorEastAsia" w:eastAsiaTheme="minorEastAsia" w:hAnsiTheme="minorEastAsia" w:hint="eastAsia"/>
          <w:sz w:val="30"/>
          <w:szCs w:val="30"/>
        </w:rPr>
      </w:pPr>
      <w:bookmarkStart w:id="249" w:name="_Toc2677412"/>
      <w:r>
        <w:rPr>
          <w:rFonts w:asciiTheme="minorEastAsia" w:eastAsiaTheme="minorEastAsia" w:hAnsiTheme="minorEastAsia" w:hint="eastAsia"/>
          <w:sz w:val="30"/>
          <w:szCs w:val="30"/>
        </w:rPr>
        <w:lastRenderedPageBreak/>
        <w:t>第十一部分</w:t>
      </w:r>
      <w:r>
        <w:rPr>
          <w:rFonts w:asciiTheme="minorEastAsia" w:eastAsiaTheme="minorEastAsia" w:hAnsiTheme="minorEastAsia"/>
          <w:sz w:val="30"/>
          <w:szCs w:val="30"/>
        </w:rPr>
        <w:t xml:space="preserve">  </w:t>
      </w:r>
      <w:r>
        <w:rPr>
          <w:rFonts w:asciiTheme="minorEastAsia" w:eastAsiaTheme="minorEastAsia" w:hAnsiTheme="minorEastAsia" w:hint="eastAsia"/>
          <w:sz w:val="30"/>
          <w:szCs w:val="30"/>
        </w:rPr>
        <w:t>基金资产的估值</w:t>
      </w:r>
      <w:bookmarkEnd w:id="233"/>
      <w:bookmarkEnd w:id="234"/>
      <w:bookmarkEnd w:id="235"/>
      <w:bookmarkEnd w:id="249"/>
    </w:p>
    <w:p w14:paraId="72D2C971" w14:textId="77777777" w:rsidR="00B51DEA" w:rsidRDefault="00000000">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一、估值日</w:t>
      </w:r>
    </w:p>
    <w:p w14:paraId="1B86E0ED"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本基金的估值日为本基金相关的证券交易场所的交易日以及国家法律法规规定需要对外披露基金净值的</w:t>
      </w:r>
      <w:proofErr w:type="gramStart"/>
      <w:r>
        <w:rPr>
          <w:rFonts w:asciiTheme="minorEastAsia" w:hAnsiTheme="minorEastAsia" w:hint="eastAsia"/>
          <w:bCs/>
          <w:sz w:val="24"/>
        </w:rPr>
        <w:t>非交易</w:t>
      </w:r>
      <w:proofErr w:type="gramEnd"/>
      <w:r>
        <w:rPr>
          <w:rFonts w:asciiTheme="minorEastAsia" w:hAnsiTheme="minorEastAsia" w:hint="eastAsia"/>
          <w:bCs/>
          <w:sz w:val="24"/>
        </w:rPr>
        <w:t>日。</w:t>
      </w:r>
    </w:p>
    <w:p w14:paraId="206F94BA" w14:textId="77777777" w:rsidR="00B51DEA" w:rsidRDefault="00000000">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二、估值对象</w:t>
      </w:r>
    </w:p>
    <w:p w14:paraId="73A978FC"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基金所拥有的股票、</w:t>
      </w:r>
      <w:r>
        <w:rPr>
          <w:rFonts w:asciiTheme="minorEastAsia" w:hAnsiTheme="minorEastAsia" w:cs="Times New Roman" w:hint="eastAsia"/>
          <w:bCs/>
          <w:sz w:val="24"/>
          <w:szCs w:val="24"/>
        </w:rPr>
        <w:t>存托凭证、</w:t>
      </w:r>
      <w:r>
        <w:rPr>
          <w:rFonts w:asciiTheme="minorEastAsia" w:hAnsiTheme="minorEastAsia" w:hint="eastAsia"/>
          <w:bCs/>
          <w:sz w:val="24"/>
        </w:rPr>
        <w:t>股指期货合约、国债期货合约、股票期权合约、权证、债券和银行存款本息、应收款项、其它投资等资产及负债。</w:t>
      </w:r>
    </w:p>
    <w:p w14:paraId="47935E72" w14:textId="77777777" w:rsidR="00B51DEA" w:rsidRDefault="00000000">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三、估值方法</w:t>
      </w:r>
    </w:p>
    <w:p w14:paraId="7B9B21D6"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szCs w:val="24"/>
        </w:rPr>
      </w:pPr>
      <w:r>
        <w:rPr>
          <w:rFonts w:asciiTheme="minorEastAsia" w:hAnsiTheme="minorEastAsia" w:hint="eastAsia"/>
          <w:bCs/>
          <w:sz w:val="24"/>
        </w:rPr>
        <w:t>1、交易所上市的有价证券（包括股票、权证等），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14:paraId="096E1A90"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szCs w:val="24"/>
        </w:rPr>
      </w:pPr>
      <w:r>
        <w:rPr>
          <w:rFonts w:asciiTheme="minorEastAsia" w:hAnsiTheme="minorEastAsia" w:hint="eastAsia"/>
          <w:bCs/>
          <w:sz w:val="24"/>
          <w:szCs w:val="24"/>
        </w:rPr>
        <w:t>2、交易所市场交易的固定收益品种的估值</w:t>
      </w:r>
    </w:p>
    <w:p w14:paraId="5FFDB7B0"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szCs w:val="24"/>
        </w:rPr>
      </w:pPr>
      <w:r>
        <w:rPr>
          <w:rFonts w:asciiTheme="minorEastAsia" w:hAnsiTheme="minorEastAsia" w:hint="eastAsia"/>
          <w:bCs/>
          <w:sz w:val="24"/>
          <w:szCs w:val="24"/>
        </w:rPr>
        <w:t>（1）对在交易所市场上市交易或挂牌转让的固定收益品种，选取第三方估值机构提供的相应品种当日的估值净价进行估值；</w:t>
      </w:r>
    </w:p>
    <w:p w14:paraId="237CCFAE"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szCs w:val="24"/>
        </w:rPr>
      </w:pPr>
      <w:r>
        <w:rPr>
          <w:rFonts w:asciiTheme="minorEastAsia" w:hAnsiTheme="minorEastAsia" w:hint="eastAsia"/>
          <w:bCs/>
          <w:sz w:val="24"/>
          <w:szCs w:val="24"/>
        </w:rPr>
        <w:t>（2）对在交易所市场上市交易的可转换债券，按估值日收盘价减去可转换债券收盘价中所含债券应收利息后得到的净价进行估值；</w:t>
      </w:r>
      <w:r>
        <w:rPr>
          <w:rFonts w:asciiTheme="minorEastAsia" w:hAnsiTheme="minorEastAsia" w:hint="eastAsia"/>
          <w:bCs/>
          <w:sz w:val="24"/>
        </w:rPr>
        <w:t>估值日没有交易的，且最近交易日后经济环境未发生重大变化，按最近交易日债券收盘价减去债券收盘价中所含的债券应收利息得到的净价进行估值。如最近交易日后经济环境发生了重大变化的，可参考类似投资品种的现行市价及重大变化因素，调整最近交易市价，确定公允价格；</w:t>
      </w:r>
    </w:p>
    <w:p w14:paraId="0637F98A"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szCs w:val="24"/>
        </w:rPr>
      </w:pPr>
      <w:r>
        <w:rPr>
          <w:rFonts w:asciiTheme="minorEastAsia" w:hAnsiTheme="minorEastAsia" w:hint="eastAsia"/>
          <w:bCs/>
          <w:sz w:val="24"/>
          <w:szCs w:val="24"/>
        </w:rPr>
        <w:t>（3）对在交易所市场挂牌转让的资产支持证券，采用估值技术确定公允价值，在估值技术难以可靠计量公允价值的情况下，按成本估值；</w:t>
      </w:r>
    </w:p>
    <w:p w14:paraId="2C6CE6DF"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szCs w:val="24"/>
        </w:rPr>
      </w:pPr>
      <w:r>
        <w:rPr>
          <w:rFonts w:asciiTheme="minorEastAsia" w:hAnsiTheme="minorEastAsia" w:hint="eastAsia"/>
          <w:bCs/>
          <w:sz w:val="24"/>
          <w:szCs w:val="24"/>
        </w:rPr>
        <w:t>（4）对在交易所市场发行未上市或未挂牌转让的固定收益品种，采用估值技术确定公允价值，在估值技术难以可靠计量公允价值的情况下，按成本估值。</w:t>
      </w:r>
    </w:p>
    <w:p w14:paraId="68E1B447"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szCs w:val="24"/>
        </w:rPr>
      </w:pPr>
      <w:r>
        <w:rPr>
          <w:rFonts w:asciiTheme="minorEastAsia" w:hAnsiTheme="minorEastAsia" w:hint="eastAsia"/>
          <w:bCs/>
          <w:sz w:val="24"/>
          <w:szCs w:val="24"/>
        </w:rPr>
        <w:t>3、银行间市场交易的固定收益品种的估值</w:t>
      </w:r>
    </w:p>
    <w:p w14:paraId="35CDFBA2"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szCs w:val="24"/>
        </w:rPr>
      </w:pPr>
      <w:r>
        <w:rPr>
          <w:rFonts w:asciiTheme="minorEastAsia" w:hAnsiTheme="minorEastAsia" w:hint="eastAsia"/>
          <w:bCs/>
          <w:sz w:val="24"/>
          <w:szCs w:val="24"/>
        </w:rPr>
        <w:t>（1）银行间市场交易的固定收益品种，选取第三方估值机构提供的相应品</w:t>
      </w:r>
      <w:r>
        <w:rPr>
          <w:rFonts w:asciiTheme="minorEastAsia" w:hAnsiTheme="minorEastAsia" w:hint="eastAsia"/>
          <w:bCs/>
          <w:sz w:val="24"/>
          <w:szCs w:val="24"/>
        </w:rPr>
        <w:lastRenderedPageBreak/>
        <w:t>种当日的估值净价进行估值。</w:t>
      </w:r>
    </w:p>
    <w:p w14:paraId="3A3B48A6"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szCs w:val="24"/>
        </w:rPr>
      </w:pPr>
      <w:r>
        <w:rPr>
          <w:rFonts w:asciiTheme="minorEastAsia" w:hAnsiTheme="minorEastAsia" w:hint="eastAsia"/>
          <w:bCs/>
          <w:sz w:val="24"/>
          <w:szCs w:val="24"/>
        </w:rPr>
        <w:t>（2）对银行间市场未上市，且第三方估值机构未提供估值价格的固定收益品种，按成本估值。</w:t>
      </w:r>
    </w:p>
    <w:p w14:paraId="0F5ED722"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bCs/>
          <w:sz w:val="24"/>
        </w:rPr>
        <w:t>4</w:t>
      </w:r>
      <w:r>
        <w:rPr>
          <w:rFonts w:asciiTheme="minorEastAsia" w:hAnsiTheme="minorEastAsia" w:hint="eastAsia"/>
          <w:bCs/>
          <w:sz w:val="24"/>
        </w:rPr>
        <w:t>、处于未上市期间的有价证券应区分如下情况处理：</w:t>
      </w:r>
    </w:p>
    <w:p w14:paraId="446FEA20"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（1）送股、转增股、配股和公开增发的新股，按估值日在证券交易所挂牌的同一股票的估值方法估值；该日无交易的，以最近一日的市价（收盘价）估值；</w:t>
      </w:r>
    </w:p>
    <w:p w14:paraId="14759F00"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（2）首次公开发行未上市的股票、债券和权证，采用估值技术确定公允价值，在估值技术难以可靠计量公允价值的情况下，按成本估值；</w:t>
      </w:r>
    </w:p>
    <w:p w14:paraId="7F618083"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（3）首次公开发行有明确锁定期的股票，同一股票在交易所上市后，按交易所上市的同一股票的估值方法估值；非公开发行有明确锁定期的股票，按监管机构或行业协会有关规定确定公允价值。</w:t>
      </w:r>
    </w:p>
    <w:p w14:paraId="5A8C26A9"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5、同一债券同时在两个或两个以上市场交易的，按债券所处的市场分别估值。</w:t>
      </w:r>
    </w:p>
    <w:p w14:paraId="4DB41203"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6、本基金投资股指期货、国债期货合约，一般以估值当日结算价进行估值，估值当日无结算价的，且最近交易日后经济环境未发生重大变化的，采用最近交易日结算价估值。</w:t>
      </w:r>
    </w:p>
    <w:p w14:paraId="1023D728"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7、中小企业私募债券，采用估值技术确定公允价值。在估值技术难以可靠计量公允价值的情况下，按成本估值。</w:t>
      </w:r>
    </w:p>
    <w:p w14:paraId="4A01D9BF"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8、本基金投资股票期权，根据相关法律法规以及监管部门的规定估值。</w:t>
      </w:r>
    </w:p>
    <w:p w14:paraId="440B416A"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bCs/>
          <w:sz w:val="24"/>
        </w:rPr>
        <w:t>9</w:t>
      </w:r>
      <w:r>
        <w:rPr>
          <w:rFonts w:asciiTheme="minorEastAsia" w:hAnsiTheme="minorEastAsia" w:hint="eastAsia"/>
          <w:bCs/>
          <w:sz w:val="24"/>
        </w:rPr>
        <w:t>、本基金投资存托凭证的估值核算，依照境内上市交易的股票执行。</w:t>
      </w:r>
    </w:p>
    <w:p w14:paraId="7ED94EDA"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10、如有确凿证据表明按上述方法进行估值不能客观反映其公允价值的，基金管理人可根据具体情况与基金托管人商定后，按最能反映公允价值的价格估值。</w:t>
      </w:r>
    </w:p>
    <w:p w14:paraId="71B30F1B"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11、当本基金发生大额申购或赎回情形时，基金管理人可以对本基金采用摆动定价机制，以确保基金估值的公平性。</w:t>
      </w:r>
    </w:p>
    <w:p w14:paraId="7D578035"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bCs/>
          <w:sz w:val="24"/>
        </w:rPr>
        <w:t>1</w:t>
      </w:r>
      <w:r>
        <w:rPr>
          <w:rFonts w:asciiTheme="minorEastAsia" w:hAnsiTheme="minorEastAsia" w:hint="eastAsia"/>
          <w:bCs/>
          <w:sz w:val="24"/>
        </w:rPr>
        <w:t>2、相关法律法规以及监管部门有强制规定的，从其规定。如有新增事项，按国家最新规定估值。</w:t>
      </w:r>
    </w:p>
    <w:p w14:paraId="20DE65C5" w14:textId="77777777" w:rsidR="00B51DEA" w:rsidRDefault="00000000">
      <w:pPr>
        <w:autoSpaceDE w:val="0"/>
        <w:autoSpaceDN w:val="0"/>
        <w:spacing w:line="360" w:lineRule="auto"/>
        <w:ind w:firstLineChars="200" w:firstLine="480"/>
        <w:textAlignment w:val="bottom"/>
        <w:rPr>
          <w:rFonts w:asciiTheme="minorEastAsia" w:hAnsiTheme="minorEastAsia" w:hint="eastAsia"/>
          <w:sz w:val="24"/>
        </w:rPr>
      </w:pPr>
      <w:r>
        <w:rPr>
          <w:rFonts w:asciiTheme="minorEastAsia" w:hAnsiTheme="minorEastAsia" w:hint="eastAsia"/>
          <w:sz w:val="24"/>
        </w:rPr>
        <w:t>如基金管理人或基金托管人发现基金估值违反基金合同订明的估值方法、程序及相关法律法规的规定或者未能充分维护基金份额持有人利益时，应立即通知对方，共同查明原因，双方协商解决。</w:t>
      </w:r>
    </w:p>
    <w:p w14:paraId="0EF2FB6E"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lastRenderedPageBreak/>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资产净值的计算结果对外予以公布。</w:t>
      </w:r>
    </w:p>
    <w:p w14:paraId="1AA45BAB" w14:textId="77777777" w:rsidR="00B51DEA" w:rsidRDefault="00000000">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四、估值程序</w:t>
      </w:r>
    </w:p>
    <w:p w14:paraId="2E5D6525"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1、各类基金份额净值是按照每个工作日闭市后，该类基金资产净值除以当日该类基金份额的余额数量计算，精确到</w:t>
      </w:r>
      <w:r>
        <w:rPr>
          <w:rFonts w:asciiTheme="minorEastAsia" w:hAnsiTheme="minorEastAsia"/>
          <w:bCs/>
          <w:sz w:val="24"/>
        </w:rPr>
        <w:t>0.0001</w:t>
      </w:r>
      <w:r>
        <w:rPr>
          <w:rFonts w:asciiTheme="minorEastAsia" w:hAnsiTheme="minorEastAsia" w:hint="eastAsia"/>
          <w:bCs/>
          <w:sz w:val="24"/>
        </w:rPr>
        <w:t>元，小数点后第</w:t>
      </w:r>
      <w:r>
        <w:rPr>
          <w:rFonts w:asciiTheme="minorEastAsia" w:hAnsiTheme="minorEastAsia"/>
          <w:bCs/>
          <w:sz w:val="24"/>
        </w:rPr>
        <w:t>5</w:t>
      </w:r>
      <w:r>
        <w:rPr>
          <w:rFonts w:asciiTheme="minorEastAsia" w:hAnsiTheme="minorEastAsia" w:hint="eastAsia"/>
          <w:bCs/>
          <w:sz w:val="24"/>
        </w:rPr>
        <w:t>位四舍五入。国家另有规定的，从其规定。</w:t>
      </w:r>
    </w:p>
    <w:p w14:paraId="4FFE14DB"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基金管理人每个工作日计算基金资产净值及两类基金份额净值，并按规定公告。</w:t>
      </w:r>
    </w:p>
    <w:p w14:paraId="6172FC49"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2、基金管理人</w:t>
      </w:r>
      <w:proofErr w:type="gramStart"/>
      <w:r>
        <w:rPr>
          <w:rFonts w:asciiTheme="minorEastAsia" w:hAnsiTheme="minorEastAsia" w:hint="eastAsia"/>
          <w:bCs/>
          <w:sz w:val="24"/>
        </w:rPr>
        <w:t>应每个</w:t>
      </w:r>
      <w:proofErr w:type="gramEnd"/>
      <w:r>
        <w:rPr>
          <w:rFonts w:asciiTheme="minorEastAsia" w:hAnsiTheme="minorEastAsia" w:hint="eastAsia"/>
          <w:bCs/>
          <w:sz w:val="24"/>
        </w:rPr>
        <w:t>工作日对基金资产估值。但基金管理人根据法律法规或基金合同的规定暂停估值时除外。基金管理人每个工作日对基金资产估值后，将两类基金份额净值结果发送基金托管人，经基金托管人复核无误后，由基金管理人按规定对外公布。</w:t>
      </w:r>
    </w:p>
    <w:p w14:paraId="1345577C" w14:textId="77777777" w:rsidR="00B51DEA" w:rsidRDefault="00000000">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五、估值错误的处理</w:t>
      </w:r>
    </w:p>
    <w:p w14:paraId="6639F727"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基金管理人和基金托管人将采取必要、适当、合理的措施确保基金资产估值的准确性、及时性。当基金份额净值小数点后</w:t>
      </w:r>
      <w:r>
        <w:rPr>
          <w:rFonts w:asciiTheme="minorEastAsia" w:hAnsiTheme="minorEastAsia"/>
          <w:bCs/>
          <w:sz w:val="24"/>
        </w:rPr>
        <w:t>4</w:t>
      </w:r>
      <w:r>
        <w:rPr>
          <w:rFonts w:asciiTheme="minorEastAsia" w:hAnsiTheme="minorEastAsia" w:hint="eastAsia"/>
          <w:bCs/>
          <w:sz w:val="24"/>
        </w:rPr>
        <w:t>位以内（含第</w:t>
      </w:r>
      <w:r>
        <w:rPr>
          <w:rFonts w:asciiTheme="minorEastAsia" w:hAnsiTheme="minorEastAsia"/>
          <w:bCs/>
          <w:sz w:val="24"/>
        </w:rPr>
        <w:t>4</w:t>
      </w:r>
      <w:r>
        <w:rPr>
          <w:rFonts w:asciiTheme="minorEastAsia" w:hAnsiTheme="minorEastAsia" w:hint="eastAsia"/>
          <w:bCs/>
          <w:sz w:val="24"/>
        </w:rPr>
        <w:t>位）发生估值错误时，视为基金份额净值错误。</w:t>
      </w:r>
    </w:p>
    <w:p w14:paraId="58CB7B78"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基金合同的当事人应按照以下约定处理：</w:t>
      </w:r>
    </w:p>
    <w:p w14:paraId="114C7E71"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1、估值错误类型</w:t>
      </w:r>
    </w:p>
    <w:p w14:paraId="3E9B7258"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本基金运作过程中，如果由于基金管理人或基金托管人、或登记机构、或销售机构、或投资人自身的过错造成估值错误，导致其他当事人遭受损失的，过错的责任人应当对由于该估值错误遭受损失当事人（“受损方”）的直接损失按下述“估值错误处理原则”给予赔偿，承担赔偿责任。</w:t>
      </w:r>
    </w:p>
    <w:p w14:paraId="6C7E63C5"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上述估值错误的主要类型包括但不限于：资料申报差错、数据传输差错、数据计算差错、系统故障差错、下达指令差错等。</w:t>
      </w:r>
    </w:p>
    <w:p w14:paraId="47C6798C"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2、估值错误处理原则</w:t>
      </w:r>
    </w:p>
    <w:p w14:paraId="2431C8CD"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（1）估值错误已发生，但尚未给当事人造成损失时，估值错误责任方应及时协调各方，及时进行更正，因更正估值错误发生的费用由估值错误责任方承担；</w:t>
      </w:r>
      <w:r>
        <w:rPr>
          <w:rFonts w:asciiTheme="minorEastAsia" w:hAnsiTheme="minorEastAsia" w:hint="eastAsia"/>
          <w:bCs/>
          <w:sz w:val="24"/>
        </w:rPr>
        <w:lastRenderedPageBreak/>
        <w:t>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14:paraId="24F12B41"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2</w:t>
      </w:r>
      <w:r>
        <w:rPr>
          <w:rFonts w:asciiTheme="minorEastAsia" w:hAnsiTheme="minorEastAsia" w:hint="eastAsia"/>
          <w:bCs/>
          <w:sz w:val="24"/>
        </w:rPr>
        <w:t>）估值错误的责任方对有关当事人的直接损失负责，不对间接损失负责，并且仅对估值错误的有关直接当事人负责，不对第三方负责。</w:t>
      </w:r>
    </w:p>
    <w:p w14:paraId="53151ABA"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3</w:t>
      </w:r>
      <w:r>
        <w:rPr>
          <w:rFonts w:asciiTheme="minorEastAsia" w:hAnsiTheme="minorEastAsia" w:hint="eastAsia"/>
          <w:bCs/>
          <w:sz w:val="24"/>
        </w:rPr>
        <w:t>）因估值错误而获得不当得利的当事人负有及时返还不当得利的义务。但估值错误责任方仍应对估值错误负责。如果由于获得不当得利的当事人</w:t>
      </w:r>
      <w:proofErr w:type="gramStart"/>
      <w:r>
        <w:rPr>
          <w:rFonts w:asciiTheme="minorEastAsia" w:hAnsiTheme="minorEastAsia" w:hint="eastAsia"/>
          <w:bCs/>
          <w:sz w:val="24"/>
        </w:rPr>
        <w:t>不</w:t>
      </w:r>
      <w:proofErr w:type="gramEnd"/>
      <w:r>
        <w:rPr>
          <w:rFonts w:asciiTheme="minorEastAsia" w:hAnsiTheme="minorEastAsia" w:hint="eastAsia"/>
          <w:bCs/>
          <w:sz w:val="24"/>
        </w:rPr>
        <w:t>返还或不全部返还不当得利造成其他当事人的利益损失（“受损方”），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14:paraId="6BAF41A9"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4</w:t>
      </w:r>
      <w:r>
        <w:rPr>
          <w:rFonts w:asciiTheme="minorEastAsia" w:hAnsiTheme="minorEastAsia" w:hint="eastAsia"/>
          <w:bCs/>
          <w:sz w:val="24"/>
        </w:rPr>
        <w:t>）估值错误调整采用尽量恢复至假设未发生估值错误的正确情形的方式。</w:t>
      </w:r>
    </w:p>
    <w:p w14:paraId="3D76E668"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（5）按法律法规规定的其他原则处理估值错误。</w:t>
      </w:r>
    </w:p>
    <w:p w14:paraId="157200EC"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3、估值错误处理程序</w:t>
      </w:r>
    </w:p>
    <w:p w14:paraId="519A08BE"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估值错误被发现后，有关的当事人应当及时进行处理，处理的程序如下：</w:t>
      </w:r>
    </w:p>
    <w:p w14:paraId="1D4E44E8"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（1）查明估值错误发生的原因，列明所有的当事人，并根据估值错误发生的原因确定估值错误的责任方；</w:t>
      </w:r>
    </w:p>
    <w:p w14:paraId="5EB630A0"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2</w:t>
      </w:r>
      <w:r>
        <w:rPr>
          <w:rFonts w:asciiTheme="minorEastAsia" w:hAnsiTheme="minorEastAsia" w:hint="eastAsia"/>
          <w:bCs/>
          <w:sz w:val="24"/>
        </w:rPr>
        <w:t>）根据估值错误处理原则或当事人协商的方法对因估值错误造成的损失进行评估；</w:t>
      </w:r>
    </w:p>
    <w:p w14:paraId="0E745ABF"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3</w:t>
      </w:r>
      <w:r>
        <w:rPr>
          <w:rFonts w:asciiTheme="minorEastAsia" w:hAnsiTheme="minorEastAsia" w:hint="eastAsia"/>
          <w:bCs/>
          <w:sz w:val="24"/>
        </w:rPr>
        <w:t>）根据估值错误处理原则或当事人协商的方法由估值错误的责任方进行更正和赔偿损失；</w:t>
      </w:r>
    </w:p>
    <w:p w14:paraId="20CA0517"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4</w:t>
      </w:r>
      <w:r>
        <w:rPr>
          <w:rFonts w:asciiTheme="minorEastAsia" w:hAnsiTheme="minorEastAsia" w:hint="eastAsia"/>
          <w:bCs/>
          <w:sz w:val="24"/>
        </w:rPr>
        <w:t>）根据估值错误处理的方法，需要修改基金登记机构交易数据的，由基金登记机构进行更正，并就估值错误的更正向有关当事人进行确认。</w:t>
      </w:r>
    </w:p>
    <w:p w14:paraId="01320393"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4、基金份额净值估值错误处理的方法如下：</w:t>
      </w:r>
    </w:p>
    <w:p w14:paraId="76BFC510"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（1）基金份额净值计算出现错误时，基金管理人应当立即予以纠正，通报基金托管人，并采取合理的措施防止损失进一步扩大。</w:t>
      </w:r>
    </w:p>
    <w:p w14:paraId="35F7EC87"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lastRenderedPageBreak/>
        <w:t>（</w:t>
      </w:r>
      <w:r>
        <w:rPr>
          <w:rFonts w:asciiTheme="minorEastAsia" w:hAnsiTheme="minorEastAsia"/>
          <w:bCs/>
          <w:sz w:val="24"/>
        </w:rPr>
        <w:t>2</w:t>
      </w:r>
      <w:r>
        <w:rPr>
          <w:rFonts w:asciiTheme="minorEastAsia" w:hAnsiTheme="minorEastAsia" w:hint="eastAsia"/>
          <w:bCs/>
          <w:sz w:val="24"/>
        </w:rPr>
        <w:t>）错误偏差达到基金份额净值的0.25%时，基金管理人应当通报基金托管人并报中国证监会备案；错误偏差达到基金份额净值的0.5%时，基金管理人应当公告。</w:t>
      </w:r>
    </w:p>
    <w:p w14:paraId="0339C3D9" w14:textId="77777777" w:rsidR="00B51DEA" w:rsidRDefault="00000000">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hint="eastAsia"/>
          <w:bCs/>
          <w:sz w:val="24"/>
        </w:rPr>
        <w:t>（3）前述内容如法律法规或监管机关另有规定的，从其规定处理。如果行业另有通行做法，基金管理人和基金托管人应本着平等和保护基金份额持有人利益的原则进行协商。</w:t>
      </w:r>
    </w:p>
    <w:p w14:paraId="5A1B1646" w14:textId="77777777" w:rsidR="00B51DEA" w:rsidRDefault="00000000">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六、暂停估值的情形</w:t>
      </w:r>
    </w:p>
    <w:p w14:paraId="5C326F58"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1、基金投资所涉及的证券、期货交易市场遇法定节假日或因其他原因暂停营业时；</w:t>
      </w:r>
    </w:p>
    <w:p w14:paraId="15E673BD"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2、因不可抗力致使基金管理人、基金托管人无法准确评估基金资产价值时；</w:t>
      </w:r>
    </w:p>
    <w:p w14:paraId="44F2DB4C"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3、当前一估值日基金资产净值</w:t>
      </w:r>
      <w:r>
        <w:rPr>
          <w:rFonts w:asciiTheme="minorEastAsia" w:hAnsiTheme="minorEastAsia"/>
          <w:bCs/>
          <w:sz w:val="24"/>
        </w:rPr>
        <w:t xml:space="preserve"> </w:t>
      </w:r>
      <w:r>
        <w:rPr>
          <w:rFonts w:asciiTheme="minorEastAsia" w:hAnsiTheme="minorEastAsia" w:hint="eastAsia"/>
          <w:bCs/>
          <w:sz w:val="24"/>
        </w:rPr>
        <w:t>50%以上的资产出现无可参考的活跃市场价格且采用估值技术</w:t>
      </w:r>
      <w:proofErr w:type="gramStart"/>
      <w:r>
        <w:rPr>
          <w:rFonts w:asciiTheme="minorEastAsia" w:hAnsiTheme="minorEastAsia" w:hint="eastAsia"/>
          <w:bCs/>
          <w:sz w:val="24"/>
        </w:rPr>
        <w:t>仍导致</w:t>
      </w:r>
      <w:proofErr w:type="gramEnd"/>
      <w:r>
        <w:rPr>
          <w:rFonts w:asciiTheme="minorEastAsia" w:hAnsiTheme="minorEastAsia" w:hint="eastAsia"/>
          <w:bCs/>
          <w:sz w:val="24"/>
        </w:rPr>
        <w:t>公允价值存在重大不确定性时，经与基金托管人协商一致的；</w:t>
      </w:r>
    </w:p>
    <w:p w14:paraId="33D3D0F2"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4、中国证监会和基金合同认定的其它情形。</w:t>
      </w:r>
    </w:p>
    <w:p w14:paraId="6003A1B0" w14:textId="77777777" w:rsidR="00B51DEA" w:rsidRDefault="00000000">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七、基金净值的确认</w:t>
      </w:r>
    </w:p>
    <w:p w14:paraId="065ECB9C"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用于基金信息披露的基金资产净值和两类基金份额净值由基金管理人负责计算，基金托管人负责进行复核。基金管理人应于每个开放日交易结束后计算当日的基金资产净值和两类基金份额净值并发送给基金托管人。基金托管人对净值计算结果复核确认后发送给基金管理人，由基金管理人对基金净值按约定予以公布。</w:t>
      </w:r>
    </w:p>
    <w:p w14:paraId="7DB5DE02" w14:textId="77777777" w:rsidR="00B51DEA" w:rsidRDefault="00000000">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八、特殊情况的处理</w:t>
      </w:r>
    </w:p>
    <w:p w14:paraId="4512F7B9"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bookmarkStart w:id="250" w:name="_Toc416264548"/>
      <w:bookmarkStart w:id="251" w:name="_Toc263092320"/>
      <w:bookmarkEnd w:id="236"/>
      <w:bookmarkEnd w:id="237"/>
      <w:bookmarkEnd w:id="238"/>
      <w:bookmarkEnd w:id="239"/>
      <w:bookmarkEnd w:id="240"/>
      <w:bookmarkEnd w:id="241"/>
      <w:bookmarkEnd w:id="242"/>
      <w:bookmarkEnd w:id="243"/>
      <w:bookmarkEnd w:id="244"/>
      <w:bookmarkEnd w:id="245"/>
      <w:bookmarkEnd w:id="246"/>
      <w:bookmarkEnd w:id="247"/>
      <w:r>
        <w:rPr>
          <w:rFonts w:asciiTheme="minorEastAsia" w:hAnsiTheme="minorEastAsia" w:hint="eastAsia"/>
          <w:bCs/>
          <w:sz w:val="24"/>
        </w:rPr>
        <w:t>1、基金管理人或基金托管人按估值方法的第10项进行估值时，所造成的误差不作为基金资产估值错误处理。</w:t>
      </w:r>
    </w:p>
    <w:p w14:paraId="03B65DEF" w14:textId="77777777" w:rsidR="00B51DEA" w:rsidRDefault="00000000">
      <w:pPr>
        <w:autoSpaceDE w:val="0"/>
        <w:autoSpaceDN w:val="0"/>
        <w:spacing w:line="360" w:lineRule="auto"/>
        <w:ind w:firstLineChars="200" w:firstLine="480"/>
        <w:textAlignment w:val="bottom"/>
        <w:rPr>
          <w:rFonts w:asciiTheme="minorEastAsia" w:hAnsiTheme="minorEastAsia" w:hint="eastAsia"/>
          <w:sz w:val="30"/>
          <w:szCs w:val="30"/>
        </w:rPr>
        <w:sectPr w:rsidR="00B51DEA">
          <w:pgSz w:w="11906" w:h="16838"/>
          <w:pgMar w:top="1440" w:right="1800" w:bottom="1440" w:left="1800" w:header="851" w:footer="992" w:gutter="0"/>
          <w:pgNumType w:chapStyle="1"/>
          <w:cols w:space="720"/>
          <w:docGrid w:type="lines" w:linePitch="312"/>
        </w:sectPr>
      </w:pPr>
      <w:r>
        <w:rPr>
          <w:rFonts w:asciiTheme="minorEastAsia" w:hAnsiTheme="minorEastAsia" w:hint="eastAsia"/>
          <w:bCs/>
          <w:sz w:val="24"/>
        </w:rPr>
        <w:t>2、由于不可抗力原因，或由于证券、期货交易所或登记结算公司等机构发送的数据错误等原因，基金管理人和基金托管人虽然已经采取必要、适当、合理的措施进行检查，但是未能发现该错误的，由此造成的基金资产估值错误，基金管理人和基金托管人免除赔偿责任。但基金管理人和基金托管人应当积极采取必要的措施消除或减轻由此造成的影响。</w:t>
      </w:r>
    </w:p>
    <w:p w14:paraId="063E589E" w14:textId="77777777" w:rsidR="00B51DEA" w:rsidRDefault="00000000">
      <w:pPr>
        <w:pStyle w:val="1"/>
        <w:jc w:val="center"/>
        <w:rPr>
          <w:rFonts w:asciiTheme="minorEastAsia" w:eastAsiaTheme="minorEastAsia" w:hAnsiTheme="minorEastAsia" w:hint="eastAsia"/>
          <w:sz w:val="30"/>
          <w:szCs w:val="30"/>
        </w:rPr>
      </w:pPr>
      <w:bookmarkStart w:id="252" w:name="_Toc2677413"/>
      <w:r>
        <w:rPr>
          <w:rFonts w:asciiTheme="minorEastAsia" w:eastAsiaTheme="minorEastAsia" w:hAnsiTheme="minorEastAsia" w:hint="eastAsia"/>
          <w:sz w:val="30"/>
          <w:szCs w:val="30"/>
        </w:rPr>
        <w:lastRenderedPageBreak/>
        <w:t>第十二部分</w:t>
      </w:r>
      <w:r>
        <w:rPr>
          <w:rFonts w:asciiTheme="minorEastAsia" w:eastAsiaTheme="minorEastAsia" w:hAnsiTheme="minorEastAsia"/>
          <w:sz w:val="30"/>
          <w:szCs w:val="30"/>
        </w:rPr>
        <w:t xml:space="preserve">  </w:t>
      </w:r>
      <w:r>
        <w:rPr>
          <w:rFonts w:asciiTheme="minorEastAsia" w:eastAsiaTheme="minorEastAsia" w:hAnsiTheme="minorEastAsia" w:hint="eastAsia"/>
          <w:sz w:val="30"/>
          <w:szCs w:val="30"/>
        </w:rPr>
        <w:t>基金的收益分配</w:t>
      </w:r>
      <w:bookmarkEnd w:id="250"/>
      <w:bookmarkEnd w:id="251"/>
      <w:bookmarkEnd w:id="252"/>
    </w:p>
    <w:p w14:paraId="20DA611E" w14:textId="77777777" w:rsidR="00B51DEA" w:rsidRDefault="00000000">
      <w:pPr>
        <w:adjustRightInd w:val="0"/>
        <w:snapToGrid w:val="0"/>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一、基金利润的构成</w:t>
      </w:r>
    </w:p>
    <w:p w14:paraId="74CC8CD1"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基金利润指基金利息收入、投资收益、公允价值变动收益和其他收入扣除相关费用后的余额，基金已实现收益指基金利润减去公允价值变动收益后的余额。</w:t>
      </w:r>
    </w:p>
    <w:p w14:paraId="664334B8" w14:textId="77777777" w:rsidR="00B51DEA" w:rsidRDefault="00000000">
      <w:pPr>
        <w:adjustRightInd w:val="0"/>
        <w:snapToGrid w:val="0"/>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二、基金可供分配利润</w:t>
      </w:r>
    </w:p>
    <w:p w14:paraId="3B4A6E5B"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基金可供分配利润指截至收益分配基准日基金未分配利润与未分配利润中已实现收益的孰低数。</w:t>
      </w:r>
    </w:p>
    <w:p w14:paraId="31786809" w14:textId="77777777" w:rsidR="00B51DEA" w:rsidRDefault="00000000">
      <w:pPr>
        <w:adjustRightInd w:val="0"/>
        <w:snapToGrid w:val="0"/>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三、基金收益分配原则</w:t>
      </w:r>
    </w:p>
    <w:p w14:paraId="733BE5FA"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1、在符合有关基金分红条件的前提下，本基金管理人可以根据实际情况进行收益分配，具体分配方案以公告为准，若《基金合同》生效不满3个月可不进行收益分配；</w:t>
      </w:r>
    </w:p>
    <w:p w14:paraId="5BF29750"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2、本基金收益分配方式分两种：现金分红与红利再投资，投资者可选择现金红利或将现金红利自动转为相应类别基金份额进行再投资；若投资者不选择，本基金默认的收益分配方式是现金分红；</w:t>
      </w:r>
    </w:p>
    <w:p w14:paraId="04A3BCB2"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3、基金收益分配后基金份额净值不能低于面值，即基金收益分配基准日的基金份额净值减去每单位基金份额收益分配金额后不能低于面值；</w:t>
      </w:r>
    </w:p>
    <w:p w14:paraId="188AA9F8"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4、由于A类基金份额不收取销售服务费，而C类基金份额收取销售服务费，将导致在可供分配利润上可能有所不同；本基金同一类别的每份基金份额享有同等分配权；</w:t>
      </w:r>
    </w:p>
    <w:p w14:paraId="1AA75681"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5、法律法规或监管机关另有规定的，从其规定。</w:t>
      </w:r>
    </w:p>
    <w:p w14:paraId="20AE4A50"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在对基金份额持有人利益无实质不利影响的前提下，基金管理人可与基金托管人协商一致后调整基金收益分配原则和支付方式，不需召开基金份额持有人大会。</w:t>
      </w:r>
    </w:p>
    <w:p w14:paraId="5965A26C" w14:textId="77777777" w:rsidR="00B51DEA" w:rsidRDefault="00000000">
      <w:pPr>
        <w:adjustRightInd w:val="0"/>
        <w:snapToGrid w:val="0"/>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四、收益分配方案</w:t>
      </w:r>
    </w:p>
    <w:p w14:paraId="2B14EE64"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基金收益分配方案中应载明截止收益分配基准日的可供分配利润、基金收益分配对象、分配时间、分配数额及比例、分配方式等内容。</w:t>
      </w:r>
    </w:p>
    <w:p w14:paraId="5D0A2E0B" w14:textId="77777777" w:rsidR="00B51DEA" w:rsidRDefault="00000000">
      <w:pPr>
        <w:adjustRightInd w:val="0"/>
        <w:snapToGrid w:val="0"/>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五、收益分配方案的确定、公告与实施</w:t>
      </w:r>
    </w:p>
    <w:p w14:paraId="6A955348" w14:textId="77777777" w:rsidR="00B51DEA" w:rsidRDefault="00000000">
      <w:pPr>
        <w:adjustRightInd w:val="0"/>
        <w:snapToGrid w:val="0"/>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本基金收益分配方案由基金管理人拟定，并由基金托管人复核，依据相关规定在指定媒介公告。</w:t>
      </w:r>
    </w:p>
    <w:p w14:paraId="7DA8D196" w14:textId="77777777" w:rsidR="00B51DEA" w:rsidRDefault="00000000">
      <w:pPr>
        <w:adjustRightInd w:val="0"/>
        <w:snapToGrid w:val="0"/>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基金红利发放</w:t>
      </w:r>
      <w:proofErr w:type="gramStart"/>
      <w:r>
        <w:rPr>
          <w:rFonts w:asciiTheme="minorEastAsia" w:hAnsiTheme="minorEastAsia" w:cs="Times New Roman" w:hint="eastAsia"/>
          <w:bCs/>
          <w:sz w:val="24"/>
          <w:szCs w:val="24"/>
        </w:rPr>
        <w:t>日距离</w:t>
      </w:r>
      <w:proofErr w:type="gramEnd"/>
      <w:r>
        <w:rPr>
          <w:rFonts w:asciiTheme="minorEastAsia" w:hAnsiTheme="minorEastAsia" w:cs="Times New Roman" w:hint="eastAsia"/>
          <w:bCs/>
          <w:sz w:val="24"/>
          <w:szCs w:val="24"/>
        </w:rPr>
        <w:t>收益分配基准日（即可供分配利润计算截止日）的时间不得超过</w:t>
      </w:r>
      <w:r>
        <w:rPr>
          <w:rFonts w:asciiTheme="minorEastAsia" w:hAnsiTheme="minorEastAsia" w:cs="Times New Roman"/>
          <w:bCs/>
          <w:sz w:val="24"/>
          <w:szCs w:val="24"/>
        </w:rPr>
        <w:t>15个工作日。</w:t>
      </w:r>
    </w:p>
    <w:p w14:paraId="507D5EED" w14:textId="77777777" w:rsidR="00B51DEA" w:rsidRDefault="00000000">
      <w:pPr>
        <w:adjustRightInd w:val="0"/>
        <w:snapToGrid w:val="0"/>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六、基金收益分配中发生的费用</w:t>
      </w:r>
    </w:p>
    <w:p w14:paraId="74AF989D" w14:textId="77777777" w:rsidR="00B51DEA" w:rsidRDefault="00000000">
      <w:pPr>
        <w:autoSpaceDE w:val="0"/>
        <w:autoSpaceDN w:val="0"/>
        <w:spacing w:line="360" w:lineRule="auto"/>
        <w:ind w:firstLineChars="200" w:firstLine="480"/>
        <w:textAlignment w:val="bottom"/>
        <w:rPr>
          <w:rFonts w:asciiTheme="minorEastAsia" w:hAnsiTheme="minorEastAsia" w:hint="eastAsia"/>
          <w:b/>
          <w:bCs/>
          <w:kern w:val="44"/>
          <w:sz w:val="18"/>
        </w:rPr>
        <w:sectPr w:rsidR="00B51DEA">
          <w:pgSz w:w="11906" w:h="16838"/>
          <w:pgMar w:top="1440" w:right="1800" w:bottom="1440" w:left="1800" w:header="851" w:footer="992" w:gutter="0"/>
          <w:pgNumType w:chapStyle="1"/>
          <w:cols w:space="720"/>
          <w:docGrid w:type="lines" w:linePitch="312"/>
        </w:sectPr>
      </w:pPr>
      <w:bookmarkStart w:id="253" w:name="_Toc147463128"/>
      <w:bookmarkStart w:id="254" w:name="_Toc416264549"/>
      <w:bookmarkStart w:id="255" w:name="_Toc12357181"/>
      <w:bookmarkStart w:id="256" w:name="_Toc21073401"/>
      <w:bookmarkStart w:id="257" w:name="_Toc263092321"/>
      <w:bookmarkStart w:id="258" w:name="_Toc214873602"/>
      <w:bookmarkStart w:id="259" w:name="_Toc352229760"/>
      <w:bookmarkStart w:id="260" w:name="_Toc7802"/>
      <w:bookmarkStart w:id="261" w:name="_Toc31917"/>
      <w:bookmarkStart w:id="262" w:name="_Toc139991744"/>
      <w:bookmarkStart w:id="263" w:name="_Toc17782"/>
      <w:bookmarkStart w:id="264" w:name="_Toc871"/>
      <w:bookmarkStart w:id="265" w:name="_Toc19714"/>
      <w:bookmarkStart w:id="266" w:name="_Toc2623"/>
      <w:bookmarkStart w:id="267" w:name="_Toc141703894"/>
      <w:bookmarkStart w:id="268" w:name="_Toc27832"/>
      <w:r>
        <w:rPr>
          <w:rFonts w:asciiTheme="minorEastAsia" w:hAnsiTheme="minorEastAsia" w:hint="eastAsia"/>
          <w:bCs/>
          <w:sz w:val="24"/>
        </w:rPr>
        <w:t>基金收益分配时所发生的银行转账或其他手续费用由投资者自行承担。当投资者的现金红利小于一定金额，不足以支付银行转账或其他手续费用时，基金登记机构可将基金份额持有人的现金红利自动转为相应类别基金份额。红利再投资的计算方法，依照《业务规则》执行。</w:t>
      </w:r>
    </w:p>
    <w:p w14:paraId="0F7EBC2B" w14:textId="77777777" w:rsidR="00B51DEA" w:rsidRDefault="00000000">
      <w:pPr>
        <w:pStyle w:val="1"/>
        <w:jc w:val="center"/>
        <w:rPr>
          <w:rFonts w:asciiTheme="minorEastAsia" w:eastAsiaTheme="minorEastAsia" w:hAnsiTheme="minorEastAsia" w:hint="eastAsia"/>
          <w:sz w:val="30"/>
          <w:szCs w:val="30"/>
        </w:rPr>
      </w:pPr>
      <w:bookmarkStart w:id="269" w:name="_Toc2677414"/>
      <w:r>
        <w:rPr>
          <w:rFonts w:asciiTheme="minorEastAsia" w:eastAsiaTheme="minorEastAsia" w:hAnsiTheme="minorEastAsia" w:hint="eastAsia"/>
          <w:sz w:val="30"/>
          <w:szCs w:val="30"/>
        </w:rPr>
        <w:lastRenderedPageBreak/>
        <w:t>第十三部分</w:t>
      </w:r>
      <w:r>
        <w:rPr>
          <w:rFonts w:asciiTheme="minorEastAsia" w:eastAsiaTheme="minorEastAsia" w:hAnsiTheme="minorEastAsia"/>
          <w:sz w:val="30"/>
          <w:szCs w:val="30"/>
        </w:rPr>
        <w:t xml:space="preserve">  </w:t>
      </w:r>
      <w:r>
        <w:rPr>
          <w:rFonts w:asciiTheme="minorEastAsia" w:eastAsiaTheme="minorEastAsia" w:hAnsiTheme="minorEastAsia" w:hint="eastAsia"/>
          <w:sz w:val="30"/>
          <w:szCs w:val="30"/>
        </w:rPr>
        <w:t>基金费用与税收</w:t>
      </w:r>
      <w:bookmarkEnd w:id="253"/>
      <w:bookmarkEnd w:id="254"/>
      <w:bookmarkEnd w:id="255"/>
      <w:bookmarkEnd w:id="256"/>
      <w:bookmarkEnd w:id="257"/>
      <w:bookmarkEnd w:id="258"/>
      <w:bookmarkEnd w:id="269"/>
    </w:p>
    <w:p w14:paraId="0C057E4A"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一、基金费用的种类</w:t>
      </w:r>
    </w:p>
    <w:p w14:paraId="49CA86FE"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1、基金管理人的管理费；</w:t>
      </w:r>
    </w:p>
    <w:p w14:paraId="79A99B42"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2、基金托管人的托管费；</w:t>
      </w:r>
    </w:p>
    <w:p w14:paraId="7AB61CC6"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3、C类基金份额的销售服务费；</w:t>
      </w:r>
    </w:p>
    <w:p w14:paraId="377AC40D"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bCs/>
          <w:sz w:val="24"/>
        </w:rPr>
        <w:t>4</w:t>
      </w:r>
      <w:r>
        <w:rPr>
          <w:rFonts w:asciiTheme="minorEastAsia" w:hAnsiTheme="minorEastAsia" w:hint="eastAsia"/>
          <w:bCs/>
          <w:sz w:val="24"/>
        </w:rPr>
        <w:t>、《基金合同》生效后与基金相关的信息披露费用；</w:t>
      </w:r>
    </w:p>
    <w:p w14:paraId="7BC004C1"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bCs/>
          <w:sz w:val="24"/>
        </w:rPr>
        <w:t>5</w:t>
      </w:r>
      <w:r>
        <w:rPr>
          <w:rFonts w:asciiTheme="minorEastAsia" w:hAnsiTheme="minorEastAsia" w:hint="eastAsia"/>
          <w:bCs/>
          <w:sz w:val="24"/>
        </w:rPr>
        <w:t>、《基金合同》生效后与基金相关的会计师费、律师费、诉讼费和仲裁费；</w:t>
      </w:r>
    </w:p>
    <w:p w14:paraId="10835EBF"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bCs/>
          <w:sz w:val="24"/>
        </w:rPr>
        <w:t>6</w:t>
      </w:r>
      <w:r>
        <w:rPr>
          <w:rFonts w:asciiTheme="minorEastAsia" w:hAnsiTheme="minorEastAsia" w:hint="eastAsia"/>
          <w:bCs/>
          <w:sz w:val="24"/>
        </w:rPr>
        <w:t>、基金份额持有人大会费用；</w:t>
      </w:r>
    </w:p>
    <w:p w14:paraId="1AD677F7"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bCs/>
          <w:sz w:val="24"/>
        </w:rPr>
        <w:t>7</w:t>
      </w:r>
      <w:r>
        <w:rPr>
          <w:rFonts w:asciiTheme="minorEastAsia" w:hAnsiTheme="minorEastAsia" w:hint="eastAsia"/>
          <w:bCs/>
          <w:sz w:val="24"/>
        </w:rPr>
        <w:t>、基金的证券、期货交易费用；</w:t>
      </w:r>
    </w:p>
    <w:p w14:paraId="30C50983"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bCs/>
          <w:sz w:val="24"/>
        </w:rPr>
        <w:t>8</w:t>
      </w:r>
      <w:r>
        <w:rPr>
          <w:rFonts w:asciiTheme="minorEastAsia" w:hAnsiTheme="minorEastAsia" w:hint="eastAsia"/>
          <w:bCs/>
          <w:sz w:val="24"/>
        </w:rPr>
        <w:t>、基金的银行汇划费用；</w:t>
      </w:r>
    </w:p>
    <w:p w14:paraId="120AA4B5"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bCs/>
          <w:sz w:val="24"/>
        </w:rPr>
        <w:t>9</w:t>
      </w:r>
      <w:r>
        <w:rPr>
          <w:rFonts w:asciiTheme="minorEastAsia" w:hAnsiTheme="minorEastAsia" w:hint="eastAsia"/>
          <w:bCs/>
          <w:sz w:val="24"/>
        </w:rPr>
        <w:t>、基金的账户开户费用、账户维护费用；</w:t>
      </w:r>
    </w:p>
    <w:p w14:paraId="3D5D7D7C"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10、按照国家有关规定和《基金合同》约定，可以在基金财产中列支的其他费用。</w:t>
      </w:r>
    </w:p>
    <w:p w14:paraId="46A3CDB2"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二、基金费用计提方法、计提标准和支付方式</w:t>
      </w:r>
    </w:p>
    <w:p w14:paraId="151702BA"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 xml:space="preserve">1、基金管理人的管理费 </w:t>
      </w:r>
    </w:p>
    <w:p w14:paraId="2ED063FA"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本基金的管理费按前一日基金资产净值的</w:t>
      </w:r>
      <w:r>
        <w:rPr>
          <w:rFonts w:asciiTheme="minorEastAsia" w:hAnsiTheme="minorEastAsia"/>
          <w:bCs/>
          <w:sz w:val="24"/>
        </w:rPr>
        <w:t>0.6</w:t>
      </w:r>
      <w:r>
        <w:rPr>
          <w:rFonts w:asciiTheme="minorEastAsia" w:hAnsiTheme="minorEastAsia" w:hint="eastAsia"/>
          <w:bCs/>
          <w:sz w:val="24"/>
        </w:rPr>
        <w:t>%年费率计提。管理费的计算方法如下：</w:t>
      </w:r>
    </w:p>
    <w:p w14:paraId="0B982F76"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H＝E×</w:t>
      </w:r>
      <w:r>
        <w:rPr>
          <w:rFonts w:asciiTheme="minorEastAsia" w:hAnsiTheme="minorEastAsia"/>
          <w:bCs/>
          <w:sz w:val="24"/>
        </w:rPr>
        <w:t>0.6</w:t>
      </w:r>
      <w:r>
        <w:rPr>
          <w:rFonts w:asciiTheme="minorEastAsia" w:hAnsiTheme="minorEastAsia" w:hint="eastAsia"/>
          <w:bCs/>
          <w:sz w:val="24"/>
        </w:rPr>
        <w:t>%÷当年天数</w:t>
      </w:r>
    </w:p>
    <w:p w14:paraId="686179D6"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H为每日应计提的基金管理费</w:t>
      </w:r>
    </w:p>
    <w:p w14:paraId="7E8BFAE1"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E为前一日的基金资产净值</w:t>
      </w:r>
    </w:p>
    <w:p w14:paraId="5B247868"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管理费每日计算，逐日累计至每月月末，按月支付，由基金管理人向基金托管人发送基金管理费划款指令，基金托管人复核后于次月前5个工作日内从基金财产中一次性支付给基金管理人。若遇法定节假日、公休假等，支付日期顺延。</w:t>
      </w:r>
    </w:p>
    <w:p w14:paraId="212C1290"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2、基金托管人的托管费</w:t>
      </w:r>
    </w:p>
    <w:p w14:paraId="32D0DD8E"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本基金的托管费按前一日基金资产净值的</w:t>
      </w:r>
      <w:r>
        <w:rPr>
          <w:rFonts w:asciiTheme="minorEastAsia" w:hAnsiTheme="minorEastAsia"/>
          <w:bCs/>
          <w:sz w:val="24"/>
        </w:rPr>
        <w:t>0.1</w:t>
      </w:r>
      <w:r>
        <w:rPr>
          <w:rFonts w:asciiTheme="minorEastAsia" w:hAnsiTheme="minorEastAsia" w:hint="eastAsia"/>
          <w:bCs/>
          <w:sz w:val="24"/>
        </w:rPr>
        <w:t>%的年费率计提。托管费的计算方法如下：</w:t>
      </w:r>
    </w:p>
    <w:p w14:paraId="11D04FC1"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H＝E×</w:t>
      </w:r>
      <w:r>
        <w:rPr>
          <w:rFonts w:asciiTheme="minorEastAsia" w:hAnsiTheme="minorEastAsia"/>
          <w:bCs/>
          <w:sz w:val="24"/>
        </w:rPr>
        <w:t>0.1%</w:t>
      </w:r>
      <w:r>
        <w:rPr>
          <w:rFonts w:asciiTheme="minorEastAsia" w:hAnsiTheme="minorEastAsia" w:hint="eastAsia"/>
          <w:bCs/>
          <w:sz w:val="24"/>
        </w:rPr>
        <w:t>÷当年天数</w:t>
      </w:r>
    </w:p>
    <w:p w14:paraId="7F90574E"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H为每日应计提的基金托管费</w:t>
      </w:r>
    </w:p>
    <w:p w14:paraId="5F725461"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lastRenderedPageBreak/>
        <w:t>E为前一日的基金资产净值</w:t>
      </w:r>
    </w:p>
    <w:p w14:paraId="401BEF9F"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托管费每日计算，逐日累计至每月月末，按月支付，由基金管理人向基金托管人发送基金托管费划款指令，基金托管人复核后于次月前5个工作日内从基金财产中一次性支取。若遇法定节假日、公休日等，支付日期顺延。</w:t>
      </w:r>
    </w:p>
    <w:p w14:paraId="0AC46D33"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bCs/>
          <w:sz w:val="24"/>
        </w:rPr>
        <w:t>3</w:t>
      </w:r>
      <w:r>
        <w:rPr>
          <w:rFonts w:asciiTheme="minorEastAsia" w:hAnsiTheme="minorEastAsia" w:hint="eastAsia"/>
          <w:bCs/>
          <w:sz w:val="24"/>
        </w:rPr>
        <w:t>、C类基金份额的销售服务费</w:t>
      </w:r>
    </w:p>
    <w:p w14:paraId="2C9DE71D"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本基金A类基金份额不收取销售服务费，</w:t>
      </w:r>
      <w:r>
        <w:rPr>
          <w:rFonts w:asciiTheme="minorEastAsia" w:hAnsiTheme="minorEastAsia"/>
          <w:bCs/>
          <w:sz w:val="24"/>
        </w:rPr>
        <w:t>C</w:t>
      </w:r>
      <w:r>
        <w:rPr>
          <w:rFonts w:asciiTheme="minorEastAsia" w:hAnsiTheme="minorEastAsia" w:hint="eastAsia"/>
          <w:bCs/>
          <w:sz w:val="24"/>
        </w:rPr>
        <w:t>类基金份额的销售服务费年费率为</w:t>
      </w:r>
      <w:r>
        <w:rPr>
          <w:rFonts w:asciiTheme="minorEastAsia" w:hAnsiTheme="minorEastAsia"/>
          <w:bCs/>
          <w:sz w:val="24"/>
        </w:rPr>
        <w:t>0.3%</w:t>
      </w:r>
      <w:r>
        <w:rPr>
          <w:rFonts w:asciiTheme="minorEastAsia" w:hAnsiTheme="minorEastAsia" w:hint="eastAsia"/>
          <w:bCs/>
          <w:sz w:val="24"/>
        </w:rPr>
        <w:t>。</w:t>
      </w:r>
    </w:p>
    <w:p w14:paraId="40B8161B"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本基金销售服务费将专门用于本基金的销售与基金份额持有人服务，销售服务费计提的计算公式如下：</w:t>
      </w:r>
      <w:r>
        <w:rPr>
          <w:rFonts w:asciiTheme="minorEastAsia" w:hAnsiTheme="minorEastAsia"/>
          <w:bCs/>
          <w:sz w:val="24"/>
        </w:rPr>
        <w:t xml:space="preserve"> </w:t>
      </w:r>
    </w:p>
    <w:p w14:paraId="7134EA17"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bCs/>
          <w:sz w:val="24"/>
        </w:rPr>
        <w:t>H=E</w:t>
      </w:r>
      <w:r>
        <w:rPr>
          <w:rFonts w:asciiTheme="minorEastAsia" w:hAnsiTheme="minorEastAsia" w:hint="eastAsia"/>
          <w:bCs/>
          <w:sz w:val="24"/>
        </w:rPr>
        <w:t>×</w:t>
      </w:r>
      <w:r>
        <w:rPr>
          <w:rFonts w:asciiTheme="minorEastAsia" w:hAnsiTheme="minorEastAsia"/>
          <w:bCs/>
          <w:sz w:val="24"/>
        </w:rPr>
        <w:t>0.3%</w:t>
      </w:r>
      <w:r>
        <w:rPr>
          <w:rFonts w:asciiTheme="minorEastAsia" w:hAnsiTheme="minorEastAsia" w:hint="eastAsia"/>
          <w:bCs/>
          <w:sz w:val="24"/>
        </w:rPr>
        <w:t>÷当年天数</w:t>
      </w:r>
    </w:p>
    <w:p w14:paraId="16055DDB"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bCs/>
          <w:sz w:val="24"/>
        </w:rPr>
        <w:t>H</w:t>
      </w:r>
      <w:r>
        <w:rPr>
          <w:rFonts w:asciiTheme="minorEastAsia" w:hAnsiTheme="minorEastAsia" w:hint="eastAsia"/>
          <w:bCs/>
          <w:sz w:val="24"/>
        </w:rPr>
        <w:t>为</w:t>
      </w:r>
      <w:r>
        <w:rPr>
          <w:rFonts w:asciiTheme="minorEastAsia" w:hAnsiTheme="minorEastAsia"/>
          <w:bCs/>
          <w:sz w:val="24"/>
        </w:rPr>
        <w:t>C</w:t>
      </w:r>
      <w:r>
        <w:rPr>
          <w:rFonts w:asciiTheme="minorEastAsia" w:hAnsiTheme="minorEastAsia" w:hint="eastAsia"/>
          <w:bCs/>
          <w:sz w:val="24"/>
        </w:rPr>
        <w:t>类基金份额每日应计提的销售服务费</w:t>
      </w:r>
    </w:p>
    <w:p w14:paraId="66EE6ACE"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bCs/>
          <w:sz w:val="24"/>
        </w:rPr>
        <w:t>E</w:t>
      </w:r>
      <w:r>
        <w:rPr>
          <w:rFonts w:asciiTheme="minorEastAsia" w:hAnsiTheme="minorEastAsia" w:hint="eastAsia"/>
          <w:bCs/>
          <w:sz w:val="24"/>
        </w:rPr>
        <w:t>为</w:t>
      </w:r>
      <w:r>
        <w:rPr>
          <w:rFonts w:asciiTheme="minorEastAsia" w:hAnsiTheme="minorEastAsia"/>
          <w:bCs/>
          <w:sz w:val="24"/>
        </w:rPr>
        <w:t>C</w:t>
      </w:r>
      <w:r>
        <w:rPr>
          <w:rFonts w:asciiTheme="minorEastAsia" w:hAnsiTheme="minorEastAsia" w:hint="eastAsia"/>
          <w:bCs/>
          <w:sz w:val="24"/>
        </w:rPr>
        <w:t>类基金份额前一日基金资产净值</w:t>
      </w:r>
    </w:p>
    <w:p w14:paraId="63844F47"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销售服务费每日计算，逐日累计至每月月末，按月支付。由基金管理人向基金托管人发送基金销售服务费划付指令，基金托管人复核后于次月前5个工作日内从基金财产中一次性支付给基金管理人。若遇法定节假日、公休假等，支付日期顺延。</w:t>
      </w:r>
    </w:p>
    <w:p w14:paraId="65E24CF4"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上述“一、基金费用的种类”中第</w:t>
      </w:r>
      <w:r>
        <w:rPr>
          <w:rFonts w:asciiTheme="minorEastAsia" w:hAnsiTheme="minorEastAsia"/>
          <w:bCs/>
          <w:sz w:val="24"/>
        </w:rPr>
        <w:t>4</w:t>
      </w:r>
      <w:r>
        <w:rPr>
          <w:rFonts w:asciiTheme="minorEastAsia" w:hAnsiTheme="minorEastAsia" w:hint="eastAsia"/>
          <w:bCs/>
          <w:sz w:val="24"/>
        </w:rPr>
        <w:t>－</w:t>
      </w:r>
      <w:r>
        <w:rPr>
          <w:rFonts w:asciiTheme="minorEastAsia" w:hAnsiTheme="minorEastAsia"/>
          <w:bCs/>
          <w:sz w:val="24"/>
        </w:rPr>
        <w:t>10</w:t>
      </w:r>
      <w:r>
        <w:rPr>
          <w:rFonts w:asciiTheme="minorEastAsia" w:hAnsiTheme="minorEastAsia" w:hint="eastAsia"/>
          <w:bCs/>
          <w:sz w:val="24"/>
        </w:rPr>
        <w:t>项费用，根据有关法规及相应协议规定，按费用实际支出金额列入当期费用，由基金托管人从基金财产中支付。</w:t>
      </w:r>
    </w:p>
    <w:p w14:paraId="35AF17A4" w14:textId="77777777" w:rsidR="00B51DEA" w:rsidRDefault="00000000">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三、不列入基金费用的项目</w:t>
      </w:r>
    </w:p>
    <w:p w14:paraId="192AB0BE"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下列费用不列入基金费用：</w:t>
      </w:r>
    </w:p>
    <w:p w14:paraId="15CB2B6A"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1、基金管理人和基金托管人因未履行或未完全履行义务导致的费用支出或基金财产的损失；</w:t>
      </w:r>
    </w:p>
    <w:p w14:paraId="2E4D3270"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2、基金管理人和基金托管人处理与基金运作无关的事项发生的费用；</w:t>
      </w:r>
    </w:p>
    <w:p w14:paraId="6294BD9D"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3、《基金合同》生效前的相关费用；</w:t>
      </w:r>
    </w:p>
    <w:p w14:paraId="7F3B2272"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4、其他根据相关法律法规及中国证监会的有关规定不得列入基金费用的项目。</w:t>
      </w:r>
      <w:bookmarkStart w:id="270" w:name="_Hlt88827255"/>
      <w:bookmarkEnd w:id="270"/>
    </w:p>
    <w:p w14:paraId="1AA57DA1" w14:textId="77777777" w:rsidR="00B51DEA" w:rsidRDefault="00000000">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四、基金税收</w:t>
      </w:r>
    </w:p>
    <w:p w14:paraId="59D15A09"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bookmarkStart w:id="271" w:name="_Toc263092322"/>
      <w:bookmarkStart w:id="272" w:name="_Toc416264550"/>
      <w:bookmarkStart w:id="273" w:name="_Toc214873603"/>
      <w:bookmarkStart w:id="274" w:name="_Toc3365"/>
      <w:bookmarkStart w:id="275" w:name="_Toc6493"/>
      <w:bookmarkStart w:id="276" w:name="_Toc24601"/>
      <w:bookmarkStart w:id="277" w:name="_Toc15779"/>
      <w:bookmarkStart w:id="278" w:name="_Toc12105"/>
      <w:bookmarkStart w:id="279" w:name="_Toc19752"/>
      <w:bookmarkStart w:id="280" w:name="_Toc32041"/>
      <w:bookmarkStart w:id="281" w:name="_Toc139991745"/>
      <w:bookmarkStart w:id="282" w:name="_Toc13987"/>
      <w:bookmarkStart w:id="283" w:name="_Toc352229761"/>
      <w:bookmarkStart w:id="284" w:name="_Toc19706"/>
      <w:bookmarkStart w:id="285" w:name="_Toc32227"/>
      <w:bookmarkStart w:id="286" w:name="_Toc32046"/>
      <w:bookmarkStart w:id="287" w:name="_Toc141703895"/>
      <w:bookmarkEnd w:id="259"/>
      <w:bookmarkEnd w:id="260"/>
      <w:bookmarkEnd w:id="261"/>
      <w:bookmarkEnd w:id="262"/>
      <w:bookmarkEnd w:id="263"/>
      <w:bookmarkEnd w:id="264"/>
      <w:bookmarkEnd w:id="265"/>
      <w:bookmarkEnd w:id="266"/>
      <w:bookmarkEnd w:id="267"/>
      <w:bookmarkEnd w:id="268"/>
      <w:r>
        <w:rPr>
          <w:rFonts w:asciiTheme="minorEastAsia" w:hAnsiTheme="minorEastAsia" w:hint="eastAsia"/>
          <w:bCs/>
          <w:sz w:val="24"/>
        </w:rPr>
        <w:t>本基金运作过程中涉及的各纳税主体，其纳税义务按国家税收法律、法规执行。</w:t>
      </w:r>
    </w:p>
    <w:p w14:paraId="4F77EF39" w14:textId="77777777" w:rsidR="00B51DEA" w:rsidRDefault="00000000">
      <w:pPr>
        <w:autoSpaceDE w:val="0"/>
        <w:autoSpaceDN w:val="0"/>
        <w:spacing w:line="360" w:lineRule="auto"/>
        <w:ind w:firstLineChars="200" w:firstLine="480"/>
        <w:textAlignment w:val="bottom"/>
        <w:rPr>
          <w:rFonts w:asciiTheme="minorEastAsia" w:hAnsiTheme="minorEastAsia" w:cs="Times New Roman" w:hint="eastAsia"/>
          <w:b/>
          <w:color w:val="000000"/>
          <w:kern w:val="0"/>
          <w:sz w:val="24"/>
          <w:szCs w:val="20"/>
        </w:rPr>
      </w:pPr>
      <w:r>
        <w:rPr>
          <w:rFonts w:asciiTheme="minorEastAsia" w:hAnsiTheme="minorEastAsia" w:hint="eastAsia"/>
          <w:bCs/>
          <w:sz w:val="24"/>
        </w:rPr>
        <w:lastRenderedPageBreak/>
        <w:t>基金财产投资的相关税收，由基金份额持有人承担，基金管理人或者其他扣缴义务人按照国家有关税收征收的规定代扣代缴。</w:t>
      </w:r>
      <w:r>
        <w:rPr>
          <w:rFonts w:asciiTheme="minorEastAsia" w:hAnsiTheme="minorEastAsia"/>
        </w:rPr>
        <w:br w:type="page"/>
      </w:r>
    </w:p>
    <w:p w14:paraId="47214362" w14:textId="77777777" w:rsidR="00B51DEA" w:rsidRDefault="00000000">
      <w:pPr>
        <w:pStyle w:val="1"/>
        <w:jc w:val="center"/>
        <w:rPr>
          <w:rFonts w:asciiTheme="minorEastAsia" w:eastAsiaTheme="minorEastAsia" w:hAnsiTheme="minorEastAsia" w:hint="eastAsia"/>
          <w:sz w:val="30"/>
          <w:szCs w:val="30"/>
        </w:rPr>
      </w:pPr>
      <w:bookmarkStart w:id="288" w:name="_Toc2677415"/>
      <w:r>
        <w:rPr>
          <w:rFonts w:asciiTheme="minorEastAsia" w:eastAsiaTheme="minorEastAsia" w:hAnsiTheme="minorEastAsia" w:hint="eastAsia"/>
          <w:sz w:val="30"/>
          <w:szCs w:val="30"/>
        </w:rPr>
        <w:lastRenderedPageBreak/>
        <w:t>第十四部分</w:t>
      </w:r>
      <w:r>
        <w:rPr>
          <w:rFonts w:asciiTheme="minorEastAsia" w:eastAsiaTheme="minorEastAsia" w:hAnsiTheme="minorEastAsia"/>
          <w:sz w:val="30"/>
          <w:szCs w:val="30"/>
        </w:rPr>
        <w:t xml:space="preserve">  </w:t>
      </w:r>
      <w:r>
        <w:rPr>
          <w:rFonts w:asciiTheme="minorEastAsia" w:eastAsiaTheme="minorEastAsia" w:hAnsiTheme="minorEastAsia" w:hint="eastAsia"/>
          <w:sz w:val="30"/>
          <w:szCs w:val="30"/>
        </w:rPr>
        <w:t>基金的会计与审计</w:t>
      </w:r>
      <w:bookmarkEnd w:id="271"/>
      <w:bookmarkEnd w:id="272"/>
      <w:bookmarkEnd w:id="273"/>
      <w:bookmarkEnd w:id="288"/>
    </w:p>
    <w:p w14:paraId="6222F319" w14:textId="77777777" w:rsidR="00B51DEA" w:rsidRDefault="00000000">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一、基金会计政策</w:t>
      </w:r>
    </w:p>
    <w:p w14:paraId="71D4E085" w14:textId="77777777" w:rsidR="00B51DEA" w:rsidRDefault="00000000">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1、基金管理人为本基金的基金会计责任方；</w:t>
      </w:r>
    </w:p>
    <w:p w14:paraId="0EB63160" w14:textId="77777777" w:rsidR="00B51DEA" w:rsidRDefault="00000000">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2、基金的会计年度为公历年度的1月1日至12月31日；基金首次募集的会计年度按如下原则：如果《基金合同》生效少于2个月，可以并入下一个会计年度披露；</w:t>
      </w:r>
    </w:p>
    <w:p w14:paraId="7E90E871" w14:textId="77777777" w:rsidR="00B51DEA" w:rsidRDefault="00000000">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3、基金核算以人民币为记账本位币，以人民币元为记账单位；</w:t>
      </w:r>
    </w:p>
    <w:p w14:paraId="18323C93" w14:textId="77777777" w:rsidR="00B51DEA" w:rsidRDefault="00000000">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4、会计制度执行国家有关会计制度；</w:t>
      </w:r>
    </w:p>
    <w:p w14:paraId="5A4AA140" w14:textId="77777777" w:rsidR="00B51DEA" w:rsidRDefault="00000000">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5、本基金独立建账、独立核算；</w:t>
      </w:r>
    </w:p>
    <w:p w14:paraId="7C1909E2" w14:textId="77777777" w:rsidR="00B51DEA" w:rsidRDefault="00000000">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6、基金管理人及基金托管人各自保留完整的会计账目、凭证并进行日常的会计核算，按照有关规定编制基金会计报表；</w:t>
      </w:r>
    </w:p>
    <w:p w14:paraId="679D2A0C" w14:textId="77777777" w:rsidR="00B51DEA" w:rsidRDefault="00000000">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7、基金托管人每月与基金管理人就基金的会计核算、报表编制等进行核对并以书面方式确认。</w:t>
      </w:r>
    </w:p>
    <w:p w14:paraId="1362ED72" w14:textId="77777777" w:rsidR="00B51DEA" w:rsidRDefault="00000000">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二、基金的年度审计</w:t>
      </w:r>
    </w:p>
    <w:p w14:paraId="553BF525" w14:textId="77777777" w:rsidR="00B51DEA" w:rsidRDefault="00000000">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1、基金管理人聘请与基金管理人、基金托管人相互独立的</w:t>
      </w:r>
      <w:r>
        <w:rPr>
          <w:rFonts w:asciiTheme="minorEastAsia" w:hAnsiTheme="minorEastAsia" w:cs="Times New Roman" w:hint="eastAsia"/>
          <w:sz w:val="24"/>
          <w:szCs w:val="24"/>
        </w:rPr>
        <w:t>具有证券、期货相关业务资格的会计师事务所及其注册会计师对本基金的年度财务报表进行审计。</w:t>
      </w:r>
    </w:p>
    <w:p w14:paraId="78387843" w14:textId="77777777" w:rsidR="00B51DEA" w:rsidRDefault="00000000">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2、会计师事务所更换经办注册会计师，应事先征得基金管理人同意。</w:t>
      </w:r>
    </w:p>
    <w:p w14:paraId="296A8ACB" w14:textId="77777777" w:rsidR="00B51DEA" w:rsidRDefault="00000000">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3、基金管理人认为有充足理由更换会计师事务所，须通报基金托管人。更换会计师事务所需在2个工作日内在指定媒介公告</w:t>
      </w:r>
      <w:r>
        <w:rPr>
          <w:rFonts w:asciiTheme="minorEastAsia" w:hAnsiTheme="minorEastAsia" w:cs="Times New Roman" w:hint="eastAsia"/>
          <w:sz w:val="24"/>
          <w:szCs w:val="24"/>
        </w:rPr>
        <w:t>。</w:t>
      </w:r>
    </w:p>
    <w:p w14:paraId="775B4950" w14:textId="77777777" w:rsidR="00B51DEA" w:rsidRDefault="00B51DEA">
      <w:pPr>
        <w:widowControl/>
        <w:spacing w:line="360" w:lineRule="auto"/>
        <w:jc w:val="left"/>
        <w:rPr>
          <w:rFonts w:asciiTheme="minorEastAsia" w:hAnsiTheme="minorEastAsia" w:cs="Times New Roman" w:hint="eastAsia"/>
          <w:b/>
          <w:kern w:val="0"/>
          <w:sz w:val="24"/>
          <w:szCs w:val="24"/>
        </w:rPr>
        <w:sectPr w:rsidR="00B51DEA">
          <w:footerReference w:type="default" r:id="rId23"/>
          <w:pgSz w:w="11906" w:h="16838"/>
          <w:pgMar w:top="1440" w:right="1800" w:bottom="1440" w:left="1800" w:header="851" w:footer="992" w:gutter="0"/>
          <w:pgNumType w:chapStyle="1"/>
          <w:cols w:space="720"/>
          <w:docGrid w:type="lines" w:linePitch="312"/>
        </w:sectPr>
      </w:pPr>
    </w:p>
    <w:p w14:paraId="04186B6A" w14:textId="77777777" w:rsidR="00B51DEA" w:rsidRDefault="00000000">
      <w:pPr>
        <w:pStyle w:val="1"/>
        <w:jc w:val="center"/>
        <w:rPr>
          <w:rFonts w:asciiTheme="minorEastAsia" w:eastAsiaTheme="minorEastAsia" w:hAnsiTheme="minorEastAsia" w:hint="eastAsia"/>
          <w:sz w:val="30"/>
          <w:szCs w:val="30"/>
        </w:rPr>
      </w:pPr>
      <w:bookmarkStart w:id="289" w:name="_Toc416264551"/>
      <w:bookmarkStart w:id="290" w:name="_Toc263092323"/>
      <w:bookmarkStart w:id="291" w:name="_Toc79978642"/>
      <w:bookmarkStart w:id="292" w:name="_Toc2677416"/>
      <w:bookmarkStart w:id="293" w:name="_Toc214873604"/>
      <w:bookmarkStart w:id="294" w:name="_Toc19558"/>
      <w:bookmarkStart w:id="295" w:name="_Toc20052"/>
      <w:bookmarkStart w:id="296" w:name="_Toc25883"/>
      <w:bookmarkStart w:id="297" w:name="_Toc352229762"/>
      <w:bookmarkStart w:id="298" w:name="_Toc12761"/>
      <w:bookmarkStart w:id="299" w:name="_Toc22552"/>
      <w:bookmarkStart w:id="300" w:name="_Toc15351"/>
      <w:bookmarkStart w:id="301" w:name="_Toc1617"/>
      <w:bookmarkStart w:id="302" w:name="_Toc178"/>
      <w:bookmarkStart w:id="303" w:name="_Toc3656"/>
      <w:bookmarkStart w:id="304" w:name="_Toc128310499"/>
      <w:bookmarkStart w:id="305" w:name="_Toc15525"/>
      <w:bookmarkStart w:id="306" w:name="_Toc21829"/>
      <w:bookmarkStart w:id="307" w:name="_Toc141703896"/>
      <w:bookmarkStart w:id="308" w:name="_Toc93226149"/>
      <w:bookmarkStart w:id="309" w:name="_Toc139991746"/>
      <w:bookmarkStart w:id="310" w:name="_Toc92662707"/>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r>
        <w:rPr>
          <w:rFonts w:asciiTheme="minorEastAsia" w:eastAsiaTheme="minorEastAsia" w:hAnsiTheme="minorEastAsia" w:hint="eastAsia"/>
          <w:sz w:val="30"/>
          <w:szCs w:val="30"/>
        </w:rPr>
        <w:lastRenderedPageBreak/>
        <w:t>第十五部分</w:t>
      </w:r>
      <w:r>
        <w:rPr>
          <w:rFonts w:asciiTheme="minorEastAsia" w:eastAsiaTheme="minorEastAsia" w:hAnsiTheme="minorEastAsia"/>
          <w:sz w:val="30"/>
          <w:szCs w:val="30"/>
        </w:rPr>
        <w:t xml:space="preserve">  </w:t>
      </w:r>
      <w:r>
        <w:rPr>
          <w:rFonts w:asciiTheme="minorEastAsia" w:eastAsiaTheme="minorEastAsia" w:hAnsiTheme="minorEastAsia" w:hint="eastAsia"/>
          <w:sz w:val="30"/>
          <w:szCs w:val="30"/>
        </w:rPr>
        <w:t>基金的信息披露</w:t>
      </w:r>
      <w:bookmarkEnd w:id="289"/>
      <w:bookmarkEnd w:id="290"/>
      <w:bookmarkEnd w:id="291"/>
      <w:bookmarkEnd w:id="292"/>
      <w:bookmarkEnd w:id="293"/>
    </w:p>
    <w:p w14:paraId="37DD83F8"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bookmarkStart w:id="311" w:name="_Toc263092324"/>
      <w:bookmarkStart w:id="312" w:name="_Toc214873605"/>
      <w:bookmarkStart w:id="313" w:name="_Toc416264552"/>
      <w:bookmarkStart w:id="314" w:name="_Toc12357178"/>
      <w:bookmarkStart w:id="315" w:name="_Toc21073398"/>
      <w:bookmarkStart w:id="316" w:name="_Toc147463125"/>
      <w:bookmarkStart w:id="317" w:name="_Toc92662708"/>
      <w:bookmarkStart w:id="318" w:name="_Toc93226150"/>
      <w:bookmarkStart w:id="319" w:name="_Toc128310500"/>
      <w:bookmarkStart w:id="320" w:name="_Toc13255"/>
      <w:bookmarkStart w:id="321" w:name="_Toc18747"/>
      <w:bookmarkStart w:id="322" w:name="_Toc10894"/>
      <w:bookmarkStart w:id="323" w:name="_Toc23859"/>
      <w:bookmarkStart w:id="324" w:name="_Toc18007"/>
      <w:bookmarkStart w:id="325" w:name="_Toc1043"/>
      <w:bookmarkStart w:id="326" w:name="_Toc17499"/>
      <w:bookmarkStart w:id="327" w:name="_Toc29695"/>
      <w:bookmarkStart w:id="328" w:name="_Toc31736"/>
      <w:bookmarkStart w:id="329" w:name="_Toc28961"/>
      <w:bookmarkStart w:id="330" w:name="_Toc141703897"/>
      <w:bookmarkStart w:id="331" w:name="_Toc352229763"/>
      <w:bookmarkStart w:id="332" w:name="_Toc139991747"/>
      <w:bookmarkStart w:id="333" w:name="_Toc21206"/>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r>
        <w:rPr>
          <w:rFonts w:asciiTheme="minorEastAsia" w:hAnsiTheme="minorEastAsia" w:hint="eastAsia"/>
          <w:bCs/>
          <w:sz w:val="24"/>
        </w:rPr>
        <w:t>一、本基金的信息披露应符合《基金法》、《运作办法》、《信息披露办法》、《基金合同》及其他有关规定。</w:t>
      </w:r>
    </w:p>
    <w:p w14:paraId="481C9F5A"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二、信息披露义务人</w:t>
      </w:r>
    </w:p>
    <w:p w14:paraId="0D1A2CDF"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本基金信息披露义务人包括基金管理人、基金托管人、召集基金份额持有人大会的基金份额持有人等法律法规和中国证监会规定的自然人、法人和非法人组织。</w:t>
      </w:r>
    </w:p>
    <w:p w14:paraId="40380D13"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本基金信息披露义务人以保护基金份额持有人利益为根本出发点，按照法律法规和中国证监会的规定披露基金信息，并保证所披露信息的真实性、准确性、完整性、及时性、简明性和易得性。</w:t>
      </w:r>
    </w:p>
    <w:p w14:paraId="415A763B"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本基金信息披露义务人应当在中国证监会规定时间内，将应予披露的基金信息通过中国证监会指定的媒介和基金管理人、基金托管人的互联网网站（以下简称“网站”）等媒介披露，并保证基金投资者能够按照《基金合同》约定的时间和方式查阅或者复制公开披露的信息资料。</w:t>
      </w:r>
    </w:p>
    <w:p w14:paraId="46769797"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三、本基金信息披露义务人承诺公开披露的基金信息，不得有下列行为：</w:t>
      </w:r>
    </w:p>
    <w:p w14:paraId="4EA253BF"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1、虚假记载、误导性陈述或者重大遗漏；</w:t>
      </w:r>
    </w:p>
    <w:p w14:paraId="4473A2B3"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2、对证券投资业绩进行预测；</w:t>
      </w:r>
    </w:p>
    <w:p w14:paraId="23357E7A"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3、违规承诺收益或者承担损失；</w:t>
      </w:r>
    </w:p>
    <w:p w14:paraId="5641D2CE"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4、诋毁其他基金管理人、基金托管人或者基金销售机构；</w:t>
      </w:r>
    </w:p>
    <w:p w14:paraId="3641036D"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5、登载任何自然人、法人或者非法人组织的祝贺性、恭维性或推荐性的文字；</w:t>
      </w:r>
    </w:p>
    <w:p w14:paraId="772D3739"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6、中国证监会禁止的其他行为。</w:t>
      </w:r>
    </w:p>
    <w:p w14:paraId="1CAC829D"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四、本基金公开披露的信息应采用中文文本。如同时采用外文文本的，基金信息披露义务人应保证不同文本的内容一致。不同文本之间发生歧义的，以中文文本为准。</w:t>
      </w:r>
    </w:p>
    <w:p w14:paraId="211B9315"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本基金公开披露的信息采用阿拉伯数字；除特别说明外，货币单位为人民币元。</w:t>
      </w:r>
    </w:p>
    <w:p w14:paraId="39E6627F"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五、公开披露的基金信息</w:t>
      </w:r>
    </w:p>
    <w:p w14:paraId="565D821E"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公开披露的基金信息包括：</w:t>
      </w:r>
    </w:p>
    <w:p w14:paraId="5C55ACE3"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lastRenderedPageBreak/>
        <w:t>（一）基金招募说明书、《基金合同》、基金托管协议、基金产品资料概要</w:t>
      </w:r>
    </w:p>
    <w:p w14:paraId="5DD66132"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1、《基金合同》是界定《基金合同》当事人的各项权利、义务关系，明确基金份额持有人大会召开的规则及具体程序，说明基金产品的特性等涉及基金投资者重大利益的事项的法律文件。</w:t>
      </w:r>
    </w:p>
    <w:p w14:paraId="045BA81D"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基金招募说明书应当最大限度地披露影响基金投资者决策的全部事项，说明基金认购、申购和赎回安排、基金投资、基金产品特性、风险揭示、信息披露及基金份额持有人服务等内容。《基金合同》生效后，基金招募说明书的信息发生重大变更的，基金管理人应当在三个工作日内，更新基金招募说明书并登载在指定网站上；基金招募说明书其他信息发生变更的，基金管理人至少每年更新一次。基金终止运作的，基金管理人不再更新基金招募说明书。</w:t>
      </w:r>
    </w:p>
    <w:p w14:paraId="4B4D180F"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3、基金托管协议是界定基金托管人和基金管理人在基金财产保管及基金运作监督等活动中的权利、义务关系的法律文件。</w:t>
      </w:r>
    </w:p>
    <w:p w14:paraId="67A0C1C7"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4、基金产品资料概要是基金招募说明书的摘要文件，用于向投资者提供简明的基金概要信息。《基金合同》生效后，基金产品资料概要的信息发生重大变更的，基金管理人应当在三个工作日内，更新基金产品资料概要，并登载在指定网站及基金销售机构网站或营业网点；基金产品资料概要其他信息发生变更的，基金管理人至少每年更新一次。基金终止运作的，基金管理人不再更新基金产品资料概要。</w:t>
      </w:r>
    </w:p>
    <w:p w14:paraId="1D36D054"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5、基金募集申请经中国证监会注册后，基金管理人应当在基金份额发售的三日前，将基金份额发售公告、基金招募说明书提示性公告和基金合同提示性公告登载在指定报刊上，将基金份额发售公告、基金招募说明书、基金产品资料概要、《基金合同》和基金托管协议登载在指定网站上，并将基金产品资料概要登载在基金销售机构网站或营业网点；基金托管人应当同时将基金合同、基金托管协议登载在网站上。</w:t>
      </w:r>
    </w:p>
    <w:p w14:paraId="5AE2E29B"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（二）基金份额发售公告</w:t>
      </w:r>
    </w:p>
    <w:p w14:paraId="4D1C4813"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基金管理人应当就基金份额发售的具体事宜编制基金份额发售公告，并在披露招募说明书的当日登载于指定媒介上。</w:t>
      </w:r>
    </w:p>
    <w:p w14:paraId="5105CCBB"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（三）《基金合同》生效公告</w:t>
      </w:r>
    </w:p>
    <w:p w14:paraId="668BF4E1" w14:textId="77777777" w:rsidR="00B51DEA" w:rsidRDefault="00000000">
      <w:pPr>
        <w:autoSpaceDE w:val="0"/>
        <w:autoSpaceDN w:val="0"/>
        <w:spacing w:line="360" w:lineRule="auto"/>
        <w:ind w:firstLineChars="200" w:firstLine="480"/>
        <w:textAlignment w:val="bottom"/>
        <w:rPr>
          <w:rFonts w:asciiTheme="minorEastAsia" w:hAnsiTheme="minorEastAsia" w:hint="eastAsia"/>
        </w:rPr>
      </w:pPr>
      <w:r>
        <w:rPr>
          <w:rFonts w:asciiTheme="minorEastAsia" w:hAnsiTheme="minorEastAsia" w:hint="eastAsia"/>
          <w:bCs/>
          <w:sz w:val="24"/>
        </w:rPr>
        <w:t>基金管理人应当在收到中国证监会确认文件的次日在指定媒介上登载《基金</w:t>
      </w:r>
      <w:r>
        <w:rPr>
          <w:rFonts w:asciiTheme="minorEastAsia" w:hAnsiTheme="minorEastAsia" w:hint="eastAsia"/>
          <w:bCs/>
          <w:sz w:val="24"/>
        </w:rPr>
        <w:lastRenderedPageBreak/>
        <w:t>合同》生效公告</w:t>
      </w:r>
      <w:r>
        <w:rPr>
          <w:rFonts w:asciiTheme="minorEastAsia" w:hAnsiTheme="minorEastAsia" w:hint="eastAsia"/>
        </w:rPr>
        <w:t>。</w:t>
      </w:r>
    </w:p>
    <w:p w14:paraId="223E3880"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szCs w:val="24"/>
        </w:rPr>
      </w:pPr>
      <w:r>
        <w:rPr>
          <w:rFonts w:asciiTheme="minorEastAsia" w:hAnsiTheme="minorEastAsia"/>
          <w:sz w:val="24"/>
          <w:szCs w:val="24"/>
        </w:rPr>
        <w:t>基金合同生效公告中应说明基金募集情况及基金管理人、基金管理人高级管理人员、基金经理等人员以及基金管理</w:t>
      </w:r>
      <w:proofErr w:type="gramStart"/>
      <w:r>
        <w:rPr>
          <w:rFonts w:asciiTheme="minorEastAsia" w:hAnsiTheme="minorEastAsia"/>
          <w:sz w:val="24"/>
          <w:szCs w:val="24"/>
        </w:rPr>
        <w:t>人股东</w:t>
      </w:r>
      <w:proofErr w:type="gramEnd"/>
      <w:r>
        <w:rPr>
          <w:rFonts w:asciiTheme="minorEastAsia" w:hAnsiTheme="minorEastAsia"/>
          <w:sz w:val="24"/>
          <w:szCs w:val="24"/>
        </w:rPr>
        <w:t>持有的基金份额、承诺持有的期限等情况。</w:t>
      </w:r>
    </w:p>
    <w:p w14:paraId="480A5B65"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（四）基金净值信息</w:t>
      </w:r>
    </w:p>
    <w:p w14:paraId="506103D0"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《基金合同》生效后，在开始办理基金份额申购或者赎回前，基金管理人应当至少每周在指定网站披露一次基金份额净值和基金份额累计净值。</w:t>
      </w:r>
    </w:p>
    <w:p w14:paraId="34DC1F66"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在开始办理基金份额申购或者赎回后，基金管理人应当在不晚于每个开放日的次日，通过其指定网站、基金销售机构网站或营业网点披露开放日的基金份额净值和基金份额累计净值。</w:t>
      </w:r>
    </w:p>
    <w:p w14:paraId="7BAD67EA"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基金管理人应在不晚于半年度和年度最后一日的次日，在指定网站披露半年度和年度最后一日的基金份额净值和基金份额累计净值。</w:t>
      </w:r>
    </w:p>
    <w:p w14:paraId="4678705F"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（五）基金份额申购、赎回价格</w:t>
      </w:r>
    </w:p>
    <w:p w14:paraId="157BC9CD"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基金管理人应当在《基金合同》、招募说明书等信息披露文件上载</w:t>
      </w:r>
      <w:proofErr w:type="gramStart"/>
      <w:r>
        <w:rPr>
          <w:rFonts w:asciiTheme="minorEastAsia" w:hAnsiTheme="minorEastAsia" w:hint="eastAsia"/>
          <w:bCs/>
          <w:sz w:val="24"/>
        </w:rPr>
        <w:t>明基金</w:t>
      </w:r>
      <w:proofErr w:type="gramEnd"/>
      <w:r>
        <w:rPr>
          <w:rFonts w:asciiTheme="minorEastAsia" w:hAnsiTheme="minorEastAsia" w:hint="eastAsia"/>
          <w:bCs/>
          <w:sz w:val="24"/>
        </w:rPr>
        <w:t>份额申购、赎回价格的计算方式及有关申购、赎回费率，并保证投资者能够在基金销售机构网站或营业网点查阅或者复制前述信息库资料。</w:t>
      </w:r>
    </w:p>
    <w:p w14:paraId="48F9766B"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（六）基金定期报告，包括基金年度报告、基金中期报告和基金季度报告</w:t>
      </w:r>
    </w:p>
    <w:p w14:paraId="2540C283"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管理人应当在每年结束之日起三个月内，编制完成基金年度报告，将年度报告登载在指定网站上，将年度报告提示性公告登载在指定报刊上。基金年度报告中的财务会计报告应当经过具有证券、期货相关业务资格的会计师事务所审计。</w:t>
      </w:r>
    </w:p>
    <w:p w14:paraId="4072D4AF"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基金管理人应当在上半年结束之日起两个月内，编制完成基金中期报告，将中期报告登载在指定网站上，并将中期报告提示性公告登载在指定报刊上。</w:t>
      </w:r>
    </w:p>
    <w:p w14:paraId="10562727"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基金管理人应当在每个季度结束之日起15个工作日内，编制完成基金季度报告，将季度报告登载在指定网站上，并将季度报告提示性公告登载在指定报刊上。</w:t>
      </w:r>
    </w:p>
    <w:p w14:paraId="5428B405"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基金管理人应在年度报告、中期报告、季度报告中分别披露基金管理人、基金管理人高级管理人员、基金经理等人员以及基金管理</w:t>
      </w:r>
      <w:proofErr w:type="gramStart"/>
      <w:r>
        <w:rPr>
          <w:rFonts w:asciiTheme="minorEastAsia" w:hAnsiTheme="minorEastAsia" w:hint="eastAsia"/>
          <w:bCs/>
          <w:sz w:val="24"/>
        </w:rPr>
        <w:t>人股东</w:t>
      </w:r>
      <w:proofErr w:type="gramEnd"/>
      <w:r>
        <w:rPr>
          <w:rFonts w:asciiTheme="minorEastAsia" w:hAnsiTheme="minorEastAsia" w:hint="eastAsia"/>
          <w:bCs/>
          <w:sz w:val="24"/>
        </w:rPr>
        <w:t>持有基金的份额、期限</w:t>
      </w:r>
      <w:proofErr w:type="gramStart"/>
      <w:r>
        <w:rPr>
          <w:rFonts w:asciiTheme="minorEastAsia" w:hAnsiTheme="minorEastAsia" w:hint="eastAsia"/>
          <w:bCs/>
          <w:sz w:val="24"/>
        </w:rPr>
        <w:t>及期间</w:t>
      </w:r>
      <w:proofErr w:type="gramEnd"/>
      <w:r>
        <w:rPr>
          <w:rFonts w:asciiTheme="minorEastAsia" w:hAnsiTheme="minorEastAsia" w:hint="eastAsia"/>
          <w:bCs/>
          <w:sz w:val="24"/>
        </w:rPr>
        <w:t>的变动情况。</w:t>
      </w:r>
    </w:p>
    <w:p w14:paraId="388F0E24"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《基金合同》生效不足2个月的，基金管理人可以不编制当期季度报告、中</w:t>
      </w:r>
      <w:r>
        <w:rPr>
          <w:rFonts w:asciiTheme="minorEastAsia" w:hAnsiTheme="minorEastAsia" w:hint="eastAsia"/>
          <w:bCs/>
          <w:sz w:val="24"/>
        </w:rPr>
        <w:lastRenderedPageBreak/>
        <w:t>期报告或者年度报告。</w:t>
      </w:r>
    </w:p>
    <w:p w14:paraId="631E4B40" w14:textId="77777777" w:rsidR="00B51DEA" w:rsidRDefault="00B51DEA">
      <w:pPr>
        <w:autoSpaceDE w:val="0"/>
        <w:autoSpaceDN w:val="0"/>
        <w:spacing w:line="360" w:lineRule="auto"/>
        <w:ind w:firstLineChars="200" w:firstLine="480"/>
        <w:textAlignment w:val="bottom"/>
        <w:rPr>
          <w:rFonts w:asciiTheme="minorEastAsia" w:hAnsiTheme="minorEastAsia" w:hint="eastAsia"/>
          <w:bCs/>
          <w:sz w:val="24"/>
        </w:rPr>
      </w:pPr>
    </w:p>
    <w:p w14:paraId="1C39BDBA" w14:textId="77777777" w:rsidR="00B51DEA" w:rsidRDefault="00000000">
      <w:pPr>
        <w:autoSpaceDE w:val="0"/>
        <w:autoSpaceDN w:val="0"/>
        <w:spacing w:line="360" w:lineRule="auto"/>
        <w:ind w:firstLineChars="200" w:firstLine="480"/>
        <w:textAlignment w:val="bottom"/>
        <w:rPr>
          <w:rFonts w:asciiTheme="minorEastAsia" w:hAnsiTheme="minorEastAsia" w:hint="eastAsia"/>
          <w:sz w:val="24"/>
          <w:szCs w:val="24"/>
        </w:rPr>
      </w:pPr>
      <w:r>
        <w:rPr>
          <w:rFonts w:asciiTheme="minorEastAsia" w:hAnsiTheme="minorEastAsia" w:hint="eastAsia"/>
          <w:sz w:val="24"/>
          <w:szCs w:val="24"/>
        </w:rPr>
        <w:t>如报告期内出现单一投资者持有基金份额达到或超过基金总份额</w:t>
      </w:r>
      <w:r>
        <w:rPr>
          <w:rFonts w:asciiTheme="minorEastAsia" w:hAnsiTheme="minorEastAsia"/>
          <w:sz w:val="24"/>
          <w:szCs w:val="24"/>
        </w:rPr>
        <w:t>20%的情形，为保障其他投资者利益，基金管理人至少应当在定期报告“影响投资者决策的其他重要信息”项下披露该投资者的类别、报告期末持有份额及占比、报告期内持有份额变化情况及本基金的特有风险。</w:t>
      </w:r>
    </w:p>
    <w:p w14:paraId="6E305C7D"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szCs w:val="24"/>
        </w:rPr>
      </w:pPr>
      <w:r>
        <w:rPr>
          <w:rFonts w:asciiTheme="minorEastAsia" w:hAnsiTheme="minorEastAsia" w:hint="eastAsia"/>
          <w:bCs/>
          <w:sz w:val="24"/>
          <w:szCs w:val="24"/>
        </w:rPr>
        <w:t>本基金持续运作过程中，应当在基金年度报告和中期报告中披露基金组合资产情况及其流动性风险分析等。</w:t>
      </w:r>
    </w:p>
    <w:p w14:paraId="50591208"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（七）临时报告</w:t>
      </w:r>
    </w:p>
    <w:p w14:paraId="0415A908"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本基金发生重大事件，有关信息披露义务人应在2日内编制临时报告书，并登载在指定报刊和指定网站上。</w:t>
      </w:r>
    </w:p>
    <w:p w14:paraId="4E024F81"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前款所称重大事件，是指可能对基金份额持有人权益或者基金份额的价格产生重大影响的下列事件：</w:t>
      </w:r>
    </w:p>
    <w:p w14:paraId="49B0D929"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1、基金份额持有人大会的召开及决定的事项；</w:t>
      </w:r>
    </w:p>
    <w:p w14:paraId="2087D6CF"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2、基金终止上市交易、基金合同终止、基金清算；</w:t>
      </w:r>
    </w:p>
    <w:p w14:paraId="16487FAB"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3、转换基金运作方式、基金合并；</w:t>
      </w:r>
    </w:p>
    <w:p w14:paraId="76568CFF"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4、更换基金管理人、基金托管人、基金份额登记机构，基金改聘会计师事务所；</w:t>
      </w:r>
    </w:p>
    <w:p w14:paraId="716C1695"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5、基金管理人委托基金服务机构代为办理基金的份额登记、核算、估值等事项，基金托管人委托基金服务机构代为办理基金的核算、估值、复核等事项；</w:t>
      </w:r>
    </w:p>
    <w:p w14:paraId="5AAB4D62"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6、基金管理人、基金托管人的法定名称、住所发生变更；</w:t>
      </w:r>
    </w:p>
    <w:p w14:paraId="78C4A128"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7、基金管理人变更持有百分之五以上股权的股东、基金管理人的实际控制人变更；</w:t>
      </w:r>
    </w:p>
    <w:p w14:paraId="2A6785B3"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8、基金募集期延长或提前结束募集；</w:t>
      </w:r>
    </w:p>
    <w:p w14:paraId="6080FBC4"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9、基金管理人的高级管理人员、基金经理和基金托管人专门基金托管部门负责人发生变动；</w:t>
      </w:r>
    </w:p>
    <w:p w14:paraId="4F4782F1"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10、基金管理人的董事在最近12个月内变更超过百分之五十，基金管理人、基金托管人专门基金托管部门的主要业务人员在最近12个月内，变动超过百分之三十；</w:t>
      </w:r>
    </w:p>
    <w:p w14:paraId="0577313E"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lastRenderedPageBreak/>
        <w:t>11、涉及基金财产、基金管理业务、基金托管业务的诉讼或仲裁；</w:t>
      </w:r>
    </w:p>
    <w:p w14:paraId="48A8DB42"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12、基金管理人或其高级管理人员、基金经理因基金管理业务相关行为受到重大行政处罚、刑事处罚，基金托管人或其专门基金托管部门负责人因基金托管业务相关行为受到重大行政处罚、刑事处罚；</w:t>
      </w:r>
    </w:p>
    <w:p w14:paraId="10F0549C"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13、基金管理人运用基金财产买卖基金管理人、基金托管人及其控股股东、实际控制人或者与其有重大利害关系的公司发行的证券或者承销期内承销的证券，或者从事其他重大关联交易事项，中国证监会另有规定的情形除外；</w:t>
      </w:r>
    </w:p>
    <w:p w14:paraId="6EEAB225"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14、基金收益分配事项；</w:t>
      </w:r>
    </w:p>
    <w:p w14:paraId="3CC12E9A"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15、管理费、托管费、申购费、赎回费等费用计提标准、计提方式和费率发生变更；</w:t>
      </w:r>
    </w:p>
    <w:p w14:paraId="5A2598D8"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16、基金份额净值计价错误</w:t>
      </w:r>
      <w:proofErr w:type="gramStart"/>
      <w:r>
        <w:rPr>
          <w:rFonts w:asciiTheme="minorEastAsia" w:hAnsiTheme="minorEastAsia" w:hint="eastAsia"/>
          <w:bCs/>
          <w:sz w:val="24"/>
        </w:rPr>
        <w:t>达基金</w:t>
      </w:r>
      <w:proofErr w:type="gramEnd"/>
      <w:r>
        <w:rPr>
          <w:rFonts w:asciiTheme="minorEastAsia" w:hAnsiTheme="minorEastAsia" w:hint="eastAsia"/>
          <w:bCs/>
          <w:sz w:val="24"/>
        </w:rPr>
        <w:t>份额净值百分之零点五；</w:t>
      </w:r>
    </w:p>
    <w:p w14:paraId="6F657A92"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17、本基金开始办理申购、赎回；</w:t>
      </w:r>
    </w:p>
    <w:p w14:paraId="231C26A8"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18、本基金暂定接受申购、赎回申请或重新接受申购、赎回申请；</w:t>
      </w:r>
    </w:p>
    <w:p w14:paraId="0A03B900"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19、基金变更标的指数；</w:t>
      </w:r>
    </w:p>
    <w:p w14:paraId="4BDCF0CB"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20、基金份额停牌、复牌、暂停上市、恢复上市或终止上市交易；</w:t>
      </w:r>
    </w:p>
    <w:p w14:paraId="760E73A2"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21、调整最小申购赎回单位、申购赎回方式及申购对价、赎回对价组成；</w:t>
      </w:r>
    </w:p>
    <w:p w14:paraId="23771087"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22、调整基金份额类别的设置；</w:t>
      </w:r>
    </w:p>
    <w:p w14:paraId="29C1DC7E"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23、基金推出新业务或服务；</w:t>
      </w:r>
    </w:p>
    <w:p w14:paraId="0D349243"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24、基金信息披露义务人认为可能对基金份额持有人权益或者基金份额的价格产生重大影响的其他事项或中国证监会规定的其他事项。</w:t>
      </w:r>
    </w:p>
    <w:p w14:paraId="34DBC891"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（八）澄清公告</w:t>
      </w:r>
    </w:p>
    <w:p w14:paraId="6EAA2D4D"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在基金合同期限内，任何公共媒体中出现的或者在市场上流传的消息可能对基金份额价格产生误导性影响或者引起较大波动，以及可能损害基金份额持有人权益的，相关信息披露义务人知悉后应当立即对该消息进行公开澄清，并将有关情况立即报告中国证监会、基金上市交易的证券交易所。</w:t>
      </w:r>
    </w:p>
    <w:p w14:paraId="1198DFE2"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（九）清算报告</w:t>
      </w:r>
    </w:p>
    <w:p w14:paraId="30D18CC9"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基金合同终止的，基金管理人应当依法组织基金财产清算小组对基金财产进行清算并</w:t>
      </w:r>
      <w:proofErr w:type="gramStart"/>
      <w:r>
        <w:rPr>
          <w:rFonts w:asciiTheme="minorEastAsia" w:hAnsiTheme="minorEastAsia" w:hint="eastAsia"/>
          <w:bCs/>
          <w:sz w:val="24"/>
        </w:rPr>
        <w:t>作出</w:t>
      </w:r>
      <w:proofErr w:type="gramEnd"/>
      <w:r>
        <w:rPr>
          <w:rFonts w:asciiTheme="minorEastAsia" w:hAnsiTheme="minorEastAsia" w:hint="eastAsia"/>
          <w:bCs/>
          <w:sz w:val="24"/>
        </w:rPr>
        <w:t>清算报告。基金财产清算小组应当将清算报告登载在指定网站上，并将清算报告提示性公告登载在指定报刊上。</w:t>
      </w:r>
    </w:p>
    <w:p w14:paraId="7212D0E2"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lastRenderedPageBreak/>
        <w:t>（十）基金份额持有人大会决议</w:t>
      </w:r>
    </w:p>
    <w:p w14:paraId="56E47472"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基金份额持有人大会决定的事项，应当依法报中国证监会备案，并予以公告。</w:t>
      </w:r>
    </w:p>
    <w:p w14:paraId="15542D7B"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（十一）投资股指期货的信息披露</w:t>
      </w:r>
    </w:p>
    <w:p w14:paraId="59618905"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管理人应当在基金季度报告、基金中期报告、基金年度报告等定期报告和招募说明书（更新）等文件中披露股指期货交易情况，包括投资政策、持仓情况、损益情况、风险指标等，并充分揭示股指期货交易对基金总体风险的影响以及是否符合既定的投资政策和投资目标等。</w:t>
      </w:r>
    </w:p>
    <w:p w14:paraId="0DD26DA5" w14:textId="77777777" w:rsidR="00B51DEA" w:rsidRDefault="00000000">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（十二）投资国债期货的信息披露</w:t>
      </w:r>
    </w:p>
    <w:p w14:paraId="5CC50AD6" w14:textId="77777777" w:rsidR="00B51DEA" w:rsidRDefault="00000000">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基金管理人应当在基金季度报告、基金中期报告、基金年度报告等定期报告和招募说明书（更新）等文件中披露国债期货交易情况，包括投资政策、持仓情况、损益情况、风险指标等，并充分揭示国债期货交易对基金总体风险的影响以及是否符合既定的投资政策和投资目标等。</w:t>
      </w:r>
    </w:p>
    <w:p w14:paraId="0E3DA0EB" w14:textId="77777777" w:rsidR="00B51DEA" w:rsidRDefault="00000000">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（十三）投资股票期权的信息披露</w:t>
      </w:r>
    </w:p>
    <w:p w14:paraId="6D52FD6F" w14:textId="77777777" w:rsidR="00B51DEA" w:rsidRDefault="00000000">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基金管理人应当在定期信息披露文件中披露参与股票期权交易的有关情况，包括投资政策、持仓情况、损益情况、风险指标、估值方法等，并充分揭示股票期权交易对基金总体风险的影响以及是否符合既定的投资政策和投资目标。</w:t>
      </w:r>
    </w:p>
    <w:p w14:paraId="23D16FA8"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（十四）投资中小企业私募债券的信息披露</w:t>
      </w:r>
    </w:p>
    <w:p w14:paraId="34B53BE6"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管理人应当在基金投资中小企业私募债券后2个交易日内，在中国证监会指定媒介披露所投资中小企业私募债券的名称、数量、期限、收益率等信息。基金管理人应当在基金年度报告、基金中期报告和基金季度报告等定期报告和招募说明书等文件中披露中小企业私募债券的投资情况。</w:t>
      </w:r>
    </w:p>
    <w:p w14:paraId="27C7C56A"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（十五）投资资产支持证券的信息披露</w:t>
      </w:r>
    </w:p>
    <w:p w14:paraId="35ED4BB3"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本基金投资资产支持证券，基金管理人应在基金年报及中期报中披露其持有的资产支持证券总额、资产支持证券市值占基金净资产的比例和报告期内所有的资产支持证券明细。基金管理人应在基金季度报告中披露其持有的资产支持证券总额、资产支持证券市值占基金净资产的比例和报告期末按市值占基金净资产比例大小排序的前10名资产支持证券明细。</w:t>
      </w:r>
    </w:p>
    <w:p w14:paraId="6B7DE3D9"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（十六）中国证监会规定的其他信息。</w:t>
      </w:r>
    </w:p>
    <w:p w14:paraId="579AE328"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六、信息披露事务管理</w:t>
      </w:r>
    </w:p>
    <w:p w14:paraId="6C0961F3"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lastRenderedPageBreak/>
        <w:t>基金管理人、基金托管人应当建立健全信息披露管理制度，指定专门部门及高级管理人员负责管理信息披露事务。</w:t>
      </w:r>
    </w:p>
    <w:p w14:paraId="3EFFA11C"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基金信息披露义务人公开披露基金信息，应当符合中国证监会相关基金信息披露内容与格式准则等法规的规定。</w:t>
      </w:r>
    </w:p>
    <w:p w14:paraId="6FD4967F"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托管人应当按照相关法律法规、中国证监会的规定和基金合同的约定，对基金管理人编制的基金资产净值、基金份额净值、基金份额申购赎回对价、基金定期报告、更新的招募说明书、基金产品资料概要、基金清算报告等公开披露的相关基金信息</w:t>
      </w:r>
      <w:proofErr w:type="gramStart"/>
      <w:r>
        <w:rPr>
          <w:rFonts w:asciiTheme="minorEastAsia" w:hAnsiTheme="minorEastAsia" w:hint="eastAsia"/>
          <w:bCs/>
          <w:sz w:val="24"/>
        </w:rPr>
        <w:t>进行进行</w:t>
      </w:r>
      <w:proofErr w:type="gramEnd"/>
      <w:r>
        <w:rPr>
          <w:rFonts w:asciiTheme="minorEastAsia" w:hAnsiTheme="minorEastAsia" w:hint="eastAsia"/>
          <w:bCs/>
          <w:sz w:val="24"/>
        </w:rPr>
        <w:t>复核、审查，并向基金管理人进行书面或电子确认。</w:t>
      </w:r>
    </w:p>
    <w:p w14:paraId="499E727C"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基金管理人、基金托管人应当在指定报刊中选择一家报刊披露本基金信息。基金管理人、基金托管人应当向中国证监会基金电子披露网站报送拟披露的基金信息，并保证相关报送信息的真实、准确、完整、及时。</w:t>
      </w:r>
    </w:p>
    <w:p w14:paraId="5E9ACBB2"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基金管理人、基金托管人除依法在指定媒介上披露信息外，还可以根据需要在其他公共媒介披露信息，但是其他公共媒介不得早于指定媒介披露信息，并且在不同媒介上披露同一信息的内容应当一致。</w:t>
      </w:r>
    </w:p>
    <w:p w14:paraId="738564E5"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基金管理人、基金托管人除按法律法规要求披露信息外、也可着眼于为投资者决策提供有用信息的角度，在保证公平对待投资者、</w:t>
      </w:r>
      <w:proofErr w:type="gramStart"/>
      <w:r>
        <w:rPr>
          <w:rFonts w:asciiTheme="minorEastAsia" w:hAnsiTheme="minorEastAsia" w:hint="eastAsia"/>
          <w:bCs/>
          <w:sz w:val="24"/>
        </w:rPr>
        <w:t>不</w:t>
      </w:r>
      <w:proofErr w:type="gramEnd"/>
      <w:r>
        <w:rPr>
          <w:rFonts w:asciiTheme="minorEastAsia" w:hAnsiTheme="minorEastAsia" w:hint="eastAsia"/>
          <w:bCs/>
          <w:sz w:val="24"/>
        </w:rPr>
        <w:t>误导投资者、不影响基金正常投资操作的前提下，自主提升信息披露服务的质量。具体要求应当符合中国证监会及自律规则的相关规定。前述自主披露如产生信息披露费用，该费用不得从基金财产中列支。</w:t>
      </w:r>
    </w:p>
    <w:p w14:paraId="5F7CA159"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为基金信息披露义务人公开披露的基金信息出具审计报告、法律意见书的专业机构，应当制作工作底稿，并将相关档案至少保存到《基金合同》终止后</w:t>
      </w:r>
      <w:r>
        <w:rPr>
          <w:rFonts w:asciiTheme="minorEastAsia" w:hAnsiTheme="minorEastAsia"/>
          <w:bCs/>
          <w:sz w:val="24"/>
        </w:rPr>
        <w:t>10</w:t>
      </w:r>
      <w:r>
        <w:rPr>
          <w:rFonts w:asciiTheme="minorEastAsia" w:hAnsiTheme="minorEastAsia" w:hint="eastAsia"/>
          <w:bCs/>
          <w:sz w:val="24"/>
        </w:rPr>
        <w:t>年。</w:t>
      </w:r>
    </w:p>
    <w:p w14:paraId="4B46AC6C"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七、信息披露文件的存放与查阅</w:t>
      </w:r>
    </w:p>
    <w:p w14:paraId="715183F2" w14:textId="77777777" w:rsidR="00B51DEA" w:rsidRDefault="00000000">
      <w:pPr>
        <w:autoSpaceDE w:val="0"/>
        <w:autoSpaceDN w:val="0"/>
        <w:spacing w:line="360" w:lineRule="auto"/>
        <w:ind w:firstLineChars="200" w:firstLine="480"/>
        <w:textAlignment w:val="bottom"/>
        <w:rPr>
          <w:rFonts w:asciiTheme="minorEastAsia" w:hAnsiTheme="minorEastAsia" w:cs="Times New Roman" w:hint="eastAsia"/>
          <w:b/>
          <w:kern w:val="0"/>
          <w:sz w:val="24"/>
          <w:szCs w:val="24"/>
        </w:rPr>
        <w:sectPr w:rsidR="00B51DEA">
          <w:footerReference w:type="default" r:id="rId24"/>
          <w:pgSz w:w="11906" w:h="16838"/>
          <w:pgMar w:top="1440" w:right="1800" w:bottom="1440" w:left="1800" w:header="851" w:footer="992" w:gutter="0"/>
          <w:pgNumType w:chapStyle="1"/>
          <w:cols w:space="720"/>
          <w:docGrid w:type="lines" w:linePitch="312"/>
        </w:sectPr>
      </w:pPr>
      <w:r>
        <w:rPr>
          <w:rFonts w:asciiTheme="minorEastAsia" w:hAnsiTheme="minorEastAsia" w:hint="eastAsia"/>
          <w:bCs/>
          <w:sz w:val="24"/>
        </w:rPr>
        <w:t>依法必须披露的信息发布后，基金管理人、基金托管人应当按照相关法律法规规定将信息置备于公司住所、基金上市交易的证券交易所，供社会公众查阅、复制。</w:t>
      </w:r>
    </w:p>
    <w:p w14:paraId="5F3FDD83" w14:textId="77777777" w:rsidR="00B51DEA" w:rsidRDefault="00000000">
      <w:pPr>
        <w:pStyle w:val="1"/>
        <w:jc w:val="center"/>
        <w:rPr>
          <w:rFonts w:asciiTheme="minorEastAsia" w:eastAsiaTheme="minorEastAsia" w:hAnsiTheme="minorEastAsia" w:hint="eastAsia"/>
          <w:sz w:val="30"/>
          <w:szCs w:val="30"/>
        </w:rPr>
      </w:pPr>
      <w:bookmarkStart w:id="334" w:name="_Toc2677417"/>
      <w:r>
        <w:rPr>
          <w:rFonts w:asciiTheme="minorEastAsia" w:eastAsiaTheme="minorEastAsia" w:hAnsiTheme="minorEastAsia" w:hint="eastAsia"/>
          <w:sz w:val="30"/>
          <w:szCs w:val="30"/>
        </w:rPr>
        <w:lastRenderedPageBreak/>
        <w:t>第十六部分</w:t>
      </w:r>
      <w:r>
        <w:rPr>
          <w:rFonts w:asciiTheme="minorEastAsia" w:eastAsiaTheme="minorEastAsia" w:hAnsiTheme="minorEastAsia"/>
          <w:sz w:val="30"/>
          <w:szCs w:val="30"/>
        </w:rPr>
        <w:t xml:space="preserve">  </w:t>
      </w:r>
      <w:r>
        <w:rPr>
          <w:rFonts w:asciiTheme="minorEastAsia" w:eastAsiaTheme="minorEastAsia" w:hAnsiTheme="minorEastAsia" w:hint="eastAsia"/>
          <w:sz w:val="30"/>
          <w:szCs w:val="30"/>
        </w:rPr>
        <w:t>风险揭示</w:t>
      </w:r>
      <w:bookmarkEnd w:id="311"/>
      <w:bookmarkEnd w:id="312"/>
      <w:bookmarkEnd w:id="313"/>
      <w:bookmarkEnd w:id="314"/>
      <w:bookmarkEnd w:id="315"/>
      <w:bookmarkEnd w:id="316"/>
      <w:bookmarkEnd w:id="334"/>
    </w:p>
    <w:p w14:paraId="3021DB82" w14:textId="77777777" w:rsidR="00B51DEA" w:rsidRDefault="00000000">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Times New Roman" w:hint="eastAsia"/>
          <w:sz w:val="24"/>
          <w:szCs w:val="24"/>
        </w:rPr>
        <w:t>一、投资于本基金的主要风险</w:t>
      </w:r>
    </w:p>
    <w:p w14:paraId="1DEED9CE" w14:textId="77777777" w:rsidR="00B51DEA" w:rsidRDefault="00000000">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1</w:t>
      </w:r>
      <w:r>
        <w:rPr>
          <w:rFonts w:asciiTheme="minorEastAsia" w:hAnsiTheme="minorEastAsia" w:cs="Arial" w:hint="eastAsia"/>
          <w:bCs/>
          <w:sz w:val="24"/>
          <w:szCs w:val="24"/>
        </w:rPr>
        <w:t>、市场风险</w:t>
      </w:r>
    </w:p>
    <w:p w14:paraId="6F266390" w14:textId="77777777" w:rsidR="00B51DEA" w:rsidRDefault="00000000">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证券市场价格受到各种因素的影响，导致基金收益水平变化而产生风险，主要包括：</w:t>
      </w:r>
    </w:p>
    <w:p w14:paraId="2EC68034" w14:textId="77777777" w:rsidR="00B51DEA" w:rsidRDefault="00000000">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w:t>
      </w:r>
      <w:r>
        <w:rPr>
          <w:rFonts w:asciiTheme="minorEastAsia" w:hAnsiTheme="minorEastAsia" w:cs="Arial"/>
          <w:bCs/>
          <w:sz w:val="24"/>
          <w:szCs w:val="24"/>
        </w:rPr>
        <w:t>1</w:t>
      </w:r>
      <w:r>
        <w:rPr>
          <w:rFonts w:asciiTheme="minorEastAsia" w:hAnsiTheme="minorEastAsia" w:cs="Arial" w:hint="eastAsia"/>
          <w:bCs/>
          <w:sz w:val="24"/>
          <w:szCs w:val="24"/>
        </w:rPr>
        <w:t>）政策风险。因国家宏观政策（如货币政策、财政政策、行业政策、地区发展政策等）发生变化，导致市场价格波动而产生风险。</w:t>
      </w:r>
    </w:p>
    <w:p w14:paraId="10310C28" w14:textId="77777777" w:rsidR="00B51DEA" w:rsidRDefault="00000000">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w:t>
      </w:r>
      <w:r>
        <w:rPr>
          <w:rFonts w:asciiTheme="minorEastAsia" w:hAnsiTheme="minorEastAsia" w:cs="Arial"/>
          <w:bCs/>
          <w:sz w:val="24"/>
          <w:szCs w:val="24"/>
        </w:rPr>
        <w:t>2</w:t>
      </w:r>
      <w:r>
        <w:rPr>
          <w:rFonts w:asciiTheme="minorEastAsia" w:hAnsiTheme="minorEastAsia" w:cs="Arial" w:hint="eastAsia"/>
          <w:bCs/>
          <w:sz w:val="24"/>
          <w:szCs w:val="24"/>
        </w:rPr>
        <w:t>）经济周期风险。随着经济运行的周期性变化，证券市场的收益水平也呈周期性变化。本基金主要投资于债券，收益水平也会随之变化，从而产生风险。</w:t>
      </w:r>
    </w:p>
    <w:p w14:paraId="44AC1606" w14:textId="77777777" w:rsidR="00B51DEA" w:rsidRDefault="00000000">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w:t>
      </w:r>
      <w:r>
        <w:rPr>
          <w:rFonts w:asciiTheme="minorEastAsia" w:hAnsiTheme="minorEastAsia" w:cs="Arial"/>
          <w:bCs/>
          <w:sz w:val="24"/>
          <w:szCs w:val="24"/>
        </w:rPr>
        <w:t>3</w:t>
      </w:r>
      <w:r>
        <w:rPr>
          <w:rFonts w:asciiTheme="minorEastAsia" w:hAnsiTheme="minorEastAsia" w:cs="Arial" w:hint="eastAsia"/>
          <w:bCs/>
          <w:sz w:val="24"/>
          <w:szCs w:val="24"/>
        </w:rPr>
        <w:t>）利率风险。金融市场利率的波动会导致证券市场价格和收益率的变动。</w:t>
      </w:r>
    </w:p>
    <w:p w14:paraId="18D5C690" w14:textId="77777777" w:rsidR="00B51DEA" w:rsidRDefault="00000000">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w:t>
      </w:r>
      <w:r>
        <w:rPr>
          <w:rFonts w:asciiTheme="minorEastAsia" w:hAnsiTheme="minorEastAsia" w:cs="Arial"/>
          <w:bCs/>
          <w:sz w:val="24"/>
          <w:szCs w:val="24"/>
        </w:rPr>
        <w:t>4</w:t>
      </w:r>
      <w:r>
        <w:rPr>
          <w:rFonts w:asciiTheme="minorEastAsia" w:hAnsiTheme="minorEastAsia" w:cs="Arial" w:hint="eastAsia"/>
          <w:bCs/>
          <w:sz w:val="24"/>
          <w:szCs w:val="24"/>
        </w:rPr>
        <w:t>）通货膨胀风险。如果发生通货膨胀，基金投资于证券所获得的收益可能会被通货膨胀抵消，从而影响基金资产的保值增值。</w:t>
      </w:r>
    </w:p>
    <w:p w14:paraId="5C2F48BE" w14:textId="77777777" w:rsidR="00B51DEA" w:rsidRDefault="00000000">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w:t>
      </w:r>
      <w:r>
        <w:rPr>
          <w:rFonts w:asciiTheme="minorEastAsia" w:hAnsiTheme="minorEastAsia" w:cs="Arial"/>
          <w:bCs/>
          <w:sz w:val="24"/>
          <w:szCs w:val="24"/>
        </w:rPr>
        <w:t>5</w:t>
      </w:r>
      <w:r>
        <w:rPr>
          <w:rFonts w:asciiTheme="minorEastAsia" w:hAnsiTheme="minorEastAsia" w:cs="Arial" w:hint="eastAsia"/>
          <w:bCs/>
          <w:sz w:val="24"/>
          <w:szCs w:val="24"/>
        </w:rPr>
        <w:t>）再投资风险。再投资风险反映了利率下降对固定收益证券利息收入再投资收益的影响，这与利率上升所带来的价格风险（即利率风险）互为消长。</w:t>
      </w:r>
    </w:p>
    <w:p w14:paraId="1D069756" w14:textId="77777777" w:rsidR="00B51DEA" w:rsidRDefault="00000000">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2</w:t>
      </w:r>
      <w:r>
        <w:rPr>
          <w:rFonts w:asciiTheme="minorEastAsia" w:hAnsiTheme="minorEastAsia" w:cs="Arial" w:hint="eastAsia"/>
          <w:bCs/>
          <w:sz w:val="24"/>
          <w:szCs w:val="24"/>
        </w:rPr>
        <w:t>、信用风险</w:t>
      </w:r>
    </w:p>
    <w:p w14:paraId="20E890D1" w14:textId="77777777" w:rsidR="00B51DEA" w:rsidRDefault="00000000">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信用风险主要指债券、资产支持证券等信用证券发行主体信用状况恶化，导致信用评级下降甚至到期不能履行合约进行兑付的风险，另外，信用风险也包括证券交易对手因违约而产生的证券交割风险。</w:t>
      </w:r>
    </w:p>
    <w:p w14:paraId="15085BD9" w14:textId="77777777" w:rsidR="00B51DEA" w:rsidRDefault="00000000">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3</w:t>
      </w:r>
      <w:r>
        <w:rPr>
          <w:rFonts w:asciiTheme="minorEastAsia" w:hAnsiTheme="minorEastAsia" w:cs="Arial" w:hint="eastAsia"/>
          <w:bCs/>
          <w:sz w:val="24"/>
          <w:szCs w:val="24"/>
        </w:rPr>
        <w:t>、流动性风险</w:t>
      </w:r>
    </w:p>
    <w:p w14:paraId="7CB856F7" w14:textId="77777777" w:rsidR="00B51DEA" w:rsidRDefault="00000000">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流动性风险是指因证券市场交易量不足，导致证券不能迅速、低成本地变现的风险。流动性风险还包括基金出现巨额赎回，致使没有足够的现金应付赎回支付所引致的风险。</w:t>
      </w:r>
    </w:p>
    <w:p w14:paraId="46ED3858" w14:textId="77777777" w:rsidR="00B51DEA" w:rsidRDefault="00000000">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w:t>
      </w:r>
      <w:r>
        <w:rPr>
          <w:rFonts w:asciiTheme="minorEastAsia" w:hAnsiTheme="minorEastAsia" w:cs="Arial"/>
          <w:bCs/>
          <w:sz w:val="24"/>
          <w:szCs w:val="24"/>
        </w:rPr>
        <w:t>1）拟投资市场、行业及资产的流动性风险评估</w:t>
      </w:r>
    </w:p>
    <w:p w14:paraId="15975021" w14:textId="77777777" w:rsidR="00B51DEA" w:rsidRDefault="00000000">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本基金的投资市场主要为证券交易所、全国银行间债券市场等流动性较好的规范型交易场所，主要投资对象为具有良好流动性的金融工具（包括国内依法发行上市的股票、债券和货币市场工具等），同时本基金基于分散投资的原则在行业和个</w:t>
      </w:r>
      <w:proofErr w:type="gramStart"/>
      <w:r>
        <w:rPr>
          <w:rFonts w:asciiTheme="minorEastAsia" w:hAnsiTheme="minorEastAsia" w:cs="Arial" w:hint="eastAsia"/>
          <w:bCs/>
          <w:sz w:val="24"/>
          <w:szCs w:val="24"/>
        </w:rPr>
        <w:t>券</w:t>
      </w:r>
      <w:proofErr w:type="gramEnd"/>
      <w:r>
        <w:rPr>
          <w:rFonts w:asciiTheme="minorEastAsia" w:hAnsiTheme="minorEastAsia" w:cs="Arial" w:hint="eastAsia"/>
          <w:bCs/>
          <w:sz w:val="24"/>
          <w:szCs w:val="24"/>
        </w:rPr>
        <w:t>方面未有高集中度的特征，综合评估在正常市场环境下本基金的流动性风险适中。</w:t>
      </w:r>
    </w:p>
    <w:p w14:paraId="68E9B264" w14:textId="77777777" w:rsidR="00B51DEA" w:rsidRDefault="00000000">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w:t>
      </w:r>
      <w:r>
        <w:rPr>
          <w:rFonts w:asciiTheme="minorEastAsia" w:hAnsiTheme="minorEastAsia" w:cs="Arial"/>
          <w:bCs/>
          <w:sz w:val="24"/>
          <w:szCs w:val="24"/>
        </w:rPr>
        <w:t xml:space="preserve">2）巨额赎回情形下的流动性风险管理措施 </w:t>
      </w:r>
    </w:p>
    <w:p w14:paraId="686D8D34" w14:textId="77777777" w:rsidR="00B51DEA" w:rsidRDefault="00000000">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lastRenderedPageBreak/>
        <w:t>基金出现巨额赎回情形下，基金管理人可以根据基金当时的资产组合状况或巨额赎回份额占比情况决定全额赎回或部分延期赎回。同时，如本基金单个基金份额持有人在单个开放日申请赎回基金份额超过基金总份额一定比例以上的，基金管理人有权对其采取延期办理赎回申请或延缓支付赎回款项的措施。</w:t>
      </w:r>
    </w:p>
    <w:p w14:paraId="4DCEECCA" w14:textId="77777777" w:rsidR="00B51DEA" w:rsidRDefault="00000000">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w:t>
      </w:r>
      <w:r>
        <w:rPr>
          <w:rFonts w:asciiTheme="minorEastAsia" w:hAnsiTheme="minorEastAsia" w:cs="Arial"/>
          <w:bCs/>
          <w:sz w:val="24"/>
          <w:szCs w:val="24"/>
        </w:rPr>
        <w:t>3）实施备用的流动性风险管理工具的情形、程序及对投资者的潜在影响</w:t>
      </w:r>
    </w:p>
    <w:p w14:paraId="165EE69D" w14:textId="77777777" w:rsidR="00B51DEA" w:rsidRDefault="00000000">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在市场大幅波动、流动性枯竭等极端情况下发生无法应对投资者巨额赎回的情形时，基金管理人将以保障投资者合法权益为前提，严格按照法律法规及基金合同的规定，谨慎选取延期办理巨额赎回申请、暂停接受赎回申请、延缓支付赎回款项、收取短期赎回费等流动性风险管理工具作为辅助措施。对于各类流动性风险管理工具的使用，基金管理人将依照严格审批、审慎决策的原则，及时有效地对风险进行监测和评估，使用前经过内部审批程序并与基金托管人协商一致。在实际运用各类流动性风险管理工具时，投资者的赎回申请、赎回款项支付等可能受到相应影响，基金管理人将严格依照法律法规及基金合同的约定进行操作，全面保障投资者的合法权益。</w:t>
      </w:r>
    </w:p>
    <w:p w14:paraId="51C1D7B8" w14:textId="77777777" w:rsidR="00B51DEA" w:rsidRDefault="00000000">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4</w:t>
      </w:r>
      <w:r>
        <w:rPr>
          <w:rFonts w:asciiTheme="minorEastAsia" w:hAnsiTheme="minorEastAsia" w:cs="Arial" w:hint="eastAsia"/>
          <w:bCs/>
          <w:sz w:val="24"/>
          <w:szCs w:val="24"/>
        </w:rPr>
        <w:t>、操作风险</w:t>
      </w:r>
    </w:p>
    <w:p w14:paraId="147DA103" w14:textId="77777777" w:rsidR="00B51DEA" w:rsidRDefault="00000000">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操作风险是指基金运作过程中，因内部控制存在缺陷或者人为因素造成操作失误或违反操作规程等引致的风险，例如，越权违规交易、会计部门欺诈、交易错误、</w:t>
      </w:r>
      <w:r>
        <w:rPr>
          <w:rFonts w:asciiTheme="minorEastAsia" w:hAnsiTheme="minorEastAsia" w:cs="Arial"/>
          <w:bCs/>
          <w:sz w:val="24"/>
          <w:szCs w:val="24"/>
        </w:rPr>
        <w:t>IT</w:t>
      </w:r>
      <w:r>
        <w:rPr>
          <w:rFonts w:asciiTheme="minorEastAsia" w:hAnsiTheme="minorEastAsia" w:cs="Arial" w:hint="eastAsia"/>
          <w:bCs/>
          <w:sz w:val="24"/>
          <w:szCs w:val="24"/>
        </w:rPr>
        <w:t>系统故障等风险。</w:t>
      </w:r>
    </w:p>
    <w:p w14:paraId="3296AA89" w14:textId="77777777" w:rsidR="00B51DEA" w:rsidRDefault="00000000">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5</w:t>
      </w:r>
      <w:r>
        <w:rPr>
          <w:rFonts w:asciiTheme="minorEastAsia" w:hAnsiTheme="minorEastAsia" w:cs="Arial" w:hint="eastAsia"/>
          <w:bCs/>
          <w:sz w:val="24"/>
          <w:szCs w:val="24"/>
        </w:rPr>
        <w:t>、管理风险</w:t>
      </w:r>
    </w:p>
    <w:p w14:paraId="59191752" w14:textId="77777777" w:rsidR="00B51DEA" w:rsidRDefault="00000000">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在基金管理运作过程中，基金管理人的研究水平、投资管理水平直接影响基金收益水平，如果基金管理人对经济形势和证券市场判断不准确、获取的信息不充分、投资操作出现失误等，都会影响基金的收益水平。</w:t>
      </w:r>
    </w:p>
    <w:p w14:paraId="32A07E8E" w14:textId="77777777" w:rsidR="00B51DEA" w:rsidRDefault="00000000">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6</w:t>
      </w:r>
      <w:r>
        <w:rPr>
          <w:rFonts w:asciiTheme="minorEastAsia" w:hAnsiTheme="minorEastAsia" w:cs="Arial" w:hint="eastAsia"/>
          <w:bCs/>
          <w:sz w:val="24"/>
          <w:szCs w:val="24"/>
        </w:rPr>
        <w:t>、合</w:t>
      </w:r>
      <w:proofErr w:type="gramStart"/>
      <w:r>
        <w:rPr>
          <w:rFonts w:asciiTheme="minorEastAsia" w:hAnsiTheme="minorEastAsia" w:cs="Arial" w:hint="eastAsia"/>
          <w:bCs/>
          <w:sz w:val="24"/>
          <w:szCs w:val="24"/>
        </w:rPr>
        <w:t>规</w:t>
      </w:r>
      <w:proofErr w:type="gramEnd"/>
      <w:r>
        <w:rPr>
          <w:rFonts w:asciiTheme="minorEastAsia" w:hAnsiTheme="minorEastAsia" w:cs="Arial" w:hint="eastAsia"/>
          <w:bCs/>
          <w:sz w:val="24"/>
          <w:szCs w:val="24"/>
        </w:rPr>
        <w:t>风险</w:t>
      </w:r>
    </w:p>
    <w:p w14:paraId="5223D84A" w14:textId="77777777" w:rsidR="00B51DEA" w:rsidRDefault="00000000">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合</w:t>
      </w:r>
      <w:proofErr w:type="gramStart"/>
      <w:r>
        <w:rPr>
          <w:rFonts w:asciiTheme="minorEastAsia" w:hAnsiTheme="minorEastAsia" w:cs="Arial" w:hint="eastAsia"/>
          <w:bCs/>
          <w:sz w:val="24"/>
          <w:szCs w:val="24"/>
        </w:rPr>
        <w:t>规</w:t>
      </w:r>
      <w:proofErr w:type="gramEnd"/>
      <w:r>
        <w:rPr>
          <w:rFonts w:asciiTheme="minorEastAsia" w:hAnsiTheme="minorEastAsia" w:cs="Arial" w:hint="eastAsia"/>
          <w:bCs/>
          <w:sz w:val="24"/>
          <w:szCs w:val="24"/>
        </w:rPr>
        <w:t>风险指基金管理或运作过程中，违反国家法律、法规的规定，或者违反《基金合同》有关规定的风险。</w:t>
      </w:r>
    </w:p>
    <w:p w14:paraId="442D6C65" w14:textId="77777777" w:rsidR="00B51DEA" w:rsidRDefault="00000000">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二、投资于本基金的特有风险</w:t>
      </w:r>
    </w:p>
    <w:p w14:paraId="1DA42C8B" w14:textId="77777777" w:rsidR="00B51DEA" w:rsidRDefault="00000000">
      <w:pPr>
        <w:adjustRightInd w:val="0"/>
        <w:snapToGrid w:val="0"/>
        <w:spacing w:line="360" w:lineRule="auto"/>
        <w:ind w:firstLineChars="200" w:firstLine="480"/>
        <w:rPr>
          <w:rFonts w:asciiTheme="minorEastAsia" w:hAnsiTheme="minorEastAsia" w:hint="eastAsia"/>
          <w:sz w:val="24"/>
          <w:szCs w:val="24"/>
        </w:rPr>
      </w:pPr>
      <w:r>
        <w:rPr>
          <w:rFonts w:asciiTheme="minorEastAsia" w:hAnsiTheme="minorEastAsia" w:cs="Arial"/>
          <w:bCs/>
          <w:sz w:val="24"/>
          <w:szCs w:val="24"/>
        </w:rPr>
        <w:t>1</w:t>
      </w:r>
      <w:r>
        <w:rPr>
          <w:rFonts w:asciiTheme="minorEastAsia" w:hAnsiTheme="minorEastAsia" w:cs="Arial" w:hint="eastAsia"/>
          <w:bCs/>
          <w:sz w:val="24"/>
          <w:szCs w:val="24"/>
        </w:rPr>
        <w:t>、</w:t>
      </w:r>
      <w:r>
        <w:rPr>
          <w:rFonts w:asciiTheme="minorEastAsia" w:hAnsiTheme="minorEastAsia" w:hint="eastAsia"/>
          <w:sz w:val="24"/>
          <w:szCs w:val="24"/>
        </w:rPr>
        <w:t>本基金属于混合型基金，将根据资本市场情况灵活选择权益类、固定收益类</w:t>
      </w:r>
      <w:r>
        <w:rPr>
          <w:rFonts w:asciiTheme="minorEastAsia" w:hAnsiTheme="minorEastAsia"/>
          <w:sz w:val="24"/>
          <w:szCs w:val="24"/>
        </w:rPr>
        <w:t xml:space="preserve"> </w:t>
      </w:r>
      <w:r>
        <w:rPr>
          <w:rFonts w:asciiTheme="minorEastAsia" w:hAnsiTheme="minorEastAsia" w:hint="eastAsia"/>
          <w:sz w:val="24"/>
          <w:szCs w:val="24"/>
        </w:rPr>
        <w:t>资产投资比例及策略，因此本基金将受到来自权益市场及固定收益市场两方面风险：一方面如果固定收益市场系统性风险爆发或对各类固定收益金融工具的选择</w:t>
      </w:r>
      <w:r>
        <w:rPr>
          <w:rFonts w:asciiTheme="minorEastAsia" w:hAnsiTheme="minorEastAsia"/>
          <w:sz w:val="24"/>
          <w:szCs w:val="24"/>
        </w:rPr>
        <w:t xml:space="preserve"> </w:t>
      </w:r>
      <w:r>
        <w:rPr>
          <w:rFonts w:asciiTheme="minorEastAsia" w:hAnsiTheme="minorEastAsia" w:hint="eastAsia"/>
          <w:sz w:val="24"/>
          <w:szCs w:val="24"/>
        </w:rPr>
        <w:t>不</w:t>
      </w:r>
      <w:proofErr w:type="gramStart"/>
      <w:r>
        <w:rPr>
          <w:rFonts w:asciiTheme="minorEastAsia" w:hAnsiTheme="minorEastAsia" w:hint="eastAsia"/>
          <w:sz w:val="24"/>
          <w:szCs w:val="24"/>
        </w:rPr>
        <w:t>准确都</w:t>
      </w:r>
      <w:proofErr w:type="gramEnd"/>
      <w:r>
        <w:rPr>
          <w:rFonts w:asciiTheme="minorEastAsia" w:hAnsiTheme="minorEastAsia" w:hint="eastAsia"/>
          <w:sz w:val="24"/>
          <w:szCs w:val="24"/>
        </w:rPr>
        <w:t>将对本基金的净值表现造成不利影响；另一方面，对股票市场</w:t>
      </w:r>
      <w:r>
        <w:rPr>
          <w:rFonts w:asciiTheme="minorEastAsia" w:hAnsiTheme="minorEastAsia" w:hint="eastAsia"/>
          <w:sz w:val="24"/>
          <w:szCs w:val="24"/>
        </w:rPr>
        <w:lastRenderedPageBreak/>
        <w:t>的筛选与</w:t>
      </w:r>
      <w:r>
        <w:rPr>
          <w:rFonts w:asciiTheme="minorEastAsia" w:hAnsiTheme="minorEastAsia"/>
          <w:sz w:val="24"/>
          <w:szCs w:val="24"/>
        </w:rPr>
        <w:t xml:space="preserve"> </w:t>
      </w:r>
      <w:r>
        <w:rPr>
          <w:rFonts w:asciiTheme="minorEastAsia" w:hAnsiTheme="minorEastAsia" w:hint="eastAsia"/>
          <w:sz w:val="24"/>
          <w:szCs w:val="24"/>
        </w:rPr>
        <w:t>判断是否科学、准确，基本面研究以及定量分析的准确性，也将影响到本基金所</w:t>
      </w:r>
      <w:r>
        <w:rPr>
          <w:rFonts w:asciiTheme="minorEastAsia" w:hAnsiTheme="minorEastAsia"/>
          <w:sz w:val="24"/>
          <w:szCs w:val="24"/>
        </w:rPr>
        <w:t xml:space="preserve"> </w:t>
      </w:r>
      <w:r>
        <w:rPr>
          <w:rFonts w:asciiTheme="minorEastAsia" w:hAnsiTheme="minorEastAsia" w:hint="eastAsia"/>
          <w:sz w:val="24"/>
          <w:szCs w:val="24"/>
        </w:rPr>
        <w:t>选券种能否符合预期投资目标。</w:t>
      </w:r>
    </w:p>
    <w:p w14:paraId="3E4D9FC5" w14:textId="77777777" w:rsidR="00B51DEA" w:rsidRDefault="00000000">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hint="eastAsia"/>
          <w:sz w:val="24"/>
          <w:szCs w:val="24"/>
        </w:rPr>
        <w:t>本基金是发起式基金，在基金合同生效之日起三年后的对应日，</w:t>
      </w:r>
      <w:proofErr w:type="gramStart"/>
      <w:r>
        <w:rPr>
          <w:rFonts w:asciiTheme="minorEastAsia" w:hAnsiTheme="minorEastAsia" w:hint="eastAsia"/>
          <w:sz w:val="24"/>
          <w:szCs w:val="24"/>
        </w:rPr>
        <w:t>若基金</w:t>
      </w:r>
      <w:proofErr w:type="gramEnd"/>
      <w:r>
        <w:rPr>
          <w:rFonts w:asciiTheme="minorEastAsia" w:hAnsiTheme="minorEastAsia" w:hint="eastAsia"/>
          <w:sz w:val="24"/>
          <w:szCs w:val="24"/>
        </w:rPr>
        <w:t>资产规模低于</w:t>
      </w:r>
      <w:r>
        <w:rPr>
          <w:rFonts w:asciiTheme="minorEastAsia" w:hAnsiTheme="minorEastAsia"/>
          <w:sz w:val="24"/>
          <w:szCs w:val="24"/>
        </w:rPr>
        <w:t>2</w:t>
      </w:r>
      <w:r>
        <w:rPr>
          <w:rFonts w:asciiTheme="minorEastAsia" w:hAnsiTheme="minorEastAsia" w:hint="eastAsia"/>
          <w:sz w:val="24"/>
          <w:szCs w:val="24"/>
        </w:rPr>
        <w:t>亿元，基金合同应当按照基金合同约定的程序自动终止，且不得通过召开基金份额持有人大会的方式延续，投资者将面临基金合同可能自动终止的不确定性风险。</w:t>
      </w:r>
    </w:p>
    <w:p w14:paraId="42F72926" w14:textId="77777777" w:rsidR="00B51DEA" w:rsidRDefault="00000000">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2</w:t>
      </w:r>
      <w:r>
        <w:rPr>
          <w:rFonts w:asciiTheme="minorEastAsia" w:hAnsiTheme="minorEastAsia" w:cs="Arial" w:hint="eastAsia"/>
          <w:bCs/>
          <w:sz w:val="24"/>
          <w:szCs w:val="24"/>
        </w:rPr>
        <w:t>、股指期货、国债期货等金融衍生</w:t>
      </w:r>
      <w:proofErr w:type="gramStart"/>
      <w:r>
        <w:rPr>
          <w:rFonts w:asciiTheme="minorEastAsia" w:hAnsiTheme="minorEastAsia" w:cs="Arial" w:hint="eastAsia"/>
          <w:bCs/>
          <w:sz w:val="24"/>
          <w:szCs w:val="24"/>
        </w:rPr>
        <w:t>品投资</w:t>
      </w:r>
      <w:proofErr w:type="gramEnd"/>
      <w:r>
        <w:rPr>
          <w:rFonts w:asciiTheme="minorEastAsia" w:hAnsiTheme="minorEastAsia" w:cs="Arial" w:hint="eastAsia"/>
          <w:bCs/>
          <w:sz w:val="24"/>
          <w:szCs w:val="24"/>
        </w:rPr>
        <w:t>风险</w:t>
      </w:r>
    </w:p>
    <w:p w14:paraId="1EF275D1" w14:textId="77777777" w:rsidR="00B51DEA" w:rsidRDefault="00000000">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金融衍生品是一种金融合约，其价值取决于一种或多种基础资产或指数，其评价主要源自于对挂钩资产的价格与价格波动的预期。投资于</w:t>
      </w:r>
      <w:proofErr w:type="gramStart"/>
      <w:r>
        <w:rPr>
          <w:rFonts w:asciiTheme="minorEastAsia" w:hAnsiTheme="minorEastAsia" w:cs="Arial" w:hint="eastAsia"/>
          <w:bCs/>
          <w:sz w:val="24"/>
          <w:szCs w:val="24"/>
        </w:rPr>
        <w:t>衍生品需承受</w:t>
      </w:r>
      <w:proofErr w:type="gramEnd"/>
      <w:r>
        <w:rPr>
          <w:rFonts w:asciiTheme="minorEastAsia" w:hAnsiTheme="minorEastAsia" w:cs="Arial" w:hint="eastAsia"/>
          <w:bCs/>
          <w:sz w:val="24"/>
          <w:szCs w:val="24"/>
        </w:rPr>
        <w:t>市场风险、信用风险、流动性风险、操作风险和法律风险等。由于衍生品通常具有杠杆效应，价格波动比标的工具更为剧烈，有时候比投资标的资产要承担更高的风险。并且由于衍生品定价相当复杂，不适当的估值有可能使基金资产面临损失风险。</w:t>
      </w:r>
    </w:p>
    <w:p w14:paraId="569E92B0" w14:textId="77777777" w:rsidR="00B51DEA" w:rsidRDefault="00000000">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股指期货、国债期货采用保证金交易制度，由于保证金交易具有杠杆性，当出现不利行情时，股价、指数微小的变动就可能会使投资者权益遭受较大损失。股指期货、国债期货采用每日无负债结算制度，如果没有在规定的时间内补足保证金，按规定将被强制平仓，可能给投资带来重大损失。</w:t>
      </w:r>
    </w:p>
    <w:p w14:paraId="1C6E59E2" w14:textId="77777777" w:rsidR="00B51DEA" w:rsidRDefault="00000000">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hint="eastAsia"/>
          <w:sz w:val="24"/>
          <w:szCs w:val="24"/>
        </w:rPr>
        <w:t>股票期权交易采用保证金交易的方式，投资者的潜在损失和收益都可能成倍</w:t>
      </w:r>
      <w:r>
        <w:rPr>
          <w:rFonts w:asciiTheme="minorEastAsia" w:hAnsiTheme="minorEastAsia"/>
          <w:sz w:val="24"/>
          <w:szCs w:val="24"/>
        </w:rPr>
        <w:t xml:space="preserve"> </w:t>
      </w:r>
      <w:r>
        <w:rPr>
          <w:rFonts w:asciiTheme="minorEastAsia" w:hAnsiTheme="minorEastAsia" w:hint="eastAsia"/>
          <w:sz w:val="24"/>
          <w:szCs w:val="24"/>
        </w:rPr>
        <w:t>放大，尤其是卖出开仓期权的投资者面临的损失总额可能超过其支付的全部初始</w:t>
      </w:r>
      <w:r>
        <w:rPr>
          <w:rFonts w:asciiTheme="minorEastAsia" w:hAnsiTheme="minorEastAsia"/>
          <w:sz w:val="24"/>
          <w:szCs w:val="24"/>
        </w:rPr>
        <w:t xml:space="preserve"> </w:t>
      </w:r>
      <w:r>
        <w:rPr>
          <w:rFonts w:asciiTheme="minorEastAsia" w:hAnsiTheme="minorEastAsia" w:hint="eastAsia"/>
          <w:sz w:val="24"/>
          <w:szCs w:val="24"/>
        </w:rPr>
        <w:t>保证金以及追加的保证金，具有杠杆性风险。在参与股票期权交易时，应当关注</w:t>
      </w:r>
      <w:r>
        <w:rPr>
          <w:rFonts w:asciiTheme="minorEastAsia" w:hAnsiTheme="minorEastAsia"/>
          <w:sz w:val="24"/>
          <w:szCs w:val="24"/>
        </w:rPr>
        <w:t xml:space="preserve"> </w:t>
      </w:r>
      <w:r>
        <w:rPr>
          <w:rFonts w:asciiTheme="minorEastAsia" w:hAnsiTheme="minorEastAsia" w:hint="eastAsia"/>
          <w:sz w:val="24"/>
          <w:szCs w:val="24"/>
        </w:rPr>
        <w:t>股票现货市场的价格波动、股票期权的价格波动和其他市场风险以及可能造成的</w:t>
      </w:r>
      <w:r>
        <w:rPr>
          <w:rFonts w:asciiTheme="minorEastAsia" w:hAnsiTheme="minorEastAsia"/>
          <w:sz w:val="24"/>
          <w:szCs w:val="24"/>
        </w:rPr>
        <w:t xml:space="preserve"> </w:t>
      </w:r>
      <w:r>
        <w:rPr>
          <w:rFonts w:asciiTheme="minorEastAsia" w:hAnsiTheme="minorEastAsia" w:hint="eastAsia"/>
          <w:sz w:val="24"/>
          <w:szCs w:val="24"/>
        </w:rPr>
        <w:t>损失。</w:t>
      </w:r>
    </w:p>
    <w:p w14:paraId="507AF4D0" w14:textId="77777777" w:rsidR="00B51DEA" w:rsidRDefault="00000000">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3</w:t>
      </w:r>
      <w:r>
        <w:rPr>
          <w:rFonts w:asciiTheme="minorEastAsia" w:hAnsiTheme="minorEastAsia" w:cs="Arial" w:hint="eastAsia"/>
          <w:bCs/>
          <w:sz w:val="24"/>
          <w:szCs w:val="24"/>
        </w:rPr>
        <w:t>、中小企业私募债券投资风险</w:t>
      </w:r>
    </w:p>
    <w:p w14:paraId="180EB4DE" w14:textId="77777777" w:rsidR="00B51DEA" w:rsidRDefault="00000000">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基金所投资的中小企业私募债券之债务人出现违约，或在交易过程中发生交收违约，或由于中小企业私募债券信用质量降低导致价格下降，可能造成基金财产损失。此外，受市场规模及交易活跃程度的影响，中小企业私募债券可能无法在同一价格水平上进行较大数量的买入或卖出，存在一定的流动性风险，从而对基金收益造成影响。</w:t>
      </w:r>
    </w:p>
    <w:p w14:paraId="073D724F" w14:textId="77777777" w:rsidR="00B51DEA" w:rsidRDefault="00000000">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4、资产支持证券投资风险</w:t>
      </w:r>
    </w:p>
    <w:p w14:paraId="5B56E304" w14:textId="77777777" w:rsidR="00B51DEA" w:rsidRDefault="00000000">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本基金投资资产支持证券，资产支持证券（</w:t>
      </w:r>
      <w:r>
        <w:rPr>
          <w:rFonts w:asciiTheme="minorEastAsia" w:hAnsiTheme="minorEastAsia" w:cs="Arial"/>
          <w:bCs/>
          <w:sz w:val="24"/>
          <w:szCs w:val="24"/>
        </w:rPr>
        <w:t>ABS）或资产支持票据（ABN）是</w:t>
      </w:r>
      <w:r>
        <w:rPr>
          <w:rFonts w:asciiTheme="minorEastAsia" w:hAnsiTheme="minorEastAsia" w:cs="Arial" w:hint="eastAsia"/>
          <w:bCs/>
          <w:sz w:val="24"/>
          <w:szCs w:val="24"/>
        </w:rPr>
        <w:lastRenderedPageBreak/>
        <w:t>一种债券性质的金融工具，其向投资者支付的本息来自于基础资产</w:t>
      </w:r>
      <w:proofErr w:type="gramStart"/>
      <w:r>
        <w:rPr>
          <w:rFonts w:asciiTheme="minorEastAsia" w:hAnsiTheme="minorEastAsia" w:cs="Arial" w:hint="eastAsia"/>
          <w:bCs/>
          <w:sz w:val="24"/>
          <w:szCs w:val="24"/>
        </w:rPr>
        <w:t>池产生</w:t>
      </w:r>
      <w:proofErr w:type="gramEnd"/>
      <w:r>
        <w:rPr>
          <w:rFonts w:asciiTheme="minorEastAsia" w:hAnsiTheme="minorEastAsia" w:cs="Arial" w:hint="eastAsia"/>
          <w:bCs/>
          <w:sz w:val="24"/>
          <w:szCs w:val="24"/>
        </w:rPr>
        <w:t>的现金流或剩余权益。与股票和一般债券不同，资产支持证券不是对某一经营实体的利益要求权，而是对基础</w:t>
      </w:r>
      <w:proofErr w:type="gramStart"/>
      <w:r>
        <w:rPr>
          <w:rFonts w:asciiTheme="minorEastAsia" w:hAnsiTheme="minorEastAsia" w:cs="Arial" w:hint="eastAsia"/>
          <w:bCs/>
          <w:sz w:val="24"/>
          <w:szCs w:val="24"/>
        </w:rPr>
        <w:t>资产池所产生</w:t>
      </w:r>
      <w:proofErr w:type="gramEnd"/>
      <w:r>
        <w:rPr>
          <w:rFonts w:asciiTheme="minorEastAsia" w:hAnsiTheme="minorEastAsia" w:cs="Arial" w:hint="eastAsia"/>
          <w:bCs/>
          <w:sz w:val="24"/>
          <w:szCs w:val="24"/>
        </w:rPr>
        <w:t>的现金流和剩余权益的要求权，是一种以资产信用为支持的证券，所面临的风险主要包括交易结构风险、各种原因导致的基础资产池现金流与对应证券现金流不匹配产生的信用风险、市场交易不活跃导致的流动性风险等。</w:t>
      </w:r>
    </w:p>
    <w:p w14:paraId="2F4FF1A3" w14:textId="77777777" w:rsidR="00B51DEA" w:rsidRDefault="00000000">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5、存托凭证投资风险</w:t>
      </w:r>
    </w:p>
    <w:p w14:paraId="28F5C43F" w14:textId="77777777" w:rsidR="00B51DEA" w:rsidRDefault="00000000">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基金资产可投资于存托凭证，会面临与创新企业、境外发行人、中国存托凭证发行机制以及交易机制等差异带来的特有风险，包括但不限于创新企业业务持续能力和盈利能力等经营风险，存托凭证持有人与境外基础证券发行人的股东在法律地位、享有权利等方面存在差异可能引发的风险；存</w:t>
      </w:r>
      <w:proofErr w:type="gramStart"/>
      <w:r>
        <w:rPr>
          <w:rFonts w:asciiTheme="minorEastAsia" w:hAnsiTheme="minorEastAsia" w:cs="Arial" w:hint="eastAsia"/>
          <w:bCs/>
          <w:sz w:val="24"/>
          <w:szCs w:val="24"/>
        </w:rPr>
        <w:t>托协议</w:t>
      </w:r>
      <w:proofErr w:type="gramEnd"/>
      <w:r>
        <w:rPr>
          <w:rFonts w:asciiTheme="minorEastAsia" w:hAnsiTheme="minorEastAsia" w:cs="Arial" w:hint="eastAsia"/>
          <w:bCs/>
          <w:sz w:val="24"/>
          <w:szCs w:val="24"/>
        </w:rPr>
        <w:t>自动约束存托凭证持有人的风险；存托凭证持有人在分红派息、行使表决权等方面的特殊安排可能引发的风险；存托凭证退市的风险；因多地上市造成存托凭证价格差异以及受境外市场影响交易价格大幅波动的风险；存托凭证持有人权益被摊薄的风险；已在境外上市的基础证券发行人，在持续信息披露监管方面与境内可能存在差异的风险；境内外法律制度、监管环境差异可能导致的其他风险等本基金可投资存托凭证，基金净值可能受到存托凭证的境外基础证券价格波动影响，存托凭证的境外基础证券的相关风险可能直接或间接成为本基金的风险。</w:t>
      </w:r>
    </w:p>
    <w:p w14:paraId="77766A0B" w14:textId="77777777" w:rsidR="00B51DEA" w:rsidRDefault="00000000">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三、其他风险</w:t>
      </w:r>
    </w:p>
    <w:p w14:paraId="14CF1AF0" w14:textId="77777777" w:rsidR="00B51DEA" w:rsidRDefault="00000000">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1</w:t>
      </w:r>
      <w:r>
        <w:rPr>
          <w:rFonts w:asciiTheme="minorEastAsia" w:hAnsiTheme="minorEastAsia" w:cs="Arial" w:hint="eastAsia"/>
          <w:bCs/>
          <w:sz w:val="24"/>
          <w:szCs w:val="24"/>
        </w:rPr>
        <w:t>、技术风险</w:t>
      </w:r>
    </w:p>
    <w:p w14:paraId="6849353D" w14:textId="77777777" w:rsidR="00B51DEA" w:rsidRDefault="00000000">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在开放式基金的各种交易行为或者后台运作中，可能因为技术系统的故障或者差错而影响交易的正常进行或者导致投资者的利益受到影响。这种技术风险可能来自基金管理公司、登记机构、销售机构、证券交易所、证券登记结算机构等等。</w:t>
      </w:r>
    </w:p>
    <w:p w14:paraId="5B8C4D02" w14:textId="77777777" w:rsidR="00B51DEA" w:rsidRDefault="00000000">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2</w:t>
      </w:r>
      <w:r>
        <w:rPr>
          <w:rFonts w:asciiTheme="minorEastAsia" w:hAnsiTheme="minorEastAsia" w:cs="Arial" w:hint="eastAsia"/>
          <w:bCs/>
          <w:sz w:val="24"/>
          <w:szCs w:val="24"/>
        </w:rPr>
        <w:t>、法律风险</w:t>
      </w:r>
    </w:p>
    <w:p w14:paraId="30733C7D" w14:textId="77777777" w:rsidR="00B51DEA" w:rsidRDefault="00000000">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由于法律法规方面的原因，某些市场行为受到限制或合同不能正常执行，导致基金资产的损失。</w:t>
      </w:r>
    </w:p>
    <w:p w14:paraId="4FE45D6D" w14:textId="77777777" w:rsidR="00B51DEA" w:rsidRDefault="00000000">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3</w:t>
      </w:r>
      <w:r>
        <w:rPr>
          <w:rFonts w:asciiTheme="minorEastAsia" w:hAnsiTheme="minorEastAsia" w:cs="Arial" w:hint="eastAsia"/>
          <w:bCs/>
          <w:sz w:val="24"/>
          <w:szCs w:val="24"/>
        </w:rPr>
        <w:t>、其他风险</w:t>
      </w:r>
    </w:p>
    <w:p w14:paraId="06E10C85" w14:textId="77777777" w:rsidR="00B51DEA" w:rsidRDefault="00000000">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战争、自然灾害等不可抗力因素的出现，将会严重影响证券市场的运行，可能导致基金资产的损失。金融市场危机、行业竞争、代理商违约、托管行违约等</w:t>
      </w:r>
      <w:r>
        <w:rPr>
          <w:rFonts w:asciiTheme="minorEastAsia" w:hAnsiTheme="minorEastAsia" w:cs="Arial" w:hint="eastAsia"/>
          <w:bCs/>
          <w:sz w:val="24"/>
          <w:szCs w:val="24"/>
        </w:rPr>
        <w:lastRenderedPageBreak/>
        <w:t>超出基金管理人自身直接控制能力之外的风险，可能导致基金或者基金份额持有人利益受损。</w:t>
      </w:r>
    </w:p>
    <w:p w14:paraId="02AA0FB4" w14:textId="77777777" w:rsidR="00B51DEA" w:rsidRDefault="00B51DEA">
      <w:pPr>
        <w:widowControl/>
        <w:spacing w:line="360" w:lineRule="auto"/>
        <w:jc w:val="left"/>
        <w:rPr>
          <w:rFonts w:asciiTheme="minorEastAsia" w:hAnsiTheme="minorEastAsia" w:cs="Times New Roman" w:hint="eastAsia"/>
          <w:b/>
          <w:bCs/>
          <w:kern w:val="44"/>
          <w:sz w:val="24"/>
          <w:szCs w:val="24"/>
        </w:rPr>
        <w:sectPr w:rsidR="00B51DEA">
          <w:pgSz w:w="11906" w:h="16838"/>
          <w:pgMar w:top="1440" w:right="1800" w:bottom="1440" w:left="1800" w:header="851" w:footer="992" w:gutter="0"/>
          <w:pgNumType w:chapStyle="1"/>
          <w:cols w:space="720"/>
          <w:docGrid w:type="lines" w:linePitch="312"/>
        </w:sectPr>
      </w:pPr>
    </w:p>
    <w:p w14:paraId="51292782" w14:textId="77777777" w:rsidR="00B51DEA" w:rsidRDefault="00000000">
      <w:pPr>
        <w:pStyle w:val="1"/>
        <w:jc w:val="center"/>
        <w:rPr>
          <w:rFonts w:asciiTheme="minorEastAsia" w:hAnsiTheme="minorEastAsia" w:hint="eastAsia"/>
        </w:rPr>
      </w:pPr>
      <w:bookmarkStart w:id="335" w:name="_Toc2677418"/>
      <w:r>
        <w:rPr>
          <w:rFonts w:asciiTheme="minorEastAsia" w:eastAsiaTheme="minorEastAsia" w:hAnsiTheme="minorEastAsia" w:hint="eastAsia"/>
          <w:sz w:val="30"/>
          <w:szCs w:val="30"/>
        </w:rPr>
        <w:lastRenderedPageBreak/>
        <w:t>第十七部分</w:t>
      </w:r>
      <w:r>
        <w:rPr>
          <w:rFonts w:asciiTheme="minorEastAsia" w:eastAsiaTheme="minorEastAsia" w:hAnsiTheme="minorEastAsia"/>
          <w:sz w:val="30"/>
          <w:szCs w:val="30"/>
        </w:rPr>
        <w:t xml:space="preserve">  </w:t>
      </w:r>
      <w:bookmarkEnd w:id="317"/>
      <w:bookmarkEnd w:id="318"/>
      <w:r>
        <w:rPr>
          <w:rFonts w:asciiTheme="minorEastAsia" w:eastAsiaTheme="minorEastAsia" w:hAnsiTheme="minorEastAsia" w:hint="eastAsia"/>
          <w:sz w:val="30"/>
          <w:szCs w:val="30"/>
        </w:rPr>
        <w:t>基金合同的变更、终止与基金财产的清算</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5"/>
    </w:p>
    <w:p w14:paraId="32DD8C22" w14:textId="77777777" w:rsidR="00B51DEA" w:rsidRDefault="00000000">
      <w:pPr>
        <w:adjustRightInd w:val="0"/>
        <w:snapToGrid w:val="0"/>
        <w:spacing w:line="360" w:lineRule="auto"/>
        <w:ind w:firstLineChars="200" w:firstLine="480"/>
        <w:rPr>
          <w:rFonts w:asciiTheme="minorEastAsia" w:hAnsiTheme="minorEastAsia" w:cs="Times New Roman" w:hint="eastAsia"/>
          <w:sz w:val="24"/>
          <w:szCs w:val="24"/>
        </w:rPr>
      </w:pPr>
      <w:bookmarkStart w:id="336" w:name="_Toc11049"/>
      <w:bookmarkStart w:id="337" w:name="_Toc193"/>
      <w:bookmarkStart w:id="338" w:name="_Toc29289"/>
      <w:bookmarkStart w:id="339" w:name="_Toc352229764"/>
      <w:bookmarkStart w:id="340" w:name="_Toc1421"/>
      <w:bookmarkStart w:id="341" w:name="_Toc128310501"/>
      <w:bookmarkStart w:id="342" w:name="_Toc12028"/>
      <w:bookmarkStart w:id="343" w:name="_Toc139991748"/>
      <w:bookmarkStart w:id="344" w:name="_Toc92662709"/>
      <w:bookmarkStart w:id="345" w:name="_Toc141703898"/>
      <w:bookmarkStart w:id="346" w:name="_Toc31866"/>
      <w:bookmarkStart w:id="347" w:name="_Toc3056"/>
      <w:bookmarkStart w:id="348" w:name="_Toc11802"/>
      <w:bookmarkStart w:id="349" w:name="_Toc8512"/>
      <w:bookmarkStart w:id="350" w:name="_Toc93226151"/>
      <w:bookmarkStart w:id="351" w:name="_Toc1173"/>
      <w:bookmarkStart w:id="352" w:name="_Toc21351"/>
      <w:r>
        <w:rPr>
          <w:rFonts w:asciiTheme="minorEastAsia" w:hAnsiTheme="minorEastAsia" w:cs="Times New Roman" w:hint="eastAsia"/>
          <w:sz w:val="24"/>
          <w:szCs w:val="24"/>
        </w:rPr>
        <w:t>一、《基金合同》的变更</w:t>
      </w:r>
    </w:p>
    <w:p w14:paraId="7855C007" w14:textId="77777777" w:rsidR="00B51DEA" w:rsidRDefault="00000000">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w:t>
      </w:r>
      <w:r>
        <w:rPr>
          <w:rFonts w:asciiTheme="minorEastAsia" w:hAnsiTheme="minorEastAsia" w:cs="Times New Roman" w:hint="eastAsia"/>
          <w:sz w:val="24"/>
          <w:szCs w:val="24"/>
        </w:rPr>
        <w:t>、变更基金合同涉及法律法规规定或基金合同约定应经基金份额持有人大会决议通过的事项的，应召</w:t>
      </w:r>
      <w:proofErr w:type="gramStart"/>
      <w:r>
        <w:rPr>
          <w:rFonts w:asciiTheme="minorEastAsia" w:hAnsiTheme="minorEastAsia" w:cs="Times New Roman" w:hint="eastAsia"/>
          <w:sz w:val="24"/>
          <w:szCs w:val="24"/>
        </w:rPr>
        <w:t>开基金</w:t>
      </w:r>
      <w:proofErr w:type="gramEnd"/>
      <w:r>
        <w:rPr>
          <w:rFonts w:asciiTheme="minorEastAsia" w:hAnsiTheme="minorEastAsia" w:cs="Times New Roman" w:hint="eastAsia"/>
          <w:sz w:val="24"/>
          <w:szCs w:val="24"/>
        </w:rPr>
        <w:t>份额持有人大会决议通过。对于可不经基金份额持有人大会决议通过的事项，由基金管理人和基金托管人同意后变更并公告，并报中国证监会备案。</w:t>
      </w:r>
    </w:p>
    <w:p w14:paraId="0CB4B7EB" w14:textId="77777777" w:rsidR="00B51DEA" w:rsidRDefault="00000000">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 xml:space="preserve"> 2、关于《基金合同》变更的基金份额持有人大会决议自生效后方可执行，并</w:t>
      </w:r>
      <w:proofErr w:type="gramStart"/>
      <w:r>
        <w:rPr>
          <w:rFonts w:asciiTheme="minorEastAsia" w:hAnsiTheme="minorEastAsia" w:cs="Times New Roman" w:hint="eastAsia"/>
          <w:sz w:val="24"/>
          <w:szCs w:val="24"/>
        </w:rPr>
        <w:t>自决议</w:t>
      </w:r>
      <w:proofErr w:type="gramEnd"/>
      <w:r>
        <w:rPr>
          <w:rFonts w:asciiTheme="minorEastAsia" w:hAnsiTheme="minorEastAsia" w:cs="Times New Roman" w:hint="eastAsia"/>
          <w:sz w:val="24"/>
          <w:szCs w:val="24"/>
        </w:rPr>
        <w:t>生效后两个工作日内在指定媒介公告。</w:t>
      </w:r>
    </w:p>
    <w:p w14:paraId="0C007117" w14:textId="77777777" w:rsidR="00B51DEA" w:rsidRDefault="00000000">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二、《基金合同》的终止事由</w:t>
      </w:r>
    </w:p>
    <w:p w14:paraId="07FF341C"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有下列情形之一的，《基金合同》应当终止：</w:t>
      </w:r>
    </w:p>
    <w:p w14:paraId="647EC4DA"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1、基金份额持有人大会决定终止的；</w:t>
      </w:r>
    </w:p>
    <w:p w14:paraId="6E52BF40"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2、基金管理人、基金托管人职责终止，在6个月内没有新基金管理人、新基金托管人承接的；</w:t>
      </w:r>
    </w:p>
    <w:p w14:paraId="777FF534"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szCs w:val="24"/>
        </w:rPr>
      </w:pPr>
      <w:r>
        <w:rPr>
          <w:rFonts w:asciiTheme="minorEastAsia" w:hAnsiTheme="minorEastAsia" w:hint="eastAsia"/>
          <w:bCs/>
          <w:sz w:val="24"/>
        </w:rPr>
        <w:t>3、</w:t>
      </w:r>
      <w:r>
        <w:rPr>
          <w:rFonts w:asciiTheme="minorEastAsia" w:hAnsiTheme="minorEastAsia" w:hint="eastAsia"/>
          <w:sz w:val="24"/>
          <w:szCs w:val="24"/>
        </w:rPr>
        <w:t>基金合同生效满三年之日（指自然日），</w:t>
      </w:r>
      <w:proofErr w:type="gramStart"/>
      <w:r>
        <w:rPr>
          <w:rFonts w:asciiTheme="minorEastAsia" w:hAnsiTheme="minorEastAsia" w:hint="eastAsia"/>
          <w:sz w:val="24"/>
          <w:szCs w:val="24"/>
        </w:rPr>
        <w:t>若基金</w:t>
      </w:r>
      <w:proofErr w:type="gramEnd"/>
      <w:r>
        <w:rPr>
          <w:rFonts w:asciiTheme="minorEastAsia" w:hAnsiTheme="minorEastAsia" w:hint="eastAsia"/>
          <w:sz w:val="24"/>
          <w:szCs w:val="24"/>
        </w:rPr>
        <w:t>资产净值低于两亿元的；</w:t>
      </w:r>
      <w:r>
        <w:rPr>
          <w:rFonts w:asciiTheme="minorEastAsia" w:hAnsiTheme="minorEastAsia"/>
          <w:sz w:val="24"/>
          <w:szCs w:val="24"/>
        </w:rPr>
        <w:t xml:space="preserve"> </w:t>
      </w:r>
      <w:r>
        <w:rPr>
          <w:rFonts w:asciiTheme="minorEastAsia" w:hAnsiTheme="minorEastAsia" w:hint="eastAsia"/>
          <w:sz w:val="24"/>
          <w:szCs w:val="24"/>
        </w:rPr>
        <w:t>或《基金合同》生效三年后继续存续的，连续六十个工作日出现基金份额持有人</w:t>
      </w:r>
      <w:r>
        <w:rPr>
          <w:rFonts w:asciiTheme="minorEastAsia" w:hAnsiTheme="minorEastAsia"/>
          <w:sz w:val="24"/>
          <w:szCs w:val="24"/>
        </w:rPr>
        <w:t xml:space="preserve"> </w:t>
      </w:r>
      <w:r>
        <w:rPr>
          <w:rFonts w:asciiTheme="minorEastAsia" w:hAnsiTheme="minorEastAsia" w:hint="eastAsia"/>
          <w:sz w:val="24"/>
          <w:szCs w:val="24"/>
        </w:rPr>
        <w:t>数量</w:t>
      </w:r>
      <w:proofErr w:type="gramStart"/>
      <w:r>
        <w:rPr>
          <w:rFonts w:asciiTheme="minorEastAsia" w:hAnsiTheme="minorEastAsia" w:hint="eastAsia"/>
          <w:sz w:val="24"/>
          <w:szCs w:val="24"/>
        </w:rPr>
        <w:t>不满二百</w:t>
      </w:r>
      <w:proofErr w:type="gramEnd"/>
      <w:r>
        <w:rPr>
          <w:rFonts w:asciiTheme="minorEastAsia" w:hAnsiTheme="minorEastAsia" w:hint="eastAsia"/>
          <w:sz w:val="24"/>
          <w:szCs w:val="24"/>
        </w:rPr>
        <w:t>人或者基金资产净值低于五千万元情形的；</w:t>
      </w:r>
    </w:p>
    <w:p w14:paraId="02EECEF2"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4、《基金合同》约定的其他情形；</w:t>
      </w:r>
    </w:p>
    <w:p w14:paraId="1E85C18E"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5、相关法律法规和中国证监会规定的其他情况。</w:t>
      </w:r>
    </w:p>
    <w:p w14:paraId="0C5F1B70" w14:textId="77777777" w:rsidR="00B51DEA" w:rsidRDefault="00000000">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三、基金财产的清算</w:t>
      </w:r>
    </w:p>
    <w:p w14:paraId="37AC60AB" w14:textId="77777777" w:rsidR="00B51DEA" w:rsidRDefault="00000000">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1、基金财产清算小组：自出现《基金合同》终止事由之日起30个工作日内成立清算小组，基金管理人组织基金财产清算小组并在中国证监会的监督下进行基金清算。</w:t>
      </w:r>
    </w:p>
    <w:p w14:paraId="6B0556D0" w14:textId="77777777" w:rsidR="00B51DEA" w:rsidRDefault="00000000">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2、基金财产清算小组组成：基金财产清算小组成员由基金管理人、基金托管人、</w:t>
      </w:r>
      <w:r>
        <w:rPr>
          <w:rFonts w:asciiTheme="minorEastAsia" w:hAnsiTheme="minorEastAsia" w:cs="Times New Roman" w:hint="eastAsia"/>
          <w:sz w:val="24"/>
          <w:szCs w:val="24"/>
        </w:rPr>
        <w:t>具有证券、期货相关业务资格的注册会计师、律师以及中国证监会指定的人员组成。基金财产清算小组可以聘用必要的工作人员。</w:t>
      </w:r>
    </w:p>
    <w:p w14:paraId="46E04978" w14:textId="77777777" w:rsidR="00B51DEA" w:rsidRDefault="00000000">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3、基金财产清算小组职责：基金财产清算小组负责基金财产的保管、清理、估价、变现和分配。基金财产清算小组可以依法进行必要的民事活动。</w:t>
      </w:r>
    </w:p>
    <w:p w14:paraId="256F6D9E" w14:textId="77777777" w:rsidR="00B51DEA" w:rsidRDefault="00000000">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4、基金财产清算程序：</w:t>
      </w:r>
    </w:p>
    <w:p w14:paraId="3ECD04E4" w14:textId="77777777" w:rsidR="00B51DEA" w:rsidRDefault="00000000">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w:t>
      </w:r>
      <w:r>
        <w:rPr>
          <w:rFonts w:asciiTheme="minorEastAsia" w:hAnsiTheme="minorEastAsia" w:cs="Times New Roman"/>
          <w:sz w:val="24"/>
          <w:szCs w:val="24"/>
        </w:rPr>
        <w:t>1）《基金合同》终止情形出现时，由基金财产清算小组统一接管基金；</w:t>
      </w:r>
    </w:p>
    <w:p w14:paraId="5A416509" w14:textId="77777777" w:rsidR="00B51DEA" w:rsidRDefault="00000000">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lastRenderedPageBreak/>
        <w:t>（</w:t>
      </w:r>
      <w:r>
        <w:rPr>
          <w:rFonts w:asciiTheme="minorEastAsia" w:hAnsiTheme="minorEastAsia" w:cs="Times New Roman"/>
          <w:sz w:val="24"/>
          <w:szCs w:val="24"/>
        </w:rPr>
        <w:t>2）对基金财产和债权债务进行清理和确认；</w:t>
      </w:r>
    </w:p>
    <w:p w14:paraId="19CDEBAE" w14:textId="77777777" w:rsidR="00B51DEA" w:rsidRDefault="00000000">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w:t>
      </w:r>
      <w:r>
        <w:rPr>
          <w:rFonts w:asciiTheme="minorEastAsia" w:hAnsiTheme="minorEastAsia" w:cs="Times New Roman"/>
          <w:sz w:val="24"/>
          <w:szCs w:val="24"/>
        </w:rPr>
        <w:t>3）对基金财产进行估值和变现；</w:t>
      </w:r>
    </w:p>
    <w:p w14:paraId="0BD72AC9" w14:textId="77777777" w:rsidR="00B51DEA" w:rsidRDefault="00000000">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w:t>
      </w:r>
      <w:r>
        <w:rPr>
          <w:rFonts w:asciiTheme="minorEastAsia" w:hAnsiTheme="minorEastAsia" w:cs="Times New Roman"/>
          <w:sz w:val="24"/>
          <w:szCs w:val="24"/>
        </w:rPr>
        <w:t>4）制作清算报告；</w:t>
      </w:r>
    </w:p>
    <w:p w14:paraId="589119D0" w14:textId="77777777" w:rsidR="00B51DEA" w:rsidRDefault="00000000">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w:t>
      </w:r>
      <w:r>
        <w:rPr>
          <w:rFonts w:asciiTheme="minorEastAsia" w:hAnsiTheme="minorEastAsia" w:cs="Times New Roman"/>
          <w:sz w:val="24"/>
          <w:szCs w:val="24"/>
        </w:rPr>
        <w:t>5）聘请</w:t>
      </w:r>
      <w:r>
        <w:rPr>
          <w:rFonts w:asciiTheme="minorEastAsia" w:hAnsiTheme="minorEastAsia" w:cs="Times New Roman" w:hint="eastAsia"/>
          <w:sz w:val="24"/>
          <w:szCs w:val="24"/>
        </w:rPr>
        <w:t>具有证券、期货相关业务资格的会计师事务所对清算报告进行外部审计，聘请律师事务所对清算报告出具法律意见书；</w:t>
      </w:r>
    </w:p>
    <w:p w14:paraId="519834A0" w14:textId="77777777" w:rsidR="00B51DEA" w:rsidRDefault="00000000">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w:t>
      </w:r>
      <w:r>
        <w:rPr>
          <w:rFonts w:asciiTheme="minorEastAsia" w:hAnsiTheme="minorEastAsia" w:cs="Times New Roman"/>
          <w:sz w:val="24"/>
          <w:szCs w:val="24"/>
        </w:rPr>
        <w:t>6）将清算报告报中国证监会备案并公告；</w:t>
      </w:r>
    </w:p>
    <w:p w14:paraId="5727C5D3" w14:textId="77777777" w:rsidR="00B51DEA" w:rsidRDefault="00000000">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w:t>
      </w:r>
      <w:r>
        <w:rPr>
          <w:rFonts w:asciiTheme="minorEastAsia" w:hAnsiTheme="minorEastAsia" w:cs="Times New Roman"/>
          <w:sz w:val="24"/>
          <w:szCs w:val="24"/>
        </w:rPr>
        <w:t>7）对基金剩余财产进行分配。</w:t>
      </w:r>
    </w:p>
    <w:p w14:paraId="2BDD187B"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5、基金财产清算的期限为</w:t>
      </w:r>
      <w:r>
        <w:rPr>
          <w:rFonts w:asciiTheme="minorEastAsia" w:hAnsiTheme="minorEastAsia"/>
          <w:bCs/>
          <w:sz w:val="24"/>
        </w:rPr>
        <w:t>6</w:t>
      </w:r>
      <w:r>
        <w:rPr>
          <w:rFonts w:asciiTheme="minorEastAsia" w:hAnsiTheme="minorEastAsia" w:hint="eastAsia"/>
          <w:bCs/>
          <w:sz w:val="24"/>
        </w:rPr>
        <w:t>个月，但因本基金所持证券的流动性受到限制而不能及时变现的，清算期限相应顺延。</w:t>
      </w:r>
    </w:p>
    <w:p w14:paraId="5C00DE94" w14:textId="77777777" w:rsidR="00B51DEA" w:rsidRDefault="00000000">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四、清算费用</w:t>
      </w:r>
    </w:p>
    <w:p w14:paraId="2867C0F0" w14:textId="77777777" w:rsidR="00B51DEA" w:rsidRDefault="00000000">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清算费用是指基金财产清算小组在进行基金清算过程中发生的所有合理费用，清算费用由基金财产清算小组优先从基金财产中支付。</w:t>
      </w:r>
    </w:p>
    <w:p w14:paraId="2F61839E" w14:textId="77777777" w:rsidR="00B51DEA" w:rsidRDefault="00000000">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五、基金财产清算剩余资产的分配</w:t>
      </w:r>
    </w:p>
    <w:p w14:paraId="4B03025D" w14:textId="77777777" w:rsidR="00B51DEA" w:rsidRDefault="00000000">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依据基金财产清算的分配方案，将基金财产清算后的全部剩余资产扣除基金财产清算费用、交纳所欠税款并清偿基金债务后，按基金份额持有人持有的基金份额比例进行分配。</w:t>
      </w:r>
    </w:p>
    <w:p w14:paraId="4D7E8BF1" w14:textId="77777777" w:rsidR="00B51DEA" w:rsidRDefault="00000000">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六、基金财产清算的公告</w:t>
      </w:r>
    </w:p>
    <w:p w14:paraId="0ACB7472" w14:textId="77777777" w:rsidR="00B51DEA" w:rsidRDefault="00000000">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清算过程中的有关重大事项须及时公告；基金财产清算报告经具有证券、期货相关业务资格的会计师事务所审计并由律师事务所出具法律意见书后报中国证监会备案并公告。基金财产清算公告于基金财产清算报告报中国证监会备案后</w:t>
      </w:r>
      <w:r>
        <w:rPr>
          <w:rFonts w:asciiTheme="minorEastAsia" w:hAnsiTheme="minorEastAsia" w:cs="Times New Roman"/>
          <w:sz w:val="24"/>
          <w:szCs w:val="24"/>
        </w:rPr>
        <w:t>5个工作日内由基金财产清算小组进行公告。</w:t>
      </w:r>
    </w:p>
    <w:p w14:paraId="3A3EEF5D" w14:textId="77777777" w:rsidR="00B51DEA" w:rsidRDefault="00000000">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七、基金财产清算账册及文件的保存</w:t>
      </w:r>
    </w:p>
    <w:p w14:paraId="1B71943C" w14:textId="77777777" w:rsidR="00B51DEA" w:rsidRDefault="00000000">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基金财产清算账册及有关文件由基金托管人保存</w:t>
      </w:r>
      <w:r>
        <w:rPr>
          <w:rFonts w:asciiTheme="minorEastAsia" w:hAnsiTheme="minorEastAsia" w:cs="Times New Roman"/>
          <w:sz w:val="24"/>
          <w:szCs w:val="24"/>
        </w:rPr>
        <w:t>15年以上</w:t>
      </w:r>
      <w:r>
        <w:rPr>
          <w:rFonts w:asciiTheme="minorEastAsia" w:hAnsiTheme="minorEastAsia" w:cs="Times New Roman" w:hint="eastAsia"/>
          <w:sz w:val="24"/>
          <w:szCs w:val="24"/>
        </w:rPr>
        <w:t>。</w:t>
      </w:r>
    </w:p>
    <w:p w14:paraId="6F508647" w14:textId="77777777" w:rsidR="00B51DEA" w:rsidRDefault="00B51DEA">
      <w:pPr>
        <w:keepNext/>
        <w:keepLines/>
        <w:autoSpaceDE w:val="0"/>
        <w:autoSpaceDN w:val="0"/>
        <w:adjustRightInd w:val="0"/>
        <w:snapToGrid w:val="0"/>
        <w:spacing w:line="360" w:lineRule="auto"/>
        <w:ind w:firstLineChars="150" w:firstLine="361"/>
        <w:jc w:val="center"/>
        <w:textAlignment w:val="baseline"/>
        <w:outlineLvl w:val="0"/>
        <w:rPr>
          <w:rFonts w:asciiTheme="minorEastAsia" w:hAnsiTheme="minorEastAsia" w:cs="Times New Roman" w:hint="eastAsia"/>
          <w:b/>
          <w:kern w:val="0"/>
          <w:sz w:val="24"/>
          <w:szCs w:val="24"/>
        </w:rPr>
        <w:sectPr w:rsidR="00B51DEA">
          <w:pgSz w:w="11906" w:h="16838"/>
          <w:pgMar w:top="1440" w:right="1800" w:bottom="1440" w:left="1800" w:header="851" w:footer="992" w:gutter="0"/>
          <w:pgNumType w:chapStyle="1"/>
          <w:cols w:space="720"/>
          <w:docGrid w:type="lines" w:linePitch="312"/>
        </w:sectPr>
      </w:pPr>
      <w:bookmarkStart w:id="353" w:name="_Toc214873607"/>
      <w:bookmarkStart w:id="354" w:name="_Toc416264553"/>
      <w:bookmarkStart w:id="355" w:name="_Toc263092326"/>
      <w:bookmarkStart w:id="356" w:name="_Toc11113"/>
      <w:bookmarkStart w:id="357" w:name="_Toc9005"/>
      <w:bookmarkStart w:id="358" w:name="_Toc352229765"/>
      <w:bookmarkStart w:id="359" w:name="_Toc123051465"/>
      <w:bookmarkStart w:id="360" w:name="_Toc22978"/>
      <w:bookmarkStart w:id="361" w:name="_Toc123102466"/>
      <w:bookmarkStart w:id="362" w:name="_Toc25647"/>
      <w:bookmarkStart w:id="363" w:name="_Toc123112247"/>
      <w:bookmarkStart w:id="364" w:name="_Toc27464"/>
      <w:bookmarkStart w:id="365" w:name="_Toc7170"/>
      <w:bookmarkStart w:id="366" w:name="_Toc8059"/>
      <w:bookmarkStart w:id="367" w:name="_Toc29891"/>
      <w:bookmarkStart w:id="368" w:name="_Toc98560364"/>
      <w:bookmarkStart w:id="369" w:name="_Toc141703899"/>
      <w:bookmarkStart w:id="370" w:name="_Toc139991749"/>
      <w:bookmarkStart w:id="371" w:name="_Toc10006"/>
      <w:bookmarkStart w:id="372" w:name="_Toc8049"/>
      <w:bookmarkStart w:id="373" w:name="_Toc6237"/>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14:paraId="7F3C52BE" w14:textId="77777777" w:rsidR="00B51DEA" w:rsidRDefault="00000000">
      <w:pPr>
        <w:pStyle w:val="1"/>
        <w:jc w:val="center"/>
        <w:rPr>
          <w:rFonts w:asciiTheme="minorEastAsia" w:eastAsiaTheme="minorEastAsia" w:hAnsiTheme="minorEastAsia" w:hint="eastAsia"/>
          <w:sz w:val="30"/>
          <w:szCs w:val="30"/>
        </w:rPr>
      </w:pPr>
      <w:bookmarkStart w:id="374" w:name="_Toc2677419"/>
      <w:r>
        <w:rPr>
          <w:rFonts w:asciiTheme="minorEastAsia" w:eastAsiaTheme="minorEastAsia" w:hAnsiTheme="minorEastAsia" w:hint="eastAsia"/>
          <w:sz w:val="30"/>
          <w:szCs w:val="30"/>
        </w:rPr>
        <w:lastRenderedPageBreak/>
        <w:t>第十八部分</w:t>
      </w:r>
      <w:r>
        <w:rPr>
          <w:rFonts w:asciiTheme="minorEastAsia" w:eastAsiaTheme="minorEastAsia" w:hAnsiTheme="minorEastAsia"/>
          <w:sz w:val="30"/>
          <w:szCs w:val="30"/>
        </w:rPr>
        <w:t xml:space="preserve">  </w:t>
      </w:r>
      <w:r>
        <w:rPr>
          <w:rFonts w:asciiTheme="minorEastAsia" w:eastAsiaTheme="minorEastAsia" w:hAnsiTheme="minorEastAsia" w:hint="eastAsia"/>
          <w:sz w:val="30"/>
          <w:szCs w:val="30"/>
        </w:rPr>
        <w:t>基金合同的内容摘要</w:t>
      </w:r>
      <w:bookmarkEnd w:id="353"/>
      <w:bookmarkEnd w:id="354"/>
      <w:bookmarkEnd w:id="355"/>
      <w:bookmarkEnd w:id="374"/>
    </w:p>
    <w:p w14:paraId="483F3417"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一、基金份额持有人、基金管理人和基金托管人的权利、义务</w:t>
      </w:r>
    </w:p>
    <w:p w14:paraId="3BBE33F1"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（一）</w:t>
      </w:r>
      <w:r>
        <w:rPr>
          <w:rFonts w:asciiTheme="minorEastAsia" w:hAnsiTheme="minorEastAsia"/>
          <w:bCs/>
          <w:sz w:val="24"/>
        </w:rPr>
        <w:tab/>
      </w:r>
      <w:r>
        <w:rPr>
          <w:rFonts w:asciiTheme="minorEastAsia" w:hAnsiTheme="minorEastAsia" w:hint="eastAsia"/>
          <w:bCs/>
          <w:sz w:val="24"/>
        </w:rPr>
        <w:t>基金管理人的权利与义务</w:t>
      </w:r>
    </w:p>
    <w:p w14:paraId="0ADB7960"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1、根据《基金法》、《运作办法》及其他有关规定，基金管理人的权利包括但不限于：</w:t>
      </w:r>
    </w:p>
    <w:p w14:paraId="20CBFCAB"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（1）依法募集</w:t>
      </w:r>
      <w:r>
        <w:rPr>
          <w:rFonts w:asciiTheme="minorEastAsia" w:hAnsiTheme="minorEastAsia" w:hint="eastAsia"/>
          <w:bCs/>
          <w:sz w:val="24"/>
          <w:szCs w:val="24"/>
        </w:rPr>
        <w:t>资</w:t>
      </w:r>
      <w:r>
        <w:rPr>
          <w:rFonts w:asciiTheme="minorEastAsia" w:hAnsiTheme="minorEastAsia"/>
          <w:bCs/>
          <w:sz w:val="24"/>
          <w:szCs w:val="24"/>
        </w:rPr>
        <w:t>金；</w:t>
      </w:r>
    </w:p>
    <w:p w14:paraId="4CA8E6B7"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（2）自《基金合同》生效之日起，根据法律法规和《基金合同》独立运用并管理基金财产；</w:t>
      </w:r>
    </w:p>
    <w:p w14:paraId="06A7D5F9"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（3）依照《基金合同》收取基金管理费以及法律法规规定或中国证监会批准的其他费用；</w:t>
      </w:r>
    </w:p>
    <w:p w14:paraId="6FC85C9D"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（4）销售基金份额；</w:t>
      </w:r>
    </w:p>
    <w:p w14:paraId="7495E4D9"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（5）</w:t>
      </w:r>
      <w:r>
        <w:rPr>
          <w:rFonts w:asciiTheme="minorEastAsia" w:hAnsiTheme="minorEastAsia" w:hint="eastAsia"/>
          <w:bCs/>
          <w:sz w:val="24"/>
          <w:szCs w:val="24"/>
        </w:rPr>
        <w:t>按照规定</w:t>
      </w:r>
      <w:r>
        <w:rPr>
          <w:rFonts w:asciiTheme="minorEastAsia" w:hAnsiTheme="minorEastAsia"/>
          <w:bCs/>
          <w:sz w:val="24"/>
          <w:szCs w:val="24"/>
        </w:rPr>
        <w:t>召集基金份额持有人大会；</w:t>
      </w:r>
    </w:p>
    <w:p w14:paraId="357955BD"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（6）依据《基金合同》及有关法律规定监督基金托管人，如认为基金托管人违反了《基金合同》及国家有关法律规定，应呈报中国证监会和其他监管部门，并采取必要措施保护基金投资者的利益；</w:t>
      </w:r>
    </w:p>
    <w:p w14:paraId="0ADB05B6"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（7）在基金托管人更换时，提名新的基金托管人；</w:t>
      </w:r>
    </w:p>
    <w:p w14:paraId="0F76C6A0" w14:textId="77777777" w:rsidR="00B51DEA" w:rsidRDefault="00000000">
      <w:pPr>
        <w:spacing w:line="440" w:lineRule="atLeast"/>
        <w:ind w:firstLineChars="200" w:firstLine="480"/>
        <w:rPr>
          <w:rFonts w:asciiTheme="minorEastAsia" w:hAnsiTheme="minorEastAsia" w:hint="eastAsia"/>
          <w:bCs/>
          <w:sz w:val="24"/>
          <w:szCs w:val="24"/>
        </w:rPr>
      </w:pPr>
      <w:r>
        <w:rPr>
          <w:rFonts w:asciiTheme="minorEastAsia" w:hAnsiTheme="minorEastAsia"/>
          <w:bCs/>
          <w:sz w:val="24"/>
          <w:szCs w:val="24"/>
        </w:rPr>
        <w:t>（8）选择、更换基金销售机构，对基金销售机构的相关行为进行监督和处理；</w:t>
      </w:r>
    </w:p>
    <w:p w14:paraId="5AAEA1BE" w14:textId="77777777" w:rsidR="00B51DEA" w:rsidRDefault="00000000">
      <w:pPr>
        <w:spacing w:line="440" w:lineRule="atLeast"/>
        <w:ind w:firstLineChars="200" w:firstLine="480"/>
        <w:rPr>
          <w:rFonts w:asciiTheme="minorEastAsia" w:hAnsiTheme="minorEastAsia" w:hint="eastAsia"/>
          <w:bCs/>
          <w:sz w:val="24"/>
          <w:szCs w:val="24"/>
        </w:rPr>
      </w:pPr>
      <w:r>
        <w:rPr>
          <w:rFonts w:asciiTheme="minorEastAsia" w:hAnsiTheme="minorEastAsia"/>
          <w:bCs/>
          <w:sz w:val="24"/>
          <w:szCs w:val="24"/>
        </w:rPr>
        <w:t>（9）担任或委托其他符合条件的机构担任基金登记机构办理基金登记业务并获得《基金合同》规定的费用；</w:t>
      </w:r>
    </w:p>
    <w:p w14:paraId="787FEA02" w14:textId="77777777" w:rsidR="00B51DEA" w:rsidRDefault="00000000">
      <w:pPr>
        <w:spacing w:line="440" w:lineRule="atLeast"/>
        <w:ind w:firstLineChars="200" w:firstLine="480"/>
        <w:rPr>
          <w:rFonts w:asciiTheme="minorEastAsia" w:hAnsiTheme="minorEastAsia" w:hint="eastAsia"/>
          <w:bCs/>
          <w:sz w:val="24"/>
          <w:szCs w:val="24"/>
        </w:rPr>
      </w:pPr>
      <w:r>
        <w:rPr>
          <w:rFonts w:asciiTheme="minorEastAsia" w:hAnsiTheme="minorEastAsia"/>
          <w:bCs/>
          <w:sz w:val="24"/>
          <w:szCs w:val="24"/>
        </w:rPr>
        <w:t>（10）依据《基金合同》及有关法律规定决定基金收益的分配方案；</w:t>
      </w:r>
      <w:r>
        <w:rPr>
          <w:rFonts w:asciiTheme="minorEastAsia" w:hAnsiTheme="minorEastAsia"/>
          <w:bCs/>
          <w:sz w:val="24"/>
          <w:szCs w:val="24"/>
        </w:rPr>
        <w:tab/>
      </w:r>
    </w:p>
    <w:p w14:paraId="5E4155D2" w14:textId="77777777" w:rsidR="00B51DEA" w:rsidRDefault="00000000">
      <w:pPr>
        <w:spacing w:line="440" w:lineRule="atLeast"/>
        <w:ind w:firstLineChars="200" w:firstLine="480"/>
        <w:rPr>
          <w:rFonts w:asciiTheme="minorEastAsia" w:hAnsiTheme="minorEastAsia" w:hint="eastAsia"/>
          <w:bCs/>
          <w:sz w:val="24"/>
          <w:szCs w:val="24"/>
        </w:rPr>
      </w:pPr>
      <w:r>
        <w:rPr>
          <w:rFonts w:asciiTheme="minorEastAsia" w:hAnsiTheme="minorEastAsia"/>
          <w:bCs/>
          <w:sz w:val="24"/>
          <w:szCs w:val="24"/>
        </w:rPr>
        <w:t>（11）在《基金合同》约定的范围内，拒绝或暂停受理申购与赎回申请；</w:t>
      </w:r>
    </w:p>
    <w:p w14:paraId="0B864650" w14:textId="77777777" w:rsidR="00B51DEA" w:rsidRDefault="00000000">
      <w:pPr>
        <w:spacing w:line="440" w:lineRule="atLeast"/>
        <w:ind w:firstLineChars="200" w:firstLine="480"/>
        <w:rPr>
          <w:rFonts w:asciiTheme="minorEastAsia" w:hAnsiTheme="minorEastAsia" w:hint="eastAsia"/>
          <w:bCs/>
          <w:sz w:val="24"/>
          <w:szCs w:val="24"/>
        </w:rPr>
      </w:pPr>
      <w:r>
        <w:rPr>
          <w:rFonts w:asciiTheme="minorEastAsia" w:hAnsiTheme="minorEastAsia"/>
          <w:bCs/>
          <w:sz w:val="24"/>
          <w:szCs w:val="24"/>
        </w:rPr>
        <w:t>（12）依照法律法规为基金的利益对被投资公司行使股东权利，为基金的利益行使因基金财产投资于证券所产生的权利；</w:t>
      </w:r>
      <w:r>
        <w:rPr>
          <w:rFonts w:asciiTheme="minorEastAsia" w:hAnsiTheme="minorEastAsia"/>
          <w:bCs/>
          <w:sz w:val="24"/>
          <w:szCs w:val="24"/>
        </w:rPr>
        <w:tab/>
      </w:r>
    </w:p>
    <w:p w14:paraId="3944298E" w14:textId="77777777" w:rsidR="00B51DEA" w:rsidRDefault="00000000">
      <w:pPr>
        <w:spacing w:line="440" w:lineRule="atLeast"/>
        <w:ind w:firstLineChars="200" w:firstLine="480"/>
        <w:rPr>
          <w:rFonts w:asciiTheme="minorEastAsia" w:hAnsiTheme="minorEastAsia" w:hint="eastAsia"/>
          <w:bCs/>
          <w:sz w:val="24"/>
          <w:szCs w:val="24"/>
        </w:rPr>
      </w:pPr>
      <w:r>
        <w:rPr>
          <w:rFonts w:asciiTheme="minorEastAsia" w:hAnsiTheme="minorEastAsia"/>
          <w:bCs/>
          <w:sz w:val="24"/>
          <w:szCs w:val="24"/>
        </w:rPr>
        <w:t>（13）在法律法规允许的前提下，为基金的利益依法为基金进行融资</w:t>
      </w:r>
      <w:r>
        <w:rPr>
          <w:rFonts w:asciiTheme="minorEastAsia" w:hAnsiTheme="minorEastAsia" w:hint="eastAsia"/>
          <w:bCs/>
          <w:sz w:val="24"/>
          <w:szCs w:val="24"/>
        </w:rPr>
        <w:t>、融券</w:t>
      </w:r>
      <w:r>
        <w:rPr>
          <w:rFonts w:asciiTheme="minorEastAsia" w:hAnsiTheme="minorEastAsia"/>
          <w:bCs/>
          <w:sz w:val="24"/>
          <w:szCs w:val="24"/>
        </w:rPr>
        <w:t>；</w:t>
      </w:r>
    </w:p>
    <w:p w14:paraId="06FAF2CC" w14:textId="77777777" w:rsidR="00B51DEA" w:rsidRDefault="00000000">
      <w:pPr>
        <w:spacing w:line="440" w:lineRule="atLeast"/>
        <w:ind w:firstLineChars="200" w:firstLine="480"/>
        <w:rPr>
          <w:rFonts w:asciiTheme="minorEastAsia" w:hAnsiTheme="minorEastAsia" w:hint="eastAsia"/>
          <w:bCs/>
          <w:sz w:val="24"/>
          <w:szCs w:val="24"/>
        </w:rPr>
      </w:pPr>
      <w:r>
        <w:rPr>
          <w:rFonts w:asciiTheme="minorEastAsia" w:hAnsiTheme="minorEastAsia"/>
          <w:bCs/>
          <w:sz w:val="24"/>
          <w:szCs w:val="24"/>
        </w:rPr>
        <w:t>（14）以基金管理人的名义，代表基金份额持有人的利益行使诉讼权利或者实施其他法律行为；</w:t>
      </w:r>
      <w:r>
        <w:rPr>
          <w:rFonts w:asciiTheme="minorEastAsia" w:hAnsiTheme="minorEastAsia"/>
          <w:bCs/>
          <w:sz w:val="24"/>
          <w:szCs w:val="24"/>
        </w:rPr>
        <w:tab/>
      </w:r>
    </w:p>
    <w:p w14:paraId="64413727" w14:textId="77777777" w:rsidR="00B51DEA" w:rsidRDefault="00000000">
      <w:pPr>
        <w:spacing w:line="440" w:lineRule="atLeast"/>
        <w:ind w:firstLineChars="200" w:firstLine="480"/>
        <w:rPr>
          <w:rFonts w:asciiTheme="minorEastAsia" w:hAnsiTheme="minorEastAsia" w:hint="eastAsia"/>
          <w:bCs/>
          <w:sz w:val="24"/>
          <w:szCs w:val="24"/>
        </w:rPr>
      </w:pPr>
      <w:r>
        <w:rPr>
          <w:rFonts w:asciiTheme="minorEastAsia" w:hAnsiTheme="minorEastAsia"/>
          <w:bCs/>
          <w:sz w:val="24"/>
          <w:szCs w:val="24"/>
        </w:rPr>
        <w:t>（15）选择、更换律师事务所、会计师事务所、证券经纪商或其他为基金提供服务的外部机构；</w:t>
      </w:r>
      <w:r>
        <w:rPr>
          <w:rFonts w:asciiTheme="minorEastAsia" w:hAnsiTheme="minorEastAsia"/>
          <w:bCs/>
          <w:sz w:val="24"/>
          <w:szCs w:val="24"/>
        </w:rPr>
        <w:tab/>
      </w:r>
    </w:p>
    <w:p w14:paraId="34EDB21A" w14:textId="77777777" w:rsidR="00B51DEA" w:rsidRDefault="00000000">
      <w:pPr>
        <w:spacing w:line="440" w:lineRule="atLeast"/>
        <w:ind w:firstLineChars="200" w:firstLine="480"/>
        <w:rPr>
          <w:rFonts w:asciiTheme="minorEastAsia" w:hAnsiTheme="minorEastAsia" w:hint="eastAsia"/>
          <w:bCs/>
          <w:sz w:val="24"/>
          <w:szCs w:val="24"/>
        </w:rPr>
      </w:pPr>
      <w:r>
        <w:rPr>
          <w:rFonts w:asciiTheme="minorEastAsia" w:hAnsiTheme="minorEastAsia"/>
          <w:bCs/>
          <w:sz w:val="24"/>
          <w:szCs w:val="24"/>
        </w:rPr>
        <w:lastRenderedPageBreak/>
        <w:t>（16）在符合有关法律、法规的前提下，制订和调整有关基金认购、申购、赎回、转换和</w:t>
      </w:r>
      <w:proofErr w:type="gramStart"/>
      <w:r>
        <w:rPr>
          <w:rFonts w:asciiTheme="minorEastAsia" w:hAnsiTheme="minorEastAsia"/>
          <w:bCs/>
          <w:sz w:val="24"/>
          <w:szCs w:val="24"/>
        </w:rPr>
        <w:t>非交易</w:t>
      </w:r>
      <w:proofErr w:type="gramEnd"/>
      <w:r>
        <w:rPr>
          <w:rFonts w:asciiTheme="minorEastAsia" w:hAnsiTheme="minorEastAsia"/>
          <w:bCs/>
          <w:sz w:val="24"/>
          <w:szCs w:val="24"/>
        </w:rPr>
        <w:t>过户</w:t>
      </w:r>
      <w:r>
        <w:rPr>
          <w:rFonts w:asciiTheme="minorEastAsia" w:hAnsiTheme="minorEastAsia" w:hint="eastAsia"/>
          <w:bCs/>
          <w:sz w:val="24"/>
          <w:szCs w:val="24"/>
        </w:rPr>
        <w:t>等</w:t>
      </w:r>
      <w:r>
        <w:rPr>
          <w:rFonts w:asciiTheme="minorEastAsia" w:hAnsiTheme="minorEastAsia"/>
          <w:bCs/>
          <w:sz w:val="24"/>
          <w:szCs w:val="24"/>
        </w:rPr>
        <w:t>业务规则；</w:t>
      </w:r>
    </w:p>
    <w:p w14:paraId="1DD66E9B" w14:textId="77777777" w:rsidR="00B51DEA" w:rsidRDefault="00000000">
      <w:pPr>
        <w:spacing w:line="440" w:lineRule="atLeast"/>
        <w:ind w:firstLineChars="200" w:firstLine="480"/>
        <w:rPr>
          <w:rFonts w:asciiTheme="minorEastAsia" w:hAnsiTheme="minorEastAsia" w:hint="eastAsia"/>
          <w:bCs/>
          <w:sz w:val="24"/>
          <w:szCs w:val="24"/>
        </w:rPr>
      </w:pPr>
      <w:r>
        <w:rPr>
          <w:rFonts w:asciiTheme="minorEastAsia" w:hAnsiTheme="minorEastAsia"/>
          <w:bCs/>
          <w:sz w:val="24"/>
          <w:szCs w:val="24"/>
        </w:rPr>
        <w:t>（17）法律法规及中国证监会规定的和《基金合同》约定的其他权利。</w:t>
      </w:r>
    </w:p>
    <w:p w14:paraId="465DFE02"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2、根据《基金法》、《运作办法》及其他有关规定，基金管理人的义务包括但不限于：</w:t>
      </w:r>
    </w:p>
    <w:p w14:paraId="1EE67A6E"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（1）依法</w:t>
      </w:r>
      <w:r>
        <w:rPr>
          <w:rFonts w:asciiTheme="minorEastAsia" w:hAnsiTheme="minorEastAsia" w:hint="eastAsia"/>
          <w:bCs/>
          <w:sz w:val="24"/>
          <w:szCs w:val="24"/>
        </w:rPr>
        <w:t>募集资金，</w:t>
      </w:r>
      <w:r>
        <w:rPr>
          <w:rFonts w:asciiTheme="minorEastAsia" w:hAnsiTheme="minorEastAsia" w:hint="eastAsia"/>
          <w:sz w:val="24"/>
          <w:szCs w:val="24"/>
        </w:rPr>
        <w:t>办理或者委托经中国证监会认定的其他机构代为办理基金份额的</w:t>
      </w:r>
      <w:r>
        <w:rPr>
          <w:rFonts w:asciiTheme="minorEastAsia" w:hAnsiTheme="minorEastAsia" w:hint="eastAsia"/>
          <w:bCs/>
          <w:sz w:val="24"/>
          <w:szCs w:val="24"/>
        </w:rPr>
        <w:t>发售、</w:t>
      </w:r>
      <w:r>
        <w:rPr>
          <w:rFonts w:asciiTheme="minorEastAsia" w:hAnsiTheme="minorEastAsia" w:hint="eastAsia"/>
          <w:sz w:val="24"/>
          <w:szCs w:val="24"/>
        </w:rPr>
        <w:t>申购、赎回和登记事宜；</w:t>
      </w:r>
    </w:p>
    <w:p w14:paraId="0AF3906D"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（2）办理基金备案手续；</w:t>
      </w:r>
    </w:p>
    <w:p w14:paraId="3CF85D7F"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（3）自《基金合同》生效之日起，以诚实信用、谨慎勤勉的原则管理和运用基金财产；</w:t>
      </w:r>
    </w:p>
    <w:p w14:paraId="1F2797F2"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（4）配备足够的具有专业资格的人员进行基金投资分析、决策，以专业化的经营方式管理和运作基金财产；</w:t>
      </w:r>
    </w:p>
    <w:p w14:paraId="4CFCEB57"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（5）建立健全内部风险控制、监察与稽核、财务管理及人事管理等制度，保证所管理的基金财产和基金管理人的财产相互独立，对所管理的不同基金分别管理，分别记账，进行证券投资；</w:t>
      </w:r>
    </w:p>
    <w:p w14:paraId="1DDD4CF0"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（6）除依据《基金法》、《基金合同》及其他有关规定外，不得利用基金财产为自己及任何第三人谋取利益，不得委托第三人运作基金财产；</w:t>
      </w:r>
    </w:p>
    <w:p w14:paraId="4DDD4EFB"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（7）依法接受基金托管人的监督；</w:t>
      </w:r>
    </w:p>
    <w:p w14:paraId="3E2BCB13"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（8）采取适当合理的措施使计算基金份额认购、申购、赎回和注销价格的方法符合《基金合同》等法律文件的规定，按有关规定计算并公告基金净值信息，确定基金份额申购、赎回对价，编制申购赎回清单；</w:t>
      </w:r>
    </w:p>
    <w:p w14:paraId="311A7437"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（9）进行基金会计核算并编制基金财务会计报告；</w:t>
      </w:r>
    </w:p>
    <w:p w14:paraId="5EE9336D"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（10）编制季度报告、中期报告和年度报告；</w:t>
      </w:r>
    </w:p>
    <w:p w14:paraId="3366C772"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（11）严格按照《基金法》、《基金合同》及其他有关规定，履行信息披露及报告义务；</w:t>
      </w:r>
    </w:p>
    <w:p w14:paraId="08FE3B02"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（12）保守基金商业秘密，不泄露基金投资计划、投资意向等。除《基金法》、《基金合同》及其他有关规定另有规定外，在基金信息公开披露前应予保密，不向他人泄露；</w:t>
      </w:r>
    </w:p>
    <w:p w14:paraId="1C2A5FFF"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（13）按《基金合同》的约定确定基金收益分配方案，及时向基金份额持有人分配基金收益；</w:t>
      </w:r>
    </w:p>
    <w:p w14:paraId="20B169D1"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lastRenderedPageBreak/>
        <w:t>（14）按规定受理申购与赎回申请，及时、足额支付赎回款项；</w:t>
      </w:r>
    </w:p>
    <w:p w14:paraId="513548E6"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（15）依据《基金法》、《基金合同》及其他有关规定召集基金份额持有人大会或配合基金托管人、基金份额持有人依法召集基金份额持有人大会；</w:t>
      </w:r>
    </w:p>
    <w:p w14:paraId="043A6E75"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（16）按规定保存基金财产管理业务活动的会计账册、报表、记录和其他相关资料</w:t>
      </w:r>
      <w:r>
        <w:rPr>
          <w:rFonts w:asciiTheme="minorEastAsia" w:hAnsiTheme="minorEastAsia"/>
          <w:bCs/>
          <w:sz w:val="24"/>
          <w:szCs w:val="24"/>
        </w:rPr>
        <w:t>15</w:t>
      </w:r>
      <w:r>
        <w:rPr>
          <w:rFonts w:asciiTheme="minorEastAsia" w:hAnsiTheme="minorEastAsia" w:hint="eastAsia"/>
          <w:bCs/>
          <w:sz w:val="24"/>
          <w:szCs w:val="24"/>
        </w:rPr>
        <w:t>年以上；</w:t>
      </w:r>
    </w:p>
    <w:p w14:paraId="50AC3C3E"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17）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7A900A22"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（18）组织并参加基金财产清算小组，参与基金财产的保管、清理、估价、变现和分配；</w:t>
      </w:r>
    </w:p>
    <w:p w14:paraId="02E1C4F9"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（19）面临解散、依法被撤销或者被依法宣告破产时，及时报告中国证监会并通知基金托管人；</w:t>
      </w:r>
    </w:p>
    <w:p w14:paraId="2A4E396F"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（20）因违反《基金合同》导致基金财产的损失或损害基金份额持有人合法权益时，应当承担赔偿责任，其赔偿责任不因其退任而免除；</w:t>
      </w:r>
    </w:p>
    <w:p w14:paraId="15FE1AEA"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（21）监督基金托管人按法律法规和《基金合同》规定履行自己的义务，基金托管人违反《基金合同》造成基金财产损失时，基金管理人应为基金份额持有人利益向基金托管人追偿；</w:t>
      </w:r>
    </w:p>
    <w:p w14:paraId="505B4757"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（22）当基金管理人将其义务委托第三方处理时，应当对第三方处理有关基金事务的行为承担责任；</w:t>
      </w:r>
    </w:p>
    <w:p w14:paraId="58CCC79F"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（23）以基金管理人名义，代表基金份额持有人利益行使诉讼权利或实施其他法律行为；</w:t>
      </w:r>
    </w:p>
    <w:p w14:paraId="4312F1A2"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sz w:val="24"/>
          <w:szCs w:val="24"/>
        </w:rPr>
        <w:t>（24）</w:t>
      </w:r>
      <w:r>
        <w:rPr>
          <w:rFonts w:asciiTheme="minorEastAsia" w:hAnsiTheme="minorEastAsia" w:hint="eastAsia"/>
          <w:bCs/>
          <w:sz w:val="24"/>
          <w:szCs w:val="24"/>
        </w:rPr>
        <w:t>基金管理人在募集期间未能达到基金的备案条件，《基金合同》不能生效，基金管理人承担全部募集费用，将已募集资金加计银行同期活期存款利息在基金募集期结束后</w:t>
      </w:r>
      <w:r>
        <w:rPr>
          <w:rFonts w:asciiTheme="minorEastAsia" w:hAnsiTheme="minorEastAsia"/>
          <w:bCs/>
          <w:sz w:val="24"/>
          <w:szCs w:val="24"/>
        </w:rPr>
        <w:t>30</w:t>
      </w:r>
      <w:r>
        <w:rPr>
          <w:rFonts w:asciiTheme="minorEastAsia" w:hAnsiTheme="minorEastAsia" w:hint="eastAsia"/>
          <w:bCs/>
          <w:sz w:val="24"/>
          <w:szCs w:val="24"/>
        </w:rPr>
        <w:t>日内退还基金认购人；</w:t>
      </w:r>
    </w:p>
    <w:p w14:paraId="48CCA9A5"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（2</w:t>
      </w:r>
      <w:r>
        <w:rPr>
          <w:rFonts w:asciiTheme="minorEastAsia" w:hAnsiTheme="minorEastAsia"/>
          <w:bCs/>
          <w:sz w:val="24"/>
          <w:szCs w:val="24"/>
        </w:rPr>
        <w:t>5</w:t>
      </w:r>
      <w:r>
        <w:rPr>
          <w:rFonts w:asciiTheme="minorEastAsia" w:hAnsiTheme="minorEastAsia" w:hint="eastAsia"/>
          <w:bCs/>
          <w:sz w:val="24"/>
          <w:szCs w:val="24"/>
        </w:rPr>
        <w:t>）执行生效的基金份额持有人大会的决议；</w:t>
      </w:r>
    </w:p>
    <w:p w14:paraId="6E94F7F4"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（2</w:t>
      </w:r>
      <w:r>
        <w:rPr>
          <w:rFonts w:asciiTheme="minorEastAsia" w:hAnsiTheme="minorEastAsia"/>
          <w:bCs/>
          <w:sz w:val="24"/>
          <w:szCs w:val="24"/>
        </w:rPr>
        <w:t>6</w:t>
      </w:r>
      <w:r>
        <w:rPr>
          <w:rFonts w:asciiTheme="minorEastAsia" w:hAnsiTheme="minorEastAsia" w:hint="eastAsia"/>
          <w:bCs/>
          <w:sz w:val="24"/>
          <w:szCs w:val="24"/>
        </w:rPr>
        <w:t>）建立并保存基金份额持有人名册；</w:t>
      </w:r>
    </w:p>
    <w:p w14:paraId="63F943C0"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（2</w:t>
      </w:r>
      <w:r>
        <w:rPr>
          <w:rFonts w:asciiTheme="minorEastAsia" w:hAnsiTheme="minorEastAsia"/>
          <w:bCs/>
          <w:sz w:val="24"/>
          <w:szCs w:val="24"/>
        </w:rPr>
        <w:t>7</w:t>
      </w:r>
      <w:r>
        <w:rPr>
          <w:rFonts w:asciiTheme="minorEastAsia" w:hAnsiTheme="minorEastAsia" w:hint="eastAsia"/>
          <w:bCs/>
          <w:sz w:val="24"/>
          <w:szCs w:val="24"/>
        </w:rPr>
        <w:t>）法律法规及中国证监会规定的和《基金合同》约定的其他义务。</w:t>
      </w:r>
    </w:p>
    <w:p w14:paraId="6CA8FD2E"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（二）</w:t>
      </w:r>
      <w:r>
        <w:rPr>
          <w:rFonts w:asciiTheme="minorEastAsia" w:hAnsiTheme="minorEastAsia"/>
          <w:bCs/>
          <w:sz w:val="24"/>
        </w:rPr>
        <w:tab/>
      </w:r>
      <w:r>
        <w:rPr>
          <w:rFonts w:asciiTheme="minorEastAsia" w:hAnsiTheme="minorEastAsia" w:hint="eastAsia"/>
          <w:bCs/>
          <w:sz w:val="24"/>
        </w:rPr>
        <w:t>基金托管人的权利与义务</w:t>
      </w:r>
    </w:p>
    <w:p w14:paraId="2A05C526"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1、根据《基金法》、《运作办法》及其他有关规定，基金托管人的权利包括</w:t>
      </w:r>
      <w:r>
        <w:rPr>
          <w:rFonts w:asciiTheme="minorEastAsia" w:hAnsiTheme="minorEastAsia" w:hint="eastAsia"/>
          <w:bCs/>
          <w:sz w:val="24"/>
          <w:szCs w:val="24"/>
        </w:rPr>
        <w:lastRenderedPageBreak/>
        <w:t>但不限于：</w:t>
      </w:r>
    </w:p>
    <w:p w14:paraId="3A690AF6"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（1）自《基金合同》生效之日起，依法</w:t>
      </w:r>
      <w:proofErr w:type="gramStart"/>
      <w:r>
        <w:rPr>
          <w:rFonts w:asciiTheme="minorEastAsia" w:hAnsiTheme="minorEastAsia" w:hint="eastAsia"/>
          <w:bCs/>
          <w:sz w:val="24"/>
          <w:szCs w:val="24"/>
        </w:rPr>
        <w:t>律法规</w:t>
      </w:r>
      <w:proofErr w:type="gramEnd"/>
      <w:r>
        <w:rPr>
          <w:rFonts w:asciiTheme="minorEastAsia" w:hAnsiTheme="minorEastAsia" w:hint="eastAsia"/>
          <w:bCs/>
          <w:sz w:val="24"/>
          <w:szCs w:val="24"/>
        </w:rPr>
        <w:t>和《基金合同》的规定安全保管基金财产；</w:t>
      </w:r>
    </w:p>
    <w:p w14:paraId="6AD65622"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（2）依《基金合同》约定获得基金托管费以及法律法规规定或监管部门批准的其他费用；</w:t>
      </w:r>
    </w:p>
    <w:p w14:paraId="3BB33D3B"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3）监督基金管理人对本基金的投资运作，如发现基金管理人有违反《基金合同》及国家法律法规行为，对基金财产、其他当事人的利益造成重大损失的情形，应呈报中国证监会，并采取必要措施保护基金投资者的利益；</w:t>
      </w:r>
    </w:p>
    <w:p w14:paraId="6640C30B"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（4）根据相关市场规则，为基金开设资金账户、证券账户等投资所需账户，为基金办理证券交易资金清算；</w:t>
      </w:r>
    </w:p>
    <w:p w14:paraId="5D876931"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（5）提议召开或召集基金份额持有人大会；</w:t>
      </w:r>
    </w:p>
    <w:p w14:paraId="2EDB61BB"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（6）在基金管理人更换时，提名新的基金管理人；</w:t>
      </w:r>
    </w:p>
    <w:p w14:paraId="3141101C"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（7）法律法规及中国证监会规定的和《基金合同》约定的其他权利。</w:t>
      </w:r>
    </w:p>
    <w:p w14:paraId="2813DF76"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2、根据《基金法》、《运作办法》及其他有关规定，基金托管人的义务包括但不限于：</w:t>
      </w:r>
    </w:p>
    <w:p w14:paraId="1D706AD1"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（1）以诚实信用、勤勉尽责的原则持有并安全保管基金财产；</w:t>
      </w:r>
    </w:p>
    <w:p w14:paraId="7CBE8932"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（2）设立专门的基金托管部门，具有符合要求的营业场所，配备足够的、合格的熟悉基金托管业务的专职人员，负责基金财产托管事宜；</w:t>
      </w:r>
    </w:p>
    <w:p w14:paraId="34A248FD"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3）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50D6D545"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（4）除依据《基金法》、《基金合同》及其他有关规定外，不得利用基金财产为自己及任何第三人谋取利益，不得委托第三人托管基金财产；</w:t>
      </w:r>
    </w:p>
    <w:p w14:paraId="5CC09D38"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（5）保管由基金管理人代表基金签订的与基金有关的重大合同及有关凭证；</w:t>
      </w:r>
    </w:p>
    <w:p w14:paraId="645C4F6C"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（6）按规定开设基金财产的资金账户、证券账户等投资所需账户，按照《基金合同》的约定，根据基金管理人的投资指令，及时办理清算、交割事宜；</w:t>
      </w:r>
    </w:p>
    <w:p w14:paraId="445FD985"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（7）保守基金商业秘密，除《基金法》、《基金合同》及其他有关规定另有规定外，在基金信息公开披露前予以保密，不得向他人泄露；</w:t>
      </w:r>
    </w:p>
    <w:p w14:paraId="2C28A3C0"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lastRenderedPageBreak/>
        <w:t>（8）复核、审查基金管理人计算的基金资产净值、基金份额净值、基金份额申购、赎回价格；</w:t>
      </w:r>
    </w:p>
    <w:p w14:paraId="2E1ECDD3"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（9）办理与基金托管业务活动有关的信息披露事项；</w:t>
      </w:r>
    </w:p>
    <w:p w14:paraId="6ECADFA8"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10）对基金财务会计报告、季度报告、中期报告和年度报告出具意见，说明基金管理人在各重要方面的运作是否严格按照《基金合同》的规定进行；如果基金管理人有未执行《基金合同》规定的行为，还应当说明基金托管人是否采取了适当的措施；</w:t>
      </w:r>
    </w:p>
    <w:p w14:paraId="77F31F39"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（11）保存基金托管业务活动的记录、账册、报表和其他相关资料</w:t>
      </w:r>
      <w:r>
        <w:rPr>
          <w:rFonts w:asciiTheme="minorEastAsia" w:hAnsiTheme="minorEastAsia"/>
          <w:sz w:val="24"/>
          <w:szCs w:val="24"/>
        </w:rPr>
        <w:t>15</w:t>
      </w:r>
      <w:r>
        <w:rPr>
          <w:rFonts w:asciiTheme="minorEastAsia" w:hAnsiTheme="minorEastAsia" w:hint="eastAsia"/>
          <w:bCs/>
          <w:sz w:val="24"/>
          <w:szCs w:val="24"/>
        </w:rPr>
        <w:t>年以上；</w:t>
      </w:r>
    </w:p>
    <w:p w14:paraId="4501BCD3"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（12）从基金管理人或其委托的登记机构处接收并保存基金份额持有人名册；</w:t>
      </w:r>
    </w:p>
    <w:p w14:paraId="6EB5D2E0"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（13）按规定制作相关账册并与基金管理人核对；</w:t>
      </w:r>
    </w:p>
    <w:p w14:paraId="5067CE9D"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（14）依据基金管理人的指令或有关规定向基金份额持有人支付基金收益和赎回款项；</w:t>
      </w:r>
    </w:p>
    <w:p w14:paraId="396E44F6"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（15）依据《基金法》、《基金合同》及其他有关规定，召集基金份额持有人大会或配合基金管理人、基金份额持有人依法召集基金份额持有人大会；</w:t>
      </w:r>
    </w:p>
    <w:p w14:paraId="565868BC"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（16）按照法律法规和《基金合同》的规定监督基金管理人的投资运作；</w:t>
      </w:r>
    </w:p>
    <w:p w14:paraId="18B6C632"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（17）参加基金财产清算小组，参与基金财产的保管、清理、估价、变现和分配；</w:t>
      </w:r>
    </w:p>
    <w:p w14:paraId="36DE3419"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（18）面临解散、依法被撤销或者被依法宣告破产时，及时报告中国证监会和银行监管机构，并通知基金管理人；</w:t>
      </w:r>
    </w:p>
    <w:p w14:paraId="058164F3"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（19）因违反《基金合同》导致基金财产损失时，应承担赔偿责任，其赔偿责任不因其退任而免除；</w:t>
      </w:r>
    </w:p>
    <w:p w14:paraId="500A64CA"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（20）监督基金管理人按法律法规和《基金合同》规定履行自己的义务，基金管理人因违反《基金合同》造成基金财产损失时，应为基金份额持有人利益向基金管理人追偿；</w:t>
      </w:r>
    </w:p>
    <w:p w14:paraId="39C98129"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（21）执行生效的基金份额持有人大会的决议；</w:t>
      </w:r>
    </w:p>
    <w:p w14:paraId="026CCB54"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（22）法律法规及中国证监会规定的和《基金合同》约定的其他义务。</w:t>
      </w:r>
    </w:p>
    <w:p w14:paraId="22C1094B"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（三）基金份额持有人的权利和义务</w:t>
      </w:r>
    </w:p>
    <w:p w14:paraId="628E496E"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基金投资者</w:t>
      </w:r>
      <w:r>
        <w:rPr>
          <w:rFonts w:asciiTheme="minorEastAsia" w:hAnsiTheme="minorEastAsia" w:hint="eastAsia"/>
          <w:bCs/>
          <w:sz w:val="24"/>
          <w:szCs w:val="24"/>
        </w:rPr>
        <w:t>持有</w:t>
      </w:r>
      <w:r>
        <w:rPr>
          <w:rFonts w:asciiTheme="minorEastAsia" w:hAnsiTheme="minorEastAsia"/>
          <w:bCs/>
          <w:sz w:val="24"/>
          <w:szCs w:val="24"/>
        </w:rPr>
        <w:t>本</w:t>
      </w:r>
      <w:proofErr w:type="gramStart"/>
      <w:r>
        <w:rPr>
          <w:rFonts w:asciiTheme="minorEastAsia" w:hAnsiTheme="minorEastAsia"/>
          <w:bCs/>
          <w:sz w:val="24"/>
          <w:szCs w:val="24"/>
        </w:rPr>
        <w:t>基金基金</w:t>
      </w:r>
      <w:proofErr w:type="gramEnd"/>
      <w:r>
        <w:rPr>
          <w:rFonts w:asciiTheme="minorEastAsia" w:hAnsiTheme="minorEastAsia"/>
          <w:bCs/>
          <w:sz w:val="24"/>
          <w:szCs w:val="24"/>
        </w:rPr>
        <w:t>份额的行为即视为对《基金合同》的承认和接受，</w:t>
      </w:r>
      <w:r>
        <w:rPr>
          <w:rFonts w:asciiTheme="minorEastAsia" w:hAnsiTheme="minorEastAsia"/>
          <w:bCs/>
          <w:sz w:val="24"/>
          <w:szCs w:val="24"/>
        </w:rPr>
        <w:lastRenderedPageBreak/>
        <w:t>基金投资者</w:t>
      </w:r>
      <w:proofErr w:type="gramStart"/>
      <w:r>
        <w:rPr>
          <w:rFonts w:asciiTheme="minorEastAsia" w:hAnsiTheme="minorEastAsia"/>
          <w:bCs/>
          <w:sz w:val="24"/>
          <w:szCs w:val="24"/>
        </w:rPr>
        <w:t>自依据</w:t>
      </w:r>
      <w:proofErr w:type="gramEnd"/>
      <w:r>
        <w:rPr>
          <w:rFonts w:asciiTheme="minorEastAsia" w:hAnsiTheme="minorEastAsia"/>
          <w:bCs/>
          <w:sz w:val="24"/>
          <w:szCs w:val="24"/>
        </w:rPr>
        <w:t>《基金合同》取得基金份额，即成为本基金份额持有人和《基金合同》的当事人，直至其不再持有本基金的基金份额。基金份额持有人作为《基金合同》当事人并不以在《基金合同》上书面签章或签字为必要条件。</w:t>
      </w:r>
    </w:p>
    <w:p w14:paraId="07A3E0DF"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同一类别</w:t>
      </w:r>
      <w:r>
        <w:rPr>
          <w:rFonts w:asciiTheme="minorEastAsia" w:hAnsiTheme="minorEastAsia"/>
          <w:bCs/>
          <w:sz w:val="24"/>
          <w:szCs w:val="24"/>
        </w:rPr>
        <w:t>每份基金份额具有同等的合法权益。</w:t>
      </w:r>
    </w:p>
    <w:p w14:paraId="34F691AC"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1、根据《基金法》、《运作办法》及其他有关规定，基金份额持有人的权利包括但不限于：</w:t>
      </w:r>
    </w:p>
    <w:p w14:paraId="723F31F9"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（1）分享基金财产收益；</w:t>
      </w:r>
    </w:p>
    <w:p w14:paraId="7D6D0A06"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（2）参与分配清算后的剩余基金财产；</w:t>
      </w:r>
    </w:p>
    <w:p w14:paraId="5B269006"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（3）依法申请赎回其持有的基金份额；</w:t>
      </w:r>
    </w:p>
    <w:p w14:paraId="71701C28"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（4）按照规定要求召开基金份额持有人大会</w:t>
      </w:r>
      <w:r>
        <w:rPr>
          <w:rFonts w:asciiTheme="minorEastAsia" w:hAnsiTheme="minorEastAsia" w:hint="eastAsia"/>
          <w:bCs/>
          <w:sz w:val="24"/>
          <w:szCs w:val="24"/>
        </w:rPr>
        <w:t>或者召集基金份额持有人大会</w:t>
      </w:r>
      <w:r>
        <w:rPr>
          <w:rFonts w:asciiTheme="minorEastAsia" w:hAnsiTheme="minorEastAsia"/>
          <w:bCs/>
          <w:sz w:val="24"/>
          <w:szCs w:val="24"/>
        </w:rPr>
        <w:t>；</w:t>
      </w:r>
    </w:p>
    <w:p w14:paraId="74F50C89"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（5）出席或者委派代表出席基金份额持有人大会，对基金份额持有人大会审议事项行使表决权；</w:t>
      </w:r>
    </w:p>
    <w:p w14:paraId="77EED415"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（6）查阅或者复制公开披露的基金信息资料；</w:t>
      </w:r>
    </w:p>
    <w:p w14:paraId="204B34A0"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（7）监督基金管理人的投资运作；</w:t>
      </w:r>
    </w:p>
    <w:p w14:paraId="002E8F82"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（8）对基金管理人、基金托管人、基金</w:t>
      </w:r>
      <w:r>
        <w:rPr>
          <w:rFonts w:asciiTheme="minorEastAsia" w:hAnsiTheme="minorEastAsia" w:hint="eastAsia"/>
          <w:bCs/>
          <w:sz w:val="24"/>
          <w:szCs w:val="24"/>
        </w:rPr>
        <w:t>服务</w:t>
      </w:r>
      <w:r>
        <w:rPr>
          <w:rFonts w:asciiTheme="minorEastAsia" w:hAnsiTheme="minorEastAsia"/>
          <w:bCs/>
          <w:sz w:val="24"/>
          <w:szCs w:val="24"/>
        </w:rPr>
        <w:t>机构损害其合法权益的行为依法提起诉讼或仲裁；</w:t>
      </w:r>
    </w:p>
    <w:p w14:paraId="1544163E"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（9）法律法规及中国证监会规定的和《基金合同》约定的其他权利。</w:t>
      </w:r>
    </w:p>
    <w:p w14:paraId="7015FBD9"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2、根据《基金法》、《运作办法》及其他有关规定，基金份额持有人的义务包括但不限于：</w:t>
      </w:r>
    </w:p>
    <w:p w14:paraId="166BAC4D"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（1）认真阅读并遵守《基金合同》</w:t>
      </w:r>
      <w:r>
        <w:rPr>
          <w:rFonts w:asciiTheme="minorEastAsia" w:hAnsiTheme="minorEastAsia" w:hint="eastAsia"/>
          <w:bCs/>
          <w:sz w:val="24"/>
          <w:szCs w:val="24"/>
        </w:rPr>
        <w:t>、招募说明书等信息披露文件</w:t>
      </w:r>
      <w:r>
        <w:rPr>
          <w:rFonts w:asciiTheme="minorEastAsia" w:hAnsiTheme="minorEastAsia"/>
          <w:bCs/>
          <w:sz w:val="24"/>
          <w:szCs w:val="24"/>
        </w:rPr>
        <w:t>；</w:t>
      </w:r>
    </w:p>
    <w:p w14:paraId="3BBDC463"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（2）了解所投资基金产品，了解自身风险承受能力，</w:t>
      </w:r>
      <w:r>
        <w:rPr>
          <w:rFonts w:asciiTheme="minorEastAsia" w:hAnsiTheme="minorEastAsia" w:hint="eastAsia"/>
          <w:bCs/>
          <w:sz w:val="24"/>
          <w:szCs w:val="24"/>
        </w:rPr>
        <w:t>自主判断基金的投资价值，自主做出投资决策，</w:t>
      </w:r>
      <w:r>
        <w:rPr>
          <w:rFonts w:asciiTheme="minorEastAsia" w:hAnsiTheme="minorEastAsia"/>
          <w:bCs/>
          <w:sz w:val="24"/>
          <w:szCs w:val="24"/>
        </w:rPr>
        <w:t>自行承担投资风险；</w:t>
      </w:r>
    </w:p>
    <w:p w14:paraId="7A23EF90"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（3）关注基金信息披露，及时行使权利和履行义务；</w:t>
      </w:r>
    </w:p>
    <w:p w14:paraId="4FAA7334"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（4）缴纳基金认购、申购款项及法律法规和《基金合同》所规定的费用；</w:t>
      </w:r>
    </w:p>
    <w:p w14:paraId="59127086"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（5）在其持有的基金份额范围内，承担基金亏损或者《基金合同》终止的有限责任；</w:t>
      </w:r>
    </w:p>
    <w:p w14:paraId="3373AE54"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（6）不从事任何有损基金及其他《基金合同》当事人合法权益的活动；</w:t>
      </w:r>
    </w:p>
    <w:p w14:paraId="77F3AAB3"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（7）执行生效的基金份额持有人大会的决</w:t>
      </w:r>
      <w:r>
        <w:rPr>
          <w:rFonts w:asciiTheme="minorEastAsia" w:hAnsiTheme="minorEastAsia" w:hint="eastAsia"/>
          <w:bCs/>
          <w:sz w:val="24"/>
          <w:szCs w:val="24"/>
        </w:rPr>
        <w:t>议</w:t>
      </w:r>
      <w:r>
        <w:rPr>
          <w:rFonts w:asciiTheme="minorEastAsia" w:hAnsiTheme="minorEastAsia"/>
          <w:bCs/>
          <w:sz w:val="24"/>
          <w:szCs w:val="24"/>
        </w:rPr>
        <w:t>；</w:t>
      </w:r>
    </w:p>
    <w:p w14:paraId="59E87B3A"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bCs/>
          <w:sz w:val="24"/>
          <w:szCs w:val="24"/>
        </w:rPr>
        <w:t>（8）返还在基金交易过程中因任何原因获得的不当得利；</w:t>
      </w:r>
    </w:p>
    <w:p w14:paraId="46CC56FB"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lastRenderedPageBreak/>
        <w:t>（</w:t>
      </w:r>
      <w:r>
        <w:rPr>
          <w:rFonts w:asciiTheme="minorEastAsia" w:hAnsiTheme="minorEastAsia"/>
          <w:bCs/>
          <w:sz w:val="24"/>
          <w:szCs w:val="24"/>
        </w:rPr>
        <w:t>9）发起资金提供方持有认购的基金份额不少于3</w:t>
      </w:r>
      <w:r>
        <w:rPr>
          <w:rFonts w:asciiTheme="minorEastAsia" w:hAnsiTheme="minorEastAsia" w:hint="eastAsia"/>
          <w:bCs/>
          <w:sz w:val="24"/>
          <w:szCs w:val="24"/>
        </w:rPr>
        <w:t>年；</w:t>
      </w:r>
    </w:p>
    <w:p w14:paraId="2831BF24"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w:t>
      </w:r>
      <w:r>
        <w:rPr>
          <w:rFonts w:asciiTheme="minorEastAsia" w:hAnsiTheme="minorEastAsia"/>
          <w:bCs/>
          <w:sz w:val="24"/>
          <w:szCs w:val="24"/>
        </w:rPr>
        <w:t>10）法律法规及中国证监会规定的和《基金合同》约定的其他义务。</w:t>
      </w:r>
    </w:p>
    <w:p w14:paraId="177E8765"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二、基金份额持有人大会召集、议事及表决的程序和规则</w:t>
      </w:r>
    </w:p>
    <w:p w14:paraId="6C1CF3D2"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基金份额持有人大会由基金份额持有人组成，基金份额持有人的合法授权代表有权代表基金份额持有人出席会议并表决。基金份额持有人持有的每一基金份额拥有平等的投票权。</w:t>
      </w:r>
    </w:p>
    <w:p w14:paraId="2DC2C018"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本基金份额持有人大会不设日常机构。</w:t>
      </w:r>
    </w:p>
    <w:p w14:paraId="2350157D"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（一）召开事由</w:t>
      </w:r>
    </w:p>
    <w:p w14:paraId="52551BCC"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1、当出现或需要决定下列事由之一的，应当召开基金份额持有人大会：</w:t>
      </w:r>
    </w:p>
    <w:p w14:paraId="26185493" w14:textId="77777777" w:rsidR="00B51DEA" w:rsidRDefault="00000000">
      <w:pPr>
        <w:spacing w:line="440" w:lineRule="atLeast"/>
        <w:ind w:firstLineChars="200" w:firstLine="480"/>
        <w:rPr>
          <w:rFonts w:asciiTheme="minorEastAsia" w:hAnsiTheme="minorEastAsia" w:hint="eastAsia"/>
          <w:bCs/>
          <w:sz w:val="24"/>
          <w:szCs w:val="24"/>
        </w:rPr>
      </w:pPr>
      <w:r>
        <w:rPr>
          <w:rFonts w:asciiTheme="minorEastAsia" w:hAnsiTheme="minorEastAsia" w:hint="eastAsia"/>
          <w:bCs/>
          <w:sz w:val="24"/>
          <w:szCs w:val="24"/>
        </w:rPr>
        <w:t>（1）终止《基金合同》，但《基金合同》另有约定的除外；</w:t>
      </w:r>
    </w:p>
    <w:p w14:paraId="0E7161B9" w14:textId="77777777" w:rsidR="00B51DEA" w:rsidRDefault="00000000">
      <w:pPr>
        <w:spacing w:line="440" w:lineRule="atLeast"/>
        <w:ind w:firstLineChars="200" w:firstLine="480"/>
        <w:rPr>
          <w:rFonts w:asciiTheme="minorEastAsia" w:hAnsiTheme="minorEastAsia" w:hint="eastAsia"/>
          <w:bCs/>
          <w:sz w:val="24"/>
          <w:szCs w:val="24"/>
        </w:rPr>
      </w:pPr>
      <w:r>
        <w:rPr>
          <w:rFonts w:asciiTheme="minorEastAsia" w:hAnsiTheme="minorEastAsia" w:hint="eastAsia"/>
          <w:bCs/>
          <w:sz w:val="24"/>
          <w:szCs w:val="24"/>
        </w:rPr>
        <w:t>（2）更换基金管理人；</w:t>
      </w:r>
    </w:p>
    <w:p w14:paraId="2EBEB346" w14:textId="77777777" w:rsidR="00B51DEA" w:rsidRDefault="00000000">
      <w:pPr>
        <w:spacing w:line="440" w:lineRule="atLeast"/>
        <w:ind w:firstLineChars="200" w:firstLine="480"/>
        <w:rPr>
          <w:rFonts w:asciiTheme="minorEastAsia" w:hAnsiTheme="minorEastAsia" w:hint="eastAsia"/>
          <w:bCs/>
          <w:sz w:val="24"/>
          <w:szCs w:val="24"/>
        </w:rPr>
      </w:pPr>
      <w:r>
        <w:rPr>
          <w:rFonts w:asciiTheme="minorEastAsia" w:hAnsiTheme="minorEastAsia" w:hint="eastAsia"/>
          <w:bCs/>
          <w:sz w:val="24"/>
          <w:szCs w:val="24"/>
        </w:rPr>
        <w:t>（3）更换基金托管人；</w:t>
      </w:r>
    </w:p>
    <w:p w14:paraId="64F05FB1" w14:textId="77777777" w:rsidR="00B51DEA" w:rsidRDefault="00000000">
      <w:pPr>
        <w:spacing w:line="440" w:lineRule="atLeast"/>
        <w:ind w:firstLineChars="200" w:firstLine="480"/>
        <w:rPr>
          <w:rFonts w:asciiTheme="minorEastAsia" w:hAnsiTheme="minorEastAsia" w:hint="eastAsia"/>
          <w:bCs/>
          <w:sz w:val="24"/>
          <w:szCs w:val="24"/>
        </w:rPr>
      </w:pPr>
      <w:r>
        <w:rPr>
          <w:rFonts w:asciiTheme="minorEastAsia" w:hAnsiTheme="minorEastAsia" w:hint="eastAsia"/>
          <w:bCs/>
          <w:sz w:val="24"/>
          <w:szCs w:val="24"/>
        </w:rPr>
        <w:t>（4）转换基金运作方式；</w:t>
      </w:r>
    </w:p>
    <w:p w14:paraId="7493EC47" w14:textId="77777777" w:rsidR="00B51DEA" w:rsidRDefault="00000000">
      <w:pPr>
        <w:spacing w:line="440" w:lineRule="atLeast"/>
        <w:ind w:firstLineChars="200" w:firstLine="480"/>
        <w:rPr>
          <w:rFonts w:asciiTheme="minorEastAsia" w:hAnsiTheme="minorEastAsia" w:hint="eastAsia"/>
          <w:bCs/>
          <w:sz w:val="24"/>
          <w:szCs w:val="24"/>
        </w:rPr>
      </w:pPr>
      <w:r>
        <w:rPr>
          <w:rFonts w:asciiTheme="minorEastAsia" w:hAnsiTheme="minorEastAsia" w:hint="eastAsia"/>
          <w:bCs/>
          <w:sz w:val="24"/>
          <w:szCs w:val="24"/>
        </w:rPr>
        <w:t>（5）调整基金管理人、基金托管人的报酬标准或调高销售服务费率；</w:t>
      </w:r>
    </w:p>
    <w:p w14:paraId="69DC5DF8" w14:textId="77777777" w:rsidR="00B51DEA" w:rsidRDefault="00000000">
      <w:pPr>
        <w:spacing w:line="440" w:lineRule="atLeast"/>
        <w:ind w:firstLineChars="200" w:firstLine="480"/>
        <w:rPr>
          <w:rFonts w:asciiTheme="minorEastAsia" w:hAnsiTheme="minorEastAsia" w:hint="eastAsia"/>
          <w:bCs/>
          <w:sz w:val="24"/>
          <w:szCs w:val="24"/>
        </w:rPr>
      </w:pPr>
      <w:r>
        <w:rPr>
          <w:rFonts w:asciiTheme="minorEastAsia" w:hAnsiTheme="minorEastAsia" w:hint="eastAsia"/>
          <w:bCs/>
          <w:sz w:val="24"/>
          <w:szCs w:val="24"/>
        </w:rPr>
        <w:t>（6）变更基金类别；</w:t>
      </w:r>
    </w:p>
    <w:p w14:paraId="460DEECD" w14:textId="77777777" w:rsidR="00B51DEA" w:rsidRDefault="00000000">
      <w:pPr>
        <w:spacing w:line="440" w:lineRule="atLeast"/>
        <w:ind w:firstLineChars="200" w:firstLine="480"/>
        <w:rPr>
          <w:rFonts w:asciiTheme="minorEastAsia" w:hAnsiTheme="minorEastAsia" w:hint="eastAsia"/>
          <w:sz w:val="24"/>
          <w:szCs w:val="24"/>
        </w:rPr>
      </w:pPr>
      <w:r>
        <w:rPr>
          <w:rFonts w:asciiTheme="minorEastAsia" w:hAnsiTheme="minorEastAsia" w:hint="eastAsia"/>
          <w:sz w:val="24"/>
          <w:szCs w:val="24"/>
        </w:rPr>
        <w:t>（7）本基金与其他基金的合并；</w:t>
      </w:r>
    </w:p>
    <w:p w14:paraId="1F8F040B" w14:textId="77777777" w:rsidR="00B51DEA" w:rsidRDefault="00000000">
      <w:pPr>
        <w:spacing w:line="440" w:lineRule="atLeast"/>
        <w:ind w:firstLineChars="200" w:firstLine="480"/>
        <w:rPr>
          <w:rFonts w:asciiTheme="minorEastAsia" w:hAnsiTheme="minorEastAsia" w:hint="eastAsia"/>
          <w:bCs/>
          <w:sz w:val="24"/>
          <w:szCs w:val="24"/>
        </w:rPr>
      </w:pPr>
      <w:r>
        <w:rPr>
          <w:rFonts w:asciiTheme="minorEastAsia" w:hAnsiTheme="minorEastAsia" w:hint="eastAsia"/>
          <w:bCs/>
          <w:sz w:val="24"/>
          <w:szCs w:val="24"/>
        </w:rPr>
        <w:t>（8）变更基金投资目标、范围或策略；</w:t>
      </w:r>
    </w:p>
    <w:p w14:paraId="4C9ADE1B" w14:textId="77777777" w:rsidR="00B51DEA" w:rsidRDefault="00000000">
      <w:pPr>
        <w:spacing w:line="440" w:lineRule="atLeast"/>
        <w:ind w:firstLineChars="200" w:firstLine="480"/>
        <w:rPr>
          <w:rFonts w:asciiTheme="minorEastAsia" w:hAnsiTheme="minorEastAsia" w:hint="eastAsia"/>
          <w:bCs/>
          <w:sz w:val="24"/>
          <w:szCs w:val="24"/>
        </w:rPr>
      </w:pPr>
      <w:r>
        <w:rPr>
          <w:rFonts w:asciiTheme="minorEastAsia" w:hAnsiTheme="minorEastAsia" w:hint="eastAsia"/>
          <w:bCs/>
          <w:sz w:val="24"/>
          <w:szCs w:val="24"/>
        </w:rPr>
        <w:t>（9）变更基金份额持有人大会程序；</w:t>
      </w:r>
    </w:p>
    <w:p w14:paraId="6C478FEB" w14:textId="77777777" w:rsidR="00B51DEA" w:rsidRDefault="00000000">
      <w:pPr>
        <w:spacing w:line="440" w:lineRule="atLeast"/>
        <w:ind w:firstLineChars="200" w:firstLine="480"/>
        <w:rPr>
          <w:rFonts w:asciiTheme="minorEastAsia" w:hAnsiTheme="minorEastAsia" w:hint="eastAsia"/>
          <w:bCs/>
          <w:sz w:val="24"/>
          <w:szCs w:val="24"/>
        </w:rPr>
      </w:pPr>
      <w:r>
        <w:rPr>
          <w:rFonts w:asciiTheme="minorEastAsia" w:hAnsiTheme="minorEastAsia" w:hint="eastAsia"/>
          <w:bCs/>
          <w:sz w:val="24"/>
          <w:szCs w:val="24"/>
        </w:rPr>
        <w:t>（10）基金管理人或基金托管人要求召开基金份额持有人大会；</w:t>
      </w:r>
    </w:p>
    <w:p w14:paraId="1069099C" w14:textId="77777777" w:rsidR="00B51DEA" w:rsidRDefault="00000000">
      <w:pPr>
        <w:spacing w:line="440" w:lineRule="atLeast"/>
        <w:ind w:firstLineChars="200" w:firstLine="480"/>
        <w:rPr>
          <w:rFonts w:asciiTheme="minorEastAsia" w:hAnsiTheme="minorEastAsia" w:hint="eastAsia"/>
          <w:bCs/>
          <w:sz w:val="24"/>
          <w:szCs w:val="24"/>
        </w:rPr>
      </w:pPr>
      <w:r>
        <w:rPr>
          <w:rFonts w:asciiTheme="minorEastAsia" w:hAnsiTheme="minorEastAsia" w:hint="eastAsia"/>
          <w:bCs/>
          <w:sz w:val="24"/>
          <w:szCs w:val="24"/>
        </w:rPr>
        <w:t>（11）单独或合计持有本基金总份额10%以上（含10%）基金份额的基金份额持有人（以基金管理人收到提议当日的基金份额计算，下同）就同一事项书面要求召开基金份额持有人大会；</w:t>
      </w:r>
    </w:p>
    <w:p w14:paraId="28A2540E" w14:textId="77777777" w:rsidR="00B51DEA" w:rsidRDefault="00000000">
      <w:pPr>
        <w:spacing w:line="440" w:lineRule="atLeast"/>
        <w:ind w:firstLineChars="200" w:firstLine="480"/>
        <w:rPr>
          <w:rFonts w:asciiTheme="minorEastAsia" w:hAnsiTheme="minorEastAsia" w:hint="eastAsia"/>
          <w:bCs/>
          <w:sz w:val="24"/>
          <w:szCs w:val="24"/>
        </w:rPr>
      </w:pPr>
      <w:r>
        <w:rPr>
          <w:rFonts w:asciiTheme="minorEastAsia" w:hAnsiTheme="minorEastAsia" w:hint="eastAsia"/>
          <w:bCs/>
          <w:sz w:val="24"/>
          <w:szCs w:val="24"/>
        </w:rPr>
        <w:t>（12）对基金合同当事人权利和义务产生重大</w:t>
      </w:r>
      <w:r>
        <w:rPr>
          <w:rFonts w:asciiTheme="minorEastAsia" w:hAnsiTheme="minorEastAsia" w:hint="eastAsia"/>
          <w:sz w:val="24"/>
          <w:szCs w:val="24"/>
        </w:rPr>
        <w:t>影响</w:t>
      </w:r>
      <w:r>
        <w:rPr>
          <w:rFonts w:asciiTheme="minorEastAsia" w:hAnsiTheme="minorEastAsia" w:hint="eastAsia"/>
          <w:bCs/>
          <w:sz w:val="24"/>
          <w:szCs w:val="24"/>
        </w:rPr>
        <w:t>的其他事项；</w:t>
      </w:r>
    </w:p>
    <w:p w14:paraId="767F6145" w14:textId="77777777" w:rsidR="00B51DEA" w:rsidRDefault="00000000">
      <w:pPr>
        <w:spacing w:line="440" w:lineRule="atLeast"/>
        <w:ind w:firstLineChars="200" w:firstLine="480"/>
        <w:rPr>
          <w:rFonts w:asciiTheme="minorEastAsia" w:hAnsiTheme="minorEastAsia" w:hint="eastAsia"/>
          <w:bCs/>
          <w:sz w:val="24"/>
          <w:szCs w:val="24"/>
        </w:rPr>
      </w:pPr>
      <w:r>
        <w:rPr>
          <w:rFonts w:asciiTheme="minorEastAsia" w:hAnsiTheme="minorEastAsia" w:hint="eastAsia"/>
          <w:bCs/>
          <w:sz w:val="24"/>
          <w:szCs w:val="24"/>
        </w:rPr>
        <w:t>（13）法律法规、《基金合同》或中国证监会规定的其他应当召开基金份额持有人大会的事项。</w:t>
      </w:r>
    </w:p>
    <w:p w14:paraId="0FC37926"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2、以下情况可由基金管理人和基金托管人协商后修改，不需召开基金份额持有人大会：</w:t>
      </w:r>
    </w:p>
    <w:p w14:paraId="590B5BA1"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（1）调低销售服务费；</w:t>
      </w:r>
    </w:p>
    <w:p w14:paraId="23C70B81"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（2）法律法规要求增加的基金费用的收取；</w:t>
      </w:r>
    </w:p>
    <w:p w14:paraId="26110970"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bCs/>
          <w:sz w:val="24"/>
          <w:szCs w:val="24"/>
        </w:rPr>
        <w:t>（3）在法律法规和《基金合同》规定的范围内且对</w:t>
      </w:r>
      <w:r>
        <w:rPr>
          <w:rFonts w:asciiTheme="minorEastAsia" w:hAnsiTheme="minorEastAsia" w:hint="eastAsia"/>
          <w:sz w:val="24"/>
          <w:szCs w:val="24"/>
        </w:rPr>
        <w:t>现有基金份额持有人利</w:t>
      </w:r>
      <w:r>
        <w:rPr>
          <w:rFonts w:asciiTheme="minorEastAsia" w:hAnsiTheme="minorEastAsia" w:hint="eastAsia"/>
          <w:sz w:val="24"/>
          <w:szCs w:val="24"/>
        </w:rPr>
        <w:lastRenderedPageBreak/>
        <w:t>益</w:t>
      </w:r>
      <w:r>
        <w:rPr>
          <w:rFonts w:asciiTheme="minorEastAsia" w:hAnsiTheme="minorEastAsia" w:hint="eastAsia"/>
          <w:bCs/>
          <w:sz w:val="24"/>
          <w:szCs w:val="24"/>
        </w:rPr>
        <w:t>无实质性不利影响</w:t>
      </w:r>
      <w:r>
        <w:rPr>
          <w:rFonts w:asciiTheme="minorEastAsia" w:hAnsiTheme="minorEastAsia" w:hint="eastAsia"/>
          <w:sz w:val="24"/>
          <w:szCs w:val="24"/>
        </w:rPr>
        <w:t>的前提下</w:t>
      </w:r>
      <w:r>
        <w:rPr>
          <w:rFonts w:asciiTheme="minorEastAsia" w:hAnsiTheme="minorEastAsia" w:hint="eastAsia"/>
          <w:bCs/>
          <w:sz w:val="24"/>
          <w:szCs w:val="24"/>
        </w:rPr>
        <w:t>调整本基金的申购费率、调低赎回费率或</w:t>
      </w:r>
      <w:r>
        <w:rPr>
          <w:rFonts w:asciiTheme="minorEastAsia" w:hAnsiTheme="minorEastAsia" w:hint="eastAsia"/>
          <w:sz w:val="24"/>
          <w:szCs w:val="24"/>
        </w:rPr>
        <w:t>变更收费方式、增加、减少或调整基金份额类别设置、对基金份额分类办法及规则进行调整、推出新业务或新服务；</w:t>
      </w:r>
    </w:p>
    <w:p w14:paraId="76A3E2A7"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（4）</w:t>
      </w:r>
      <w:proofErr w:type="gramStart"/>
      <w:r>
        <w:rPr>
          <w:rFonts w:asciiTheme="minorEastAsia" w:hAnsiTheme="minorEastAsia" w:hint="eastAsia"/>
          <w:bCs/>
          <w:sz w:val="24"/>
          <w:szCs w:val="24"/>
        </w:rPr>
        <w:t>因相应</w:t>
      </w:r>
      <w:proofErr w:type="gramEnd"/>
      <w:r>
        <w:rPr>
          <w:rFonts w:asciiTheme="minorEastAsia" w:hAnsiTheme="minorEastAsia" w:hint="eastAsia"/>
          <w:bCs/>
          <w:sz w:val="24"/>
          <w:szCs w:val="24"/>
        </w:rPr>
        <w:t>的法律法规发生变动而应当对《基金合同》进行修改；</w:t>
      </w:r>
    </w:p>
    <w:p w14:paraId="083B2020"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（5）对《基金合同》的修改对基金份额持有人利益无实质性不利影响或修改不涉及《基金合同》当事人权利义务关系发生重大变化；</w:t>
      </w:r>
    </w:p>
    <w:p w14:paraId="5F4C1E0D"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（6）按照法律法规和《基金合同》规定不需召开基金份额持有人大会的其他情形。</w:t>
      </w:r>
    </w:p>
    <w:p w14:paraId="0629BBEE"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（二）会议召集人及召集方式</w:t>
      </w:r>
    </w:p>
    <w:p w14:paraId="0A1B5FD2"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1、除法律法规规定或《基金合同》另有约定外，基金份额持有人大会由基金管理人召集；</w:t>
      </w:r>
    </w:p>
    <w:p w14:paraId="5737C445"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2、基金管理人未按规定召集或不能召集时，由基金托管人召集；</w:t>
      </w:r>
    </w:p>
    <w:p w14:paraId="117161C3"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bCs/>
          <w:sz w:val="24"/>
          <w:szCs w:val="24"/>
        </w:rPr>
        <w:t>3、基金托管人认为有必要召开基金份额持有人大会的，应当向基金管理人提出书面提议。基金管理人应当自收到书面提议之日起</w:t>
      </w:r>
      <w:r>
        <w:rPr>
          <w:rFonts w:asciiTheme="minorEastAsia" w:hAnsiTheme="minorEastAsia"/>
          <w:bCs/>
          <w:sz w:val="24"/>
          <w:szCs w:val="24"/>
        </w:rPr>
        <w:t>10</w:t>
      </w:r>
      <w:r>
        <w:rPr>
          <w:rFonts w:asciiTheme="minorEastAsia" w:hAnsiTheme="minorEastAsia" w:hint="eastAsia"/>
          <w:bCs/>
          <w:sz w:val="24"/>
          <w:szCs w:val="24"/>
        </w:rPr>
        <w:t>日内决定是否召集，并书面告知基金托管人。基金管理人决定召集的，应当自出具书面决定之日起60日内召开；基金管理人决定不召集，基金托管人仍认为有必要召开的，应当由基金托管人自行召集，并自出具书面决定之日起60日内召开并告知基金管理人，基金管理人应当配合；</w:t>
      </w:r>
    </w:p>
    <w:p w14:paraId="45C02F62"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4、代表基金份额</w:t>
      </w:r>
      <w:r>
        <w:rPr>
          <w:rFonts w:asciiTheme="minorEastAsia" w:hAnsiTheme="minorEastAsia"/>
          <w:bCs/>
          <w:sz w:val="24"/>
          <w:szCs w:val="24"/>
        </w:rPr>
        <w:t>10%</w:t>
      </w:r>
      <w:r>
        <w:rPr>
          <w:rFonts w:asciiTheme="minorEastAsia" w:hAnsiTheme="minorEastAsia" w:hint="eastAsia"/>
          <w:bCs/>
          <w:sz w:val="24"/>
          <w:szCs w:val="24"/>
        </w:rPr>
        <w:t>以上（含</w:t>
      </w:r>
      <w:r>
        <w:rPr>
          <w:rFonts w:asciiTheme="minorEastAsia" w:hAnsiTheme="minorEastAsia"/>
          <w:bCs/>
          <w:sz w:val="24"/>
          <w:szCs w:val="24"/>
        </w:rPr>
        <w:t>10%</w:t>
      </w:r>
      <w:r>
        <w:rPr>
          <w:rFonts w:asciiTheme="minorEastAsia" w:hAnsiTheme="minorEastAsia" w:hint="eastAsia"/>
          <w:bCs/>
          <w:sz w:val="24"/>
          <w:szCs w:val="24"/>
        </w:rPr>
        <w:t>）的基金份额持有人就同一事项书面要求召开基金份额持有人大会，应当向基金管理人提出书面提议。基金管理人应当自收到书面提议之日起</w:t>
      </w:r>
      <w:r>
        <w:rPr>
          <w:rFonts w:asciiTheme="minorEastAsia" w:hAnsiTheme="minorEastAsia"/>
          <w:bCs/>
          <w:sz w:val="24"/>
          <w:szCs w:val="24"/>
        </w:rPr>
        <w:t>10</w:t>
      </w:r>
      <w:r>
        <w:rPr>
          <w:rFonts w:asciiTheme="minorEastAsia" w:hAnsiTheme="minorEastAsia" w:hint="eastAsia"/>
          <w:bCs/>
          <w:sz w:val="24"/>
          <w:szCs w:val="24"/>
        </w:rPr>
        <w:t>日内决定是否召集，并书面告知提出提议的基金份额持有人代表和基金托管人。基金管理人决定召集的，应当自出具书面决定之日起</w:t>
      </w:r>
      <w:r>
        <w:rPr>
          <w:rFonts w:asciiTheme="minorEastAsia" w:hAnsiTheme="minorEastAsia"/>
          <w:bCs/>
          <w:sz w:val="24"/>
          <w:szCs w:val="24"/>
        </w:rPr>
        <w:t>60</w:t>
      </w:r>
      <w:r>
        <w:rPr>
          <w:rFonts w:asciiTheme="minorEastAsia" w:hAnsiTheme="minorEastAsia" w:hint="eastAsia"/>
          <w:bCs/>
          <w:sz w:val="24"/>
          <w:szCs w:val="24"/>
        </w:rPr>
        <w:t>日内召开；基金管理人决定不召集，代表基金份额</w:t>
      </w:r>
      <w:r>
        <w:rPr>
          <w:rFonts w:asciiTheme="minorEastAsia" w:hAnsiTheme="minorEastAsia"/>
          <w:bCs/>
          <w:sz w:val="24"/>
          <w:szCs w:val="24"/>
        </w:rPr>
        <w:t>10%</w:t>
      </w:r>
      <w:r>
        <w:rPr>
          <w:rFonts w:asciiTheme="minorEastAsia" w:hAnsiTheme="minorEastAsia" w:hint="eastAsia"/>
          <w:bCs/>
          <w:sz w:val="24"/>
          <w:szCs w:val="24"/>
        </w:rPr>
        <w:t>以上（含</w:t>
      </w:r>
      <w:r>
        <w:rPr>
          <w:rFonts w:asciiTheme="minorEastAsia" w:hAnsiTheme="minorEastAsia"/>
          <w:bCs/>
          <w:sz w:val="24"/>
          <w:szCs w:val="24"/>
        </w:rPr>
        <w:t>10%</w:t>
      </w:r>
      <w:r>
        <w:rPr>
          <w:rFonts w:asciiTheme="minorEastAsia" w:hAnsiTheme="minorEastAsia" w:hint="eastAsia"/>
          <w:bCs/>
          <w:sz w:val="24"/>
          <w:szCs w:val="24"/>
        </w:rPr>
        <w:t>）的基金份额持有人仍认为有必要召开的，应当向基金托管人提出书面提议。基金托管人应当自收到书面提议之日起</w:t>
      </w:r>
      <w:r>
        <w:rPr>
          <w:rFonts w:asciiTheme="minorEastAsia" w:hAnsiTheme="minorEastAsia"/>
          <w:bCs/>
          <w:sz w:val="24"/>
          <w:szCs w:val="24"/>
        </w:rPr>
        <w:t>10</w:t>
      </w:r>
      <w:r>
        <w:rPr>
          <w:rFonts w:asciiTheme="minorEastAsia" w:hAnsiTheme="minorEastAsia" w:hint="eastAsia"/>
          <w:bCs/>
          <w:sz w:val="24"/>
          <w:szCs w:val="24"/>
        </w:rPr>
        <w:t>日内决定是否召集，并书面告知提出提议的基金份额持有人代表和基金管理人；基金托管人决定召集的，应当自出具书面决定之日起60日内召开并告知基金管理人，基金管理人应当配合；</w:t>
      </w:r>
    </w:p>
    <w:p w14:paraId="78E6AF9E"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5、代表基金份额</w:t>
      </w:r>
      <w:r>
        <w:rPr>
          <w:rFonts w:asciiTheme="minorEastAsia" w:hAnsiTheme="minorEastAsia"/>
          <w:bCs/>
          <w:sz w:val="24"/>
          <w:szCs w:val="24"/>
        </w:rPr>
        <w:t>10%</w:t>
      </w:r>
      <w:r>
        <w:rPr>
          <w:rFonts w:asciiTheme="minorEastAsia" w:hAnsiTheme="minorEastAsia" w:hint="eastAsia"/>
          <w:bCs/>
          <w:sz w:val="24"/>
          <w:szCs w:val="24"/>
        </w:rPr>
        <w:t>以上（含</w:t>
      </w:r>
      <w:r>
        <w:rPr>
          <w:rFonts w:asciiTheme="minorEastAsia" w:hAnsiTheme="minorEastAsia"/>
          <w:bCs/>
          <w:sz w:val="24"/>
          <w:szCs w:val="24"/>
        </w:rPr>
        <w:t>10%</w:t>
      </w:r>
      <w:r>
        <w:rPr>
          <w:rFonts w:asciiTheme="minorEastAsia" w:hAnsiTheme="minorEastAsia" w:hint="eastAsia"/>
          <w:bCs/>
          <w:sz w:val="24"/>
          <w:szCs w:val="24"/>
        </w:rPr>
        <w:t>）的基金份额持有人就同一事项要求召开基金份额持有人大会，而基金管理人、基金托管人都不召集的，单独或合计代表</w:t>
      </w:r>
      <w:r>
        <w:rPr>
          <w:rFonts w:asciiTheme="minorEastAsia" w:hAnsiTheme="minorEastAsia" w:hint="eastAsia"/>
          <w:bCs/>
          <w:sz w:val="24"/>
          <w:szCs w:val="24"/>
        </w:rPr>
        <w:lastRenderedPageBreak/>
        <w:t>基金份额</w:t>
      </w:r>
      <w:r>
        <w:rPr>
          <w:rFonts w:asciiTheme="minorEastAsia" w:hAnsiTheme="minorEastAsia"/>
          <w:bCs/>
          <w:sz w:val="24"/>
          <w:szCs w:val="24"/>
        </w:rPr>
        <w:t>10%</w:t>
      </w:r>
      <w:r>
        <w:rPr>
          <w:rFonts w:asciiTheme="minorEastAsia" w:hAnsiTheme="minorEastAsia" w:hint="eastAsia"/>
          <w:bCs/>
          <w:sz w:val="24"/>
          <w:szCs w:val="24"/>
        </w:rPr>
        <w:t>以上（含</w:t>
      </w:r>
      <w:r>
        <w:rPr>
          <w:rFonts w:asciiTheme="minorEastAsia" w:hAnsiTheme="minorEastAsia"/>
          <w:bCs/>
          <w:sz w:val="24"/>
          <w:szCs w:val="24"/>
        </w:rPr>
        <w:t>10%</w:t>
      </w:r>
      <w:r>
        <w:rPr>
          <w:rFonts w:asciiTheme="minorEastAsia" w:hAnsiTheme="minorEastAsia" w:hint="eastAsia"/>
          <w:bCs/>
          <w:sz w:val="24"/>
          <w:szCs w:val="24"/>
        </w:rPr>
        <w:t>）的基金份额持有人有权自行召集，并至少提前30日报中国证监会备案。基金份额持有人依法自行召集基金份额持有人大会的，基金管理人、基金托管人应当配合，不得阻碍、干扰；</w:t>
      </w:r>
    </w:p>
    <w:p w14:paraId="44EC4B9E"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6、基金份额持有人会议的召集人负责选择确定开会时间、地点、方式和权益登记日。</w:t>
      </w:r>
    </w:p>
    <w:p w14:paraId="381DB2C2"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（三）召开基金份额持有人大会的通知时间、通知内容、通知方式</w:t>
      </w:r>
    </w:p>
    <w:p w14:paraId="665F8574"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1、召开基金份额持有人大会，召集人应于会议召开前</w:t>
      </w:r>
      <w:r>
        <w:rPr>
          <w:rFonts w:asciiTheme="minorEastAsia" w:hAnsiTheme="minorEastAsia"/>
          <w:bCs/>
          <w:sz w:val="24"/>
          <w:szCs w:val="24"/>
        </w:rPr>
        <w:t>30</w:t>
      </w:r>
      <w:r>
        <w:rPr>
          <w:rFonts w:asciiTheme="minorEastAsia" w:hAnsiTheme="minorEastAsia" w:hint="eastAsia"/>
          <w:bCs/>
          <w:sz w:val="24"/>
          <w:szCs w:val="24"/>
        </w:rPr>
        <w:t>日，在指定媒介公告。基金份额持有人大会通知应至少载明以下内容：</w:t>
      </w:r>
    </w:p>
    <w:p w14:paraId="798FB031"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（1）会议召开的时间、地点和会议形式；</w:t>
      </w:r>
    </w:p>
    <w:p w14:paraId="18674E13"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（2）会议</w:t>
      </w:r>
      <w:proofErr w:type="gramStart"/>
      <w:r>
        <w:rPr>
          <w:rFonts w:asciiTheme="minorEastAsia" w:hAnsiTheme="minorEastAsia" w:hint="eastAsia"/>
          <w:bCs/>
          <w:sz w:val="24"/>
          <w:szCs w:val="24"/>
        </w:rPr>
        <w:t>拟审议</w:t>
      </w:r>
      <w:proofErr w:type="gramEnd"/>
      <w:r>
        <w:rPr>
          <w:rFonts w:asciiTheme="minorEastAsia" w:hAnsiTheme="minorEastAsia" w:hint="eastAsia"/>
          <w:bCs/>
          <w:sz w:val="24"/>
          <w:szCs w:val="24"/>
        </w:rPr>
        <w:t>的事项、议事程序和表决方式；</w:t>
      </w:r>
    </w:p>
    <w:p w14:paraId="4E2AF58F"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（3）有权出席基金份额持有人大会的基金份额持有人的权益登记日；</w:t>
      </w:r>
    </w:p>
    <w:p w14:paraId="611B53CD"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（4）授权委托证明的内容要求（包括但不限于代理人身份，代理权限和代理有效期限等）、送达时间和地点；</w:t>
      </w:r>
    </w:p>
    <w:p w14:paraId="706ACC0B"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（5）会务常设联系人姓名及联系电话；</w:t>
      </w:r>
    </w:p>
    <w:p w14:paraId="4C22A367"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（6）出席会议者必须准备的文件和必须履行的手续；</w:t>
      </w:r>
    </w:p>
    <w:p w14:paraId="67E3855A"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（7）召集人需要通知的其他事项。</w:t>
      </w:r>
    </w:p>
    <w:p w14:paraId="1E7FACDB"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2、采取通讯开会方式并进行表决的情况下，由会议召集人决定在会议通知中说明本次基金份额持有人大会所采取的具体通讯方式、委托的公证机关及其联系方式和联系人、表决意见寄交的截止时间和收取方式。</w:t>
      </w:r>
    </w:p>
    <w:p w14:paraId="23171B43"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3、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w:t>
      </w:r>
      <w:proofErr w:type="gramStart"/>
      <w:r>
        <w:rPr>
          <w:rFonts w:asciiTheme="minorEastAsia" w:hAnsiTheme="minorEastAsia" w:hint="eastAsia"/>
          <w:bCs/>
          <w:sz w:val="24"/>
          <w:szCs w:val="24"/>
        </w:rPr>
        <w:t>拒不派</w:t>
      </w:r>
      <w:proofErr w:type="gramEnd"/>
      <w:r>
        <w:rPr>
          <w:rFonts w:asciiTheme="minorEastAsia" w:hAnsiTheme="minorEastAsia" w:hint="eastAsia"/>
          <w:bCs/>
          <w:sz w:val="24"/>
          <w:szCs w:val="24"/>
        </w:rPr>
        <w:t>代表对表决意见的计票进行监督的，不影响表决意见的计票效力。</w:t>
      </w:r>
    </w:p>
    <w:p w14:paraId="487D9AAD"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（四）基金份额持有人出席会议的方式</w:t>
      </w:r>
    </w:p>
    <w:p w14:paraId="15A3C7AD"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基金份额持有人大会可通过现场开会方式、通讯开会方式或法律法规、监管机构允许的其他方式召开，会议的召开方式由会议召集人确定。</w:t>
      </w:r>
    </w:p>
    <w:p w14:paraId="472FEFBE"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1、现场开会。由基金份额持有人本人出席或以代理投票授权委托证明委派</w:t>
      </w:r>
      <w:r>
        <w:rPr>
          <w:rFonts w:asciiTheme="minorEastAsia" w:hAnsiTheme="minorEastAsia" w:hint="eastAsia"/>
          <w:bCs/>
          <w:sz w:val="24"/>
          <w:szCs w:val="24"/>
        </w:rPr>
        <w:lastRenderedPageBreak/>
        <w:t>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14:paraId="150D3932"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1）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14:paraId="3757FF97"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2）经核对，汇总到会者出示的在权益登记日持有基金份额的凭证显示，有效的基金份额不少于本基金在权益登记日基金总份额的二分之一（含二分之一）；若到会者在权益登记日代表的有效的基金份额少于本基金在权益登记日基金总份额的二分之一，召集人可以在原公告的基金份额持有人大会召开时间的3个月以后、6个月以内，就原定审议事项重新召集基金份额持有人大会。重新召集的基金份额持有人大会到会者在权益登记日代表的有效的基金份额应不少于本基金在权益登记日基金总份额的三分之一（含三分之一）。</w:t>
      </w:r>
    </w:p>
    <w:p w14:paraId="45F5282F"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2、通讯开会。通讯开会系指基金份额持有人将其对表决事项的投票以书面形式</w:t>
      </w:r>
      <w:proofErr w:type="gramStart"/>
      <w:r>
        <w:rPr>
          <w:rFonts w:asciiTheme="minorEastAsia" w:hAnsiTheme="minorEastAsia" w:hint="eastAsia"/>
          <w:bCs/>
          <w:sz w:val="24"/>
        </w:rPr>
        <w:t>或大会</w:t>
      </w:r>
      <w:proofErr w:type="gramEnd"/>
      <w:r>
        <w:rPr>
          <w:rFonts w:asciiTheme="minorEastAsia" w:hAnsiTheme="minorEastAsia" w:hint="eastAsia"/>
          <w:bCs/>
          <w:sz w:val="24"/>
        </w:rPr>
        <w:t>公告载明的其他方式</w:t>
      </w:r>
      <w:r>
        <w:rPr>
          <w:rFonts w:asciiTheme="minorEastAsia" w:hAnsiTheme="minorEastAsia" w:hint="eastAsia"/>
          <w:bCs/>
          <w:sz w:val="24"/>
          <w:szCs w:val="24"/>
        </w:rPr>
        <w:t>在表决截至日以前送达至召集人指定的地址。通讯开会应以书面方式</w:t>
      </w:r>
      <w:proofErr w:type="gramStart"/>
      <w:r>
        <w:rPr>
          <w:rFonts w:asciiTheme="minorEastAsia" w:hAnsiTheme="minorEastAsia" w:hint="eastAsia"/>
          <w:bCs/>
          <w:sz w:val="24"/>
        </w:rPr>
        <w:t>或大会</w:t>
      </w:r>
      <w:proofErr w:type="gramEnd"/>
      <w:r>
        <w:rPr>
          <w:rFonts w:asciiTheme="minorEastAsia" w:hAnsiTheme="minorEastAsia" w:hint="eastAsia"/>
          <w:bCs/>
          <w:sz w:val="24"/>
        </w:rPr>
        <w:t>公告载明的其他方式</w:t>
      </w:r>
      <w:r>
        <w:rPr>
          <w:rFonts w:asciiTheme="minorEastAsia" w:hAnsiTheme="minorEastAsia" w:hint="eastAsia"/>
          <w:bCs/>
          <w:sz w:val="24"/>
          <w:szCs w:val="24"/>
        </w:rPr>
        <w:t>进行表决。</w:t>
      </w:r>
    </w:p>
    <w:p w14:paraId="6913753A"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在同时符合以下条件时，通讯开会的方式视为有效：</w:t>
      </w:r>
    </w:p>
    <w:p w14:paraId="2A853053"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（1）会议召集人按《基金合同》约定公布会议通知后，在</w:t>
      </w:r>
      <w:r>
        <w:rPr>
          <w:rFonts w:asciiTheme="minorEastAsia" w:hAnsiTheme="minorEastAsia"/>
          <w:bCs/>
          <w:sz w:val="24"/>
          <w:szCs w:val="24"/>
        </w:rPr>
        <w:t>2</w:t>
      </w:r>
      <w:r>
        <w:rPr>
          <w:rFonts w:asciiTheme="minorEastAsia" w:hAnsiTheme="minorEastAsia" w:hint="eastAsia"/>
          <w:bCs/>
          <w:sz w:val="24"/>
          <w:szCs w:val="24"/>
        </w:rPr>
        <w:t>个工作日内连续公布相关提示性公告；</w:t>
      </w:r>
    </w:p>
    <w:p w14:paraId="529BBC77"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2）召集人按基金合同约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14:paraId="3B99F2AE" w14:textId="77777777" w:rsidR="00B51DEA" w:rsidRDefault="00000000">
      <w:pPr>
        <w:spacing w:line="360" w:lineRule="auto"/>
        <w:ind w:firstLineChars="225" w:firstLine="540"/>
        <w:rPr>
          <w:rFonts w:asciiTheme="minorEastAsia" w:hAnsiTheme="minorEastAsia" w:hint="eastAsia"/>
          <w:bCs/>
          <w:sz w:val="24"/>
          <w:szCs w:val="24"/>
        </w:rPr>
      </w:pPr>
      <w:r>
        <w:rPr>
          <w:rFonts w:asciiTheme="minorEastAsia" w:hAnsiTheme="minorEastAsia" w:hint="eastAsia"/>
          <w:bCs/>
          <w:sz w:val="24"/>
          <w:szCs w:val="24"/>
        </w:rPr>
        <w:t>（3）本人直接出具表决意见或授权他人代表出具表决意见的，基金份额持有人所持有的基金份额不小于在权益登记日基金总份额的二分之一（含二分之一）；若本人直接出具表决意见或授权他人代表出具表决意见基金份额持有人所持有的基金份额小于在权益登记日基金总份额的二分之一，召集人可以在原公告</w:t>
      </w:r>
      <w:r>
        <w:rPr>
          <w:rFonts w:asciiTheme="minorEastAsia" w:hAnsiTheme="minorEastAsia" w:hint="eastAsia"/>
          <w:bCs/>
          <w:sz w:val="24"/>
          <w:szCs w:val="24"/>
        </w:rPr>
        <w:lastRenderedPageBreak/>
        <w:t>的基金份额持有人大会召开时间的3个月以后、6个月以内，就原定审议事项重新召集基金份额持有人大会。重新召集的基金份额持有人大会应当有代表三分之一（含三分之一）以上基金份额的持有人直接出具表决意见或授权他人代表出具表决意见；</w:t>
      </w:r>
    </w:p>
    <w:p w14:paraId="1BFFC1B3"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4）上述第（3）项中直接出具表决意见的基金份额持有人或受托代表他人出具表决意见的代理人，同时提交的持有基金份额的凭证、受托出具表决意见的代理人出具的委托人持有基金份额的凭证及委托人的代理投票授权委托证明符合法律法规、《基金合同》和会议通知的规定，并与基金登记机构记录相符。</w:t>
      </w:r>
    </w:p>
    <w:p w14:paraId="3DB6A441"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3、在法律法规和监管机关允许的情况下，本基金的基金份额持有人亦可采用其他非书面方式授权其代理人出席基金份额持有人大会，具体方式由会议召集人确定并在会议通知中列明。</w:t>
      </w:r>
    </w:p>
    <w:p w14:paraId="22C81C3E"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bCs/>
          <w:sz w:val="24"/>
          <w:szCs w:val="24"/>
        </w:rPr>
        <w:t>4</w:t>
      </w:r>
      <w:r>
        <w:rPr>
          <w:rFonts w:asciiTheme="minorEastAsia" w:hAnsiTheme="minorEastAsia" w:hint="eastAsia"/>
          <w:sz w:val="24"/>
          <w:szCs w:val="24"/>
        </w:rPr>
        <w:t>、在会议召开方式上，本基金亦可采用其他非现场方式或者以现场方式与非现场方式相结合的方式召开基金份额持有人大会，会议程序比照现场开会和通讯方式开会的程序进行。</w:t>
      </w:r>
    </w:p>
    <w:p w14:paraId="71F04D10"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（五）议事内容与程序</w:t>
      </w:r>
    </w:p>
    <w:p w14:paraId="2AC95726"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1、议事内容及提案权</w:t>
      </w:r>
    </w:p>
    <w:p w14:paraId="09211BDC"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议事内容为关系基金份额持有人利益的重大事项，如《基金合同》的重大修改、决定终止《基金合同》、更换基金管理人、更换基金托管人、与其他基金合并、法律法规及《基金合同》规定的其他事项以及会议召集人认为需提交基金份额持有人大会讨论的其他事项。</w:t>
      </w:r>
    </w:p>
    <w:p w14:paraId="56366C3C"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基金份额持有人大会的召集人发出召集会议的通知后，对原有提案的修改应当在基金份额持有人大会召开前及时公告。</w:t>
      </w:r>
    </w:p>
    <w:p w14:paraId="00E3252C"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基金份额持有人大会不得对未事先公告的议事内容进行表决。</w:t>
      </w:r>
    </w:p>
    <w:p w14:paraId="2515C7A0"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2、议事程序</w:t>
      </w:r>
    </w:p>
    <w:p w14:paraId="4F981945"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（1）现场开会</w:t>
      </w:r>
    </w:p>
    <w:p w14:paraId="190E50BC"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在现场开会的方式下，首先由大会主持人按照下列第七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w:t>
      </w:r>
      <w:r>
        <w:rPr>
          <w:rFonts w:asciiTheme="minorEastAsia" w:hAnsiTheme="minorEastAsia" w:hint="eastAsia"/>
          <w:bCs/>
          <w:sz w:val="24"/>
          <w:szCs w:val="24"/>
        </w:rPr>
        <w:lastRenderedPageBreak/>
        <w:t>代表和基金托管人授权代表均未能主持大会，则由出席大会的基金份额持有人和代理人所持表决权的二分之一以上（含二分之一）选举产生一名基金份额持有人作为该次基金份额持有人大会的主持人。基金管理人和基金托管人拒不出席或主持基金份额持有人大会，不影响基金份额持有人大会</w:t>
      </w:r>
      <w:proofErr w:type="gramStart"/>
      <w:r>
        <w:rPr>
          <w:rFonts w:asciiTheme="minorEastAsia" w:hAnsiTheme="minorEastAsia" w:hint="eastAsia"/>
          <w:bCs/>
          <w:sz w:val="24"/>
          <w:szCs w:val="24"/>
        </w:rPr>
        <w:t>作出</w:t>
      </w:r>
      <w:proofErr w:type="gramEnd"/>
      <w:r>
        <w:rPr>
          <w:rFonts w:asciiTheme="minorEastAsia" w:hAnsiTheme="minorEastAsia" w:hint="eastAsia"/>
          <w:bCs/>
          <w:sz w:val="24"/>
          <w:szCs w:val="24"/>
        </w:rPr>
        <w:t>的决议的效力。</w:t>
      </w:r>
    </w:p>
    <w:p w14:paraId="553C043A"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会议召集人应当制作出席会议人员的签名册。签名</w:t>
      </w:r>
      <w:proofErr w:type="gramStart"/>
      <w:r>
        <w:rPr>
          <w:rFonts w:asciiTheme="minorEastAsia" w:hAnsiTheme="minorEastAsia" w:hint="eastAsia"/>
          <w:bCs/>
          <w:sz w:val="24"/>
          <w:szCs w:val="24"/>
        </w:rPr>
        <w:t>册</w:t>
      </w:r>
      <w:proofErr w:type="gramEnd"/>
      <w:r>
        <w:rPr>
          <w:rFonts w:asciiTheme="minorEastAsia" w:hAnsiTheme="minorEastAsia" w:hint="eastAsia"/>
          <w:bCs/>
          <w:sz w:val="24"/>
          <w:szCs w:val="24"/>
        </w:rPr>
        <w:t>载明参加会议人员姓名（或单位名称）、身份证明文件号码、持有或代表有表决权的基金份额、委托人姓名（或单位名称）和联系方式等事项。</w:t>
      </w:r>
    </w:p>
    <w:p w14:paraId="7A7B0D4B"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（2）通讯开会</w:t>
      </w:r>
    </w:p>
    <w:p w14:paraId="5DB9E97C"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在通讯开会的情况下，首先由召集人提前</w:t>
      </w:r>
      <w:r>
        <w:rPr>
          <w:rFonts w:asciiTheme="minorEastAsia" w:hAnsiTheme="minorEastAsia"/>
          <w:bCs/>
          <w:sz w:val="24"/>
          <w:szCs w:val="24"/>
        </w:rPr>
        <w:t>30</w:t>
      </w:r>
      <w:r>
        <w:rPr>
          <w:rFonts w:asciiTheme="minorEastAsia" w:hAnsiTheme="minorEastAsia" w:hint="eastAsia"/>
          <w:bCs/>
          <w:sz w:val="24"/>
          <w:szCs w:val="24"/>
        </w:rPr>
        <w:t>日公布提案，在所通知的表决截止日期后</w:t>
      </w:r>
      <w:r>
        <w:rPr>
          <w:rFonts w:asciiTheme="minorEastAsia" w:hAnsiTheme="minorEastAsia"/>
          <w:bCs/>
          <w:sz w:val="24"/>
          <w:szCs w:val="24"/>
        </w:rPr>
        <w:t>2</w:t>
      </w:r>
      <w:r>
        <w:rPr>
          <w:rFonts w:asciiTheme="minorEastAsia" w:hAnsiTheme="minorEastAsia" w:hint="eastAsia"/>
          <w:bCs/>
          <w:sz w:val="24"/>
          <w:szCs w:val="24"/>
        </w:rPr>
        <w:t>个工作日内在公证机关监督下由召集人统计全部有效表决，在公证机关监督下形成决议。</w:t>
      </w:r>
    </w:p>
    <w:p w14:paraId="403F21F9"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（六）表决</w:t>
      </w:r>
    </w:p>
    <w:p w14:paraId="510724D3"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基金份额持有人所持每份基金份额有一票表决权。</w:t>
      </w:r>
    </w:p>
    <w:p w14:paraId="1A1C848D"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基金份额持有人大会决议分为一般决议和特别决议：</w:t>
      </w:r>
    </w:p>
    <w:p w14:paraId="5315DD27"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1、一般决议，一般决议须经参加大会的基金份额持有人或其代理人所持表决权的二分之一以上（含二分之一）通过方为有效；除下列第2项所规定的须以特别决议通过事项以外的其他事项均以一般决议的方式通过。</w:t>
      </w:r>
    </w:p>
    <w:p w14:paraId="08D20966"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sz w:val="24"/>
          <w:szCs w:val="24"/>
        </w:rPr>
        <w:t>2、特别决议，特别决议应当经参加大会的基金份额持有人或其代理人所持表决权的三分之二以上（含三分之二）通过方可做出。除《基金合同》另有约定外，</w:t>
      </w:r>
      <w:r>
        <w:rPr>
          <w:rFonts w:asciiTheme="minorEastAsia" w:hAnsiTheme="minorEastAsia" w:hint="eastAsia"/>
          <w:bCs/>
          <w:sz w:val="24"/>
          <w:szCs w:val="24"/>
        </w:rPr>
        <w:t>转换基金运作方式、更换基金管理人或者基金托管人、终止《基金合同》、本基金与其他基金合并以特别决议通过方为有效。</w:t>
      </w:r>
    </w:p>
    <w:p w14:paraId="7CBF3491"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基金份额持有人大会采取记名方式进行投票表决。</w:t>
      </w:r>
    </w:p>
    <w:p w14:paraId="4E508673"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采取通讯方式进行表决时，除非在计票时有充分的相反证据证明，否则提交符合会议通知中规定的确认投资者身份文件的表决视为有效出席的投资者，表面符合会议通知规定的书面表决意见视为有效表决，表决意见模糊不清或相互矛盾的视为弃权表决，但应当计入出具书面意见的基金份额持有人所代表的基金份额总数。</w:t>
      </w:r>
    </w:p>
    <w:p w14:paraId="0242D9A6"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基金份额持有人大会的各项提案或同一项提案内并列的各项议题应当分开审议、逐项表决。</w:t>
      </w:r>
    </w:p>
    <w:p w14:paraId="59A4700C"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lastRenderedPageBreak/>
        <w:t>（七）计票</w:t>
      </w:r>
    </w:p>
    <w:p w14:paraId="146B65CA"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1、现场开会</w:t>
      </w:r>
    </w:p>
    <w:p w14:paraId="772CB04D"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1）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w:t>
      </w:r>
      <w:proofErr w:type="gramStart"/>
      <w:r>
        <w:rPr>
          <w:rFonts w:asciiTheme="minorEastAsia" w:hAnsiTheme="minorEastAsia" w:hint="eastAsia"/>
          <w:bCs/>
          <w:sz w:val="24"/>
          <w:szCs w:val="24"/>
        </w:rPr>
        <w:t>或大会</w:t>
      </w:r>
      <w:proofErr w:type="gramEnd"/>
      <w:r>
        <w:rPr>
          <w:rFonts w:asciiTheme="minorEastAsia" w:hAnsiTheme="minorEastAsia" w:hint="eastAsia"/>
          <w:bCs/>
          <w:sz w:val="24"/>
          <w:szCs w:val="24"/>
        </w:rPr>
        <w:t>虽然由基金管理人或基金托管人召集，但是基金管理人或基金托管人未出席大会的，基金份额持有人大会的主持人应当在会议开始后宣布在出席会议的基金份额持有人中选举三名基金份额持有人代表担任监票人。基金管理人或基金托管人不出席大会的，不影响计票的效力。</w:t>
      </w:r>
    </w:p>
    <w:p w14:paraId="0874637A"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（2）监票人应当在基金份额持有人表决后立即进行清点并由大会主持人当场公布计票结果。</w:t>
      </w:r>
    </w:p>
    <w:p w14:paraId="7418E934"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（3）如果会议主持人或基金份额持有人或代理人对于提交的表决结果有怀疑，可以在宣布表决结果后立即对所投票</w:t>
      </w:r>
      <w:proofErr w:type="gramStart"/>
      <w:r>
        <w:rPr>
          <w:rFonts w:asciiTheme="minorEastAsia" w:hAnsiTheme="minorEastAsia" w:hint="eastAsia"/>
          <w:bCs/>
          <w:sz w:val="24"/>
          <w:szCs w:val="24"/>
        </w:rPr>
        <w:t>数要求</w:t>
      </w:r>
      <w:proofErr w:type="gramEnd"/>
      <w:r>
        <w:rPr>
          <w:rFonts w:asciiTheme="minorEastAsia" w:hAnsiTheme="minorEastAsia" w:hint="eastAsia"/>
          <w:bCs/>
          <w:sz w:val="24"/>
          <w:szCs w:val="24"/>
        </w:rPr>
        <w:t>进行重新清点。监票人应当进行重新清点，重新清点以一次为限。重新清点后，大会主持人应当当场公布重新清点结果。</w:t>
      </w:r>
    </w:p>
    <w:p w14:paraId="7AB75E55"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（4）计票过程应由公证机关予以公证，基金管理人或基金托管人拒不出席大会的，不影响计票的效力。</w:t>
      </w:r>
    </w:p>
    <w:p w14:paraId="67AAD930"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2、通讯开会</w:t>
      </w:r>
    </w:p>
    <w:p w14:paraId="205AFF73"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在通讯开会的情况下，计票方式为：由大会召集人授权的两名监督员在基金托管人授权代表（若由基金托管人召集，则为基金管理人授权代表）的监督下进行计票，并由公证机关对其计票过程予以公证。基金管理人或基金托管</w:t>
      </w:r>
      <w:proofErr w:type="gramStart"/>
      <w:r>
        <w:rPr>
          <w:rFonts w:asciiTheme="minorEastAsia" w:hAnsiTheme="minorEastAsia" w:hint="eastAsia"/>
          <w:bCs/>
          <w:sz w:val="24"/>
          <w:szCs w:val="24"/>
        </w:rPr>
        <w:t>人拒派</w:t>
      </w:r>
      <w:proofErr w:type="gramEnd"/>
      <w:r>
        <w:rPr>
          <w:rFonts w:asciiTheme="minorEastAsia" w:hAnsiTheme="minorEastAsia" w:hint="eastAsia"/>
          <w:bCs/>
          <w:sz w:val="24"/>
          <w:szCs w:val="24"/>
        </w:rPr>
        <w:t>代表对表决意见的计票进行监督的，不影响计票和表决结果。</w:t>
      </w:r>
    </w:p>
    <w:p w14:paraId="5E069FAA"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（八）生效与公告</w:t>
      </w:r>
    </w:p>
    <w:p w14:paraId="3F282223"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基金份额持有人大会的</w:t>
      </w:r>
      <w:r>
        <w:rPr>
          <w:rFonts w:asciiTheme="minorEastAsia" w:hAnsiTheme="minorEastAsia" w:hint="eastAsia"/>
          <w:sz w:val="24"/>
          <w:szCs w:val="24"/>
        </w:rPr>
        <w:t>决议</w:t>
      </w:r>
      <w:r>
        <w:rPr>
          <w:rFonts w:asciiTheme="minorEastAsia" w:hAnsiTheme="minorEastAsia" w:hint="eastAsia"/>
          <w:bCs/>
          <w:sz w:val="24"/>
          <w:szCs w:val="24"/>
        </w:rPr>
        <w:t>，召集人应当</w:t>
      </w:r>
      <w:r>
        <w:rPr>
          <w:rFonts w:asciiTheme="minorEastAsia" w:hAnsiTheme="minorEastAsia" w:hint="eastAsia"/>
          <w:sz w:val="24"/>
          <w:szCs w:val="24"/>
        </w:rPr>
        <w:t>自</w:t>
      </w:r>
      <w:r>
        <w:rPr>
          <w:rFonts w:asciiTheme="minorEastAsia" w:hAnsiTheme="minorEastAsia" w:hint="eastAsia"/>
          <w:bCs/>
          <w:sz w:val="24"/>
          <w:szCs w:val="24"/>
        </w:rPr>
        <w:t>通过之日起</w:t>
      </w:r>
      <w:r>
        <w:rPr>
          <w:rFonts w:asciiTheme="minorEastAsia" w:hAnsiTheme="minorEastAsia"/>
          <w:bCs/>
          <w:sz w:val="24"/>
          <w:szCs w:val="24"/>
        </w:rPr>
        <w:t>5</w:t>
      </w:r>
      <w:r>
        <w:rPr>
          <w:rFonts w:asciiTheme="minorEastAsia" w:hAnsiTheme="minorEastAsia" w:hint="eastAsia"/>
          <w:bCs/>
          <w:sz w:val="24"/>
          <w:szCs w:val="24"/>
        </w:rPr>
        <w:t>日内报中国证监会备案。</w:t>
      </w:r>
    </w:p>
    <w:p w14:paraId="01B26958"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基金份额持有人大会的决议自表决通过</w:t>
      </w:r>
      <w:r>
        <w:rPr>
          <w:rFonts w:asciiTheme="minorEastAsia" w:hAnsiTheme="minorEastAsia" w:hint="eastAsia"/>
          <w:sz w:val="24"/>
          <w:szCs w:val="24"/>
        </w:rPr>
        <w:t>之日起</w:t>
      </w:r>
      <w:r>
        <w:rPr>
          <w:rFonts w:asciiTheme="minorEastAsia" w:hAnsiTheme="minorEastAsia" w:hint="eastAsia"/>
          <w:bCs/>
          <w:sz w:val="24"/>
          <w:szCs w:val="24"/>
        </w:rPr>
        <w:t>生效。</w:t>
      </w:r>
    </w:p>
    <w:p w14:paraId="347FF32A"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基金份额持有人大会决议自生效之日起2个工作日内在指定媒介上公告。如果采用通讯方式进行表决，在公告基金份额持有人大会决议时，必须将公证书全文、公证机构、公证员姓名等一同公告。</w:t>
      </w:r>
    </w:p>
    <w:p w14:paraId="2BA073D1" w14:textId="77777777" w:rsidR="00B51DEA" w:rsidRDefault="00000000">
      <w:pPr>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lastRenderedPageBreak/>
        <w:t>基金管理人、基金托管人和基金份额持有人应当执行生效的基金份额持有人大会的决议。生效的基金份额持有人大会决议对全体基金份额持有人、基金管理人、基金托管人均有约束力。</w:t>
      </w:r>
    </w:p>
    <w:p w14:paraId="4587F670"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szCs w:val="24"/>
        </w:rPr>
      </w:pPr>
      <w:r>
        <w:rPr>
          <w:rFonts w:asciiTheme="minorEastAsia" w:hAnsiTheme="minorEastAsia" w:hint="eastAsia"/>
          <w:bCs/>
          <w:sz w:val="24"/>
          <w:szCs w:val="24"/>
        </w:rPr>
        <w:t>（九）本部</w:t>
      </w:r>
      <w:proofErr w:type="gramStart"/>
      <w:r>
        <w:rPr>
          <w:rFonts w:asciiTheme="minorEastAsia" w:hAnsiTheme="minorEastAsia" w:hint="eastAsia"/>
          <w:bCs/>
          <w:sz w:val="24"/>
          <w:szCs w:val="24"/>
        </w:rPr>
        <w:t>分关于</w:t>
      </w:r>
      <w:proofErr w:type="gramEnd"/>
      <w:r>
        <w:rPr>
          <w:rFonts w:asciiTheme="minorEastAsia" w:hAnsiTheme="minorEastAsia" w:hint="eastAsia"/>
          <w:bCs/>
          <w:sz w:val="24"/>
          <w:szCs w:val="24"/>
        </w:rPr>
        <w:t>基金份额持有人大会召开事由、召开条件、议事程序、表决条件等规定，凡是直接引用法律法规的部分，如将来法律法规修改导致相关内容被取消或变更的，基金管理人提前公告后，可直接对本部分内容进行修改和调整，无需召开基金份额持有人大会审议。</w:t>
      </w:r>
    </w:p>
    <w:p w14:paraId="0C05F48B"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三、基金合同解除和终止的事由、程序以及基金财产清算方式</w:t>
      </w:r>
    </w:p>
    <w:p w14:paraId="5B832168"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（一）《基金合同》的变更</w:t>
      </w:r>
    </w:p>
    <w:p w14:paraId="50A5735D"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1、变更基金合同涉及法律法规规定或本基金合同约定应经基金份额持有人大会决议通过的事项的，应召</w:t>
      </w:r>
      <w:proofErr w:type="gramStart"/>
      <w:r>
        <w:rPr>
          <w:rFonts w:asciiTheme="minorEastAsia" w:hAnsiTheme="minorEastAsia" w:hint="eastAsia"/>
          <w:bCs/>
          <w:sz w:val="24"/>
        </w:rPr>
        <w:t>开基金</w:t>
      </w:r>
      <w:proofErr w:type="gramEnd"/>
      <w:r>
        <w:rPr>
          <w:rFonts w:asciiTheme="minorEastAsia" w:hAnsiTheme="minorEastAsia" w:hint="eastAsia"/>
          <w:bCs/>
          <w:sz w:val="24"/>
        </w:rPr>
        <w:t>份额持有人大会决议通过。对于可不经基金份额持有人大会决议通过的事项，由基金管理人和基金托管人同意后变更并公告，并报中国证监会备案。</w:t>
      </w:r>
    </w:p>
    <w:p w14:paraId="764795CB"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bCs/>
          <w:sz w:val="24"/>
        </w:rPr>
        <w:t xml:space="preserve"> </w:t>
      </w:r>
      <w:r>
        <w:rPr>
          <w:rFonts w:asciiTheme="minorEastAsia" w:hAnsiTheme="minorEastAsia" w:hint="eastAsia"/>
          <w:bCs/>
          <w:sz w:val="24"/>
        </w:rPr>
        <w:t>2、关于《基金合同》变更的基金份额持有人大会决议自生效后方可执行，并</w:t>
      </w:r>
      <w:proofErr w:type="gramStart"/>
      <w:r>
        <w:rPr>
          <w:rFonts w:asciiTheme="minorEastAsia" w:hAnsiTheme="minorEastAsia" w:hint="eastAsia"/>
          <w:bCs/>
          <w:sz w:val="24"/>
        </w:rPr>
        <w:t>自决议</w:t>
      </w:r>
      <w:proofErr w:type="gramEnd"/>
      <w:r>
        <w:rPr>
          <w:rFonts w:asciiTheme="minorEastAsia" w:hAnsiTheme="minorEastAsia" w:hint="eastAsia"/>
          <w:bCs/>
          <w:sz w:val="24"/>
        </w:rPr>
        <w:t>生效后两个工作日内在指定媒介公告。</w:t>
      </w:r>
    </w:p>
    <w:p w14:paraId="334A72E0"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（二）《基金合同》的终止事由</w:t>
      </w:r>
    </w:p>
    <w:p w14:paraId="4A25C507"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有下列情形之一的，《基金合同》应当终止：</w:t>
      </w:r>
    </w:p>
    <w:p w14:paraId="26048C97"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1、基金份额持有人大会决定终止的；</w:t>
      </w:r>
    </w:p>
    <w:p w14:paraId="179237AD"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2、基金管理人、基金托管人职责终止，在6个月内没有新基金管理人、新基金托管人承接的；</w:t>
      </w:r>
    </w:p>
    <w:p w14:paraId="5F6EB1E0"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szCs w:val="24"/>
        </w:rPr>
      </w:pPr>
      <w:r>
        <w:rPr>
          <w:rFonts w:asciiTheme="minorEastAsia" w:hAnsiTheme="minorEastAsia" w:hint="eastAsia"/>
          <w:bCs/>
          <w:sz w:val="24"/>
        </w:rPr>
        <w:t>3、</w:t>
      </w:r>
      <w:r>
        <w:rPr>
          <w:rFonts w:asciiTheme="minorEastAsia" w:hAnsiTheme="minorEastAsia" w:hint="eastAsia"/>
          <w:sz w:val="24"/>
          <w:szCs w:val="24"/>
        </w:rPr>
        <w:t>基金合同生效满三年之日（指自然日），</w:t>
      </w:r>
      <w:proofErr w:type="gramStart"/>
      <w:r>
        <w:rPr>
          <w:rFonts w:asciiTheme="minorEastAsia" w:hAnsiTheme="minorEastAsia" w:hint="eastAsia"/>
          <w:sz w:val="24"/>
          <w:szCs w:val="24"/>
        </w:rPr>
        <w:t>若基金</w:t>
      </w:r>
      <w:proofErr w:type="gramEnd"/>
      <w:r>
        <w:rPr>
          <w:rFonts w:asciiTheme="minorEastAsia" w:hAnsiTheme="minorEastAsia" w:hint="eastAsia"/>
          <w:sz w:val="24"/>
          <w:szCs w:val="24"/>
        </w:rPr>
        <w:t>资产净值低于两亿元的；</w:t>
      </w:r>
      <w:r>
        <w:rPr>
          <w:rFonts w:asciiTheme="minorEastAsia" w:hAnsiTheme="minorEastAsia"/>
          <w:sz w:val="24"/>
          <w:szCs w:val="24"/>
        </w:rPr>
        <w:t xml:space="preserve"> </w:t>
      </w:r>
      <w:r>
        <w:rPr>
          <w:rFonts w:asciiTheme="minorEastAsia" w:hAnsiTheme="minorEastAsia" w:hint="eastAsia"/>
          <w:sz w:val="24"/>
          <w:szCs w:val="24"/>
        </w:rPr>
        <w:t>或《基金合同》生效三年后继续存续的，连续六十个工作日出现基金份额持有人</w:t>
      </w:r>
      <w:r>
        <w:rPr>
          <w:rFonts w:asciiTheme="minorEastAsia" w:hAnsiTheme="minorEastAsia"/>
          <w:sz w:val="24"/>
          <w:szCs w:val="24"/>
        </w:rPr>
        <w:t xml:space="preserve"> </w:t>
      </w:r>
      <w:r>
        <w:rPr>
          <w:rFonts w:asciiTheme="minorEastAsia" w:hAnsiTheme="minorEastAsia" w:hint="eastAsia"/>
          <w:sz w:val="24"/>
          <w:szCs w:val="24"/>
        </w:rPr>
        <w:t>数量</w:t>
      </w:r>
      <w:proofErr w:type="gramStart"/>
      <w:r>
        <w:rPr>
          <w:rFonts w:asciiTheme="minorEastAsia" w:hAnsiTheme="minorEastAsia" w:hint="eastAsia"/>
          <w:sz w:val="24"/>
          <w:szCs w:val="24"/>
        </w:rPr>
        <w:t>不满二百</w:t>
      </w:r>
      <w:proofErr w:type="gramEnd"/>
      <w:r>
        <w:rPr>
          <w:rFonts w:asciiTheme="minorEastAsia" w:hAnsiTheme="minorEastAsia" w:hint="eastAsia"/>
          <w:sz w:val="24"/>
          <w:szCs w:val="24"/>
        </w:rPr>
        <w:t>人或者基金资产净值低于五千万元情形的；</w:t>
      </w:r>
    </w:p>
    <w:p w14:paraId="34AAC9E6"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4、《基金合同》约定的其他情形；</w:t>
      </w:r>
    </w:p>
    <w:p w14:paraId="17104922"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5、相关法律法规和中国证监会规定的其他情况。</w:t>
      </w:r>
    </w:p>
    <w:p w14:paraId="66D26940"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（三）基金财产的清算</w:t>
      </w:r>
    </w:p>
    <w:p w14:paraId="311CBC87"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1、基金财产清算小组：自出现《基金合同》终止事由之日起30个工作日内成立清算小组，基金管理人组织基金财产清算小组并在中国证监会的监督下进行基金清算。</w:t>
      </w:r>
    </w:p>
    <w:p w14:paraId="36795FAF"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lastRenderedPageBreak/>
        <w:t>2、基金财产清算小组组成：基金财产清算小组成员由基金管理人、基金托管人、具有证券、期货相关业务资格的注册会计师、律师以及中国证监会指定的人员组成。基金财产清算小组可以聘用必要的工作人员。</w:t>
      </w:r>
    </w:p>
    <w:p w14:paraId="695891D7"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3、基金财产清算小组职责：基金财产清算小组负责基金财产的保管、清理、估价、变现和分配。基金财产清算小组可以依法进行必要的民事活动。</w:t>
      </w:r>
    </w:p>
    <w:p w14:paraId="05DFDA13"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4、基金财产清算程序：</w:t>
      </w:r>
    </w:p>
    <w:p w14:paraId="77BDACC4"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（1）《基金合同》终止情形出现时，由基金财产清算小组统一接管基金；</w:t>
      </w:r>
    </w:p>
    <w:p w14:paraId="4299DF4D"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（2）对基金财产和债权债务进行清理和确认；</w:t>
      </w:r>
    </w:p>
    <w:p w14:paraId="24186FCE"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（3）对基金财产进行估值和变现；</w:t>
      </w:r>
    </w:p>
    <w:p w14:paraId="5885FBB7"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（4）制作清算报告；</w:t>
      </w:r>
    </w:p>
    <w:p w14:paraId="27167911"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（5）聘请具有证券、期货相关业务资格的会计师事务所对清算报告进行外部审计，聘请律师事务所对清算报告出具法律意见书；</w:t>
      </w:r>
    </w:p>
    <w:p w14:paraId="242F55FF"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（6）将清算报告报中国证监会备案并公告；</w:t>
      </w:r>
    </w:p>
    <w:p w14:paraId="4702E2CA"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（7）对基金剩余财产进行分配。</w:t>
      </w:r>
    </w:p>
    <w:p w14:paraId="54C34057"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5、基金财产清算的期限为</w:t>
      </w:r>
      <w:r>
        <w:rPr>
          <w:rFonts w:asciiTheme="minorEastAsia" w:hAnsiTheme="minorEastAsia"/>
          <w:bCs/>
          <w:sz w:val="24"/>
        </w:rPr>
        <w:t>6</w:t>
      </w:r>
      <w:r>
        <w:rPr>
          <w:rFonts w:asciiTheme="minorEastAsia" w:hAnsiTheme="minorEastAsia" w:hint="eastAsia"/>
          <w:bCs/>
          <w:sz w:val="24"/>
        </w:rPr>
        <w:t>个月，但因本基金所持证券的流动性受到限制而不能及时变现的，清算期限相应顺延。</w:t>
      </w:r>
    </w:p>
    <w:p w14:paraId="61882517"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四、争议解决方式</w:t>
      </w:r>
    </w:p>
    <w:p w14:paraId="3F03DB3E"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各方当事人同意，因《基金合同》而产生的或与《基金合同》有关的一切争议，如经友好协商未能解决的，任何一方均有权将争议提交中国国际经济贸易仲裁委员会，按照该会当时有效的仲裁规则进行仲裁，仲裁的地点为北京市，仲裁裁决是终局性的并对各方当事人具有约束力，仲裁费由败诉方承担。</w:t>
      </w:r>
    </w:p>
    <w:p w14:paraId="11FEA4FB"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争议处理期间，基金管理人、基金托管人应恪守各自的职责，继续忠实、勤勉、尽责地履行基金合同规定的义务，维护基金份额持有人的合法权益。</w:t>
      </w:r>
    </w:p>
    <w:p w14:paraId="710BE149"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《基金合同》受中国法律管辖。</w:t>
      </w:r>
    </w:p>
    <w:p w14:paraId="6FCE9EE2"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五、基金合同存放地和投资人取得基金合同的方式</w:t>
      </w:r>
    </w:p>
    <w:p w14:paraId="64B23D8F"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《基金合同》可印制成册，供投资者在基金管理人、基金托管人、销售机构的办公场所和营业场所查阅。</w:t>
      </w:r>
    </w:p>
    <w:p w14:paraId="24F081B9" w14:textId="77777777" w:rsidR="00B51DEA" w:rsidRDefault="00B51DEA">
      <w:pPr>
        <w:autoSpaceDE w:val="0"/>
        <w:autoSpaceDN w:val="0"/>
        <w:spacing w:line="360" w:lineRule="auto"/>
        <w:ind w:firstLineChars="200" w:firstLine="480"/>
        <w:textAlignment w:val="bottom"/>
        <w:rPr>
          <w:rFonts w:asciiTheme="minorEastAsia" w:hAnsiTheme="minorEastAsia" w:hint="eastAsia"/>
          <w:bCs/>
          <w:sz w:val="24"/>
        </w:rPr>
        <w:sectPr w:rsidR="00B51DEA">
          <w:pgSz w:w="11906" w:h="16838"/>
          <w:pgMar w:top="1440" w:right="1800" w:bottom="1440" w:left="1800" w:header="851" w:footer="992" w:gutter="0"/>
          <w:pgNumType w:chapStyle="1"/>
          <w:cols w:space="720"/>
          <w:docGrid w:type="lines" w:linePitch="312"/>
        </w:sectPr>
      </w:pPr>
    </w:p>
    <w:p w14:paraId="39AD69D4" w14:textId="77777777" w:rsidR="00B51DEA" w:rsidRDefault="00000000">
      <w:pPr>
        <w:pStyle w:val="1"/>
        <w:jc w:val="center"/>
        <w:rPr>
          <w:rFonts w:asciiTheme="minorEastAsia" w:eastAsiaTheme="minorEastAsia" w:hAnsiTheme="minorEastAsia" w:hint="eastAsia"/>
          <w:sz w:val="30"/>
          <w:szCs w:val="30"/>
        </w:rPr>
      </w:pPr>
      <w:bookmarkStart w:id="375" w:name="_Toc263092327"/>
      <w:bookmarkStart w:id="376" w:name="_Toc214873614"/>
      <w:bookmarkStart w:id="377" w:name="_Toc2677420"/>
      <w:bookmarkStart w:id="378" w:name="_Toc416264554"/>
      <w:bookmarkStart w:id="379" w:name="_Toc7367"/>
      <w:bookmarkStart w:id="380" w:name="_Toc23166"/>
      <w:bookmarkStart w:id="381" w:name="_Toc12191"/>
      <w:bookmarkStart w:id="382" w:name="_Toc141703901"/>
      <w:bookmarkStart w:id="383" w:name="_Toc123051466"/>
      <w:bookmarkStart w:id="384" w:name="_Toc139991750"/>
      <w:bookmarkStart w:id="385" w:name="_Toc98560365"/>
      <w:bookmarkStart w:id="386" w:name="_Toc28549"/>
      <w:bookmarkStart w:id="387" w:name="_Toc48649720"/>
      <w:bookmarkStart w:id="388" w:name="_Toc23022"/>
      <w:bookmarkStart w:id="389" w:name="_Toc9708"/>
      <w:bookmarkStart w:id="390" w:name="_Toc21240"/>
      <w:bookmarkStart w:id="391" w:name="_Toc123102467"/>
      <w:bookmarkStart w:id="392" w:name="_Toc79392641"/>
      <w:bookmarkStart w:id="393" w:name="_Toc123112248"/>
      <w:bookmarkStart w:id="394" w:name="_Toc352229766"/>
      <w:bookmarkStart w:id="395" w:name="_Toc30645"/>
      <w:bookmarkStart w:id="396" w:name="_Toc27058"/>
      <w:bookmarkStart w:id="397" w:name="_Toc13398"/>
      <w:bookmarkStart w:id="398" w:name="_Toc8710"/>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r>
        <w:rPr>
          <w:rFonts w:asciiTheme="minorEastAsia" w:eastAsiaTheme="minorEastAsia" w:hAnsiTheme="minorEastAsia" w:hint="eastAsia"/>
          <w:sz w:val="30"/>
          <w:szCs w:val="30"/>
        </w:rPr>
        <w:lastRenderedPageBreak/>
        <w:t>第十九部分</w:t>
      </w:r>
      <w:r>
        <w:rPr>
          <w:rFonts w:asciiTheme="minorEastAsia" w:eastAsiaTheme="minorEastAsia" w:hAnsiTheme="minorEastAsia"/>
          <w:sz w:val="30"/>
          <w:szCs w:val="30"/>
        </w:rPr>
        <w:t xml:space="preserve">  </w:t>
      </w:r>
      <w:r>
        <w:rPr>
          <w:rFonts w:asciiTheme="minorEastAsia" w:eastAsiaTheme="minorEastAsia" w:hAnsiTheme="minorEastAsia" w:hint="eastAsia"/>
          <w:sz w:val="30"/>
          <w:szCs w:val="30"/>
        </w:rPr>
        <w:t>基金托管协议的内容摘要</w:t>
      </w:r>
      <w:bookmarkEnd w:id="375"/>
      <w:bookmarkEnd w:id="376"/>
      <w:bookmarkEnd w:id="377"/>
      <w:bookmarkEnd w:id="378"/>
    </w:p>
    <w:p w14:paraId="4CC1B8C4" w14:textId="77777777" w:rsidR="00B51DEA" w:rsidRDefault="00000000">
      <w:pPr>
        <w:numPr>
          <w:ilvl w:val="0"/>
          <w:numId w:val="3"/>
        </w:numPr>
        <w:tabs>
          <w:tab w:val="left" w:pos="851"/>
        </w:tabs>
        <w:adjustRightInd w:val="0"/>
        <w:snapToGrid w:val="0"/>
        <w:spacing w:line="360" w:lineRule="auto"/>
        <w:rPr>
          <w:rFonts w:asciiTheme="minorEastAsia" w:hAnsiTheme="minorEastAsia" w:cs="Arial" w:hint="eastAsia"/>
          <w:b/>
          <w:sz w:val="24"/>
          <w:szCs w:val="24"/>
        </w:rPr>
      </w:pPr>
      <w:r>
        <w:rPr>
          <w:rFonts w:asciiTheme="minorEastAsia" w:hAnsiTheme="minorEastAsia" w:cs="Arial" w:hint="eastAsia"/>
          <w:b/>
          <w:sz w:val="24"/>
          <w:szCs w:val="24"/>
        </w:rPr>
        <w:t>托管协议当事人</w:t>
      </w:r>
    </w:p>
    <w:p w14:paraId="3EDA0D5F" w14:textId="77777777" w:rsidR="00B51DEA" w:rsidRDefault="00000000">
      <w:pPr>
        <w:adjustRightInd w:val="0"/>
        <w:snapToGrid w:val="0"/>
        <w:spacing w:line="360" w:lineRule="auto"/>
        <w:ind w:left="840" w:hanging="420"/>
        <w:rPr>
          <w:rFonts w:asciiTheme="minorEastAsia" w:hAnsiTheme="minorEastAsia" w:cs="Arial" w:hint="eastAsia"/>
          <w:kern w:val="0"/>
          <w:sz w:val="24"/>
          <w:szCs w:val="24"/>
        </w:rPr>
      </w:pPr>
      <w:r>
        <w:rPr>
          <w:rFonts w:asciiTheme="minorEastAsia" w:hAnsiTheme="minorEastAsia" w:cs="Arial" w:hint="eastAsia"/>
          <w:kern w:val="0"/>
          <w:sz w:val="24"/>
          <w:szCs w:val="24"/>
        </w:rPr>
        <w:t>（一）基金管理人</w:t>
      </w:r>
    </w:p>
    <w:p w14:paraId="4E3FCB01" w14:textId="77777777" w:rsidR="00B51DEA" w:rsidRDefault="00000000">
      <w:pPr>
        <w:adjustRightInd w:val="0"/>
        <w:snapToGrid w:val="0"/>
        <w:spacing w:line="360" w:lineRule="auto"/>
        <w:ind w:left="840" w:hanging="420"/>
        <w:rPr>
          <w:rFonts w:asciiTheme="minorEastAsia" w:hAnsiTheme="minorEastAsia" w:cs="Arial" w:hint="eastAsia"/>
          <w:kern w:val="0"/>
          <w:sz w:val="24"/>
          <w:szCs w:val="24"/>
        </w:rPr>
      </w:pPr>
      <w:r>
        <w:rPr>
          <w:rFonts w:asciiTheme="minorEastAsia" w:hAnsiTheme="minorEastAsia" w:cs="Arial" w:hint="eastAsia"/>
          <w:kern w:val="0"/>
          <w:sz w:val="24"/>
          <w:szCs w:val="24"/>
        </w:rPr>
        <w:t>名称：富荣基金管理有限公司</w:t>
      </w:r>
    </w:p>
    <w:p w14:paraId="005BC8DF" w14:textId="77777777" w:rsidR="00B51DEA" w:rsidRDefault="00000000">
      <w:pPr>
        <w:adjustRightInd w:val="0"/>
        <w:snapToGrid w:val="0"/>
        <w:spacing w:line="360" w:lineRule="auto"/>
        <w:ind w:left="840" w:hanging="420"/>
        <w:rPr>
          <w:rFonts w:asciiTheme="minorEastAsia" w:hAnsiTheme="minorEastAsia" w:cs="Arial" w:hint="eastAsia"/>
          <w:kern w:val="0"/>
          <w:sz w:val="24"/>
          <w:szCs w:val="24"/>
        </w:rPr>
      </w:pPr>
      <w:r>
        <w:rPr>
          <w:rFonts w:asciiTheme="minorEastAsia" w:hAnsiTheme="minorEastAsia" w:cs="Arial" w:hint="eastAsia"/>
          <w:kern w:val="0"/>
          <w:sz w:val="24"/>
          <w:szCs w:val="24"/>
        </w:rPr>
        <w:t>住所：</w:t>
      </w:r>
      <w:r>
        <w:rPr>
          <w:rFonts w:asciiTheme="minorEastAsia" w:hAnsiTheme="minorEastAsia" w:hint="eastAsia"/>
          <w:kern w:val="0"/>
          <w:sz w:val="24"/>
        </w:rPr>
        <w:t>广东省广州市南沙区横</w:t>
      </w:r>
      <w:proofErr w:type="gramStart"/>
      <w:r>
        <w:rPr>
          <w:rFonts w:asciiTheme="minorEastAsia" w:hAnsiTheme="minorEastAsia" w:hint="eastAsia"/>
          <w:kern w:val="0"/>
          <w:sz w:val="24"/>
        </w:rPr>
        <w:t>沥</w:t>
      </w:r>
      <w:proofErr w:type="gramEnd"/>
      <w:r>
        <w:rPr>
          <w:rFonts w:asciiTheme="minorEastAsia" w:hAnsiTheme="minorEastAsia" w:hint="eastAsia"/>
          <w:kern w:val="0"/>
          <w:sz w:val="24"/>
        </w:rPr>
        <w:t>镇汇通二街2号3110房</w:t>
      </w:r>
    </w:p>
    <w:p w14:paraId="5C35CEE1" w14:textId="77777777" w:rsidR="00B51DEA" w:rsidRDefault="00000000">
      <w:pPr>
        <w:adjustRightInd w:val="0"/>
        <w:snapToGrid w:val="0"/>
        <w:spacing w:line="360" w:lineRule="auto"/>
        <w:ind w:left="840" w:hanging="420"/>
        <w:rPr>
          <w:rFonts w:asciiTheme="minorEastAsia" w:hAnsiTheme="minorEastAsia" w:cs="Arial" w:hint="eastAsia"/>
          <w:kern w:val="0"/>
          <w:sz w:val="24"/>
          <w:szCs w:val="24"/>
        </w:rPr>
      </w:pPr>
      <w:r>
        <w:rPr>
          <w:rFonts w:asciiTheme="minorEastAsia" w:hAnsiTheme="minorEastAsia" w:cs="Arial" w:hint="eastAsia"/>
          <w:kern w:val="0"/>
          <w:sz w:val="24"/>
          <w:szCs w:val="24"/>
        </w:rPr>
        <w:t>办公地址：广东省深圳市福田区八卦四路52号安吉尔大厦24层</w:t>
      </w:r>
    </w:p>
    <w:p w14:paraId="174E6C9A" w14:textId="77777777" w:rsidR="00B51DEA" w:rsidRDefault="00000000">
      <w:pPr>
        <w:adjustRightInd w:val="0"/>
        <w:snapToGrid w:val="0"/>
        <w:spacing w:line="360" w:lineRule="auto"/>
        <w:ind w:left="840" w:hanging="420"/>
        <w:rPr>
          <w:rFonts w:asciiTheme="minorEastAsia" w:hAnsiTheme="minorEastAsia" w:cs="Arial" w:hint="eastAsia"/>
          <w:kern w:val="0"/>
          <w:sz w:val="24"/>
          <w:szCs w:val="24"/>
        </w:rPr>
      </w:pPr>
      <w:r>
        <w:rPr>
          <w:rFonts w:asciiTheme="minorEastAsia" w:hAnsiTheme="minorEastAsia" w:cs="Arial" w:hint="eastAsia"/>
          <w:kern w:val="0"/>
          <w:sz w:val="24"/>
          <w:szCs w:val="24"/>
        </w:rPr>
        <w:t>邮政编码：</w:t>
      </w:r>
      <w:r>
        <w:rPr>
          <w:rFonts w:asciiTheme="minorEastAsia" w:hAnsiTheme="minorEastAsia" w:cs="Arial"/>
          <w:kern w:val="0"/>
          <w:sz w:val="24"/>
          <w:szCs w:val="24"/>
        </w:rPr>
        <w:t>518038</w:t>
      </w:r>
    </w:p>
    <w:p w14:paraId="36A91029" w14:textId="77777777" w:rsidR="00B51DEA" w:rsidRDefault="00000000">
      <w:pPr>
        <w:adjustRightInd w:val="0"/>
        <w:snapToGrid w:val="0"/>
        <w:spacing w:line="360" w:lineRule="auto"/>
        <w:ind w:left="840" w:hanging="420"/>
        <w:rPr>
          <w:rFonts w:asciiTheme="minorEastAsia" w:hAnsiTheme="minorEastAsia" w:cs="Arial" w:hint="eastAsia"/>
          <w:kern w:val="0"/>
          <w:sz w:val="24"/>
          <w:szCs w:val="24"/>
        </w:rPr>
      </w:pPr>
      <w:r>
        <w:rPr>
          <w:rFonts w:asciiTheme="minorEastAsia" w:hAnsiTheme="minorEastAsia" w:cs="Arial" w:hint="eastAsia"/>
          <w:kern w:val="0"/>
          <w:sz w:val="24"/>
          <w:szCs w:val="24"/>
        </w:rPr>
        <w:t>法定代表人：王亦伟</w:t>
      </w:r>
    </w:p>
    <w:p w14:paraId="0EDDC1ED" w14:textId="77777777" w:rsidR="00B51DEA" w:rsidRDefault="00000000">
      <w:pPr>
        <w:adjustRightInd w:val="0"/>
        <w:snapToGrid w:val="0"/>
        <w:spacing w:line="360" w:lineRule="auto"/>
        <w:ind w:left="840" w:hanging="420"/>
        <w:rPr>
          <w:rFonts w:asciiTheme="minorEastAsia" w:hAnsiTheme="minorEastAsia" w:cs="Arial" w:hint="eastAsia"/>
          <w:kern w:val="0"/>
          <w:sz w:val="24"/>
          <w:szCs w:val="24"/>
        </w:rPr>
      </w:pPr>
      <w:r>
        <w:rPr>
          <w:rFonts w:asciiTheme="minorEastAsia" w:hAnsiTheme="minorEastAsia" w:cs="Arial" w:hint="eastAsia"/>
          <w:kern w:val="0"/>
          <w:sz w:val="24"/>
          <w:szCs w:val="24"/>
        </w:rPr>
        <w:t>成立日期：</w:t>
      </w:r>
      <w:r>
        <w:rPr>
          <w:rFonts w:asciiTheme="minorEastAsia" w:hAnsiTheme="minorEastAsia" w:cs="Arial"/>
          <w:kern w:val="0"/>
          <w:sz w:val="24"/>
          <w:szCs w:val="24"/>
        </w:rPr>
        <w:t>2016年1月25日</w:t>
      </w:r>
      <w:r>
        <w:rPr>
          <w:rFonts w:asciiTheme="minorEastAsia" w:hAnsiTheme="minorEastAsia" w:cs="Arial"/>
          <w:kern w:val="0"/>
          <w:sz w:val="24"/>
          <w:szCs w:val="24"/>
        </w:rPr>
        <w:tab/>
      </w:r>
    </w:p>
    <w:p w14:paraId="6C654A15" w14:textId="77777777" w:rsidR="00B51DEA" w:rsidRDefault="00000000">
      <w:pPr>
        <w:adjustRightInd w:val="0"/>
        <w:snapToGrid w:val="0"/>
        <w:spacing w:line="360" w:lineRule="auto"/>
        <w:ind w:left="840" w:hanging="420"/>
        <w:rPr>
          <w:rFonts w:asciiTheme="minorEastAsia" w:hAnsiTheme="minorEastAsia" w:cs="Arial" w:hint="eastAsia"/>
          <w:kern w:val="0"/>
          <w:sz w:val="24"/>
          <w:szCs w:val="24"/>
        </w:rPr>
      </w:pPr>
      <w:r>
        <w:rPr>
          <w:rFonts w:asciiTheme="minorEastAsia" w:hAnsiTheme="minorEastAsia" w:cs="Arial" w:hint="eastAsia"/>
          <w:kern w:val="0"/>
          <w:sz w:val="24"/>
          <w:szCs w:val="24"/>
        </w:rPr>
        <w:t>批准设立机关及批准设立文号：中国证监会证监许可【</w:t>
      </w:r>
      <w:r>
        <w:rPr>
          <w:rFonts w:asciiTheme="minorEastAsia" w:hAnsiTheme="minorEastAsia" w:cs="Arial"/>
          <w:kern w:val="0"/>
          <w:sz w:val="24"/>
          <w:szCs w:val="24"/>
        </w:rPr>
        <w:t>2015】3118号</w:t>
      </w:r>
    </w:p>
    <w:p w14:paraId="04D7EF2F" w14:textId="77777777" w:rsidR="00B51DEA" w:rsidRDefault="00000000">
      <w:pPr>
        <w:adjustRightInd w:val="0"/>
        <w:snapToGrid w:val="0"/>
        <w:spacing w:line="360" w:lineRule="auto"/>
        <w:ind w:left="840" w:hanging="420"/>
        <w:rPr>
          <w:rFonts w:asciiTheme="minorEastAsia" w:hAnsiTheme="minorEastAsia" w:cs="Arial" w:hint="eastAsia"/>
          <w:kern w:val="0"/>
          <w:sz w:val="24"/>
          <w:szCs w:val="24"/>
        </w:rPr>
      </w:pPr>
      <w:r>
        <w:rPr>
          <w:rFonts w:asciiTheme="minorEastAsia" w:hAnsiTheme="minorEastAsia" w:cs="Arial" w:hint="eastAsia"/>
          <w:kern w:val="0"/>
          <w:sz w:val="24"/>
          <w:szCs w:val="24"/>
        </w:rPr>
        <w:t>组织形式：有限责任公司</w:t>
      </w:r>
    </w:p>
    <w:p w14:paraId="6AFF92BF" w14:textId="77777777" w:rsidR="00B51DEA" w:rsidRDefault="00000000">
      <w:pPr>
        <w:adjustRightInd w:val="0"/>
        <w:snapToGrid w:val="0"/>
        <w:spacing w:line="360" w:lineRule="auto"/>
        <w:ind w:left="840" w:hanging="420"/>
        <w:rPr>
          <w:rFonts w:asciiTheme="minorEastAsia" w:hAnsiTheme="minorEastAsia" w:cs="Arial" w:hint="eastAsia"/>
          <w:kern w:val="0"/>
          <w:sz w:val="24"/>
          <w:szCs w:val="24"/>
        </w:rPr>
      </w:pPr>
      <w:r>
        <w:rPr>
          <w:rFonts w:asciiTheme="minorEastAsia" w:hAnsiTheme="minorEastAsia" w:cs="Arial" w:hint="eastAsia"/>
          <w:kern w:val="0"/>
          <w:sz w:val="24"/>
          <w:szCs w:val="24"/>
        </w:rPr>
        <w:t>注册资本：</w:t>
      </w:r>
      <w:r>
        <w:rPr>
          <w:rFonts w:asciiTheme="minorEastAsia" w:hAnsiTheme="minorEastAsia" w:cs="Arial"/>
          <w:kern w:val="0"/>
          <w:sz w:val="24"/>
          <w:szCs w:val="24"/>
        </w:rPr>
        <w:t>2</w:t>
      </w:r>
      <w:r>
        <w:rPr>
          <w:rFonts w:asciiTheme="minorEastAsia" w:hAnsiTheme="minorEastAsia" w:cs="Arial" w:hint="eastAsia"/>
          <w:kern w:val="0"/>
          <w:sz w:val="24"/>
          <w:szCs w:val="24"/>
        </w:rPr>
        <w:t>亿元人民币</w:t>
      </w:r>
    </w:p>
    <w:p w14:paraId="69AD9DD3" w14:textId="77777777" w:rsidR="00B51DEA" w:rsidRDefault="00000000">
      <w:pPr>
        <w:adjustRightInd w:val="0"/>
        <w:snapToGrid w:val="0"/>
        <w:spacing w:line="360" w:lineRule="auto"/>
        <w:ind w:left="840" w:hanging="420"/>
        <w:rPr>
          <w:rFonts w:asciiTheme="minorEastAsia" w:hAnsiTheme="minorEastAsia" w:cs="Arial" w:hint="eastAsia"/>
          <w:kern w:val="0"/>
          <w:sz w:val="24"/>
          <w:szCs w:val="24"/>
        </w:rPr>
      </w:pPr>
      <w:r>
        <w:rPr>
          <w:rFonts w:asciiTheme="minorEastAsia" w:hAnsiTheme="minorEastAsia" w:cs="Arial" w:hint="eastAsia"/>
          <w:kern w:val="0"/>
          <w:sz w:val="24"/>
          <w:szCs w:val="24"/>
        </w:rPr>
        <w:t>存续期间：永续经营</w:t>
      </w:r>
    </w:p>
    <w:p w14:paraId="448C8BFB"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经营范围：基金募集、基金销售、资产管理、特定客户资产管理和中国证监会许可的其他业务</w:t>
      </w:r>
    </w:p>
    <w:p w14:paraId="5EE2FE57" w14:textId="77777777" w:rsidR="00B51DEA" w:rsidRDefault="00000000">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（二）基金托管人</w:t>
      </w:r>
    </w:p>
    <w:p w14:paraId="4544277F"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名称：中国光大银行股份有限公司</w:t>
      </w:r>
    </w:p>
    <w:p w14:paraId="62AC0F72"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住所：北京市西城区太平桥大街</w:t>
      </w:r>
      <w:r>
        <w:rPr>
          <w:rFonts w:asciiTheme="minorEastAsia" w:hAnsiTheme="minorEastAsia"/>
          <w:sz w:val="24"/>
          <w:szCs w:val="24"/>
        </w:rPr>
        <w:t xml:space="preserve">25 </w:t>
      </w:r>
      <w:proofErr w:type="gramStart"/>
      <w:r>
        <w:rPr>
          <w:rFonts w:asciiTheme="minorEastAsia" w:hAnsiTheme="minorEastAsia" w:hint="eastAsia"/>
          <w:sz w:val="24"/>
          <w:szCs w:val="24"/>
        </w:rPr>
        <w:t>号甲</w:t>
      </w:r>
      <w:proofErr w:type="gramEnd"/>
      <w:r>
        <w:rPr>
          <w:rFonts w:asciiTheme="minorEastAsia" w:hAnsiTheme="minorEastAsia"/>
          <w:sz w:val="24"/>
          <w:szCs w:val="24"/>
        </w:rPr>
        <w:t xml:space="preserve">25 </w:t>
      </w:r>
      <w:r>
        <w:rPr>
          <w:rFonts w:asciiTheme="minorEastAsia" w:hAnsiTheme="minorEastAsia" w:hint="eastAsia"/>
          <w:sz w:val="24"/>
          <w:szCs w:val="24"/>
        </w:rPr>
        <w:t>号中国光大中心</w:t>
      </w:r>
    </w:p>
    <w:p w14:paraId="7DD98039"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邮政编码：</w:t>
      </w:r>
      <w:r>
        <w:rPr>
          <w:rFonts w:asciiTheme="minorEastAsia" w:hAnsiTheme="minorEastAsia"/>
          <w:sz w:val="24"/>
          <w:szCs w:val="24"/>
        </w:rPr>
        <w:t>100033</w:t>
      </w:r>
    </w:p>
    <w:p w14:paraId="1C18F58F"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法定代表人：</w:t>
      </w:r>
      <w:r>
        <w:rPr>
          <w:rFonts w:ascii="宋体" w:hAnsi="宋体" w:cs="宋体" w:hint="eastAsia"/>
          <w:sz w:val="24"/>
          <w:szCs w:val="24"/>
        </w:rPr>
        <w:t>吴利军</w:t>
      </w:r>
    </w:p>
    <w:p w14:paraId="04912354"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成立日期：</w:t>
      </w:r>
      <w:r>
        <w:rPr>
          <w:rFonts w:asciiTheme="minorEastAsia" w:hAnsiTheme="minorEastAsia"/>
          <w:sz w:val="24"/>
          <w:szCs w:val="24"/>
        </w:rPr>
        <w:t>1992</w:t>
      </w:r>
      <w:r>
        <w:rPr>
          <w:rFonts w:asciiTheme="minorEastAsia" w:hAnsiTheme="minorEastAsia" w:hint="eastAsia"/>
          <w:sz w:val="24"/>
          <w:szCs w:val="24"/>
        </w:rPr>
        <w:t>年</w:t>
      </w:r>
      <w:r>
        <w:rPr>
          <w:rFonts w:asciiTheme="minorEastAsia" w:hAnsiTheme="minorEastAsia"/>
          <w:sz w:val="24"/>
          <w:szCs w:val="24"/>
        </w:rPr>
        <w:t>6</w:t>
      </w:r>
      <w:r>
        <w:rPr>
          <w:rFonts w:asciiTheme="minorEastAsia" w:hAnsiTheme="minorEastAsia" w:hint="eastAsia"/>
          <w:sz w:val="24"/>
          <w:szCs w:val="24"/>
        </w:rPr>
        <w:t>月</w:t>
      </w:r>
      <w:r>
        <w:rPr>
          <w:rFonts w:asciiTheme="minorEastAsia" w:hAnsiTheme="minorEastAsia"/>
          <w:sz w:val="24"/>
          <w:szCs w:val="24"/>
        </w:rPr>
        <w:t>18</w:t>
      </w:r>
      <w:r>
        <w:rPr>
          <w:rFonts w:asciiTheme="minorEastAsia" w:hAnsiTheme="minorEastAsia" w:hint="eastAsia"/>
          <w:sz w:val="24"/>
          <w:szCs w:val="24"/>
        </w:rPr>
        <w:t>日</w:t>
      </w:r>
    </w:p>
    <w:p w14:paraId="4F04FFB8"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批准设立机关和批准设立文号：国务院、国函</w:t>
      </w:r>
      <w:r>
        <w:rPr>
          <w:rFonts w:asciiTheme="minorEastAsia" w:hAnsiTheme="minorEastAsia"/>
          <w:sz w:val="24"/>
          <w:szCs w:val="24"/>
        </w:rPr>
        <w:t>[1992]7</w:t>
      </w:r>
      <w:r>
        <w:rPr>
          <w:rFonts w:asciiTheme="minorEastAsia" w:hAnsiTheme="minorEastAsia" w:hint="eastAsia"/>
          <w:sz w:val="24"/>
          <w:szCs w:val="24"/>
        </w:rPr>
        <w:t>号</w:t>
      </w:r>
    </w:p>
    <w:p w14:paraId="0DD30426"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组织形式：股份有限公司</w:t>
      </w:r>
    </w:p>
    <w:p w14:paraId="7352D229"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注册资本：590.85551亿元人民币</w:t>
      </w:r>
    </w:p>
    <w:p w14:paraId="4B555D1D"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存续期间：持续经营</w:t>
      </w:r>
    </w:p>
    <w:p w14:paraId="24E202DE"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经营范围：吸收公众存款；发放贷款；办理国内外结算；办理票据贴现；发行金融债券；代理发行、代理兑付、承销政府债券；买卖政府债券；从事同业拆借；买卖、代理买卖外汇；提供信用证服务及担保；代理收付款项及代理保险业务；提供保管箱服务；经中国人民银行和国家外汇管理局批准的其他业务。</w:t>
      </w:r>
      <w:r>
        <w:rPr>
          <w:rFonts w:asciiTheme="minorEastAsia" w:hAnsiTheme="minorEastAsia"/>
          <w:sz w:val="24"/>
          <w:szCs w:val="24"/>
        </w:rPr>
        <w:tab/>
      </w:r>
    </w:p>
    <w:p w14:paraId="0D94D69E" w14:textId="77777777" w:rsidR="00B51DEA" w:rsidRDefault="00000000">
      <w:pPr>
        <w:pStyle w:val="aff"/>
        <w:numPr>
          <w:ilvl w:val="0"/>
          <w:numId w:val="4"/>
        </w:numPr>
        <w:adjustRightInd w:val="0"/>
        <w:snapToGrid w:val="0"/>
        <w:spacing w:line="360" w:lineRule="auto"/>
        <w:ind w:firstLineChars="0"/>
        <w:rPr>
          <w:rFonts w:asciiTheme="minorEastAsia" w:hAnsiTheme="minorEastAsia" w:cs="Arial" w:hint="eastAsia"/>
          <w:b/>
          <w:sz w:val="24"/>
          <w:szCs w:val="24"/>
        </w:rPr>
      </w:pPr>
      <w:r>
        <w:rPr>
          <w:rFonts w:asciiTheme="minorEastAsia" w:hAnsiTheme="minorEastAsia" w:cs="Arial" w:hint="eastAsia"/>
          <w:b/>
          <w:sz w:val="24"/>
          <w:szCs w:val="24"/>
        </w:rPr>
        <w:lastRenderedPageBreak/>
        <w:t>基金托管人对基金管理人的业务监督和核查</w:t>
      </w:r>
    </w:p>
    <w:p w14:paraId="21FA2851" w14:textId="77777777" w:rsidR="00B51DEA" w:rsidRDefault="00000000">
      <w:pPr>
        <w:pStyle w:val="a8"/>
        <w:tabs>
          <w:tab w:val="left" w:pos="1680"/>
        </w:tabs>
        <w:ind w:firstLineChars="200" w:firstLine="480"/>
        <w:rPr>
          <w:rFonts w:asciiTheme="minorEastAsia" w:eastAsiaTheme="minorEastAsia" w:hAnsiTheme="minorEastAsia" w:hint="eastAsia"/>
          <w:sz w:val="24"/>
          <w:szCs w:val="24"/>
        </w:rPr>
      </w:pPr>
      <w:r>
        <w:rPr>
          <w:rFonts w:asciiTheme="minorEastAsia" w:eastAsiaTheme="minorEastAsia" w:hAnsiTheme="minorEastAsia" w:hint="eastAsia"/>
          <w:sz w:val="24"/>
          <w:szCs w:val="24"/>
        </w:rPr>
        <w:t>（一）基金托管人根据有关法律法规的规定及基金合同的约定，对基金投资范围、投资对象进行监督。</w:t>
      </w:r>
    </w:p>
    <w:p w14:paraId="14E978C1"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基金合同明确约定基金投资风格或证券选择标准的，基金管理人应按照基金托管人要求的格式提供投资品种池和交易对手库，以便基金托管人运用相关技术系统，对基金实际投资是否符合基金合同关于证券选择标准的约定进行监督，对存在疑义的事项进行核查。</w:t>
      </w:r>
    </w:p>
    <w:p w14:paraId="5BCA48F9" w14:textId="77777777" w:rsidR="00B51DEA" w:rsidRDefault="00000000">
      <w:pPr>
        <w:pStyle w:val="a8"/>
        <w:tabs>
          <w:tab w:val="left" w:pos="1680"/>
        </w:tabs>
        <w:ind w:firstLineChars="200" w:firstLine="480"/>
        <w:rPr>
          <w:rFonts w:asciiTheme="minorEastAsia" w:eastAsiaTheme="minorEastAsia" w:hAnsiTheme="minorEastAsia" w:hint="eastAsia"/>
          <w:sz w:val="24"/>
          <w:szCs w:val="24"/>
        </w:rPr>
      </w:pPr>
      <w:r>
        <w:rPr>
          <w:rFonts w:asciiTheme="minorEastAsia" w:eastAsiaTheme="minorEastAsia" w:hAnsiTheme="minorEastAsia" w:hint="eastAsia"/>
          <w:sz w:val="24"/>
          <w:szCs w:val="24"/>
        </w:rPr>
        <w:t>本基金的投资范围主要为具有良好流动性的金融工具，包括国内依法发行上市的股票（包括中小板、创业板及其他经中国证监会核准上市的股票）</w:t>
      </w:r>
      <w:r>
        <w:rPr>
          <w:rFonts w:asciiTheme="minorEastAsia" w:hAnsiTheme="minorEastAsia" w:cs="Arial" w:hint="eastAsia"/>
          <w:color w:val="000000"/>
          <w:sz w:val="24"/>
          <w:szCs w:val="24"/>
        </w:rPr>
        <w:t>、存托凭证</w:t>
      </w:r>
      <w:r>
        <w:rPr>
          <w:rFonts w:asciiTheme="minorEastAsia" w:eastAsiaTheme="minorEastAsia" w:hAnsiTheme="minorEastAsia" w:hint="eastAsia"/>
          <w:sz w:val="24"/>
          <w:szCs w:val="24"/>
        </w:rPr>
        <w:t>、债券（含国债、金融债、企业债、公司债、央行票据、中期票据、短期融资</w:t>
      </w:r>
      <w:proofErr w:type="gramStart"/>
      <w:r>
        <w:rPr>
          <w:rFonts w:asciiTheme="minorEastAsia" w:eastAsiaTheme="minorEastAsia" w:hAnsiTheme="minorEastAsia" w:hint="eastAsia"/>
          <w:sz w:val="24"/>
          <w:szCs w:val="24"/>
        </w:rPr>
        <w:t>券</w:t>
      </w:r>
      <w:proofErr w:type="gramEnd"/>
      <w:r>
        <w:rPr>
          <w:rFonts w:asciiTheme="minorEastAsia" w:eastAsiaTheme="minorEastAsia" w:hAnsiTheme="minorEastAsia" w:hint="eastAsia"/>
          <w:sz w:val="24"/>
          <w:szCs w:val="24"/>
        </w:rPr>
        <w:t>、超短期融资</w:t>
      </w:r>
      <w:proofErr w:type="gramStart"/>
      <w:r>
        <w:rPr>
          <w:rFonts w:asciiTheme="minorEastAsia" w:eastAsiaTheme="minorEastAsia" w:hAnsiTheme="minorEastAsia" w:hint="eastAsia"/>
          <w:sz w:val="24"/>
          <w:szCs w:val="24"/>
        </w:rPr>
        <w:t>券</w:t>
      </w:r>
      <w:proofErr w:type="gramEnd"/>
      <w:r>
        <w:rPr>
          <w:rFonts w:asciiTheme="minorEastAsia" w:eastAsiaTheme="minorEastAsia" w:hAnsiTheme="minorEastAsia" w:hint="eastAsia"/>
          <w:sz w:val="24"/>
          <w:szCs w:val="24"/>
        </w:rPr>
        <w:t>、政府支持机构债、地方政府债、次级债、可转换债券、可交换债券、中小企业私募</w:t>
      </w:r>
      <w:proofErr w:type="gramStart"/>
      <w:r>
        <w:rPr>
          <w:rFonts w:asciiTheme="minorEastAsia" w:eastAsiaTheme="minorEastAsia" w:hAnsiTheme="minorEastAsia" w:hint="eastAsia"/>
          <w:sz w:val="24"/>
          <w:szCs w:val="24"/>
        </w:rPr>
        <w:t>债及其</w:t>
      </w:r>
      <w:proofErr w:type="gramEnd"/>
      <w:r>
        <w:rPr>
          <w:rFonts w:asciiTheme="minorEastAsia" w:eastAsiaTheme="minorEastAsia" w:hAnsiTheme="minorEastAsia" w:hint="eastAsia"/>
          <w:sz w:val="24"/>
          <w:szCs w:val="24"/>
        </w:rPr>
        <w:t>他经中国证监会允许投资的债券）、货币市场工具、同业存单、资产支持证券、衍生品（包括权证、股指期货、股票期权、国债期货等）以及法律法规或中国证监会允许基金投资的其他金融工具（但须符合中国证监会的相关规定）。</w:t>
      </w:r>
    </w:p>
    <w:p w14:paraId="7A5E4F85" w14:textId="77777777" w:rsidR="00B51DEA" w:rsidRDefault="00000000">
      <w:pPr>
        <w:pStyle w:val="a8"/>
        <w:tabs>
          <w:tab w:val="left" w:pos="1680"/>
        </w:tabs>
        <w:ind w:firstLineChars="200" w:firstLine="480"/>
        <w:rPr>
          <w:rFonts w:asciiTheme="minorEastAsia" w:eastAsiaTheme="minorEastAsia" w:hAnsiTheme="minorEastAsia" w:hint="eastAsia"/>
          <w:sz w:val="24"/>
          <w:szCs w:val="24"/>
        </w:rPr>
      </w:pPr>
      <w:r>
        <w:rPr>
          <w:rFonts w:asciiTheme="minorEastAsia" w:eastAsiaTheme="minorEastAsia" w:hAnsiTheme="minorEastAsia" w:hint="eastAsia"/>
          <w:sz w:val="24"/>
          <w:szCs w:val="24"/>
        </w:rPr>
        <w:t>如法律法规或监管机构以后允许基金投资其他品种，基金管理人在履行适当程序后，可以将其纳入投资范围。</w:t>
      </w:r>
    </w:p>
    <w:p w14:paraId="0F1DA412" w14:textId="77777777" w:rsidR="00B51DEA" w:rsidRDefault="00000000">
      <w:pPr>
        <w:autoSpaceDE w:val="0"/>
        <w:autoSpaceDN w:val="0"/>
        <w:spacing w:line="360" w:lineRule="auto"/>
        <w:ind w:firstLineChars="200" w:firstLine="480"/>
        <w:textAlignment w:val="bottom"/>
        <w:rPr>
          <w:rFonts w:asciiTheme="minorEastAsia" w:hAnsiTheme="minorEastAsia" w:hint="eastAsia"/>
          <w:color w:val="262626"/>
          <w:sz w:val="24"/>
          <w:szCs w:val="24"/>
        </w:rPr>
      </w:pPr>
      <w:r>
        <w:rPr>
          <w:rFonts w:asciiTheme="minorEastAsia" w:hAnsiTheme="minorEastAsia" w:hint="eastAsia"/>
          <w:sz w:val="24"/>
          <w:szCs w:val="24"/>
        </w:rPr>
        <w:t>基金的投资组合比例为：股票资产占基金资产的</w:t>
      </w:r>
      <w:r>
        <w:rPr>
          <w:rFonts w:asciiTheme="minorEastAsia" w:hAnsiTheme="minorEastAsia"/>
          <w:sz w:val="24"/>
          <w:szCs w:val="24"/>
        </w:rPr>
        <w:t>0%-95%；每个交易日日终在扣除股指期货、国债期货合约需缴纳的保证金以后，本基金保留的</w:t>
      </w:r>
      <w:r>
        <w:rPr>
          <w:rFonts w:asciiTheme="minorEastAsia" w:hAnsiTheme="minorEastAsia" w:hint="eastAsia"/>
          <w:color w:val="262626"/>
          <w:sz w:val="24"/>
          <w:szCs w:val="24"/>
        </w:rPr>
        <w:t>现金或到期日在一年以内的政府债券不低于基金资产净值的</w:t>
      </w:r>
      <w:r>
        <w:rPr>
          <w:rFonts w:asciiTheme="minorEastAsia" w:hAnsiTheme="minorEastAsia"/>
          <w:color w:val="262626"/>
          <w:sz w:val="24"/>
          <w:szCs w:val="24"/>
        </w:rPr>
        <w:t>5%，其中现金不包括结算备付金、存出保证金、应收申购款等；权证投资占基金资产净值的0-3%。</w:t>
      </w:r>
    </w:p>
    <w:p w14:paraId="7F2BF8AA" w14:textId="77777777" w:rsidR="00B51DEA" w:rsidRDefault="00000000">
      <w:pPr>
        <w:pStyle w:val="a8"/>
        <w:tabs>
          <w:tab w:val="left" w:pos="1680"/>
        </w:tabs>
        <w:ind w:firstLineChars="200" w:firstLine="480"/>
        <w:rPr>
          <w:rFonts w:asciiTheme="minorEastAsia" w:eastAsiaTheme="minorEastAsia" w:hAnsiTheme="minorEastAsia" w:hint="eastAsia"/>
          <w:sz w:val="24"/>
          <w:szCs w:val="24"/>
        </w:rPr>
      </w:pPr>
      <w:r>
        <w:rPr>
          <w:rFonts w:asciiTheme="minorEastAsia" w:eastAsiaTheme="minorEastAsia" w:hAnsiTheme="minorEastAsia" w:hint="eastAsia"/>
          <w:sz w:val="24"/>
          <w:szCs w:val="24"/>
        </w:rPr>
        <w:t>基金管理人在进行股票期权等投资前，务必与基金托管人就交收结算、核算估值等业务规则和流程进行沟通确定，在系统测试通过后才可投资，否则，由此产生的风险由基金管理人承担。</w:t>
      </w:r>
    </w:p>
    <w:p w14:paraId="54EF7F74" w14:textId="77777777" w:rsidR="00B51DEA" w:rsidRDefault="00000000">
      <w:pPr>
        <w:pStyle w:val="a8"/>
        <w:tabs>
          <w:tab w:val="left" w:pos="1680"/>
        </w:tabs>
        <w:ind w:firstLineChars="200" w:firstLine="480"/>
        <w:rPr>
          <w:rFonts w:asciiTheme="minorEastAsia" w:eastAsiaTheme="minorEastAsia" w:hAnsiTheme="minorEastAsia" w:hint="eastAsia"/>
          <w:bCs/>
          <w:sz w:val="24"/>
          <w:szCs w:val="24"/>
        </w:rPr>
      </w:pPr>
      <w:r>
        <w:rPr>
          <w:rFonts w:asciiTheme="minorEastAsia" w:eastAsiaTheme="minorEastAsia" w:hAnsiTheme="minorEastAsia" w:hint="eastAsia"/>
          <w:bCs/>
          <w:sz w:val="24"/>
          <w:szCs w:val="24"/>
        </w:rPr>
        <w:t>如果法律法规或中国证监会变更投资品种的投资比例限制，基金管理人在履行适当程序后，可以调整上述投资品种的投资比例。</w:t>
      </w:r>
    </w:p>
    <w:p w14:paraId="02F95BFD" w14:textId="77777777" w:rsidR="00B51DEA" w:rsidRDefault="00000000">
      <w:pPr>
        <w:pStyle w:val="a8"/>
        <w:tabs>
          <w:tab w:val="left" w:pos="1680"/>
        </w:tabs>
        <w:ind w:firstLineChars="200" w:firstLine="480"/>
        <w:rPr>
          <w:rFonts w:asciiTheme="minorEastAsia" w:eastAsiaTheme="minorEastAsia" w:hAnsiTheme="minorEastAsia" w:hint="eastAsia"/>
          <w:sz w:val="24"/>
          <w:szCs w:val="24"/>
        </w:rPr>
      </w:pPr>
      <w:r>
        <w:rPr>
          <w:rFonts w:asciiTheme="minorEastAsia" w:eastAsiaTheme="minorEastAsia" w:hAnsiTheme="minorEastAsia" w:hint="eastAsia"/>
          <w:sz w:val="24"/>
          <w:szCs w:val="24"/>
        </w:rPr>
        <w:t>（二）基金托管人根据有关法律法规的规定及基金合同的约定，对基金投资、融资比例进行监督。基金托管人按下述比例和调整期限进行监督：</w:t>
      </w:r>
    </w:p>
    <w:p w14:paraId="334A9A08" w14:textId="77777777" w:rsidR="00B51DEA" w:rsidRDefault="00000000">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（1）股票投资占基金资产的比例为</w:t>
      </w:r>
      <w:r>
        <w:rPr>
          <w:rFonts w:asciiTheme="minorEastAsia" w:hAnsiTheme="minorEastAsia"/>
          <w:bCs/>
          <w:sz w:val="24"/>
        </w:rPr>
        <w:t>0%</w:t>
      </w:r>
      <w:r>
        <w:rPr>
          <w:rFonts w:asciiTheme="minorEastAsia" w:hAnsiTheme="minorEastAsia" w:hint="eastAsia"/>
          <w:bCs/>
          <w:sz w:val="24"/>
        </w:rPr>
        <w:t>–</w:t>
      </w:r>
      <w:r>
        <w:rPr>
          <w:rFonts w:asciiTheme="minorEastAsia" w:hAnsiTheme="minorEastAsia"/>
          <w:bCs/>
          <w:sz w:val="24"/>
        </w:rPr>
        <w:t>95%</w:t>
      </w:r>
      <w:r>
        <w:rPr>
          <w:rFonts w:asciiTheme="minorEastAsia" w:hAnsiTheme="minorEastAsia" w:hint="eastAsia"/>
          <w:bCs/>
          <w:sz w:val="24"/>
        </w:rPr>
        <w:t>；</w:t>
      </w:r>
    </w:p>
    <w:p w14:paraId="5003E353" w14:textId="77777777" w:rsidR="00B51DEA" w:rsidRDefault="00000000">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lastRenderedPageBreak/>
        <w:t>（</w:t>
      </w:r>
      <w:r>
        <w:rPr>
          <w:rFonts w:asciiTheme="minorEastAsia" w:hAnsiTheme="minorEastAsia"/>
          <w:bCs/>
          <w:sz w:val="24"/>
        </w:rPr>
        <w:t>2</w:t>
      </w:r>
      <w:r>
        <w:rPr>
          <w:rFonts w:asciiTheme="minorEastAsia" w:hAnsiTheme="minorEastAsia" w:hint="eastAsia"/>
          <w:bCs/>
          <w:sz w:val="24"/>
        </w:rPr>
        <w:t>）每个交易日日终在扣除股指期货、国债期货合约需缴纳的交易保证金后，保持不低于基金资产净值5％的现金或者到期日在一年以内的政府债券，其中现金不包括结算备付金、存出保证金、应收申购款等；</w:t>
      </w:r>
    </w:p>
    <w:p w14:paraId="4034BD65" w14:textId="77777777" w:rsidR="00B51DEA" w:rsidRDefault="00000000">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3</w:t>
      </w:r>
      <w:r>
        <w:rPr>
          <w:rFonts w:asciiTheme="minorEastAsia" w:hAnsiTheme="minorEastAsia" w:hint="eastAsia"/>
          <w:bCs/>
          <w:sz w:val="24"/>
        </w:rPr>
        <w:t>）</w:t>
      </w:r>
      <w:r>
        <w:rPr>
          <w:rStyle w:val="fontstyle01"/>
          <w:rFonts w:asciiTheme="minorEastAsia" w:eastAsiaTheme="minorEastAsia" w:hAnsiTheme="minorEastAsia" w:hint="default"/>
        </w:rPr>
        <w:t>本基金持有一家公司发行的证券</w:t>
      </w:r>
      <w:r>
        <w:rPr>
          <w:rFonts w:asciiTheme="minorEastAsia" w:hAnsiTheme="minorEastAsia" w:hint="eastAsia"/>
          <w:bCs/>
          <w:sz w:val="24"/>
        </w:rPr>
        <w:t>，其市值不超过基金资产净值的</w:t>
      </w:r>
      <w:r>
        <w:rPr>
          <w:rFonts w:asciiTheme="minorEastAsia" w:hAnsiTheme="minorEastAsia"/>
          <w:bCs/>
          <w:sz w:val="24"/>
        </w:rPr>
        <w:t>10</w:t>
      </w:r>
      <w:r>
        <w:rPr>
          <w:rFonts w:asciiTheme="minorEastAsia" w:hAnsiTheme="minorEastAsia" w:hint="eastAsia"/>
          <w:bCs/>
          <w:sz w:val="24"/>
        </w:rPr>
        <w:t>％；</w:t>
      </w:r>
    </w:p>
    <w:p w14:paraId="4252A827" w14:textId="77777777" w:rsidR="00B51DEA" w:rsidRDefault="00000000">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4</w:t>
      </w:r>
      <w:r>
        <w:rPr>
          <w:rFonts w:asciiTheme="minorEastAsia" w:hAnsiTheme="minorEastAsia" w:hint="eastAsia"/>
          <w:bCs/>
          <w:sz w:val="24"/>
        </w:rPr>
        <w:t>）本基金管理人管理的全部基金持有一家公司发行的证券，不超过该证券的</w:t>
      </w:r>
      <w:r>
        <w:rPr>
          <w:rFonts w:asciiTheme="minorEastAsia" w:hAnsiTheme="minorEastAsia"/>
          <w:bCs/>
          <w:sz w:val="24"/>
        </w:rPr>
        <w:t>10</w:t>
      </w:r>
      <w:r>
        <w:rPr>
          <w:rFonts w:asciiTheme="minorEastAsia" w:hAnsiTheme="minorEastAsia" w:hint="eastAsia"/>
          <w:bCs/>
          <w:sz w:val="24"/>
        </w:rPr>
        <w:t>％；</w:t>
      </w:r>
    </w:p>
    <w:p w14:paraId="7809BF8C" w14:textId="77777777" w:rsidR="00B51DEA" w:rsidRDefault="00000000">
      <w:pPr>
        <w:pStyle w:val="aff"/>
        <w:numPr>
          <w:ilvl w:val="0"/>
          <w:numId w:val="5"/>
        </w:numPr>
        <w:spacing w:line="360" w:lineRule="auto"/>
        <w:ind w:firstLineChars="0"/>
        <w:rPr>
          <w:rFonts w:asciiTheme="minorEastAsia" w:hAnsiTheme="minorEastAsia" w:hint="eastAsia"/>
          <w:bCs/>
          <w:sz w:val="24"/>
        </w:rPr>
      </w:pPr>
      <w:r>
        <w:rPr>
          <w:rFonts w:asciiTheme="minorEastAsia" w:hAnsiTheme="minorEastAsia" w:hint="eastAsia"/>
          <w:bCs/>
          <w:sz w:val="24"/>
        </w:rPr>
        <w:t>本基金持有的全部权证，其市值不得超过基金资产净值的</w:t>
      </w:r>
      <w:r>
        <w:rPr>
          <w:rFonts w:asciiTheme="minorEastAsia" w:hAnsiTheme="minorEastAsia"/>
          <w:bCs/>
          <w:sz w:val="24"/>
        </w:rPr>
        <w:t>3</w:t>
      </w:r>
      <w:r>
        <w:rPr>
          <w:rFonts w:asciiTheme="minorEastAsia" w:hAnsiTheme="minorEastAsia" w:hint="eastAsia"/>
          <w:bCs/>
          <w:sz w:val="24"/>
        </w:rPr>
        <w:t>％；</w:t>
      </w:r>
    </w:p>
    <w:p w14:paraId="290666D4" w14:textId="77777777" w:rsidR="00B51DEA" w:rsidRDefault="00000000">
      <w:pPr>
        <w:pStyle w:val="aff"/>
        <w:spacing w:line="360" w:lineRule="auto"/>
        <w:ind w:left="120" w:firstLineChars="150" w:firstLine="360"/>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6</w:t>
      </w:r>
      <w:r>
        <w:rPr>
          <w:rFonts w:asciiTheme="minorEastAsia" w:hAnsiTheme="minorEastAsia" w:hint="eastAsia"/>
          <w:bCs/>
          <w:sz w:val="24"/>
        </w:rPr>
        <w:t>）本基金管理人管理的全部基金持有的同一权证，不得超过该权证的</w:t>
      </w:r>
      <w:r>
        <w:rPr>
          <w:rFonts w:asciiTheme="minorEastAsia" w:hAnsiTheme="minorEastAsia"/>
          <w:bCs/>
          <w:sz w:val="24"/>
        </w:rPr>
        <w:t xml:space="preserve">   10</w:t>
      </w:r>
      <w:r>
        <w:rPr>
          <w:rFonts w:asciiTheme="minorEastAsia" w:hAnsiTheme="minorEastAsia" w:hint="eastAsia"/>
          <w:bCs/>
          <w:sz w:val="24"/>
        </w:rPr>
        <w:t>％；</w:t>
      </w:r>
    </w:p>
    <w:p w14:paraId="75A3AE5A" w14:textId="77777777" w:rsidR="00B51DEA" w:rsidRDefault="00000000">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7</w:t>
      </w:r>
      <w:r>
        <w:rPr>
          <w:rFonts w:asciiTheme="minorEastAsia" w:hAnsiTheme="minorEastAsia" w:hint="eastAsia"/>
          <w:bCs/>
          <w:sz w:val="24"/>
        </w:rPr>
        <w:t>）本基金在任何交易日买入权证的总金额，不得超过上一交易日基金资产净值的</w:t>
      </w:r>
      <w:r>
        <w:rPr>
          <w:rFonts w:asciiTheme="minorEastAsia" w:hAnsiTheme="minorEastAsia"/>
          <w:bCs/>
          <w:sz w:val="24"/>
        </w:rPr>
        <w:t>0.5</w:t>
      </w:r>
      <w:r>
        <w:rPr>
          <w:rFonts w:asciiTheme="minorEastAsia" w:hAnsiTheme="minorEastAsia" w:hint="eastAsia"/>
          <w:bCs/>
          <w:sz w:val="24"/>
        </w:rPr>
        <w:t>％；</w:t>
      </w:r>
    </w:p>
    <w:p w14:paraId="23649CA5" w14:textId="77777777" w:rsidR="00B51DEA" w:rsidRDefault="00000000">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8</w:t>
      </w:r>
      <w:r>
        <w:rPr>
          <w:rFonts w:asciiTheme="minorEastAsia" w:hAnsiTheme="minorEastAsia" w:hint="eastAsia"/>
          <w:bCs/>
          <w:sz w:val="24"/>
        </w:rPr>
        <w:t>）本基金投资于同一原始权益人的各类资产支持证券的比例，不得超过基金资产净值的</w:t>
      </w:r>
      <w:r>
        <w:rPr>
          <w:rFonts w:asciiTheme="minorEastAsia" w:hAnsiTheme="minorEastAsia"/>
          <w:bCs/>
          <w:sz w:val="24"/>
        </w:rPr>
        <w:t>10</w:t>
      </w:r>
      <w:r>
        <w:rPr>
          <w:rFonts w:asciiTheme="minorEastAsia" w:hAnsiTheme="minorEastAsia" w:hint="eastAsia"/>
          <w:bCs/>
          <w:sz w:val="24"/>
        </w:rPr>
        <w:t>％；</w:t>
      </w:r>
    </w:p>
    <w:p w14:paraId="65DA39C9" w14:textId="77777777" w:rsidR="00B51DEA" w:rsidRDefault="00000000">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9</w:t>
      </w:r>
      <w:r>
        <w:rPr>
          <w:rFonts w:asciiTheme="minorEastAsia" w:hAnsiTheme="minorEastAsia" w:hint="eastAsia"/>
          <w:bCs/>
          <w:sz w:val="24"/>
        </w:rPr>
        <w:t>）本基金持有的全部资产支持证券，其市值不得超过基金资产净值的</w:t>
      </w:r>
      <w:r>
        <w:rPr>
          <w:rFonts w:asciiTheme="minorEastAsia" w:hAnsiTheme="minorEastAsia"/>
          <w:bCs/>
          <w:sz w:val="24"/>
        </w:rPr>
        <w:t>20</w:t>
      </w:r>
      <w:r>
        <w:rPr>
          <w:rFonts w:asciiTheme="minorEastAsia" w:hAnsiTheme="minorEastAsia" w:hint="eastAsia"/>
          <w:bCs/>
          <w:sz w:val="24"/>
        </w:rPr>
        <w:t>％，中国证监会规定的特殊品种除外；</w:t>
      </w:r>
    </w:p>
    <w:p w14:paraId="7FE7B7AC" w14:textId="77777777" w:rsidR="00B51DEA" w:rsidRDefault="00000000">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10</w:t>
      </w:r>
      <w:r>
        <w:rPr>
          <w:rFonts w:asciiTheme="minorEastAsia" w:hAnsiTheme="minorEastAsia" w:hint="eastAsia"/>
          <w:bCs/>
          <w:sz w:val="24"/>
        </w:rPr>
        <w:t>）本基金持有的同一</w:t>
      </w:r>
      <w:r>
        <w:rPr>
          <w:rFonts w:asciiTheme="minorEastAsia" w:hAnsiTheme="minorEastAsia"/>
          <w:bCs/>
          <w:sz w:val="24"/>
        </w:rPr>
        <w:t>(</w:t>
      </w:r>
      <w:r>
        <w:rPr>
          <w:rFonts w:asciiTheme="minorEastAsia" w:hAnsiTheme="minorEastAsia" w:hint="eastAsia"/>
          <w:bCs/>
          <w:sz w:val="24"/>
        </w:rPr>
        <w:t>指同一信用级别</w:t>
      </w:r>
      <w:r>
        <w:rPr>
          <w:rFonts w:asciiTheme="minorEastAsia" w:hAnsiTheme="minorEastAsia"/>
          <w:bCs/>
          <w:sz w:val="24"/>
        </w:rPr>
        <w:t>)</w:t>
      </w:r>
      <w:r>
        <w:rPr>
          <w:rFonts w:asciiTheme="minorEastAsia" w:hAnsiTheme="minorEastAsia" w:hint="eastAsia"/>
          <w:bCs/>
          <w:sz w:val="24"/>
        </w:rPr>
        <w:t>资产支持证券的比例，不得超过该资产支持证券规模的</w:t>
      </w:r>
      <w:r>
        <w:rPr>
          <w:rFonts w:asciiTheme="minorEastAsia" w:hAnsiTheme="minorEastAsia"/>
          <w:bCs/>
          <w:sz w:val="24"/>
        </w:rPr>
        <w:t>10</w:t>
      </w:r>
      <w:r>
        <w:rPr>
          <w:rFonts w:asciiTheme="minorEastAsia" w:hAnsiTheme="minorEastAsia" w:hint="eastAsia"/>
          <w:bCs/>
          <w:sz w:val="24"/>
        </w:rPr>
        <w:t>％；</w:t>
      </w:r>
    </w:p>
    <w:p w14:paraId="777E31A6" w14:textId="77777777" w:rsidR="00B51DEA" w:rsidRDefault="00000000">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11</w:t>
      </w:r>
      <w:r>
        <w:rPr>
          <w:rFonts w:asciiTheme="minorEastAsia" w:hAnsiTheme="minorEastAsia" w:hint="eastAsia"/>
          <w:bCs/>
          <w:sz w:val="24"/>
        </w:rPr>
        <w:t>）本基金管理人管理的全部基金投资于同一原始权益人的各类资产支持证券，不得超过其各类资产支持证券合计规模的</w:t>
      </w:r>
      <w:r>
        <w:rPr>
          <w:rFonts w:asciiTheme="minorEastAsia" w:hAnsiTheme="minorEastAsia"/>
          <w:bCs/>
          <w:sz w:val="24"/>
        </w:rPr>
        <w:t>10</w:t>
      </w:r>
      <w:r>
        <w:rPr>
          <w:rFonts w:asciiTheme="minorEastAsia" w:hAnsiTheme="minorEastAsia" w:hint="eastAsia"/>
          <w:bCs/>
          <w:sz w:val="24"/>
        </w:rPr>
        <w:t>％；</w:t>
      </w:r>
    </w:p>
    <w:p w14:paraId="3F43AA5C" w14:textId="77777777" w:rsidR="00B51DEA" w:rsidRDefault="00000000">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12</w:t>
      </w:r>
      <w:r>
        <w:rPr>
          <w:rFonts w:asciiTheme="minorEastAsia" w:hAnsiTheme="minorEastAsia" w:hint="eastAsia"/>
          <w:bCs/>
          <w:sz w:val="24"/>
        </w:rPr>
        <w:t>）本基金应投资于信用级别评级为</w:t>
      </w:r>
      <w:r>
        <w:rPr>
          <w:rFonts w:asciiTheme="minorEastAsia" w:hAnsiTheme="minorEastAsia"/>
          <w:bCs/>
          <w:sz w:val="24"/>
        </w:rPr>
        <w:t>BBB</w:t>
      </w:r>
      <w:r>
        <w:rPr>
          <w:rFonts w:asciiTheme="minorEastAsia" w:hAnsiTheme="minorEastAsia" w:hint="eastAsia"/>
          <w:bCs/>
          <w:sz w:val="24"/>
        </w:rPr>
        <w:t>以上</w:t>
      </w:r>
      <w:r>
        <w:rPr>
          <w:rFonts w:asciiTheme="minorEastAsia" w:hAnsiTheme="minorEastAsia"/>
          <w:bCs/>
          <w:sz w:val="24"/>
        </w:rPr>
        <w:t>(</w:t>
      </w:r>
      <w:r>
        <w:rPr>
          <w:rFonts w:asciiTheme="minorEastAsia" w:hAnsiTheme="minorEastAsia" w:hint="eastAsia"/>
          <w:bCs/>
          <w:sz w:val="24"/>
        </w:rPr>
        <w:t>含</w:t>
      </w:r>
      <w:r>
        <w:rPr>
          <w:rFonts w:asciiTheme="minorEastAsia" w:hAnsiTheme="minorEastAsia"/>
          <w:bCs/>
          <w:sz w:val="24"/>
        </w:rPr>
        <w:t>BBB)</w:t>
      </w:r>
      <w:r>
        <w:rPr>
          <w:rFonts w:asciiTheme="minorEastAsia" w:hAnsiTheme="minorEastAsia" w:hint="eastAsia"/>
          <w:bCs/>
          <w:sz w:val="24"/>
        </w:rPr>
        <w:t>的资产支持证券。基金持有资产支持证券期间，如果其信用等级下降、不再符合投资标准，应在评级报告发布之日起</w:t>
      </w:r>
      <w:r>
        <w:rPr>
          <w:rFonts w:asciiTheme="minorEastAsia" w:hAnsiTheme="minorEastAsia"/>
          <w:bCs/>
          <w:sz w:val="24"/>
        </w:rPr>
        <w:t>3</w:t>
      </w:r>
      <w:r>
        <w:rPr>
          <w:rFonts w:asciiTheme="minorEastAsia" w:hAnsiTheme="minorEastAsia" w:hint="eastAsia"/>
          <w:bCs/>
          <w:sz w:val="24"/>
        </w:rPr>
        <w:t>个月内予以全部卖出；</w:t>
      </w:r>
    </w:p>
    <w:p w14:paraId="21EB6B68" w14:textId="77777777" w:rsidR="00B51DEA" w:rsidRDefault="00000000">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13</w:t>
      </w:r>
      <w:r>
        <w:rPr>
          <w:rFonts w:asciiTheme="minorEastAsia" w:hAnsiTheme="minorEastAsia" w:hint="eastAsia"/>
          <w:bCs/>
          <w:sz w:val="24"/>
        </w:rPr>
        <w:t>）基金财产参与股票发行申购，本基金所申报的金额不超过本基金的总资产，本基金所申报的股票数量不超过拟发行股票公司本次发行股票的总量；</w:t>
      </w:r>
    </w:p>
    <w:p w14:paraId="5F844268" w14:textId="77777777" w:rsidR="00B51DEA" w:rsidRDefault="00000000">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14</w:t>
      </w:r>
      <w:r>
        <w:rPr>
          <w:rFonts w:asciiTheme="minorEastAsia" w:hAnsiTheme="minorEastAsia" w:hint="eastAsia"/>
          <w:bCs/>
          <w:sz w:val="24"/>
        </w:rPr>
        <w:t>）本基金进入全国银行间同业市场进行债券回购的资金余额不得超过基金资产净值的</w:t>
      </w:r>
      <w:r>
        <w:rPr>
          <w:rFonts w:asciiTheme="minorEastAsia" w:hAnsiTheme="minorEastAsia"/>
          <w:bCs/>
          <w:sz w:val="24"/>
        </w:rPr>
        <w:t>40%</w:t>
      </w:r>
      <w:r>
        <w:rPr>
          <w:rFonts w:asciiTheme="minorEastAsia" w:hAnsiTheme="minorEastAsia" w:hint="eastAsia"/>
          <w:bCs/>
          <w:sz w:val="24"/>
        </w:rPr>
        <w:t>，在全国银行间同业市场的债券回购最长期限为</w:t>
      </w:r>
      <w:r>
        <w:rPr>
          <w:rFonts w:asciiTheme="minorEastAsia" w:hAnsiTheme="minorEastAsia"/>
          <w:bCs/>
          <w:sz w:val="24"/>
        </w:rPr>
        <w:t>1</w:t>
      </w:r>
      <w:r>
        <w:rPr>
          <w:rFonts w:asciiTheme="minorEastAsia" w:hAnsiTheme="minorEastAsia" w:hint="eastAsia"/>
          <w:bCs/>
          <w:sz w:val="24"/>
        </w:rPr>
        <w:t>年，债券回购到期后不得展期；</w:t>
      </w:r>
    </w:p>
    <w:p w14:paraId="6FF47083" w14:textId="77777777" w:rsidR="00B51DEA" w:rsidRDefault="00000000">
      <w:pPr>
        <w:pStyle w:val="aff"/>
        <w:numPr>
          <w:ilvl w:val="0"/>
          <w:numId w:val="6"/>
        </w:numPr>
        <w:spacing w:line="360" w:lineRule="auto"/>
        <w:ind w:firstLineChars="0"/>
        <w:rPr>
          <w:rFonts w:asciiTheme="minorEastAsia" w:hAnsiTheme="minorEastAsia" w:hint="eastAsia"/>
          <w:bCs/>
          <w:sz w:val="24"/>
        </w:rPr>
      </w:pPr>
      <w:r>
        <w:rPr>
          <w:rFonts w:asciiTheme="minorEastAsia" w:hAnsiTheme="minorEastAsia" w:hint="eastAsia"/>
          <w:bCs/>
          <w:sz w:val="24"/>
        </w:rPr>
        <w:t>本基金总资产不得超过基金净资产的</w:t>
      </w:r>
      <w:r>
        <w:rPr>
          <w:rFonts w:asciiTheme="minorEastAsia" w:hAnsiTheme="minorEastAsia"/>
          <w:bCs/>
          <w:sz w:val="24"/>
        </w:rPr>
        <w:t xml:space="preserve"> 140%</w:t>
      </w:r>
      <w:r>
        <w:rPr>
          <w:rFonts w:asciiTheme="minorEastAsia" w:hAnsiTheme="minorEastAsia" w:hint="eastAsia"/>
          <w:bCs/>
          <w:sz w:val="24"/>
        </w:rPr>
        <w:t>；</w:t>
      </w:r>
    </w:p>
    <w:p w14:paraId="0F8D3E8A" w14:textId="77777777" w:rsidR="00B51DEA" w:rsidRDefault="00000000">
      <w:pPr>
        <w:pStyle w:val="aff"/>
        <w:numPr>
          <w:ilvl w:val="0"/>
          <w:numId w:val="6"/>
        </w:numPr>
        <w:spacing w:line="360" w:lineRule="auto"/>
        <w:ind w:firstLineChars="0"/>
        <w:rPr>
          <w:rFonts w:asciiTheme="minorEastAsia" w:hAnsiTheme="minorEastAsia" w:hint="eastAsia"/>
          <w:bCs/>
          <w:sz w:val="24"/>
        </w:rPr>
      </w:pPr>
      <w:r>
        <w:rPr>
          <w:rFonts w:asciiTheme="minorEastAsia" w:hAnsiTheme="minorEastAsia" w:hint="eastAsia"/>
          <w:bCs/>
          <w:sz w:val="24"/>
        </w:rPr>
        <w:t>本基金投资于中小企业私募债的比例不超过基金资产净值的</w:t>
      </w:r>
      <w:r>
        <w:rPr>
          <w:rFonts w:asciiTheme="minorEastAsia" w:hAnsiTheme="minorEastAsia"/>
          <w:bCs/>
          <w:sz w:val="24"/>
        </w:rPr>
        <w:t>20%</w:t>
      </w:r>
      <w:r>
        <w:rPr>
          <w:rFonts w:asciiTheme="minorEastAsia" w:hAnsiTheme="minorEastAsia" w:hint="eastAsia"/>
          <w:bCs/>
          <w:sz w:val="24"/>
        </w:rPr>
        <w:t>；</w:t>
      </w:r>
    </w:p>
    <w:p w14:paraId="38A4EBCE" w14:textId="77777777" w:rsidR="00B51DEA" w:rsidRDefault="00000000">
      <w:pPr>
        <w:pStyle w:val="aff"/>
        <w:numPr>
          <w:ilvl w:val="0"/>
          <w:numId w:val="6"/>
        </w:numPr>
        <w:autoSpaceDE w:val="0"/>
        <w:autoSpaceDN w:val="0"/>
        <w:spacing w:line="360" w:lineRule="auto"/>
        <w:ind w:firstLineChars="0"/>
        <w:textAlignment w:val="bottom"/>
        <w:rPr>
          <w:rFonts w:asciiTheme="minorEastAsia" w:hAnsiTheme="minorEastAsia" w:hint="eastAsia"/>
          <w:bCs/>
          <w:sz w:val="24"/>
        </w:rPr>
      </w:pPr>
      <w:r>
        <w:rPr>
          <w:rFonts w:asciiTheme="minorEastAsia" w:hAnsiTheme="minorEastAsia" w:hint="eastAsia"/>
          <w:bCs/>
          <w:sz w:val="24"/>
        </w:rPr>
        <w:lastRenderedPageBreak/>
        <w:t>本基金参与股指期货、国债期货交易，需遵守下列规定：</w:t>
      </w:r>
    </w:p>
    <w:p w14:paraId="29F7161A" w14:textId="77777777" w:rsidR="00B51DEA" w:rsidRDefault="00000000">
      <w:pPr>
        <w:spacing w:line="360" w:lineRule="auto"/>
        <w:ind w:firstLineChars="250" w:firstLine="600"/>
        <w:rPr>
          <w:rFonts w:asciiTheme="minorEastAsia" w:hAnsiTheme="minorEastAsia" w:hint="eastAsia"/>
          <w:bCs/>
          <w:sz w:val="24"/>
        </w:rPr>
      </w:pPr>
      <w:r>
        <w:rPr>
          <w:rFonts w:asciiTheme="minorEastAsia" w:hAnsiTheme="minorEastAsia"/>
          <w:bCs/>
          <w:sz w:val="24"/>
        </w:rPr>
        <w:t>1</w:t>
      </w:r>
      <w:r>
        <w:rPr>
          <w:rFonts w:asciiTheme="minorEastAsia" w:hAnsiTheme="minorEastAsia" w:hint="eastAsia"/>
          <w:bCs/>
          <w:sz w:val="24"/>
        </w:rPr>
        <w:t>）本基金在任何交易日日终，持有的买入股指期货合约价值，不得超过基金资产净值的</w:t>
      </w:r>
      <w:r>
        <w:rPr>
          <w:rFonts w:asciiTheme="minorEastAsia" w:hAnsiTheme="minorEastAsia"/>
          <w:bCs/>
          <w:sz w:val="24"/>
        </w:rPr>
        <w:t>10%</w:t>
      </w:r>
      <w:r>
        <w:rPr>
          <w:rFonts w:asciiTheme="minorEastAsia" w:hAnsiTheme="minorEastAsia" w:hint="eastAsia"/>
          <w:bCs/>
          <w:sz w:val="24"/>
        </w:rPr>
        <w:t>；</w:t>
      </w:r>
    </w:p>
    <w:p w14:paraId="0717BC3D" w14:textId="77777777" w:rsidR="00B51DEA" w:rsidRDefault="00000000">
      <w:pPr>
        <w:spacing w:line="360" w:lineRule="auto"/>
        <w:ind w:firstLineChars="250" w:firstLine="600"/>
        <w:rPr>
          <w:rFonts w:asciiTheme="minorEastAsia" w:hAnsiTheme="minorEastAsia" w:hint="eastAsia"/>
          <w:bCs/>
          <w:sz w:val="24"/>
        </w:rPr>
      </w:pPr>
      <w:r>
        <w:rPr>
          <w:rFonts w:asciiTheme="minorEastAsia" w:hAnsiTheme="minorEastAsia"/>
          <w:bCs/>
          <w:sz w:val="24"/>
        </w:rPr>
        <w:t>2</w:t>
      </w:r>
      <w:r>
        <w:rPr>
          <w:rFonts w:asciiTheme="minorEastAsia" w:hAnsiTheme="minorEastAsia" w:hint="eastAsia"/>
          <w:bCs/>
          <w:sz w:val="24"/>
        </w:rPr>
        <w:t>）本基金在任何交易日日终，持有的买入股指期货、国债期货合约价值与有价证券市值之和，不得超过基金资产净值的</w:t>
      </w:r>
      <w:r>
        <w:rPr>
          <w:rFonts w:asciiTheme="minorEastAsia" w:hAnsiTheme="minorEastAsia"/>
          <w:bCs/>
          <w:sz w:val="24"/>
        </w:rPr>
        <w:t>95%</w:t>
      </w:r>
      <w:r>
        <w:rPr>
          <w:rFonts w:asciiTheme="minorEastAsia" w:hAnsiTheme="minorEastAsia" w:hint="eastAsia"/>
          <w:bCs/>
          <w:sz w:val="24"/>
        </w:rPr>
        <w:t>，其中，有价证券指股票、债券（不含到期日在一年以内的政府债券）、权证、资产支持证券、买入返售金融资产（不含质押式回购）等；</w:t>
      </w:r>
    </w:p>
    <w:p w14:paraId="349D2D01" w14:textId="77777777" w:rsidR="00B51DEA" w:rsidRDefault="00000000">
      <w:pPr>
        <w:spacing w:line="360" w:lineRule="auto"/>
        <w:ind w:firstLineChars="250" w:firstLine="600"/>
        <w:rPr>
          <w:rFonts w:asciiTheme="minorEastAsia" w:hAnsiTheme="minorEastAsia" w:hint="eastAsia"/>
          <w:bCs/>
          <w:sz w:val="24"/>
        </w:rPr>
      </w:pPr>
      <w:r>
        <w:rPr>
          <w:rFonts w:asciiTheme="minorEastAsia" w:hAnsiTheme="minorEastAsia"/>
          <w:bCs/>
          <w:sz w:val="24"/>
        </w:rPr>
        <w:t>3</w:t>
      </w:r>
      <w:r>
        <w:rPr>
          <w:rFonts w:asciiTheme="minorEastAsia" w:hAnsiTheme="minorEastAsia" w:hint="eastAsia"/>
          <w:bCs/>
          <w:sz w:val="24"/>
        </w:rPr>
        <w:t>）本基金在任何交易日日终，持有的卖出股指期货合约价值不得超过基金持有的股票总市值的</w:t>
      </w:r>
      <w:r>
        <w:rPr>
          <w:rFonts w:asciiTheme="minorEastAsia" w:hAnsiTheme="minorEastAsia"/>
          <w:bCs/>
          <w:sz w:val="24"/>
        </w:rPr>
        <w:t>20%</w:t>
      </w:r>
      <w:r>
        <w:rPr>
          <w:rFonts w:asciiTheme="minorEastAsia" w:hAnsiTheme="minorEastAsia" w:hint="eastAsia"/>
          <w:bCs/>
          <w:sz w:val="24"/>
        </w:rPr>
        <w:t>；</w:t>
      </w:r>
    </w:p>
    <w:p w14:paraId="0CD445B9" w14:textId="77777777" w:rsidR="00B51DEA" w:rsidRDefault="00000000">
      <w:pPr>
        <w:spacing w:line="360" w:lineRule="auto"/>
        <w:ind w:firstLineChars="250" w:firstLine="600"/>
        <w:rPr>
          <w:rFonts w:asciiTheme="minorEastAsia" w:hAnsiTheme="minorEastAsia" w:hint="eastAsia"/>
          <w:bCs/>
          <w:sz w:val="24"/>
        </w:rPr>
      </w:pPr>
      <w:r>
        <w:rPr>
          <w:rFonts w:asciiTheme="minorEastAsia" w:hAnsiTheme="minorEastAsia"/>
          <w:bCs/>
          <w:sz w:val="24"/>
        </w:rPr>
        <w:t>4</w:t>
      </w:r>
      <w:r>
        <w:rPr>
          <w:rFonts w:asciiTheme="minorEastAsia" w:hAnsiTheme="minorEastAsia" w:hint="eastAsia"/>
          <w:bCs/>
          <w:sz w:val="24"/>
        </w:rPr>
        <w:t>）本基金在任何交易日内交易（不包括平仓）的股指期货合约的成交金额不得超过上一交易日基金资产净值的</w:t>
      </w:r>
      <w:r>
        <w:rPr>
          <w:rFonts w:asciiTheme="minorEastAsia" w:hAnsiTheme="minorEastAsia"/>
          <w:bCs/>
          <w:sz w:val="24"/>
        </w:rPr>
        <w:t>20%</w:t>
      </w:r>
      <w:r>
        <w:rPr>
          <w:rFonts w:asciiTheme="minorEastAsia" w:hAnsiTheme="minorEastAsia" w:hint="eastAsia"/>
          <w:bCs/>
          <w:sz w:val="24"/>
        </w:rPr>
        <w:t>；</w:t>
      </w:r>
    </w:p>
    <w:p w14:paraId="46839330" w14:textId="77777777" w:rsidR="00B51DEA" w:rsidRDefault="00000000">
      <w:pPr>
        <w:spacing w:line="360" w:lineRule="auto"/>
        <w:ind w:firstLineChars="250" w:firstLine="600"/>
        <w:rPr>
          <w:rFonts w:asciiTheme="minorEastAsia" w:hAnsiTheme="minorEastAsia" w:hint="eastAsia"/>
          <w:bCs/>
          <w:sz w:val="24"/>
        </w:rPr>
      </w:pPr>
      <w:r>
        <w:rPr>
          <w:rFonts w:asciiTheme="minorEastAsia" w:hAnsiTheme="minorEastAsia"/>
          <w:bCs/>
          <w:sz w:val="24"/>
        </w:rPr>
        <w:t>5</w:t>
      </w:r>
      <w:r>
        <w:rPr>
          <w:rFonts w:asciiTheme="minorEastAsia" w:hAnsiTheme="minorEastAsia" w:hint="eastAsia"/>
          <w:bCs/>
          <w:sz w:val="24"/>
        </w:rPr>
        <w:t>）本基金所持有的股票市值和买入、卖出股指期货合约价值，合计（轧差计算）应当符合基金合同关于股票投资比例的有关规定；</w:t>
      </w:r>
    </w:p>
    <w:p w14:paraId="40B26F21" w14:textId="77777777" w:rsidR="00B51DEA" w:rsidRDefault="00000000">
      <w:pPr>
        <w:spacing w:line="360" w:lineRule="auto"/>
        <w:ind w:firstLineChars="250" w:firstLine="600"/>
        <w:rPr>
          <w:rFonts w:asciiTheme="minorEastAsia" w:hAnsiTheme="minorEastAsia" w:hint="eastAsia"/>
          <w:bCs/>
          <w:sz w:val="24"/>
        </w:rPr>
      </w:pPr>
      <w:r>
        <w:rPr>
          <w:rFonts w:asciiTheme="minorEastAsia" w:hAnsiTheme="minorEastAsia"/>
          <w:bCs/>
          <w:sz w:val="24"/>
        </w:rPr>
        <w:t>6</w:t>
      </w:r>
      <w:r>
        <w:rPr>
          <w:rFonts w:asciiTheme="minorEastAsia" w:hAnsiTheme="minorEastAsia" w:hint="eastAsia"/>
          <w:bCs/>
          <w:sz w:val="24"/>
        </w:rPr>
        <w:t>）本基金在任何交易日日终，持有的买入国债期货合约价值，不得超过基金资产净值的</w:t>
      </w:r>
      <w:r>
        <w:rPr>
          <w:rFonts w:asciiTheme="minorEastAsia" w:hAnsiTheme="minorEastAsia"/>
          <w:bCs/>
          <w:sz w:val="24"/>
        </w:rPr>
        <w:t>15%</w:t>
      </w:r>
      <w:r>
        <w:rPr>
          <w:rFonts w:asciiTheme="minorEastAsia" w:hAnsiTheme="minorEastAsia" w:hint="eastAsia"/>
          <w:bCs/>
          <w:sz w:val="24"/>
        </w:rPr>
        <w:t>；</w:t>
      </w:r>
    </w:p>
    <w:p w14:paraId="185E24E6" w14:textId="77777777" w:rsidR="00B51DEA" w:rsidRDefault="00000000">
      <w:pPr>
        <w:spacing w:line="360" w:lineRule="auto"/>
        <w:ind w:firstLineChars="250" w:firstLine="600"/>
        <w:rPr>
          <w:rFonts w:asciiTheme="minorEastAsia" w:hAnsiTheme="minorEastAsia" w:hint="eastAsia"/>
          <w:bCs/>
          <w:sz w:val="24"/>
        </w:rPr>
      </w:pPr>
      <w:r>
        <w:rPr>
          <w:rFonts w:asciiTheme="minorEastAsia" w:hAnsiTheme="minorEastAsia"/>
          <w:bCs/>
          <w:sz w:val="24"/>
        </w:rPr>
        <w:t>7</w:t>
      </w:r>
      <w:r>
        <w:rPr>
          <w:rFonts w:asciiTheme="minorEastAsia" w:hAnsiTheme="minorEastAsia" w:hint="eastAsia"/>
          <w:bCs/>
          <w:sz w:val="24"/>
        </w:rPr>
        <w:t>）本基金在任何交易日日终，持有的卖出国债期货合约价值不得超过基金持有的债券总市值的</w:t>
      </w:r>
      <w:r>
        <w:rPr>
          <w:rFonts w:asciiTheme="minorEastAsia" w:hAnsiTheme="minorEastAsia"/>
          <w:bCs/>
          <w:sz w:val="24"/>
        </w:rPr>
        <w:t>30%</w:t>
      </w:r>
      <w:r>
        <w:rPr>
          <w:rFonts w:asciiTheme="minorEastAsia" w:hAnsiTheme="minorEastAsia" w:hint="eastAsia"/>
          <w:bCs/>
          <w:sz w:val="24"/>
        </w:rPr>
        <w:t>；</w:t>
      </w:r>
    </w:p>
    <w:p w14:paraId="6EBA5236" w14:textId="77777777" w:rsidR="00B51DEA" w:rsidRDefault="00000000">
      <w:pPr>
        <w:spacing w:line="360" w:lineRule="auto"/>
        <w:ind w:firstLineChars="250" w:firstLine="600"/>
        <w:rPr>
          <w:rFonts w:asciiTheme="minorEastAsia" w:hAnsiTheme="minorEastAsia" w:hint="eastAsia"/>
          <w:bCs/>
          <w:sz w:val="24"/>
        </w:rPr>
      </w:pPr>
      <w:r>
        <w:rPr>
          <w:rFonts w:asciiTheme="minorEastAsia" w:hAnsiTheme="minorEastAsia"/>
          <w:bCs/>
          <w:sz w:val="24"/>
        </w:rPr>
        <w:t>8</w:t>
      </w:r>
      <w:r>
        <w:rPr>
          <w:rFonts w:asciiTheme="minorEastAsia" w:hAnsiTheme="minorEastAsia" w:hint="eastAsia"/>
          <w:bCs/>
          <w:sz w:val="24"/>
        </w:rPr>
        <w:t>）本基金在任何交易日内交易（不包括平仓）的国债期货合约的成交金额不得超过上一交易日基金资产净值的</w:t>
      </w:r>
      <w:r>
        <w:rPr>
          <w:rFonts w:asciiTheme="minorEastAsia" w:hAnsiTheme="minorEastAsia"/>
          <w:bCs/>
          <w:sz w:val="24"/>
        </w:rPr>
        <w:t>30%</w:t>
      </w:r>
      <w:r>
        <w:rPr>
          <w:rFonts w:asciiTheme="minorEastAsia" w:hAnsiTheme="minorEastAsia" w:hint="eastAsia"/>
          <w:bCs/>
          <w:sz w:val="24"/>
        </w:rPr>
        <w:t>；</w:t>
      </w:r>
    </w:p>
    <w:p w14:paraId="7CF0C678" w14:textId="77777777" w:rsidR="00B51DEA" w:rsidRDefault="00000000">
      <w:pPr>
        <w:pStyle w:val="aff"/>
        <w:numPr>
          <w:ilvl w:val="0"/>
          <w:numId w:val="6"/>
        </w:numPr>
        <w:spacing w:line="360" w:lineRule="auto"/>
        <w:ind w:firstLineChars="0"/>
        <w:rPr>
          <w:rFonts w:asciiTheme="minorEastAsia" w:hAnsiTheme="minorEastAsia" w:hint="eastAsia"/>
          <w:sz w:val="24"/>
        </w:rPr>
      </w:pPr>
      <w:r>
        <w:rPr>
          <w:rFonts w:asciiTheme="minorEastAsia" w:hAnsiTheme="minorEastAsia" w:hint="eastAsia"/>
          <w:sz w:val="24"/>
        </w:rPr>
        <w:t>本基金参与股票期权交易，需遵守下列投资比例限制：</w:t>
      </w:r>
    </w:p>
    <w:p w14:paraId="3BFAD651" w14:textId="77777777" w:rsidR="00B51DEA" w:rsidRDefault="00000000">
      <w:pPr>
        <w:spacing w:line="360" w:lineRule="auto"/>
        <w:ind w:firstLineChars="250" w:firstLine="600"/>
        <w:rPr>
          <w:rFonts w:asciiTheme="minorEastAsia" w:hAnsiTheme="minorEastAsia" w:hint="eastAsia"/>
          <w:sz w:val="24"/>
        </w:rPr>
      </w:pPr>
      <w:r>
        <w:rPr>
          <w:rFonts w:asciiTheme="minorEastAsia" w:hAnsiTheme="minorEastAsia"/>
          <w:sz w:val="24"/>
        </w:rPr>
        <w:t>1</w:t>
      </w:r>
      <w:r>
        <w:rPr>
          <w:rFonts w:asciiTheme="minorEastAsia" w:hAnsiTheme="minorEastAsia" w:hint="eastAsia"/>
          <w:sz w:val="24"/>
        </w:rPr>
        <w:t>）本基金因未平仓的期权合约支付和收取的权利金总额不得超过基金资产净值的</w:t>
      </w:r>
      <w:r>
        <w:rPr>
          <w:rFonts w:asciiTheme="minorEastAsia" w:hAnsiTheme="minorEastAsia"/>
          <w:sz w:val="24"/>
        </w:rPr>
        <w:t>10%</w:t>
      </w:r>
      <w:r>
        <w:rPr>
          <w:rFonts w:asciiTheme="minorEastAsia" w:hAnsiTheme="minorEastAsia" w:hint="eastAsia"/>
          <w:sz w:val="24"/>
        </w:rPr>
        <w:t>；</w:t>
      </w:r>
    </w:p>
    <w:p w14:paraId="20FCAA7C" w14:textId="77777777" w:rsidR="00B51DEA" w:rsidRDefault="00000000">
      <w:pPr>
        <w:spacing w:line="360" w:lineRule="auto"/>
        <w:ind w:firstLineChars="250" w:firstLine="600"/>
        <w:rPr>
          <w:rFonts w:asciiTheme="minorEastAsia" w:hAnsiTheme="minorEastAsia" w:hint="eastAsia"/>
          <w:sz w:val="24"/>
        </w:rPr>
      </w:pPr>
      <w:r>
        <w:rPr>
          <w:rFonts w:asciiTheme="minorEastAsia" w:hAnsiTheme="minorEastAsia"/>
          <w:sz w:val="24"/>
        </w:rPr>
        <w:t>2</w:t>
      </w:r>
      <w:r>
        <w:rPr>
          <w:rFonts w:asciiTheme="minorEastAsia" w:hAnsiTheme="minorEastAsia" w:hint="eastAsia"/>
          <w:sz w:val="24"/>
        </w:rPr>
        <w:t>）本基金开仓卖出认购期权的，应持有足额标的证券；开仓卖出认沽期权的，应持有合约行权所需的全额现金或交易所规则认可的可冲抵期权保证金的现金等价物；</w:t>
      </w:r>
    </w:p>
    <w:p w14:paraId="18250E59" w14:textId="77777777" w:rsidR="00B51DEA" w:rsidRDefault="00000000">
      <w:pPr>
        <w:spacing w:line="360" w:lineRule="auto"/>
        <w:ind w:firstLineChars="250" w:firstLine="600"/>
        <w:rPr>
          <w:rFonts w:asciiTheme="minorEastAsia" w:hAnsiTheme="minorEastAsia" w:hint="eastAsia"/>
          <w:sz w:val="24"/>
        </w:rPr>
      </w:pPr>
      <w:r>
        <w:rPr>
          <w:rFonts w:asciiTheme="minorEastAsia" w:hAnsiTheme="minorEastAsia"/>
          <w:sz w:val="24"/>
        </w:rPr>
        <w:t>3</w:t>
      </w:r>
      <w:r>
        <w:rPr>
          <w:rFonts w:asciiTheme="minorEastAsia" w:hAnsiTheme="minorEastAsia" w:hint="eastAsia"/>
          <w:sz w:val="24"/>
        </w:rPr>
        <w:t>）本基金未平仓的期权合约面值不得超过基金资产净值的</w:t>
      </w:r>
      <w:r>
        <w:rPr>
          <w:rFonts w:asciiTheme="minorEastAsia" w:hAnsiTheme="minorEastAsia"/>
          <w:sz w:val="24"/>
        </w:rPr>
        <w:t>20%</w:t>
      </w:r>
      <w:r>
        <w:rPr>
          <w:rFonts w:asciiTheme="minorEastAsia" w:hAnsiTheme="minorEastAsia" w:hint="eastAsia"/>
          <w:sz w:val="24"/>
        </w:rPr>
        <w:t>。其中，合约面值按照行权价乘以合约乘数计算；</w:t>
      </w:r>
    </w:p>
    <w:p w14:paraId="60A421C1" w14:textId="77777777" w:rsidR="00B51DEA" w:rsidRDefault="00000000">
      <w:pPr>
        <w:spacing w:line="360" w:lineRule="auto"/>
        <w:ind w:firstLineChars="200" w:firstLine="480"/>
        <w:rPr>
          <w:rFonts w:asciiTheme="minorEastAsia" w:hAnsiTheme="minorEastAsia" w:hint="eastAsia"/>
          <w:sz w:val="24"/>
        </w:rPr>
      </w:pPr>
      <w:r>
        <w:rPr>
          <w:rFonts w:asciiTheme="minorEastAsia" w:hAnsiTheme="minorEastAsia" w:hint="eastAsia"/>
          <w:sz w:val="24"/>
        </w:rPr>
        <w:t>（19）本基金管理人管理的全部开放式基金持有一家上市公司发行的可流通股票，不得超过该上市公司可流通股票的15%；本基金管理人管理的全部投资组</w:t>
      </w:r>
      <w:r>
        <w:rPr>
          <w:rFonts w:asciiTheme="minorEastAsia" w:hAnsiTheme="minorEastAsia" w:hint="eastAsia"/>
          <w:sz w:val="24"/>
        </w:rPr>
        <w:lastRenderedPageBreak/>
        <w:t>合持有一家上市公司发行的可流通股票，不得超过该上市公司可流通股票的</w:t>
      </w:r>
      <w:r>
        <w:rPr>
          <w:rFonts w:asciiTheme="minorEastAsia" w:hAnsiTheme="minorEastAsia"/>
          <w:sz w:val="24"/>
        </w:rPr>
        <w:t>30 %</w:t>
      </w:r>
      <w:r>
        <w:rPr>
          <w:rFonts w:asciiTheme="minorEastAsia" w:hAnsiTheme="minorEastAsia" w:hint="eastAsia"/>
          <w:sz w:val="24"/>
        </w:rPr>
        <w:t>；</w:t>
      </w:r>
    </w:p>
    <w:p w14:paraId="13AFD683" w14:textId="77777777" w:rsidR="00B51DEA" w:rsidRDefault="00000000">
      <w:pPr>
        <w:spacing w:line="360" w:lineRule="auto"/>
        <w:ind w:firstLineChars="200" w:firstLine="480"/>
        <w:rPr>
          <w:rFonts w:asciiTheme="minorEastAsia" w:hAnsiTheme="minorEastAsia" w:hint="eastAsia"/>
          <w:sz w:val="24"/>
        </w:rPr>
      </w:pPr>
      <w:r>
        <w:rPr>
          <w:rFonts w:asciiTheme="minorEastAsia" w:hAnsiTheme="minorEastAsia" w:hint="eastAsia"/>
          <w:sz w:val="24"/>
        </w:rPr>
        <w:t>（20）本基金主动投资于流动性受限资产的市值合计不得超过该基金资产净值的15%；</w:t>
      </w:r>
    </w:p>
    <w:p w14:paraId="5BC51A8F" w14:textId="77777777" w:rsidR="00B51DEA" w:rsidRDefault="00000000">
      <w:pPr>
        <w:spacing w:line="360" w:lineRule="auto"/>
        <w:ind w:firstLineChars="200" w:firstLine="480"/>
        <w:rPr>
          <w:rFonts w:asciiTheme="minorEastAsia" w:hAnsiTheme="minorEastAsia" w:hint="eastAsia"/>
          <w:sz w:val="24"/>
        </w:rPr>
      </w:pPr>
      <w:r>
        <w:rPr>
          <w:rFonts w:asciiTheme="minorEastAsia" w:hAnsiTheme="minorEastAsia" w:hint="eastAsia"/>
          <w:sz w:val="24"/>
        </w:rPr>
        <w:t>因证券市场波动、上市公司股票停牌、基金规模变动等基金管理人之外的因素致使基金不符合前款所规定比例限制的，</w:t>
      </w:r>
      <w:r>
        <w:rPr>
          <w:rFonts w:asciiTheme="minorEastAsia" w:hAnsiTheme="minorEastAsia"/>
          <w:sz w:val="24"/>
        </w:rPr>
        <w:t xml:space="preserve"> </w:t>
      </w:r>
      <w:r>
        <w:rPr>
          <w:rFonts w:asciiTheme="minorEastAsia" w:hAnsiTheme="minorEastAsia" w:hint="eastAsia"/>
          <w:sz w:val="24"/>
        </w:rPr>
        <w:t>基金管理人不得主动新增流动性受限资产的投资。</w:t>
      </w:r>
    </w:p>
    <w:p w14:paraId="3398B7EB" w14:textId="77777777" w:rsidR="00B51DEA" w:rsidRDefault="00000000">
      <w:pPr>
        <w:spacing w:line="360" w:lineRule="auto"/>
        <w:ind w:firstLineChars="200" w:firstLine="480"/>
        <w:rPr>
          <w:rFonts w:asciiTheme="minorEastAsia" w:hAnsiTheme="minorEastAsia" w:hint="eastAsia"/>
          <w:sz w:val="24"/>
        </w:rPr>
      </w:pPr>
      <w:r>
        <w:rPr>
          <w:rFonts w:asciiTheme="minorEastAsia" w:hAnsiTheme="minorEastAsia" w:hint="eastAsia"/>
          <w:sz w:val="24"/>
        </w:rPr>
        <w:t>（21）基金与私募类</w:t>
      </w:r>
      <w:proofErr w:type="gramStart"/>
      <w:r>
        <w:rPr>
          <w:rFonts w:asciiTheme="minorEastAsia" w:hAnsiTheme="minorEastAsia" w:hint="eastAsia"/>
          <w:sz w:val="24"/>
        </w:rPr>
        <w:t>证券资管产品</w:t>
      </w:r>
      <w:proofErr w:type="gramEnd"/>
      <w:r>
        <w:rPr>
          <w:rFonts w:asciiTheme="minorEastAsia" w:hAnsiTheme="minorEastAsia" w:hint="eastAsia"/>
          <w:sz w:val="24"/>
        </w:rPr>
        <w:t>及中国证监会认定的其他主体为交易对手开展逆回购交易的，</w:t>
      </w:r>
      <w:r>
        <w:rPr>
          <w:rFonts w:asciiTheme="minorEastAsia" w:hAnsiTheme="minorEastAsia"/>
          <w:sz w:val="24"/>
        </w:rPr>
        <w:t xml:space="preserve"> </w:t>
      </w:r>
      <w:r>
        <w:rPr>
          <w:rFonts w:asciiTheme="minorEastAsia" w:hAnsiTheme="minorEastAsia" w:hint="eastAsia"/>
          <w:sz w:val="24"/>
        </w:rPr>
        <w:t>可接受质押品的资质要求应当与基金合同约定的投资范围保持一致；</w:t>
      </w:r>
    </w:p>
    <w:p w14:paraId="04D46F4B"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（22）本基金投资存托凭证的比例限制依照境内上市交易的股票执行，与境内上市交易的股票合并计算；</w:t>
      </w:r>
    </w:p>
    <w:p w14:paraId="64BE3735"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（23）法律法规及中国证监会规定的和《基金合同》约定的其他投资限制。</w:t>
      </w:r>
    </w:p>
    <w:p w14:paraId="7058D779"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除上述第（2）、（1</w:t>
      </w:r>
      <w:r>
        <w:rPr>
          <w:rFonts w:asciiTheme="minorEastAsia" w:hAnsiTheme="minorEastAsia"/>
          <w:bCs/>
          <w:sz w:val="24"/>
        </w:rPr>
        <w:t>2</w:t>
      </w:r>
      <w:r>
        <w:rPr>
          <w:rFonts w:asciiTheme="minorEastAsia" w:hAnsiTheme="minorEastAsia" w:hint="eastAsia"/>
          <w:bCs/>
          <w:sz w:val="24"/>
        </w:rPr>
        <w:t>）、（</w:t>
      </w:r>
      <w:r>
        <w:rPr>
          <w:rFonts w:asciiTheme="minorEastAsia" w:hAnsiTheme="minorEastAsia"/>
          <w:bCs/>
          <w:sz w:val="24"/>
        </w:rPr>
        <w:t>20</w:t>
      </w:r>
      <w:r>
        <w:rPr>
          <w:rFonts w:asciiTheme="minorEastAsia" w:hAnsiTheme="minorEastAsia" w:hint="eastAsia"/>
          <w:bCs/>
          <w:sz w:val="24"/>
        </w:rPr>
        <w:t>）、（21）项外，因证券、期货市场波动、上市公司合并、基金规模变动、股权分置改革中支付对价等基金管理人之外的因素致使基金投资比例不符合上述规定投资比例的，基金管理人应当在10个交易日内进行调整，但中国证监会规定的特殊情形除外。</w:t>
      </w:r>
    </w:p>
    <w:p w14:paraId="1B4F3A64"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基金管理人应当自基金合同生效之日起</w:t>
      </w:r>
      <w:r>
        <w:rPr>
          <w:rFonts w:asciiTheme="minorEastAsia" w:hAnsiTheme="minorEastAsia"/>
          <w:bCs/>
          <w:sz w:val="24"/>
        </w:rPr>
        <w:t>6</w:t>
      </w:r>
      <w:r>
        <w:rPr>
          <w:rFonts w:asciiTheme="minorEastAsia" w:hAnsiTheme="minorEastAsia" w:hint="eastAsia"/>
          <w:bCs/>
          <w:sz w:val="24"/>
        </w:rPr>
        <w:t>个月内使基金的投资组合比例符合基金合同的有关约定。在上述期间内，本基金的投资范围、投资策略应当符合基金合同的约定。基金托管人对基金的投资的监督与检查自基金合同生效之日起开始。</w:t>
      </w:r>
    </w:p>
    <w:p w14:paraId="497FC480"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法律法规或监管部门取消或调整上述限制，如适用于本基金，基金管理人在履行适当程序后，则本基金投资不再受相关限制或按调整后的规定执行。</w:t>
      </w:r>
    </w:p>
    <w:p w14:paraId="45A248DA"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（三）基金托管人根据有关法律法规的规定及基金合同的约定，对本托管协议第十五条第九款基金投资禁止行为进行监督。</w:t>
      </w:r>
    </w:p>
    <w:p w14:paraId="7DD1B1AD" w14:textId="77777777" w:rsidR="00B51DEA" w:rsidRDefault="00000000">
      <w:pPr>
        <w:pStyle w:val="Default"/>
        <w:spacing w:line="360" w:lineRule="auto"/>
        <w:ind w:firstLineChars="200" w:firstLine="480"/>
        <w:rPr>
          <w:rFonts w:asciiTheme="minorEastAsia" w:eastAsiaTheme="minorEastAsia" w:hAnsiTheme="minorEastAsia" w:hint="eastAsia"/>
        </w:rPr>
      </w:pPr>
      <w:r>
        <w:rPr>
          <w:rFonts w:asciiTheme="minorEastAsia" w:eastAsiaTheme="minorEastAsia" w:hAnsiTheme="minorEastAsia" w:hint="eastAsia"/>
        </w:rPr>
        <w:t>为维护基金份额持有人的合法权益，基金财产不得用于下列投资或者活动：</w:t>
      </w:r>
    </w:p>
    <w:p w14:paraId="709A3BEC"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（1）承销证券；</w:t>
      </w:r>
    </w:p>
    <w:p w14:paraId="67F9B329"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（2）违反规定向他人贷款或者提供担保；</w:t>
      </w:r>
    </w:p>
    <w:p w14:paraId="715B116B"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（3）从事承担无限责任的投资；</w:t>
      </w:r>
    </w:p>
    <w:p w14:paraId="4DB83ACB"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（4）买卖其他基金份额，但是中国证监会另有规定的除外；</w:t>
      </w:r>
    </w:p>
    <w:p w14:paraId="2FB46094"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lastRenderedPageBreak/>
        <w:t>（5）向其基金管理人、基金托管人出资；</w:t>
      </w:r>
    </w:p>
    <w:p w14:paraId="35E9D7A5"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（6）从事内幕交易、操纵证券交易价格及其他不正当的证券交易活动；</w:t>
      </w:r>
    </w:p>
    <w:p w14:paraId="6702B286"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（7）法律、行政法规和中国证监会规定禁止的其他活动。</w:t>
      </w:r>
    </w:p>
    <w:p w14:paraId="6D87B9DC"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管理人运用基金财产买卖基金管理人、基金托管人及其控股股东、实际控制人或者与其有其他重大利害关系的公司发行的证券或者承销的证券，或者从事其他重大关联交易的，应当符合基金的投资目标和投资策略，遵循基金份额持有人利益优先的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0AF21E71"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法律、行政法规或监管部门取消上述禁止性规定，如适用于本基金，则本基金投资不再受相关限制。</w:t>
      </w:r>
    </w:p>
    <w:p w14:paraId="05868FB9"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（四）基金托管人根据有关法律法规的规定及基金合同的约定，对基金管理人参与银行间债券市场进行监督。</w:t>
      </w:r>
    </w:p>
    <w:p w14:paraId="1644684D"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基金管理人应在基金投资运作之前按照规定的数据格式向基金托管人提供符合法律法规及行业标准的、经慎重选择的、本基金适用的银行间债券市场交易对手名单，并约定各交易对手所适用的交易结算方式。基金管理人应严格按照交易对手名单的范围在银行间债券市场选择交易对手。基金托管人事后监督基金管理人是否按事前提供的银行间债券市场交易对手名单进行交易。基金管理人可以每半年对银行间债券市场交易对手名单及结算方式进行更新，新名单确定前已与本次剔除的交易对手所进行但尚未结算的交易，仍应按照协议进行结算。如基金管理人根据市场情况需要临时调整银行间债券市场交易对手名单及结算方式的，应向基金托管人说明理由，并在与交易对手发生交易前</w:t>
      </w:r>
      <w:r>
        <w:rPr>
          <w:rFonts w:asciiTheme="minorEastAsia" w:hAnsiTheme="minorEastAsia"/>
          <w:sz w:val="24"/>
          <w:szCs w:val="24"/>
        </w:rPr>
        <w:t>3个工作日内与基金托管人协商解决。</w:t>
      </w:r>
    </w:p>
    <w:p w14:paraId="59621F5F"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基金管理人负责对交易对手的资信控制，按银行间债券市场的交易规则进行交易，并承担交易对手不履行合同造成的损失，基金托管人则根据银行间债券市场成交单对合同履行情况进行监督。如基金托管人事后发现基金管理人没有按照事先约定的交易对手或交易方式进行交易时，基金托管人应及时提醒基金管理人，基金托管人不承担由此造成的任何损失和责任。</w:t>
      </w:r>
    </w:p>
    <w:p w14:paraId="245A71B4" w14:textId="77777777" w:rsidR="00B51DEA" w:rsidRDefault="00000000">
      <w:pPr>
        <w:spacing w:line="360" w:lineRule="auto"/>
        <w:ind w:firstLineChars="200" w:firstLine="480"/>
        <w:rPr>
          <w:rFonts w:asciiTheme="minorEastAsia" w:hAnsiTheme="minorEastAsia" w:cs="宋体" w:hint="eastAsia"/>
          <w:color w:val="000000"/>
          <w:sz w:val="24"/>
          <w:szCs w:val="24"/>
        </w:rPr>
      </w:pPr>
      <w:r>
        <w:rPr>
          <w:rFonts w:asciiTheme="minorEastAsia" w:hAnsiTheme="minorEastAsia" w:cs="宋体" w:hint="eastAsia"/>
          <w:color w:val="000000"/>
          <w:sz w:val="24"/>
          <w:szCs w:val="24"/>
        </w:rPr>
        <w:lastRenderedPageBreak/>
        <w:t>（五）基金托管人根据有关法律法规的规定及基金合同的约定，对基金投资流通受限证券进行监督。</w:t>
      </w:r>
    </w:p>
    <w:p w14:paraId="3CC8D956" w14:textId="77777777" w:rsidR="00B51DEA" w:rsidRDefault="00000000">
      <w:pPr>
        <w:spacing w:line="360" w:lineRule="auto"/>
        <w:ind w:firstLineChars="200" w:firstLine="480"/>
        <w:rPr>
          <w:rFonts w:asciiTheme="minorEastAsia" w:hAnsiTheme="minorEastAsia" w:cs="宋体" w:hint="eastAsia"/>
          <w:color w:val="000000"/>
          <w:sz w:val="24"/>
          <w:szCs w:val="24"/>
        </w:rPr>
      </w:pPr>
      <w:r>
        <w:rPr>
          <w:rFonts w:asciiTheme="minorEastAsia" w:hAnsiTheme="minorEastAsia" w:cs="宋体"/>
          <w:color w:val="000000"/>
          <w:sz w:val="24"/>
          <w:szCs w:val="24"/>
        </w:rPr>
        <w:t>1．基金投资流通受限证券，应遵守《关于基金投资非公开发行股票等流通受限证券有关问题的通知》等有关法律法规规定。</w:t>
      </w:r>
    </w:p>
    <w:p w14:paraId="00469502" w14:textId="77777777" w:rsidR="00B51DEA" w:rsidRDefault="00000000">
      <w:pPr>
        <w:spacing w:line="360" w:lineRule="auto"/>
        <w:ind w:firstLineChars="200" w:firstLine="480"/>
        <w:rPr>
          <w:rFonts w:asciiTheme="minorEastAsia" w:hAnsiTheme="minorEastAsia" w:cs="宋体" w:hint="eastAsia"/>
          <w:color w:val="000000"/>
          <w:sz w:val="24"/>
          <w:szCs w:val="24"/>
        </w:rPr>
      </w:pPr>
      <w:r>
        <w:rPr>
          <w:rFonts w:asciiTheme="minorEastAsia" w:hAnsiTheme="minorEastAsia" w:cs="宋体"/>
          <w:color w:val="000000"/>
          <w:sz w:val="24"/>
          <w:szCs w:val="24"/>
        </w:rPr>
        <w:t>2．流通受限证券，包括由《上市公司证券发行管理办法》规范的非公开发行股票、公开发行股票网下配售部分等在发行时明确一定期限锁定期的可交易证券,不包括由于发布重大消息或其他原因而临时停牌的证券、已发行未上市证券、回购交易中的质押</w:t>
      </w:r>
      <w:proofErr w:type="gramStart"/>
      <w:r>
        <w:rPr>
          <w:rFonts w:asciiTheme="minorEastAsia" w:hAnsiTheme="minorEastAsia" w:cs="宋体" w:hint="eastAsia"/>
          <w:color w:val="000000"/>
          <w:sz w:val="24"/>
          <w:szCs w:val="24"/>
        </w:rPr>
        <w:t>券</w:t>
      </w:r>
      <w:proofErr w:type="gramEnd"/>
      <w:r>
        <w:rPr>
          <w:rFonts w:asciiTheme="minorEastAsia" w:hAnsiTheme="minorEastAsia" w:cs="宋体" w:hint="eastAsia"/>
          <w:color w:val="000000"/>
          <w:sz w:val="24"/>
          <w:szCs w:val="24"/>
        </w:rPr>
        <w:t>等流通受限证券。</w:t>
      </w:r>
    </w:p>
    <w:p w14:paraId="2ECF1C42" w14:textId="77777777" w:rsidR="00B51DEA" w:rsidRDefault="00000000">
      <w:pPr>
        <w:spacing w:line="360" w:lineRule="auto"/>
        <w:ind w:firstLineChars="200" w:firstLine="480"/>
        <w:rPr>
          <w:rFonts w:asciiTheme="minorEastAsia" w:hAnsiTheme="minorEastAsia" w:cs="宋体" w:hint="eastAsia"/>
          <w:color w:val="000000"/>
          <w:sz w:val="24"/>
          <w:szCs w:val="24"/>
        </w:rPr>
      </w:pPr>
      <w:r>
        <w:rPr>
          <w:rFonts w:asciiTheme="minorEastAsia" w:hAnsiTheme="minorEastAsia" w:cs="宋体"/>
          <w:color w:val="000000"/>
          <w:sz w:val="24"/>
          <w:szCs w:val="24"/>
        </w:rPr>
        <w:t>3．在首次投资流通受限证券之前，基金管理人应当制定相关投资决策流程、风险控制等规章制度。基金管理人应当根据基金的投资风格和流动性的需要合理安排流通受限证券的投资比例，并在相关制度中明确具体比例，避免基金出现流动性风险。基金投资非公开发行股票，基金管理人还应提供流动性风险处置预案。上述资料应包括但不限于基金投资流通受限证券的投资额度和投资比例控制情况。</w:t>
      </w:r>
    </w:p>
    <w:p w14:paraId="5A7BE219" w14:textId="77777777" w:rsidR="00B51DEA" w:rsidRDefault="00000000">
      <w:pPr>
        <w:spacing w:line="360" w:lineRule="auto"/>
        <w:ind w:firstLineChars="200" w:firstLine="480"/>
        <w:rPr>
          <w:rFonts w:asciiTheme="minorEastAsia" w:hAnsiTheme="minorEastAsia" w:cs="宋体" w:hint="eastAsia"/>
          <w:color w:val="000000"/>
          <w:sz w:val="24"/>
          <w:szCs w:val="24"/>
        </w:rPr>
      </w:pPr>
      <w:r>
        <w:rPr>
          <w:rFonts w:asciiTheme="minorEastAsia" w:hAnsiTheme="minorEastAsia" w:cs="宋体" w:hint="eastAsia"/>
          <w:color w:val="000000"/>
          <w:sz w:val="24"/>
          <w:szCs w:val="24"/>
        </w:rPr>
        <w:t>上述规章制度须经基金管理人董事会批准。上述规章制度经董事会通过之后，基金管理人应至少</w:t>
      </w:r>
      <w:proofErr w:type="gramStart"/>
      <w:r>
        <w:rPr>
          <w:rFonts w:asciiTheme="minorEastAsia" w:hAnsiTheme="minorEastAsia" w:cs="宋体" w:hint="eastAsia"/>
          <w:color w:val="000000"/>
          <w:sz w:val="24"/>
          <w:szCs w:val="24"/>
        </w:rPr>
        <w:t>于首次</w:t>
      </w:r>
      <w:proofErr w:type="gramEnd"/>
      <w:r>
        <w:rPr>
          <w:rFonts w:asciiTheme="minorEastAsia" w:hAnsiTheme="minorEastAsia" w:cs="宋体" w:hint="eastAsia"/>
          <w:color w:val="000000"/>
          <w:sz w:val="24"/>
          <w:szCs w:val="24"/>
        </w:rPr>
        <w:t>投资流通受限证券之前两个工作日将上述资料书面发至基金托管人，保证基金托管人有足够的时间进行审核。</w:t>
      </w:r>
    </w:p>
    <w:p w14:paraId="5D9DC44E" w14:textId="77777777" w:rsidR="00B51DEA" w:rsidRDefault="00000000">
      <w:pPr>
        <w:spacing w:line="360" w:lineRule="auto"/>
        <w:ind w:firstLineChars="200" w:firstLine="480"/>
        <w:rPr>
          <w:rFonts w:asciiTheme="minorEastAsia" w:hAnsiTheme="minorEastAsia" w:cs="宋体" w:hint="eastAsia"/>
          <w:color w:val="000000"/>
          <w:sz w:val="24"/>
          <w:szCs w:val="24"/>
        </w:rPr>
      </w:pPr>
      <w:r>
        <w:rPr>
          <w:rFonts w:asciiTheme="minorEastAsia" w:hAnsiTheme="minorEastAsia" w:cs="宋体"/>
          <w:color w:val="000000"/>
          <w:sz w:val="24"/>
          <w:szCs w:val="24"/>
        </w:rPr>
        <w:t>4．在投资流通受限证券之前，基金管理人应按约定时间向基金托管人提供符合法律法规要求的有关流通受限证券的信息，具体应当包括但不限于如下文件（如有）：拟发行证券主体的中国证监会批准文件、拟发行数量、定价依据、锁定期、基金拟认购的数量、价格、总成本、总成本占基金资产净值的比例、已持有流通受限证券市值占基金资产净值的比例、划款账号、划款金额、划款时间文件等。基金管理人应保证上述信息的真实、完整。</w:t>
      </w:r>
    </w:p>
    <w:p w14:paraId="0880BB68" w14:textId="77777777" w:rsidR="00B51DEA" w:rsidRDefault="00000000">
      <w:pPr>
        <w:spacing w:line="360" w:lineRule="auto"/>
        <w:ind w:firstLineChars="200" w:firstLine="480"/>
        <w:rPr>
          <w:rFonts w:asciiTheme="minorEastAsia" w:hAnsiTheme="minorEastAsia" w:cs="宋体" w:hint="eastAsia"/>
          <w:color w:val="000000"/>
          <w:sz w:val="24"/>
          <w:szCs w:val="24"/>
        </w:rPr>
      </w:pPr>
      <w:r>
        <w:rPr>
          <w:rFonts w:asciiTheme="minorEastAsia" w:hAnsiTheme="minorEastAsia" w:cs="宋体"/>
          <w:color w:val="000000"/>
          <w:sz w:val="24"/>
          <w:szCs w:val="24"/>
        </w:rPr>
        <w:t>5.基金投资流通受限证券，基金管理人应根据本协议的规定与基金托管银行签订风险控制补充协议。协议应包括基金托管人对于基金管理人是否遵守相关制度、流动性风险处置预案以及相关投资额度和比例的情况进行监督等内容。</w:t>
      </w:r>
    </w:p>
    <w:p w14:paraId="4DA23ACE" w14:textId="77777777" w:rsidR="00B51DEA" w:rsidRDefault="00000000">
      <w:pPr>
        <w:spacing w:line="360" w:lineRule="auto"/>
        <w:ind w:firstLineChars="200" w:firstLine="480"/>
        <w:rPr>
          <w:rFonts w:asciiTheme="minorEastAsia" w:hAnsiTheme="minorEastAsia" w:cs="宋体" w:hint="eastAsia"/>
          <w:color w:val="000000"/>
          <w:sz w:val="24"/>
          <w:szCs w:val="24"/>
        </w:rPr>
      </w:pPr>
      <w:r>
        <w:rPr>
          <w:rFonts w:asciiTheme="minorEastAsia" w:hAnsiTheme="minorEastAsia" w:cs="宋体"/>
          <w:color w:val="000000"/>
          <w:sz w:val="24"/>
          <w:szCs w:val="24"/>
        </w:rPr>
        <w:t>6．基金管理人应在基金投资非公开发行股票后两个交易日内，在中国证监会指定媒介披露所投资非公开发行股票的名称、数量、总成本、账面价值，以及总成本和账面价值占基金资产净值的比例、锁定期等信息。</w:t>
      </w:r>
    </w:p>
    <w:p w14:paraId="63B6C940" w14:textId="77777777" w:rsidR="00B51DEA" w:rsidRDefault="00000000">
      <w:pPr>
        <w:spacing w:line="360" w:lineRule="auto"/>
        <w:ind w:firstLineChars="200" w:firstLine="480"/>
        <w:rPr>
          <w:rFonts w:asciiTheme="minorEastAsia" w:hAnsiTheme="minorEastAsia" w:cs="宋体" w:hint="eastAsia"/>
          <w:color w:val="000000"/>
          <w:sz w:val="24"/>
          <w:szCs w:val="24"/>
        </w:rPr>
      </w:pPr>
      <w:r>
        <w:rPr>
          <w:rFonts w:asciiTheme="minorEastAsia" w:hAnsiTheme="minorEastAsia" w:cs="宋体"/>
          <w:color w:val="000000"/>
          <w:sz w:val="24"/>
          <w:szCs w:val="24"/>
        </w:rPr>
        <w:lastRenderedPageBreak/>
        <w:t>7．基金托管人应对基金管理人是否遵守法律法规、投资决策流程、风险控制制度、流动性风险处置预案情况进行监督，并审核基金管理人提供的有关书面</w:t>
      </w:r>
      <w:r>
        <w:rPr>
          <w:rFonts w:asciiTheme="minorEastAsia" w:hAnsiTheme="minorEastAsia" w:cs="宋体" w:hint="eastAsia"/>
          <w:color w:val="000000"/>
          <w:sz w:val="24"/>
          <w:szCs w:val="24"/>
        </w:rPr>
        <w:t>信息。基金托管人认为上述资料可能导致基金出现风险的，有权要求基金管理人在投资流通受限证券前就该风险的消除或防范措施进行补充书面说明，并保留查看基金管理人风险管理部门就基金投资流通受限证券出具的风险评估报告等备查资料的权利。否则，基金托管人有权拒绝执行有关指令。因拒绝执行该指令造成基金财产损失的，基金托管人不承担任何责任，并有权报告中国证监会。</w:t>
      </w:r>
    </w:p>
    <w:p w14:paraId="765382F9" w14:textId="77777777" w:rsidR="00B51DEA" w:rsidRDefault="00000000">
      <w:pPr>
        <w:pStyle w:val="23"/>
        <w:ind w:firstLine="480"/>
        <w:rPr>
          <w:rFonts w:asciiTheme="minorEastAsia" w:eastAsiaTheme="minorEastAsia" w:hAnsiTheme="minorEastAsia" w:hint="eastAsia"/>
        </w:rPr>
      </w:pPr>
      <w:r>
        <w:rPr>
          <w:rFonts w:asciiTheme="minorEastAsia" w:eastAsiaTheme="minorEastAsia" w:hAnsiTheme="minorEastAsia" w:hint="eastAsia"/>
        </w:rPr>
        <w:t>（六）基金管理人投资银行定期存款应符合相关法律法规约定。开立定期存款账户时，定期存款账户的户名应与托管账户户名一致，本着便于委托资产的安全保管和日常监督核查的原则，存款行应尽量选择托管账户所在地的分支机构。对于跨行定期存款投资，基金管理人必须和存款机构签订定期存款协议，约定双方的权利和义务，该协议作为划款指令附件。该协议中必须有如下明确条款：“存款证实书不得被质押或以任何方式被抵押，并不得用于转让和背书；本息到期归还或提前支取的所有款项必须划至托管专户（明确户名、开户行、账号等），不得划入其他任何账户”。并依照本协议交接原则对存单交接流程予以明确。如定期存款协议中未体现前述条款，基金托管人有权拒绝定期存款投资的划款指令。对于跨行存款，基金管理人需提前</w:t>
      </w:r>
      <w:r>
        <w:rPr>
          <w:rFonts w:asciiTheme="minorEastAsia" w:eastAsiaTheme="minorEastAsia" w:hAnsiTheme="minorEastAsia"/>
        </w:rPr>
        <w:t>5日与基金托管人就定期存款协议及存单交接流程进行沟通。除非存款协议中规定存款证实书由存款行保管或存款协议作为存款支取的依据，存单交接原则上采用存款行上门服务、基金管理人负责监交的方式。特殊情况下，采用基金管理人交接存单的方式。在取得存款证实书后，托管人保管证实书正本。基金管理人需对跨行存款的利率政策风险、存款行的选择及存款协议承担责任，并指定专人在核实存款行授权人员身份信息后，负责印鉴卡与存款证实书等凭证的监交或交接，以确保与基金托管人所交接凭证的真实性、准确性和完整性。基金托管人对投资后处于基金托管人实际控制之外的资产不承担保管责任。跨行定期存款账户的预留印鉴为基金托管人托管业务专用章与托管业务授权人名章。</w:t>
      </w:r>
    </w:p>
    <w:p w14:paraId="7CD48BC8"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七）基金管理人投资中期票据应符合相关法律法规约定。基金管理人应根据本协议的规定与基金托管人签订投资中期票据风险控制补充协议。基金管理人在投资中期票据的过程中，必须严格按照补充协议中的限制性约定进行投资。在</w:t>
      </w:r>
      <w:r>
        <w:rPr>
          <w:rFonts w:asciiTheme="minorEastAsia" w:hAnsiTheme="minorEastAsia" w:hint="eastAsia"/>
          <w:sz w:val="24"/>
          <w:szCs w:val="24"/>
        </w:rPr>
        <w:lastRenderedPageBreak/>
        <w:t>投资过程中，基金托管人将严格按照补充协议中的约定对相关业务进行监督和审核。</w:t>
      </w:r>
    </w:p>
    <w:p w14:paraId="01036548"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八）基金托管人根据有关法律法规的规定及基金合同的约定，对基金资产净值计算、各类基金份额净值计算、应收资金到账、基金费用开支及收入确定、基金收益分配、相关信息披露、基金宣传推介材料中登载基金业绩表现数据等进行监督和核查。</w:t>
      </w:r>
    </w:p>
    <w:p w14:paraId="7A5124BD" w14:textId="77777777" w:rsidR="00B51DEA" w:rsidRDefault="00000000">
      <w:pPr>
        <w:pStyle w:val="23"/>
        <w:ind w:firstLine="480"/>
        <w:rPr>
          <w:rFonts w:asciiTheme="minorEastAsia" w:eastAsiaTheme="minorEastAsia" w:hAnsiTheme="minorEastAsia" w:hint="eastAsia"/>
        </w:rPr>
      </w:pPr>
      <w:r>
        <w:rPr>
          <w:rFonts w:asciiTheme="minorEastAsia" w:eastAsiaTheme="minorEastAsia" w:hAnsiTheme="minorEastAsia" w:hint="eastAsia"/>
        </w:rPr>
        <w:t>（九）基金管理人投资中小企业</w:t>
      </w:r>
      <w:proofErr w:type="gramStart"/>
      <w:r>
        <w:rPr>
          <w:rFonts w:asciiTheme="minorEastAsia" w:eastAsiaTheme="minorEastAsia" w:hAnsiTheme="minorEastAsia" w:hint="eastAsia"/>
        </w:rPr>
        <w:t>私募债应符合</w:t>
      </w:r>
      <w:proofErr w:type="gramEnd"/>
      <w:r>
        <w:rPr>
          <w:rFonts w:asciiTheme="minorEastAsia" w:eastAsiaTheme="minorEastAsia" w:hAnsiTheme="minorEastAsia" w:hint="eastAsia"/>
        </w:rPr>
        <w:t>相关法律法规约定。基金管理人应根据本协议的规定与基金托管人签订投资中小企业私募</w:t>
      </w:r>
      <w:proofErr w:type="gramStart"/>
      <w:r>
        <w:rPr>
          <w:rFonts w:asciiTheme="minorEastAsia" w:eastAsiaTheme="minorEastAsia" w:hAnsiTheme="minorEastAsia" w:hint="eastAsia"/>
        </w:rPr>
        <w:t>债风险</w:t>
      </w:r>
      <w:proofErr w:type="gramEnd"/>
      <w:r>
        <w:rPr>
          <w:rFonts w:asciiTheme="minorEastAsia" w:eastAsiaTheme="minorEastAsia" w:hAnsiTheme="minorEastAsia" w:hint="eastAsia"/>
        </w:rPr>
        <w:t>控制补充协议。基金管理人在投资中小企业私募债前，应向基金托管人提供经资产管理人董事会批准的投资中小企业私募债券的相关制度。在投资中小企业私募债券的过程中，基金管理人应合</w:t>
      </w:r>
      <w:proofErr w:type="gramStart"/>
      <w:r>
        <w:rPr>
          <w:rFonts w:asciiTheme="minorEastAsia" w:eastAsiaTheme="minorEastAsia" w:hAnsiTheme="minorEastAsia" w:hint="eastAsia"/>
        </w:rPr>
        <w:t>理控制</w:t>
      </w:r>
      <w:proofErr w:type="gramEnd"/>
      <w:r>
        <w:rPr>
          <w:rFonts w:asciiTheme="minorEastAsia" w:eastAsiaTheme="minorEastAsia" w:hAnsiTheme="minorEastAsia" w:hint="eastAsia"/>
        </w:rPr>
        <w:t>投资中小企业私募债的比例。基金托管人按照补充协议中的约定对相关投资进行监督和审核。</w:t>
      </w:r>
    </w:p>
    <w:p w14:paraId="15FB5F99"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（十）基金托管人发现基金管理人的上述事项及投资指令或实际投资运作违反法律法规、基金合同和本托管协议的规定，应及时以电话提醒或书面提示等方式通知基金管理人限期纠正。</w:t>
      </w:r>
    </w:p>
    <w:p w14:paraId="678F360A"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基金管理人应积极配合和协助基金托管人的监督和核查。基金管理人收到书面通知后应在下一工作日前及时核对并以书面形式给基金托管人发出回函，就基金托管人的疑义进行解释或举证，说明违规原因及纠正期限，并保证在规定期限内及时改正。在上述规定期限内，基金托管人有权随时对通知事项进行复查，督促基金管理人改正。基金管理人对基金托管人通知的违规事项未能在限期内纠正的，基金托管人应报告中国证监会。</w:t>
      </w:r>
    </w:p>
    <w:p w14:paraId="7C190614"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（十一）基金管理人有义务配合和协助基金托管人依照法律法规、基金合同和本托管协议对基金业务执行核查。</w:t>
      </w:r>
    </w:p>
    <w:p w14:paraId="670B3569"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对基金托管人发出的书面提示，基金管理人应在规定时间内答复并改正，或就基金托管人的疑义进行解释或举证；对基金托管人按照法律法规、基金合同和本托管协议的要求需向中国证监会报送基金监督报告的事项，基金管理人应积极配合提供相关数据资料和制度等。</w:t>
      </w:r>
    </w:p>
    <w:p w14:paraId="340CD8A2"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（十二）</w:t>
      </w:r>
      <w:proofErr w:type="gramStart"/>
      <w:r>
        <w:rPr>
          <w:rFonts w:asciiTheme="minorEastAsia" w:hAnsiTheme="minorEastAsia" w:hint="eastAsia"/>
          <w:sz w:val="24"/>
          <w:szCs w:val="24"/>
        </w:rPr>
        <w:t>若基金</w:t>
      </w:r>
      <w:proofErr w:type="gramEnd"/>
      <w:r>
        <w:rPr>
          <w:rFonts w:asciiTheme="minorEastAsia" w:hAnsiTheme="minorEastAsia" w:hint="eastAsia"/>
          <w:sz w:val="24"/>
          <w:szCs w:val="24"/>
        </w:rPr>
        <w:t>托管人发现基金管理人依据交易程序已经生效的指令违反法律、行政法规和其他有关规定，或者违反基金合同约定的，应当立即通知基金管</w:t>
      </w:r>
      <w:r>
        <w:rPr>
          <w:rFonts w:asciiTheme="minorEastAsia" w:hAnsiTheme="minorEastAsia" w:hint="eastAsia"/>
          <w:sz w:val="24"/>
          <w:szCs w:val="24"/>
        </w:rPr>
        <w:lastRenderedPageBreak/>
        <w:t>理人。</w:t>
      </w:r>
    </w:p>
    <w:p w14:paraId="6BDF905F"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（十三）基金托管人发现基金管理人有重大违规行为，有权报告中国证监会，同时通知基金管理人限期纠正，并将纠正结果报告中国证监会。</w:t>
      </w:r>
    </w:p>
    <w:p w14:paraId="7AB27E53"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基金管理人无正当理由，拒绝、阻挠对方根据本托管协议规定行使监督权，或采取拖延、欺诈等手段妨碍对方进行有效监督，情节严重或经基金托管人提出警告仍不改正的，基金托管人应报告中国证监会。</w:t>
      </w:r>
    </w:p>
    <w:p w14:paraId="2CA5330F" w14:textId="77777777" w:rsidR="00B51DEA" w:rsidRDefault="00000000">
      <w:pPr>
        <w:adjustRightInd w:val="0"/>
        <w:snapToGrid w:val="0"/>
        <w:spacing w:line="360" w:lineRule="auto"/>
        <w:ind w:firstLineChars="200" w:firstLine="482"/>
        <w:rPr>
          <w:rFonts w:asciiTheme="minorEastAsia" w:hAnsiTheme="minorEastAsia" w:cs="Arial" w:hint="eastAsia"/>
          <w:b/>
          <w:sz w:val="24"/>
          <w:szCs w:val="24"/>
        </w:rPr>
      </w:pPr>
      <w:r>
        <w:rPr>
          <w:rFonts w:asciiTheme="minorEastAsia" w:hAnsiTheme="minorEastAsia" w:cs="Arial" w:hint="eastAsia"/>
          <w:b/>
          <w:sz w:val="24"/>
          <w:szCs w:val="24"/>
        </w:rPr>
        <w:t>三、基金管理人对基金托管人的业务核查</w:t>
      </w:r>
    </w:p>
    <w:p w14:paraId="58A4987F"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一）基金管理人对基金托管人履行托管职责情况进行核查，核查事项包括基金托管人安全保管基金财产、开设基金财产的资金账户、证券账户以及投资所需其他账户、复核基金管理人计算的基金资产净值和各类基金份额净值、根据基金管理人指令办理清算交收、相关信息披露和监督基金投资运作等行为。</w:t>
      </w:r>
    </w:p>
    <w:p w14:paraId="3D7B1601"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二）基金管理人发现基金托管人擅自挪用基金财产、未对基金财产实行分账管理、未执行或无故延迟执行基金管理人资金划拨指令、泄露基金投资信息等违反《基金法》、基金合同、本协议及其他有关规定时，应及时以书面形式通知基金托管人限期纠正。</w:t>
      </w:r>
    </w:p>
    <w:p w14:paraId="36080459"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基金托管人收到通知后应及时核对并以书面形式给基金管理人发出回函，说明违规原因及纠正期限，并保证在规定期限内及时改正。在上述规定期限内，基金管理人有权随时对通知事项进行复查，督促基金托管人改正。基金托管人应积极配合基金管理人的核查行为，包括但不限于：提交相关资料以</w:t>
      </w:r>
      <w:proofErr w:type="gramStart"/>
      <w:r>
        <w:rPr>
          <w:rFonts w:asciiTheme="minorEastAsia" w:hAnsiTheme="minorEastAsia" w:hint="eastAsia"/>
          <w:sz w:val="24"/>
          <w:szCs w:val="24"/>
        </w:rPr>
        <w:t>供基金</w:t>
      </w:r>
      <w:proofErr w:type="gramEnd"/>
      <w:r>
        <w:rPr>
          <w:rFonts w:asciiTheme="minorEastAsia" w:hAnsiTheme="minorEastAsia" w:hint="eastAsia"/>
          <w:sz w:val="24"/>
          <w:szCs w:val="24"/>
        </w:rPr>
        <w:t>管理人核查托管财产的完整性和真实性，在规定时间内答复基金管理人并改正。</w:t>
      </w:r>
    </w:p>
    <w:p w14:paraId="6C9B97F5"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（三）基金管理人发现基金托管人有重大违规行为，应及时报告中国证监会，同时通知基金托管人限期纠正，并将纠正结果报告中国证监会。</w:t>
      </w:r>
    </w:p>
    <w:p w14:paraId="282172BD"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基金托管人无正当理由，拒绝、阻挠对方根据本协议规定行使监督权，或采取拖延、欺诈等手段妨碍对方进行有效监督，情节严重或经基金管理人提出警告仍不改正的，基金管理人应报告中国证监会。</w:t>
      </w:r>
    </w:p>
    <w:p w14:paraId="263B8352" w14:textId="77777777" w:rsidR="00B51DEA" w:rsidRDefault="00000000">
      <w:pPr>
        <w:adjustRightInd w:val="0"/>
        <w:snapToGrid w:val="0"/>
        <w:spacing w:line="360" w:lineRule="auto"/>
        <w:ind w:firstLineChars="200" w:firstLine="482"/>
        <w:rPr>
          <w:rFonts w:asciiTheme="minorEastAsia" w:hAnsiTheme="minorEastAsia" w:cs="Arial" w:hint="eastAsia"/>
          <w:b/>
          <w:sz w:val="24"/>
          <w:szCs w:val="24"/>
        </w:rPr>
      </w:pPr>
      <w:r>
        <w:rPr>
          <w:rFonts w:asciiTheme="minorEastAsia" w:hAnsiTheme="minorEastAsia" w:cs="Arial" w:hint="eastAsia"/>
          <w:b/>
          <w:sz w:val="24"/>
          <w:szCs w:val="24"/>
        </w:rPr>
        <w:t>四、基金财产的保管</w:t>
      </w:r>
    </w:p>
    <w:p w14:paraId="54299F47"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（一）基金财产保管的原则</w:t>
      </w:r>
    </w:p>
    <w:p w14:paraId="5BD0535D"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1．基金财产应独立于基金管理人、基金托管人的固有财产；</w:t>
      </w:r>
    </w:p>
    <w:p w14:paraId="621AF831"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2．基金托管人应安全保管基金财产；</w:t>
      </w:r>
    </w:p>
    <w:p w14:paraId="3FB04EBC"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lastRenderedPageBreak/>
        <w:t>3．基金托管人按照规定开设基金财产的资金账户、证券账户以及投资所需其他账户；</w:t>
      </w:r>
    </w:p>
    <w:p w14:paraId="69C96174"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 xml:space="preserve">4．基金托管人对所托管的不同基金财产分别设置账户，确保基金财产的完整与独立； </w:t>
      </w:r>
    </w:p>
    <w:p w14:paraId="6DAC9334"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5．基金托管人根据基金管理人的指令，按照基金合同和本协议的约定保管基金财产，如有特殊情况双方可另行协商解决；</w:t>
      </w:r>
    </w:p>
    <w:p w14:paraId="10981998"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6．对于因为基金投资产生的应收资产，应由基金管理人负责与有关当事人确定到账日期并通知基金托管人，到账日基金财产没有到达基金账户的，基金托管人应及时通知基金管理人采取措施进行催收。由此给基金财产造成损失的，基金管理人应负责向有关当事人追偿基金财产的损失；</w:t>
      </w:r>
    </w:p>
    <w:p w14:paraId="361A9EAE"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7．除依据法律法规和基金合同的规定外，基金托管人不得委托第三人托管基金财产。</w:t>
      </w:r>
    </w:p>
    <w:p w14:paraId="36465779"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（二）基金募集期间及募集资金的验资</w:t>
      </w:r>
    </w:p>
    <w:p w14:paraId="439683C4"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1．基金募集期间募集的资金应存于基金管理人在基金托管人的营业机构开立的“基金募集专户”，该账户由基金管理人委托的登记机构开立并管理。</w:t>
      </w:r>
    </w:p>
    <w:p w14:paraId="0049C2A2"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2．基金募集期满或基金停止募集时，募集的基金份额总额、基金募集金额、基金份额持有人人数符合《基金法》、《运作办法》等有关规定后，基金管理人应将属于基金财产的全部资金划入基金托管人为本基金开立的基金托管专户，同时在规定时间内，聘请具有从事证券相关业务资格的会计师事务所进行验资，出具验资报告。出具的验资报告由参加验资的2名或2名以上中国注册会计师签字方为有效。</w:t>
      </w:r>
    </w:p>
    <w:p w14:paraId="28BC7ED2"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3．</w:t>
      </w:r>
      <w:proofErr w:type="gramStart"/>
      <w:r>
        <w:rPr>
          <w:rFonts w:asciiTheme="minorEastAsia" w:hAnsiTheme="minorEastAsia" w:hint="eastAsia"/>
          <w:sz w:val="24"/>
          <w:szCs w:val="24"/>
        </w:rPr>
        <w:t>若基金</w:t>
      </w:r>
      <w:proofErr w:type="gramEnd"/>
      <w:r>
        <w:rPr>
          <w:rFonts w:asciiTheme="minorEastAsia" w:hAnsiTheme="minorEastAsia" w:hint="eastAsia"/>
          <w:sz w:val="24"/>
          <w:szCs w:val="24"/>
        </w:rPr>
        <w:t>募集期限届满，未能达到基金合同生效的条件，由基金管理人按规定办理退款等事宜。</w:t>
      </w:r>
    </w:p>
    <w:p w14:paraId="6259FA15" w14:textId="77777777" w:rsidR="00B51DEA" w:rsidRDefault="00000000">
      <w:pPr>
        <w:spacing w:line="360" w:lineRule="auto"/>
        <w:ind w:firstLineChars="200" w:firstLine="480"/>
        <w:rPr>
          <w:rFonts w:asciiTheme="minorEastAsia" w:hAnsiTheme="minorEastAsia" w:hint="eastAsia"/>
          <w:sz w:val="24"/>
          <w:szCs w:val="24"/>
          <w:shd w:val="clear" w:color="auto" w:fill="FFFFFF"/>
        </w:rPr>
      </w:pPr>
      <w:r>
        <w:rPr>
          <w:rFonts w:asciiTheme="minorEastAsia" w:hAnsiTheme="minorEastAsia" w:hint="eastAsia"/>
          <w:sz w:val="24"/>
          <w:szCs w:val="24"/>
          <w:shd w:val="clear" w:color="auto" w:fill="FFFFFF"/>
        </w:rPr>
        <w:t>（三）</w:t>
      </w:r>
      <w:r>
        <w:rPr>
          <w:rFonts w:asciiTheme="minorEastAsia" w:hAnsiTheme="minorEastAsia" w:cs="宋体" w:hint="eastAsia"/>
          <w:sz w:val="24"/>
          <w:szCs w:val="24"/>
          <w:shd w:val="clear" w:color="auto" w:fill="FFFFFF"/>
        </w:rPr>
        <w:t>基金托管专户</w:t>
      </w:r>
      <w:r>
        <w:rPr>
          <w:rFonts w:asciiTheme="minorEastAsia" w:hAnsiTheme="minorEastAsia" w:hint="eastAsia"/>
          <w:sz w:val="24"/>
          <w:szCs w:val="24"/>
          <w:shd w:val="clear" w:color="auto" w:fill="FFFFFF"/>
        </w:rPr>
        <w:t>的开立和管理</w:t>
      </w:r>
    </w:p>
    <w:p w14:paraId="30DBDDE8"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基金托管专户的名称：富荣价值精选</w:t>
      </w:r>
      <w:r>
        <w:rPr>
          <w:rFonts w:asciiTheme="minorEastAsia" w:hAnsiTheme="minorEastAsia"/>
          <w:sz w:val="24"/>
          <w:szCs w:val="24"/>
        </w:rPr>
        <w:t>灵活配置混合型</w:t>
      </w:r>
      <w:r>
        <w:rPr>
          <w:rFonts w:asciiTheme="minorEastAsia" w:hAnsiTheme="minorEastAsia" w:hint="eastAsia"/>
          <w:sz w:val="24"/>
          <w:szCs w:val="24"/>
        </w:rPr>
        <w:t>发起式证券投资基金</w:t>
      </w:r>
    </w:p>
    <w:p w14:paraId="7DDCE4CB"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托管账户开户行：中国光大银行深圳分行营业部</w:t>
      </w:r>
    </w:p>
    <w:p w14:paraId="1E4245F2"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1．基金托管人以本基金的名义在其营业机构开设基金托管专户，保管基金的银行存款。本基金的一切货币收支活动，包括但不限于投资、支付赎回金额、支付基金收益、收取申购款，均需通过基金托管专户进行。</w:t>
      </w:r>
    </w:p>
    <w:p w14:paraId="6F8214AD"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lastRenderedPageBreak/>
        <w:t>2．基金托管专户的开立和使用，限于满足开展本基金业务的需要。基金托管人和基金管理人不得假借本基金的名义开立任何其他银行账户；亦不得使用基</w:t>
      </w:r>
      <w:r>
        <w:rPr>
          <w:rFonts w:asciiTheme="minorEastAsia" w:hAnsiTheme="minorEastAsia" w:hint="eastAsia"/>
          <w:sz w:val="24"/>
          <w:szCs w:val="24"/>
        </w:rPr>
        <w:t>金的任何账户进行本基金业务以外的活动。</w:t>
      </w:r>
    </w:p>
    <w:p w14:paraId="6C6020CA"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3．基金托管专户的开立和管理应符合有关法律法规以及银行业监督管理机构的其他有关规定。</w:t>
      </w:r>
    </w:p>
    <w:p w14:paraId="3ED6CD9C"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（四）基金证券账户和结算备付金账户的开立和管理</w:t>
      </w:r>
    </w:p>
    <w:p w14:paraId="519AA69F"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1．基金托管人在中国证券登记结算有限责任公司上海分公司、深圳分公司为基金开立基金托管人与本基金联名的证券账户。</w:t>
      </w:r>
    </w:p>
    <w:p w14:paraId="34F71082"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2．基金证券账户的开立和使用，仅限于满足开展本基金业务的需要。基金托管人和基金管理人不得出借或未经对方同意擅自转让基金的任何证券账户，亦不得使用基金的任何账户进行本基金业务以外的活动。</w:t>
      </w:r>
    </w:p>
    <w:p w14:paraId="0541108A"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3．基金证券账户的开立和证券账户卡的保管由基金托管人负责，账户资产的管理和运用由基金管理人负责。</w:t>
      </w:r>
    </w:p>
    <w:p w14:paraId="2C243249"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4．基金托管人以基金托管人的名义在中国证券登记结算有限责任公司开立结算备付金账户，并代表本基金完成与中国证券登记结算有限责任公司的一级法人清算工作，基金管理人应予以积极协助。结算备付金、交收价差资金等的收取按照中国证券登记结算有限责任公司的规定执行。</w:t>
      </w:r>
    </w:p>
    <w:p w14:paraId="03A9DE2F"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5．若中国证监会或其他监管机构在本托管协议订立日之后允许基金从事其他投资品种的投资业务，涉及相关账户的开立、使用的，若无相关规定，</w:t>
      </w:r>
      <w:proofErr w:type="gramStart"/>
      <w:r>
        <w:rPr>
          <w:rFonts w:asciiTheme="minorEastAsia" w:hAnsiTheme="minorEastAsia" w:hint="eastAsia"/>
          <w:sz w:val="24"/>
          <w:szCs w:val="24"/>
        </w:rPr>
        <w:t>则基金</w:t>
      </w:r>
      <w:proofErr w:type="gramEnd"/>
      <w:r>
        <w:rPr>
          <w:rFonts w:asciiTheme="minorEastAsia" w:hAnsiTheme="minorEastAsia" w:hint="eastAsia"/>
          <w:sz w:val="24"/>
          <w:szCs w:val="24"/>
        </w:rPr>
        <w:t>托管人比照上述关于账户开立、使用的规定执行。</w:t>
      </w:r>
    </w:p>
    <w:p w14:paraId="26BD6560"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（五）银行间债券托管专户的开设和管理</w:t>
      </w:r>
    </w:p>
    <w:p w14:paraId="4AE6E579"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基金合同生效后，基金管理人负责以本基金的名义申请并取得进入全国银行间同业拆借市场的交易资格，并代表本基金进行交易；基金托管人负责以本基金的名义在中央国债登记结算有限责任公司开设银行间债券市场债券托管账户，并代表基金进行银行间市场债券的结算。基金管理人和基金托管人共同代表本基金签订全国银行间债券市场债券回购主协议，基金托管人保管协议正本，基金管理人保存协议副本。</w:t>
      </w:r>
    </w:p>
    <w:p w14:paraId="16FE2562"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（六）其他账户的开立和管理</w:t>
      </w:r>
    </w:p>
    <w:p w14:paraId="2EECCC96"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在本托管协议签订日之后，本基金被允许从事符合法律法规规定和《基金合</w:t>
      </w:r>
      <w:r>
        <w:rPr>
          <w:rFonts w:asciiTheme="minorEastAsia" w:hAnsiTheme="minorEastAsia" w:hint="eastAsia"/>
          <w:sz w:val="24"/>
          <w:szCs w:val="24"/>
        </w:rPr>
        <w:lastRenderedPageBreak/>
        <w:t>同》约定的其他投资品种的投资业务时，如果涉及相关账户的开设和使用，由基金管理人协助基金托管人根据有关法律法规的规定和《基金合同》的约定，开立有关账户。该账户按有关规则使用并管理。</w:t>
      </w:r>
    </w:p>
    <w:p w14:paraId="4D7161DF"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（七）基金财产投资的有关有价凭证等的保管</w:t>
      </w:r>
    </w:p>
    <w:p w14:paraId="11C47784"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基金财产投资的有关实物证券等有价凭证由基金托管人存放于基金托管人的保管库，也可存入中央国债登记结算有限责任公司、中国证券登记结算有限责任公司上海分公司</w:t>
      </w:r>
      <w:r>
        <w:rPr>
          <w:rFonts w:asciiTheme="minorEastAsia" w:hAnsiTheme="minorEastAsia"/>
          <w:sz w:val="24"/>
          <w:szCs w:val="24"/>
        </w:rPr>
        <w:t>/深圳分公司或票据营业中心的代保管库，保管凭证由基金托管人持有。实物证券等有价凭证的购买和转让，由基金管理人和基金托管人共同办理。基金托管人对由基金托管人及基金托管人委托保管的机构以外机构实际有效控制的证券不承担保管责任。</w:t>
      </w:r>
    </w:p>
    <w:p w14:paraId="3929ABB7"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（八）与基金财产有关的重大合同的保管</w:t>
      </w:r>
    </w:p>
    <w:p w14:paraId="0EAD5E21"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与基金财产有关的重大合同的签署，由基金管理人负责。由基金管理人代表基金签署的、与基金财产有关的重大合同的原件分别由基金管理人、基金托管人保管。除本协议另有规定外，基金管理人代表基金签署的与基金财产有关的重大合同包括但不限于基金年度审计合同、基金信息披露协议及基金投资业务中产生的重大合同，基金管理人应保证基金管理人和基金托管人至少各持有一份正本的原件。基金管理人应在重大合同签署后及时将重大合同传真给基金托管人，并在</w:t>
      </w:r>
      <w:r>
        <w:rPr>
          <w:rFonts w:asciiTheme="minorEastAsia" w:hAnsiTheme="minorEastAsia"/>
          <w:sz w:val="24"/>
          <w:szCs w:val="24"/>
        </w:rPr>
        <w:t>30个工作日内将正本送达基金托管人处。重大合同的保管期限为基金合同终止后15年。</w:t>
      </w:r>
    </w:p>
    <w:p w14:paraId="2C00D8E1" w14:textId="77777777" w:rsidR="00B51DEA" w:rsidRDefault="00000000">
      <w:pPr>
        <w:adjustRightInd w:val="0"/>
        <w:snapToGrid w:val="0"/>
        <w:spacing w:line="360" w:lineRule="auto"/>
        <w:ind w:firstLineChars="200" w:firstLine="482"/>
        <w:rPr>
          <w:rFonts w:asciiTheme="minorEastAsia" w:hAnsiTheme="minorEastAsia" w:cs="Arial" w:hint="eastAsia"/>
          <w:b/>
          <w:sz w:val="24"/>
          <w:szCs w:val="24"/>
        </w:rPr>
      </w:pPr>
      <w:r>
        <w:rPr>
          <w:rFonts w:asciiTheme="minorEastAsia" w:hAnsiTheme="minorEastAsia" w:cs="Arial" w:hint="eastAsia"/>
          <w:b/>
          <w:sz w:val="24"/>
          <w:szCs w:val="24"/>
        </w:rPr>
        <w:t>五、基金资产净值计算、估值和会计核算</w:t>
      </w:r>
    </w:p>
    <w:p w14:paraId="378CEEC1" w14:textId="77777777" w:rsidR="00B51DEA" w:rsidRDefault="00000000">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（一）基金资产净值的计算、复核与完成的时间及程序</w:t>
      </w:r>
    </w:p>
    <w:p w14:paraId="34B032BD"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1．基金资产净值</w:t>
      </w:r>
    </w:p>
    <w:p w14:paraId="66974138"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基金资产净值是指基金资产总值减去负债后的价值。</w:t>
      </w:r>
    </w:p>
    <w:p w14:paraId="53ADE2E6"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rPr>
        <w:t>各类基金份额净值是按照每个工作日闭市后，该类基金资产净值除以当日该类基金份额的余额数量计算，精确到</w:t>
      </w:r>
      <w:r>
        <w:rPr>
          <w:rFonts w:asciiTheme="minorEastAsia" w:hAnsiTheme="minorEastAsia"/>
          <w:bCs/>
          <w:sz w:val="24"/>
          <w:szCs w:val="20"/>
        </w:rPr>
        <w:t>0.0001</w:t>
      </w:r>
      <w:r>
        <w:rPr>
          <w:rFonts w:asciiTheme="minorEastAsia" w:hAnsiTheme="minorEastAsia" w:hint="eastAsia"/>
          <w:sz w:val="24"/>
        </w:rPr>
        <w:t>元，小数点后第</w:t>
      </w:r>
      <w:r>
        <w:rPr>
          <w:rFonts w:asciiTheme="minorEastAsia" w:hAnsiTheme="minorEastAsia"/>
          <w:bCs/>
          <w:sz w:val="24"/>
          <w:szCs w:val="20"/>
        </w:rPr>
        <w:t>5</w:t>
      </w:r>
      <w:r>
        <w:rPr>
          <w:rFonts w:asciiTheme="minorEastAsia" w:hAnsiTheme="minorEastAsia" w:hint="eastAsia"/>
          <w:sz w:val="24"/>
        </w:rPr>
        <w:t>位四舍五入。国家另有规定的，从其规定</w:t>
      </w:r>
      <w:r>
        <w:rPr>
          <w:rFonts w:asciiTheme="minorEastAsia" w:hAnsiTheme="minorEastAsia" w:hint="eastAsia"/>
          <w:sz w:val="24"/>
          <w:szCs w:val="24"/>
        </w:rPr>
        <w:t>。</w:t>
      </w:r>
    </w:p>
    <w:p w14:paraId="50E67E6D"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基金管理人每个工作日计算基金资产净值及各类基金份额净值，经基金托管人复核，按规定公告。</w:t>
      </w:r>
      <w:r>
        <w:rPr>
          <w:rFonts w:asciiTheme="minorEastAsia" w:hAnsiTheme="minorEastAsia"/>
          <w:bCs/>
          <w:sz w:val="24"/>
          <w:szCs w:val="24"/>
        </w:rPr>
        <w:t>但基金管理人根据法律法规或基金合同的规定暂停估值时除外</w:t>
      </w:r>
      <w:r>
        <w:rPr>
          <w:rFonts w:asciiTheme="minorEastAsia" w:hAnsiTheme="minorEastAsia" w:hint="eastAsia"/>
          <w:bCs/>
          <w:sz w:val="24"/>
          <w:szCs w:val="24"/>
        </w:rPr>
        <w:t>。</w:t>
      </w:r>
    </w:p>
    <w:p w14:paraId="358CF284"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lastRenderedPageBreak/>
        <w:t>2．复核程序</w:t>
      </w:r>
    </w:p>
    <w:p w14:paraId="7B408066"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基金管理人每工作日对基金资产进行估值后，将两类基金份额净值结果发送基金托管人，经基金托管人复核无误后，由基金管理人</w:t>
      </w:r>
      <w:r>
        <w:rPr>
          <w:rFonts w:asciiTheme="minorEastAsia" w:hAnsiTheme="minorEastAsia" w:hint="eastAsia"/>
          <w:bCs/>
          <w:sz w:val="24"/>
        </w:rPr>
        <w:t>按规定</w:t>
      </w:r>
      <w:r>
        <w:rPr>
          <w:rFonts w:asciiTheme="minorEastAsia" w:hAnsiTheme="minorEastAsia" w:hint="eastAsia"/>
          <w:sz w:val="24"/>
          <w:szCs w:val="24"/>
        </w:rPr>
        <w:t>对外公布。</w:t>
      </w:r>
    </w:p>
    <w:p w14:paraId="748AD013"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（二）基金资产估值方法和特殊情形的处理</w:t>
      </w:r>
    </w:p>
    <w:p w14:paraId="0C5D4F08"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1．估值对象</w:t>
      </w:r>
    </w:p>
    <w:p w14:paraId="72ADAF8F"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基金所拥有的股票、</w:t>
      </w:r>
      <w:r>
        <w:rPr>
          <w:rFonts w:hint="eastAsia"/>
          <w:bCs/>
          <w:sz w:val="24"/>
        </w:rPr>
        <w:t>存托凭证、</w:t>
      </w:r>
      <w:r>
        <w:rPr>
          <w:rFonts w:asciiTheme="minorEastAsia" w:hAnsiTheme="minorEastAsia" w:hint="eastAsia"/>
          <w:bCs/>
          <w:sz w:val="24"/>
        </w:rPr>
        <w:t>股指期货合约、国债期货合约、股票期权合约、权证、债券和银行存款本息、应收款项、其它投资等资产及负债。</w:t>
      </w:r>
    </w:p>
    <w:p w14:paraId="0C34EFFF"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2．估值方法</w:t>
      </w:r>
    </w:p>
    <w:p w14:paraId="65E7C49A"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w:t>
      </w:r>
      <w:r>
        <w:rPr>
          <w:rFonts w:asciiTheme="minorEastAsia" w:hAnsiTheme="minorEastAsia"/>
          <w:sz w:val="24"/>
          <w:szCs w:val="24"/>
        </w:rPr>
        <w:t>1）交易所上市的有价证券（包括股票、权证等），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14:paraId="076E4647"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w:t>
      </w:r>
      <w:r>
        <w:rPr>
          <w:rFonts w:asciiTheme="minorEastAsia" w:hAnsiTheme="minorEastAsia"/>
          <w:sz w:val="24"/>
          <w:szCs w:val="24"/>
        </w:rPr>
        <w:t>2）交易所市场交易的固定收益品种的估值</w:t>
      </w:r>
    </w:p>
    <w:p w14:paraId="2C8ACEB6"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1）对在交易所市场上市交易或挂牌转让的固定收益品种，选取第三方估值机构提供的相应品种当日的估值净价进行估值；</w:t>
      </w:r>
    </w:p>
    <w:p w14:paraId="6428E971"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2）对在交易所市场上市交易的可转换债券，按估值日收盘价减去可转换债券收盘价中所含债券应收利息后得到的净价进行估值；</w:t>
      </w:r>
      <w:r>
        <w:rPr>
          <w:rFonts w:asciiTheme="minorEastAsia" w:hAnsiTheme="minorEastAsia" w:cs="宋体" w:hint="eastAsia"/>
          <w:color w:val="000000"/>
          <w:sz w:val="24"/>
          <w:szCs w:val="24"/>
        </w:rPr>
        <w:t>估值日没有交易的，且最近交易日后经济环境未发生重大变化，按最近交易日债券收盘价减去债券收盘价中所含的债券应收利息得到的净价进行估值。如最近交易日后经济环境发生了重大变化的，可参考类似投资品种的现行市价及重大变化因素，调整最近交易市价，确定公允价格；</w:t>
      </w:r>
    </w:p>
    <w:p w14:paraId="10907F47"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3）对在交易所市场挂牌转让的资产支持证券，采用估值技术确定公允价值，在估值技术难以可靠计量公允价值的情况下，按成本估值；</w:t>
      </w:r>
    </w:p>
    <w:p w14:paraId="126F7780"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4）对在交易所市场发行未上市或未挂牌转让的固定收益品种，采用估值技术确定公允价值，在估值技术难以可靠计量公允价值的情况下，按成本估值。</w:t>
      </w:r>
    </w:p>
    <w:p w14:paraId="59481F86"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w:t>
      </w:r>
      <w:r>
        <w:rPr>
          <w:rFonts w:asciiTheme="minorEastAsia" w:hAnsiTheme="minorEastAsia"/>
          <w:sz w:val="24"/>
          <w:szCs w:val="24"/>
        </w:rPr>
        <w:t>3）银行间市场交易的固定收益品种的估值</w:t>
      </w:r>
    </w:p>
    <w:p w14:paraId="3EEE3018"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1）银行间市场交易的固定收益品种，选取第三方估值机构提供的相应品种</w:t>
      </w:r>
      <w:r>
        <w:rPr>
          <w:rFonts w:asciiTheme="minorEastAsia" w:hAnsiTheme="minorEastAsia"/>
          <w:sz w:val="24"/>
          <w:szCs w:val="24"/>
        </w:rPr>
        <w:lastRenderedPageBreak/>
        <w:t>当日的估值净价进行估值。</w:t>
      </w:r>
    </w:p>
    <w:p w14:paraId="52B7EF72"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2）对银行间市场未上市，且第三方估值机构未提供估值价格的固定收益品</w:t>
      </w:r>
      <w:r>
        <w:rPr>
          <w:rFonts w:asciiTheme="minorEastAsia" w:hAnsiTheme="minorEastAsia" w:hint="eastAsia"/>
          <w:sz w:val="24"/>
          <w:szCs w:val="24"/>
        </w:rPr>
        <w:t>种，按成本估值。</w:t>
      </w:r>
    </w:p>
    <w:p w14:paraId="7569C360"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w:t>
      </w:r>
      <w:r>
        <w:rPr>
          <w:rFonts w:asciiTheme="minorEastAsia" w:hAnsiTheme="minorEastAsia"/>
          <w:sz w:val="24"/>
          <w:szCs w:val="24"/>
        </w:rPr>
        <w:t>4）处于未上市期间的有价证券应区分如下情况处理：</w:t>
      </w:r>
    </w:p>
    <w:p w14:paraId="75792758"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1）送股、转增股、配股和公开增发的新股，按估值日在证券交易所挂牌的同一股票的估值方法估值；该日无交易的，以最近一日的市价（收盘价）估值；</w:t>
      </w:r>
    </w:p>
    <w:p w14:paraId="43E74358"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2）首次公开发行未上市的股票、债券和权证，采用估值技术确定公允价值，在估值技术难以可靠计量公允价值的情况下，按成本估值；</w:t>
      </w:r>
    </w:p>
    <w:p w14:paraId="1A0F61DC"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3）首次公开发行有明确锁定期的股票，同一股票在交易所上市后，按交易所上市的同一股票的估值方法估值；非公开发行有明确锁定期的股票，按监管机构或行业协会有关规定确定公允价值。</w:t>
      </w:r>
    </w:p>
    <w:p w14:paraId="5B29F50F"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w:t>
      </w:r>
      <w:r>
        <w:rPr>
          <w:rFonts w:asciiTheme="minorEastAsia" w:hAnsiTheme="minorEastAsia"/>
          <w:sz w:val="24"/>
          <w:szCs w:val="24"/>
        </w:rPr>
        <w:t>5）同一债券同时在两个或两个以上市场交易的，按债券所处的市场分别估值。</w:t>
      </w:r>
    </w:p>
    <w:p w14:paraId="73AB2CDE"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w:t>
      </w:r>
      <w:r>
        <w:rPr>
          <w:rFonts w:asciiTheme="minorEastAsia" w:hAnsiTheme="minorEastAsia"/>
          <w:sz w:val="24"/>
          <w:szCs w:val="24"/>
        </w:rPr>
        <w:t>6）本基金投资股指期货、国债期货合约，一般以估值当日结算价进行估值，估值当日无结算价的，且最近交易日后经济环境未发生重大变化的，采用最近交易日结算价估值。</w:t>
      </w:r>
    </w:p>
    <w:p w14:paraId="08E53A7C"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w:t>
      </w:r>
      <w:r>
        <w:rPr>
          <w:rFonts w:asciiTheme="minorEastAsia" w:hAnsiTheme="minorEastAsia"/>
          <w:sz w:val="24"/>
          <w:szCs w:val="24"/>
        </w:rPr>
        <w:t>7）中小企业私募债券，采用估值技术确定公允价值。在估值技术难以可靠计量公允价值的情况下，按成本估值。</w:t>
      </w:r>
    </w:p>
    <w:p w14:paraId="5D016802"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w:t>
      </w:r>
      <w:r>
        <w:rPr>
          <w:rFonts w:asciiTheme="minorEastAsia" w:hAnsiTheme="minorEastAsia"/>
          <w:sz w:val="24"/>
          <w:szCs w:val="24"/>
        </w:rPr>
        <w:t>8）本基金投资股票期权，根据相关法律法规以及监管部门的规定估值。</w:t>
      </w:r>
    </w:p>
    <w:p w14:paraId="1A000113" w14:textId="77777777" w:rsidR="00B51DEA" w:rsidRDefault="00000000">
      <w:pPr>
        <w:spacing w:line="360" w:lineRule="auto"/>
        <w:ind w:firstLineChars="200" w:firstLine="480"/>
        <w:rPr>
          <w:rFonts w:ascii="宋体" w:hAnsi="宋体" w:hint="eastAsia"/>
          <w:sz w:val="24"/>
          <w:szCs w:val="24"/>
        </w:rPr>
      </w:pPr>
      <w:r>
        <w:rPr>
          <w:rFonts w:asciiTheme="minorEastAsia" w:hAnsiTheme="minorEastAsia" w:hint="eastAsia"/>
          <w:sz w:val="24"/>
          <w:szCs w:val="24"/>
        </w:rPr>
        <w:t>（</w:t>
      </w:r>
      <w:r>
        <w:rPr>
          <w:rFonts w:asciiTheme="minorEastAsia" w:hAnsiTheme="minorEastAsia"/>
          <w:sz w:val="24"/>
          <w:szCs w:val="24"/>
        </w:rPr>
        <w:t>9）</w:t>
      </w:r>
      <w:r>
        <w:rPr>
          <w:rFonts w:ascii="宋体" w:hAnsi="宋体" w:hint="eastAsia"/>
          <w:sz w:val="24"/>
          <w:szCs w:val="24"/>
        </w:rPr>
        <w:t>本基金投资存托凭证的估值核算，依照境内上市交易的股票执行。</w:t>
      </w:r>
    </w:p>
    <w:p w14:paraId="0D360268" w14:textId="77777777" w:rsidR="00B51DEA" w:rsidRDefault="00000000">
      <w:pPr>
        <w:spacing w:line="360" w:lineRule="auto"/>
        <w:ind w:firstLineChars="200" w:firstLine="480"/>
        <w:rPr>
          <w:rFonts w:asciiTheme="minorEastAsia" w:hAnsiTheme="minorEastAsia" w:hint="eastAsia"/>
          <w:sz w:val="24"/>
          <w:szCs w:val="24"/>
        </w:rPr>
      </w:pPr>
      <w:r>
        <w:rPr>
          <w:rFonts w:ascii="宋体" w:hAnsi="宋体" w:hint="eastAsia"/>
          <w:sz w:val="24"/>
          <w:szCs w:val="24"/>
        </w:rPr>
        <w:t>（10）</w:t>
      </w:r>
      <w:r>
        <w:rPr>
          <w:rFonts w:asciiTheme="minorEastAsia" w:hAnsiTheme="minorEastAsia"/>
          <w:sz w:val="24"/>
          <w:szCs w:val="24"/>
        </w:rPr>
        <w:t>如有确凿证据表明按上述方法进行估值不能客观反映其公允价值的，基金管理人可根据具体情况与基金托管人商定后，按最能反映公允价值的价格估值。</w:t>
      </w:r>
    </w:p>
    <w:p w14:paraId="6C0714B7"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（11）当本基金发生大额申购或赎回情形时，基金管理人可以对本基金采用摆动定价机制，以确保基金估值的公平性。</w:t>
      </w:r>
    </w:p>
    <w:p w14:paraId="66B28E83" w14:textId="77777777" w:rsidR="00B51DEA" w:rsidRDefault="00000000">
      <w:pPr>
        <w:autoSpaceDE w:val="0"/>
        <w:autoSpaceDN w:val="0"/>
        <w:spacing w:line="360" w:lineRule="auto"/>
        <w:ind w:firstLineChars="200" w:firstLine="480"/>
        <w:textAlignment w:val="bottom"/>
        <w:rPr>
          <w:rFonts w:asciiTheme="minorEastAsia" w:hAnsiTheme="minorEastAsia" w:hint="eastAsia"/>
          <w:bCs/>
          <w:sz w:val="24"/>
        </w:rPr>
      </w:pPr>
      <w:r>
        <w:rPr>
          <w:rFonts w:asciiTheme="minorEastAsia" w:hAnsiTheme="minorEastAsia" w:hint="eastAsia"/>
          <w:bCs/>
          <w:sz w:val="24"/>
        </w:rPr>
        <w:t>（12）相关法律法规以及监管部门有强制规定的，从其规定。如有新增事项，按国家最新规定估值。</w:t>
      </w:r>
    </w:p>
    <w:p w14:paraId="6B12364B" w14:textId="77777777" w:rsidR="00B51DEA" w:rsidRDefault="00000000">
      <w:pPr>
        <w:spacing w:line="360" w:lineRule="auto"/>
        <w:ind w:firstLineChars="200" w:firstLine="480"/>
        <w:rPr>
          <w:rFonts w:asciiTheme="minorEastAsia" w:hAnsiTheme="minorEastAsia" w:hint="eastAsia"/>
          <w:sz w:val="24"/>
        </w:rPr>
      </w:pPr>
      <w:r>
        <w:rPr>
          <w:rFonts w:asciiTheme="minorEastAsia" w:hAnsiTheme="minorEastAsia" w:hint="eastAsia"/>
          <w:sz w:val="24"/>
        </w:rPr>
        <w:t>如基金管理人或基金托管人发现基金估值违反基金合同订明的估值方法、程序及相关法律法规的规定或者未能充分维护基金份额持有人利益时，应立即通知</w:t>
      </w:r>
      <w:r>
        <w:rPr>
          <w:rFonts w:asciiTheme="minorEastAsia" w:hAnsiTheme="minorEastAsia" w:hint="eastAsia"/>
          <w:sz w:val="24"/>
        </w:rPr>
        <w:lastRenderedPageBreak/>
        <w:t>对方，共同查明原因，双方协商解决。</w:t>
      </w:r>
    </w:p>
    <w:p w14:paraId="34B9BB01"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资产净值的计算结果对外予以公布。</w:t>
      </w:r>
    </w:p>
    <w:p w14:paraId="5447F499" w14:textId="77777777" w:rsidR="00B51DEA" w:rsidRDefault="00000000">
      <w:pPr>
        <w:tabs>
          <w:tab w:val="left" w:pos="3375"/>
          <w:tab w:val="left" w:pos="4920"/>
        </w:tabs>
        <w:spacing w:line="360" w:lineRule="auto"/>
        <w:ind w:firstLineChars="200" w:firstLine="480"/>
        <w:rPr>
          <w:rFonts w:asciiTheme="minorEastAsia" w:hAnsiTheme="minorEastAsia" w:hint="eastAsia"/>
          <w:sz w:val="24"/>
          <w:szCs w:val="24"/>
        </w:rPr>
      </w:pPr>
      <w:r>
        <w:rPr>
          <w:rFonts w:asciiTheme="minorEastAsia" w:hAnsiTheme="minorEastAsia"/>
          <w:sz w:val="24"/>
          <w:szCs w:val="24"/>
        </w:rPr>
        <w:t>3．特殊情形的处理</w:t>
      </w:r>
      <w:r>
        <w:rPr>
          <w:rFonts w:asciiTheme="minorEastAsia" w:hAnsiTheme="minorEastAsia"/>
          <w:sz w:val="24"/>
          <w:szCs w:val="24"/>
        </w:rPr>
        <w:tab/>
      </w:r>
      <w:r>
        <w:rPr>
          <w:rFonts w:asciiTheme="minorEastAsia" w:hAnsiTheme="minorEastAsia"/>
          <w:sz w:val="24"/>
          <w:szCs w:val="24"/>
        </w:rPr>
        <w:tab/>
      </w:r>
    </w:p>
    <w:p w14:paraId="677F6640" w14:textId="77777777" w:rsidR="00B51DEA" w:rsidRDefault="00000000">
      <w:pPr>
        <w:spacing w:line="360" w:lineRule="auto"/>
        <w:ind w:firstLineChars="200" w:firstLine="480"/>
        <w:rPr>
          <w:rFonts w:asciiTheme="minorEastAsia" w:hAnsiTheme="minorEastAsia" w:hint="eastAsia"/>
          <w:bCs/>
          <w:sz w:val="24"/>
          <w:szCs w:val="20"/>
        </w:rPr>
      </w:pPr>
      <w:r>
        <w:rPr>
          <w:rFonts w:asciiTheme="minorEastAsia" w:hAnsiTheme="minorEastAsia" w:hint="eastAsia"/>
          <w:sz w:val="24"/>
          <w:szCs w:val="24"/>
        </w:rPr>
        <w:t>基金管理人、基金托管人</w:t>
      </w:r>
      <w:r>
        <w:rPr>
          <w:rFonts w:asciiTheme="minorEastAsia" w:hAnsiTheme="minorEastAsia" w:hint="eastAsia"/>
          <w:bCs/>
          <w:sz w:val="24"/>
          <w:szCs w:val="20"/>
        </w:rPr>
        <w:t>按估值方法的第（10）项条款进行估值时，所造成的误差不作为基金资产估值错误处理。</w:t>
      </w:r>
    </w:p>
    <w:p w14:paraId="1D8288D5" w14:textId="77777777" w:rsidR="00B51DEA" w:rsidRDefault="00000000">
      <w:pPr>
        <w:spacing w:line="360" w:lineRule="auto"/>
        <w:ind w:firstLineChars="200" w:firstLine="480"/>
        <w:rPr>
          <w:rFonts w:asciiTheme="minorEastAsia" w:hAnsiTheme="minorEastAsia" w:hint="eastAsia"/>
          <w:bCs/>
          <w:sz w:val="24"/>
          <w:szCs w:val="20"/>
        </w:rPr>
      </w:pPr>
      <w:r>
        <w:rPr>
          <w:rFonts w:asciiTheme="minorEastAsia" w:hAnsiTheme="minorEastAsia" w:hint="eastAsia"/>
          <w:bCs/>
          <w:sz w:val="24"/>
          <w:szCs w:val="20"/>
        </w:rPr>
        <w:t>由于不可抗力原因，或由于证券交易所、登记结算公司等机构发送的数据错误等原因，基金管理人和基金托管人虽然已经采取必要、适当、合理的措施进行检查，但是未能发现该错误的，由此造成的基金资产估值错误，基金管理人和基金托管人免除赔偿责任。但基金管理人和基金托管人应当积极采取必要的措施消除或减轻由此造成的影响。</w:t>
      </w:r>
    </w:p>
    <w:p w14:paraId="33C81637"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（三）基金份额净值错误的处理方式</w:t>
      </w:r>
    </w:p>
    <w:p w14:paraId="1E0916B9"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1．当基金份额净值小数点后4</w:t>
      </w:r>
      <w:r>
        <w:rPr>
          <w:rFonts w:asciiTheme="minorEastAsia" w:hAnsiTheme="minorEastAsia" w:hint="eastAsia"/>
          <w:sz w:val="24"/>
          <w:szCs w:val="24"/>
        </w:rPr>
        <w:t>位以内（含第</w:t>
      </w:r>
      <w:r>
        <w:rPr>
          <w:rFonts w:asciiTheme="minorEastAsia" w:hAnsiTheme="minorEastAsia"/>
          <w:sz w:val="24"/>
          <w:szCs w:val="24"/>
        </w:rPr>
        <w:t>4</w:t>
      </w:r>
      <w:r>
        <w:rPr>
          <w:rFonts w:asciiTheme="minorEastAsia" w:hAnsiTheme="minorEastAsia" w:hint="eastAsia"/>
          <w:sz w:val="24"/>
          <w:szCs w:val="24"/>
        </w:rPr>
        <w:t>位）发生差错时，视为基金份额净值错误；基金份额净值出现错误时，基金管理人应当立即予以纠正，通报基金托管人，并采取合理的措施防止损失进一步扩大；错误偏差达到基金份额净值的</w:t>
      </w:r>
      <w:r>
        <w:rPr>
          <w:rFonts w:asciiTheme="minorEastAsia" w:hAnsiTheme="minorEastAsia"/>
          <w:sz w:val="24"/>
          <w:szCs w:val="24"/>
        </w:rPr>
        <w:t>0.25%时，基金管理人应当通报基金托管人并报中国证监会备案；错误偏差达到基金份额净值的0.50%时，基金管理人应当公告。</w:t>
      </w:r>
    </w:p>
    <w:p w14:paraId="5DB96968"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 xml:space="preserve">2. </w:t>
      </w:r>
      <w:r>
        <w:rPr>
          <w:rFonts w:asciiTheme="minorEastAsia" w:hAnsiTheme="minorEastAsia" w:hint="eastAsia"/>
          <w:bCs/>
          <w:sz w:val="24"/>
        </w:rPr>
        <w:t>当基金份额净值计算差错给基金和基金份额持有人造成损失需要进行赔偿时，基金管理人和基金托管人应根据实际情况界定双方承担的责任，经确认后按以下条款进行赔偿：</w:t>
      </w:r>
    </w:p>
    <w:p w14:paraId="2D0DAF72" w14:textId="77777777" w:rsidR="00B51DEA" w:rsidRDefault="00000000">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1）</w:t>
      </w:r>
      <w:r>
        <w:rPr>
          <w:rFonts w:asciiTheme="minorEastAsia" w:hAnsiTheme="minorEastAsia" w:hint="eastAsia"/>
          <w:bCs/>
          <w:sz w:val="24"/>
        </w:rPr>
        <w:t>本基金的基金会计责任方由基金管理人担任，与本基金有关的会计问题，如经双方在平等基础上充分讨论后，尚不能达成一致时，按基金管理人的建议执行，由此给基金份额持有人和基金财产造成的损失，由基金管理人负责赔付，基金托管人不承担赔偿责任。</w:t>
      </w:r>
    </w:p>
    <w:p w14:paraId="01107B24" w14:textId="77777777" w:rsidR="00B51DEA" w:rsidRDefault="00000000">
      <w:pPr>
        <w:spacing w:line="360" w:lineRule="auto"/>
        <w:ind w:right="28" w:firstLineChars="200" w:firstLine="480"/>
        <w:rPr>
          <w:rFonts w:asciiTheme="minorEastAsia" w:hAnsiTheme="minorEastAsia" w:hint="eastAsia"/>
          <w:sz w:val="24"/>
          <w:szCs w:val="24"/>
        </w:rPr>
      </w:pPr>
      <w:r>
        <w:rPr>
          <w:rFonts w:asciiTheme="minorEastAsia" w:hAnsiTheme="minorEastAsia" w:hint="eastAsia"/>
          <w:bCs/>
          <w:sz w:val="24"/>
        </w:rPr>
        <w:t>（</w:t>
      </w:r>
      <w:r>
        <w:rPr>
          <w:rFonts w:asciiTheme="minorEastAsia" w:hAnsiTheme="minorEastAsia"/>
          <w:bCs/>
          <w:sz w:val="24"/>
        </w:rPr>
        <w:t>2）</w:t>
      </w:r>
      <w:proofErr w:type="gramStart"/>
      <w:r>
        <w:rPr>
          <w:rFonts w:asciiTheme="minorEastAsia" w:hAnsiTheme="minorEastAsia" w:hint="eastAsia"/>
          <w:bCs/>
          <w:sz w:val="24"/>
        </w:rPr>
        <w:t>若基金</w:t>
      </w:r>
      <w:proofErr w:type="gramEnd"/>
      <w:r>
        <w:rPr>
          <w:rFonts w:asciiTheme="minorEastAsia" w:hAnsiTheme="minorEastAsia" w:hint="eastAsia"/>
          <w:bCs/>
          <w:sz w:val="24"/>
        </w:rPr>
        <w:t>管理人计算的基金份额净值已由基金托管人复核确认后公告，由此给基金份额持有人造成损失的，应根据法律法规的规定对投资者或基金支付赔偿金，就实际向投资者或基金支付的赔偿金额，基金管理人与基金托管人</w:t>
      </w:r>
      <w:r>
        <w:rPr>
          <w:rFonts w:asciiTheme="minorEastAsia" w:hAnsiTheme="minorEastAsia" w:hint="eastAsia"/>
          <w:bCs/>
          <w:sz w:val="24"/>
        </w:rPr>
        <w:lastRenderedPageBreak/>
        <w:t>按照过错程度各自承担相应的责任，</w:t>
      </w:r>
      <w:r>
        <w:rPr>
          <w:rFonts w:asciiTheme="minorEastAsia" w:hAnsiTheme="minorEastAsia" w:hint="eastAsia"/>
          <w:sz w:val="24"/>
        </w:rPr>
        <w:t>基金管理人和基金托管人有权向获得不当得利之主体主张返还不当得利。</w:t>
      </w:r>
    </w:p>
    <w:p w14:paraId="7050B592" w14:textId="77777777" w:rsidR="00B51DEA" w:rsidRDefault="00000000">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3）</w:t>
      </w:r>
      <w:r>
        <w:rPr>
          <w:rFonts w:asciiTheme="minorEastAsia" w:hAnsiTheme="minorEastAsia" w:hint="eastAsia"/>
          <w:bCs/>
          <w:sz w:val="24"/>
        </w:rPr>
        <w:t>如基金管理人和基金托管人对基金份额净值的计算结果，虽然多次重新计算和核对或对基金管理人采用的估值方法，尚不能达成一致时，为避免不能按时公布基金份额净值的情形，以基金管理人的计算结果对外公布，由此给基金份额持有人和基金造成的损失，由基金管理人负责赔付，基金托管人不承担赔偿责任。</w:t>
      </w:r>
    </w:p>
    <w:p w14:paraId="6352834C" w14:textId="77777777" w:rsidR="00B51DEA" w:rsidRDefault="00000000">
      <w:pPr>
        <w:spacing w:line="360" w:lineRule="auto"/>
        <w:ind w:firstLineChars="200" w:firstLine="480"/>
        <w:rPr>
          <w:rFonts w:asciiTheme="minorEastAsia" w:hAnsiTheme="minorEastAsia" w:hint="eastAsia"/>
          <w:bCs/>
          <w:sz w:val="24"/>
        </w:rPr>
      </w:pPr>
      <w:r>
        <w:rPr>
          <w:rFonts w:asciiTheme="minorEastAsia" w:hAnsiTheme="minorEastAsia" w:hint="eastAsia"/>
          <w:bCs/>
          <w:sz w:val="24"/>
        </w:rPr>
        <w:t>（</w:t>
      </w:r>
      <w:r>
        <w:rPr>
          <w:rFonts w:asciiTheme="minorEastAsia" w:hAnsiTheme="minorEastAsia"/>
          <w:bCs/>
          <w:sz w:val="24"/>
        </w:rPr>
        <w:t>4）</w:t>
      </w:r>
      <w:r>
        <w:rPr>
          <w:rFonts w:asciiTheme="minorEastAsia" w:hAnsiTheme="minorEastAsia" w:hint="eastAsia"/>
          <w:bCs/>
          <w:sz w:val="24"/>
        </w:rPr>
        <w:t>由于基金管理人提供的信息错误（包括但不限于基金申购或赎回金额等），进而导致基金份额净值计算错误而引起的基金份额持有人和基金财产的损失，由基金管理人负责赔付，基金托管人不承担赔偿责任。</w:t>
      </w:r>
    </w:p>
    <w:p w14:paraId="6F83D725" w14:textId="77777777" w:rsidR="00B51DEA" w:rsidRDefault="00000000">
      <w:pPr>
        <w:spacing w:line="360" w:lineRule="auto"/>
        <w:ind w:firstLineChars="200" w:firstLine="480"/>
        <w:rPr>
          <w:rFonts w:asciiTheme="minorEastAsia" w:hAnsiTheme="minorEastAsia" w:hint="eastAsia"/>
          <w:bCs/>
          <w:sz w:val="24"/>
        </w:rPr>
      </w:pPr>
      <w:r>
        <w:rPr>
          <w:rFonts w:asciiTheme="minorEastAsia" w:hAnsiTheme="minorEastAsia"/>
          <w:sz w:val="24"/>
          <w:szCs w:val="24"/>
        </w:rPr>
        <w:t>3.</w:t>
      </w:r>
      <w:r>
        <w:rPr>
          <w:rFonts w:asciiTheme="minorEastAsia" w:hAnsiTheme="minorEastAsia" w:hint="eastAsia"/>
          <w:bCs/>
          <w:sz w:val="24"/>
        </w:rPr>
        <w:t>基金管理人和基金托管人由于各自技术系统设置而产生的净值计算尾差，以基金管理人计算结果为准。</w:t>
      </w:r>
    </w:p>
    <w:p w14:paraId="2FE18CCB" w14:textId="77777777" w:rsidR="00B51DEA" w:rsidRDefault="00000000">
      <w:pPr>
        <w:spacing w:line="360" w:lineRule="auto"/>
        <w:ind w:firstLineChars="200" w:firstLine="480"/>
        <w:rPr>
          <w:rFonts w:asciiTheme="minorEastAsia" w:hAnsiTheme="minorEastAsia" w:hint="eastAsia"/>
          <w:bCs/>
          <w:sz w:val="24"/>
        </w:rPr>
      </w:pPr>
      <w:r>
        <w:rPr>
          <w:rFonts w:asciiTheme="minorEastAsia" w:hAnsiTheme="minorEastAsia"/>
          <w:sz w:val="24"/>
          <w:szCs w:val="24"/>
        </w:rPr>
        <w:t>4.</w:t>
      </w:r>
      <w:r>
        <w:rPr>
          <w:rFonts w:asciiTheme="minorEastAsia" w:hAnsiTheme="minorEastAsia" w:hint="eastAsia"/>
          <w:sz w:val="24"/>
        </w:rPr>
        <w:t>前述内容如法律法规</w:t>
      </w:r>
      <w:r>
        <w:rPr>
          <w:rFonts w:asciiTheme="minorEastAsia" w:hAnsiTheme="minorEastAsia" w:hint="eastAsia"/>
          <w:bCs/>
          <w:sz w:val="24"/>
          <w:szCs w:val="20"/>
        </w:rPr>
        <w:t>或</w:t>
      </w:r>
      <w:r>
        <w:rPr>
          <w:rFonts w:asciiTheme="minorEastAsia" w:hAnsiTheme="minorEastAsia" w:hint="eastAsia"/>
          <w:sz w:val="24"/>
        </w:rPr>
        <w:t>监管</w:t>
      </w:r>
      <w:r>
        <w:rPr>
          <w:rFonts w:asciiTheme="minorEastAsia" w:hAnsiTheme="minorEastAsia" w:hint="eastAsia"/>
          <w:bCs/>
          <w:sz w:val="24"/>
          <w:szCs w:val="20"/>
        </w:rPr>
        <w:t>机关</w:t>
      </w:r>
      <w:r>
        <w:rPr>
          <w:rFonts w:asciiTheme="minorEastAsia" w:hAnsiTheme="minorEastAsia" w:hint="eastAsia"/>
          <w:sz w:val="24"/>
        </w:rPr>
        <w:t>另有规定的，从其规定</w:t>
      </w:r>
      <w:r>
        <w:rPr>
          <w:rFonts w:asciiTheme="minorEastAsia" w:hAnsiTheme="minorEastAsia" w:hint="eastAsia"/>
          <w:bCs/>
          <w:sz w:val="24"/>
          <w:szCs w:val="20"/>
        </w:rPr>
        <w:t>处理</w:t>
      </w:r>
      <w:r>
        <w:rPr>
          <w:rFonts w:asciiTheme="minorEastAsia" w:hAnsiTheme="minorEastAsia" w:hint="eastAsia"/>
          <w:sz w:val="24"/>
        </w:rPr>
        <w:t>。</w:t>
      </w:r>
      <w:r>
        <w:rPr>
          <w:rFonts w:asciiTheme="minorEastAsia" w:hAnsiTheme="minorEastAsia" w:hint="eastAsia"/>
          <w:bCs/>
          <w:sz w:val="24"/>
        </w:rPr>
        <w:t>如果行业另有通行做法，双方当事人应本着平等和保护基金份额持有人利益的原则进行协商。</w:t>
      </w:r>
    </w:p>
    <w:p w14:paraId="7AE32661"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（四）暂停估值的情形</w:t>
      </w:r>
    </w:p>
    <w:p w14:paraId="774440E2" w14:textId="77777777" w:rsidR="00B51DEA" w:rsidRDefault="00000000">
      <w:pPr>
        <w:spacing w:line="360" w:lineRule="auto"/>
        <w:ind w:firstLineChars="200" w:firstLine="480"/>
        <w:rPr>
          <w:rFonts w:asciiTheme="minorEastAsia" w:hAnsiTheme="minorEastAsia" w:hint="eastAsia"/>
          <w:sz w:val="24"/>
        </w:rPr>
      </w:pPr>
      <w:r>
        <w:rPr>
          <w:rFonts w:asciiTheme="minorEastAsia" w:hAnsiTheme="minorEastAsia"/>
          <w:sz w:val="24"/>
          <w:szCs w:val="24"/>
        </w:rPr>
        <w:t>1.</w:t>
      </w:r>
      <w:r>
        <w:rPr>
          <w:rFonts w:asciiTheme="minorEastAsia" w:hAnsiTheme="minorEastAsia" w:hint="eastAsia"/>
          <w:sz w:val="24"/>
        </w:rPr>
        <w:t>基金投资所涉及的证券、期货交易市场遇法定节假日或因其他原因暂停营业时；</w:t>
      </w:r>
    </w:p>
    <w:p w14:paraId="107A22CE" w14:textId="77777777" w:rsidR="00B51DEA" w:rsidRDefault="00000000">
      <w:pPr>
        <w:spacing w:line="360" w:lineRule="auto"/>
        <w:ind w:firstLineChars="200" w:firstLine="480"/>
        <w:rPr>
          <w:rFonts w:asciiTheme="minorEastAsia" w:hAnsiTheme="minorEastAsia" w:hint="eastAsia"/>
          <w:sz w:val="24"/>
        </w:rPr>
      </w:pPr>
      <w:r>
        <w:rPr>
          <w:rFonts w:asciiTheme="minorEastAsia" w:hAnsiTheme="minorEastAsia"/>
          <w:sz w:val="24"/>
          <w:szCs w:val="24"/>
        </w:rPr>
        <w:t>2.</w:t>
      </w:r>
      <w:r>
        <w:rPr>
          <w:rFonts w:asciiTheme="minorEastAsia" w:hAnsiTheme="minorEastAsia" w:hint="eastAsia"/>
          <w:sz w:val="24"/>
        </w:rPr>
        <w:t>因不可抗力致使基金管理人、基金托管人无法准确评估基金资产价值时；</w:t>
      </w:r>
    </w:p>
    <w:p w14:paraId="3895E053" w14:textId="77777777" w:rsidR="00B51DEA" w:rsidRDefault="00000000">
      <w:pPr>
        <w:spacing w:line="360" w:lineRule="auto"/>
        <w:ind w:firstLineChars="200" w:firstLine="480"/>
        <w:rPr>
          <w:rFonts w:asciiTheme="minorEastAsia" w:hAnsiTheme="minorEastAsia" w:hint="eastAsia"/>
          <w:sz w:val="24"/>
        </w:rPr>
      </w:pPr>
      <w:r>
        <w:rPr>
          <w:rFonts w:asciiTheme="minorEastAsia" w:hAnsiTheme="minorEastAsia"/>
          <w:sz w:val="24"/>
          <w:szCs w:val="24"/>
        </w:rPr>
        <w:t>3.</w:t>
      </w:r>
      <w:r>
        <w:rPr>
          <w:rFonts w:asciiTheme="minorEastAsia" w:hAnsiTheme="minorEastAsia" w:hint="eastAsia"/>
          <w:sz w:val="24"/>
          <w:szCs w:val="24"/>
        </w:rPr>
        <w:t>法律法规、</w:t>
      </w:r>
      <w:r>
        <w:rPr>
          <w:rFonts w:asciiTheme="minorEastAsia" w:hAnsiTheme="minorEastAsia" w:hint="eastAsia"/>
          <w:sz w:val="24"/>
        </w:rPr>
        <w:t>中国证监会和基金合同认定的其它情形。</w:t>
      </w:r>
    </w:p>
    <w:p w14:paraId="68CB9F6D"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（五）基金会计制度</w:t>
      </w:r>
    </w:p>
    <w:p w14:paraId="66AFF92E"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按国家有关部门规定的会计制度执行。</w:t>
      </w:r>
    </w:p>
    <w:p w14:paraId="07F738B9"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（六）基金账册的建立</w:t>
      </w:r>
    </w:p>
    <w:p w14:paraId="3247D0F9"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基金管理人进行基金会计核算并编制基金财务会计报告。基金管理人独立地设置、记录和保管本基金的全套账册。</w:t>
      </w:r>
      <w:proofErr w:type="gramStart"/>
      <w:r>
        <w:rPr>
          <w:rFonts w:asciiTheme="minorEastAsia" w:hAnsiTheme="minorEastAsia" w:hint="eastAsia"/>
          <w:sz w:val="24"/>
          <w:szCs w:val="24"/>
        </w:rPr>
        <w:t>若基金</w:t>
      </w:r>
      <w:proofErr w:type="gramEnd"/>
      <w:r>
        <w:rPr>
          <w:rFonts w:asciiTheme="minorEastAsia" w:hAnsiTheme="minorEastAsia" w:hint="eastAsia"/>
          <w:sz w:val="24"/>
          <w:szCs w:val="24"/>
        </w:rPr>
        <w:t>管理人和基金托管人对会计处理方法存在分歧，应以基金管理人的处理方法为准。若当日核对不符，暂时无法查找到错账的原因而影响到基金资产净值的计算和公告的，以基金管理人的账册为准。</w:t>
      </w:r>
    </w:p>
    <w:p w14:paraId="0828AA0A"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（七）基金财务报表与报告的编制和复核</w:t>
      </w:r>
    </w:p>
    <w:p w14:paraId="1B100359"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1．财务报表的编制</w:t>
      </w:r>
    </w:p>
    <w:p w14:paraId="505D2C45"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基金财务报表由基金管理人编制，基金托管人复核。</w:t>
      </w:r>
    </w:p>
    <w:p w14:paraId="21784316"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lastRenderedPageBreak/>
        <w:t>2．报表复核</w:t>
      </w:r>
    </w:p>
    <w:p w14:paraId="1DB26BAD"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基金托管人在收到基金管理人编制的基金财务报表后，进行独立的复核。核对不符时，应及时通知基金管理人共同查出原因，进行调整，直至双方数据完全一致。</w:t>
      </w:r>
    </w:p>
    <w:p w14:paraId="60D986AA"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3．财务报表的编制与复核时间安排</w:t>
      </w:r>
    </w:p>
    <w:p w14:paraId="14101827"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w:t>
      </w:r>
      <w:r>
        <w:rPr>
          <w:rFonts w:asciiTheme="minorEastAsia" w:hAnsiTheme="minorEastAsia"/>
          <w:sz w:val="24"/>
          <w:szCs w:val="24"/>
        </w:rPr>
        <w:t>1）报表的编制</w:t>
      </w:r>
    </w:p>
    <w:p w14:paraId="487B5554"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基金管理人应当在每月结束后</w:t>
      </w:r>
      <w:r>
        <w:rPr>
          <w:rFonts w:asciiTheme="minorEastAsia" w:hAnsiTheme="minorEastAsia"/>
          <w:sz w:val="24"/>
          <w:szCs w:val="24"/>
        </w:rPr>
        <w:t>5个工作日内完成月度报表的编制；在每个季度结束之日起15个工作日内完成基金季度报告的编制；在上半年结束之日起</w:t>
      </w:r>
      <w:r>
        <w:rPr>
          <w:rFonts w:asciiTheme="minorEastAsia" w:hAnsiTheme="minorEastAsia" w:hint="eastAsia"/>
          <w:sz w:val="24"/>
          <w:szCs w:val="24"/>
        </w:rPr>
        <w:t>两个月内完成基金中期报告的编制；在每年结束之日起三个月内完成基金年度报告的编制。基金年度报告的财务会计报告应当经过审计。基金合同生效不足两个月的，基金管理人可以不编制当期季度报告、中期报告或者年度报告。</w:t>
      </w:r>
    </w:p>
    <w:p w14:paraId="3E854418"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w:t>
      </w:r>
      <w:r>
        <w:rPr>
          <w:rFonts w:asciiTheme="minorEastAsia" w:hAnsiTheme="minorEastAsia"/>
          <w:sz w:val="24"/>
          <w:szCs w:val="24"/>
        </w:rPr>
        <w:t>2）报表的复核</w:t>
      </w:r>
    </w:p>
    <w:p w14:paraId="199218A0"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基金管理人应及时完成报表编制，将有关报表提供基金托管人复核；基金托管人在复核过程中，发现双方的报表存在不符时，基金管理人和基金托管人应共同查明原因，进行调整，调整以国家有关规定为准。</w:t>
      </w:r>
    </w:p>
    <w:p w14:paraId="14C765AE" w14:textId="77777777" w:rsidR="00B51DEA" w:rsidRDefault="00000000">
      <w:pPr>
        <w:adjustRightInd w:val="0"/>
        <w:snapToGrid w:val="0"/>
        <w:spacing w:line="360" w:lineRule="auto"/>
        <w:ind w:firstLineChars="200" w:firstLine="480"/>
        <w:rPr>
          <w:rFonts w:asciiTheme="minorEastAsia" w:hAnsiTheme="minorEastAsia" w:cs="Arial" w:hint="eastAsia"/>
          <w:b/>
          <w:sz w:val="24"/>
          <w:szCs w:val="24"/>
        </w:rPr>
      </w:pPr>
      <w:r>
        <w:rPr>
          <w:rFonts w:asciiTheme="minorEastAsia" w:hAnsiTheme="minorEastAsia" w:hint="eastAsia"/>
          <w:sz w:val="24"/>
          <w:szCs w:val="24"/>
        </w:rPr>
        <w:t>基金管理人应留足充分的时间，便于基金托管人复核相关报表及报告。</w:t>
      </w:r>
    </w:p>
    <w:p w14:paraId="4094767D" w14:textId="77777777" w:rsidR="00B51DEA" w:rsidRDefault="00000000">
      <w:pPr>
        <w:adjustRightInd w:val="0"/>
        <w:snapToGrid w:val="0"/>
        <w:spacing w:line="360" w:lineRule="auto"/>
        <w:ind w:firstLineChars="200" w:firstLine="482"/>
        <w:rPr>
          <w:rFonts w:asciiTheme="minorEastAsia" w:hAnsiTheme="minorEastAsia" w:cs="Arial" w:hint="eastAsia"/>
          <w:b/>
          <w:sz w:val="24"/>
          <w:szCs w:val="24"/>
        </w:rPr>
      </w:pPr>
      <w:r>
        <w:rPr>
          <w:rFonts w:asciiTheme="minorEastAsia" w:hAnsiTheme="minorEastAsia" w:cs="Arial" w:hint="eastAsia"/>
          <w:b/>
          <w:sz w:val="24"/>
          <w:szCs w:val="24"/>
        </w:rPr>
        <w:t>六、基金份额持有人名册的保管</w:t>
      </w:r>
    </w:p>
    <w:p w14:paraId="1A926EAE"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基金份额持有人名册至少应包括基金份额持有人的名称和持有的基金份额。基金份额持有人名册由基金登记机构根据基金管理人的指令编制和保管</w:t>
      </w:r>
      <w:r>
        <w:rPr>
          <w:rFonts w:asciiTheme="minorEastAsia" w:hAnsiTheme="minorEastAsia"/>
          <w:sz w:val="24"/>
          <w:szCs w:val="24"/>
        </w:rPr>
        <w:t>.基金管理人应定期向基金托管人提供基金份额持有人名册，</w:t>
      </w:r>
      <w:r>
        <w:rPr>
          <w:rFonts w:asciiTheme="minorEastAsia" w:hAnsiTheme="minorEastAsia" w:cs="Arial" w:hint="eastAsia"/>
          <w:sz w:val="24"/>
          <w:szCs w:val="24"/>
        </w:rPr>
        <w:t>基金托管人得到基金管理人提供的持有人名册后与基金管理人</w:t>
      </w:r>
      <w:r>
        <w:rPr>
          <w:rFonts w:asciiTheme="minorEastAsia" w:hAnsiTheme="minorEastAsia" w:hint="eastAsia"/>
          <w:sz w:val="24"/>
          <w:szCs w:val="24"/>
        </w:rPr>
        <w:t>分别进行保管。保管方式可以采用电子或文档的形式，保存期不少于</w:t>
      </w:r>
      <w:r>
        <w:rPr>
          <w:rFonts w:asciiTheme="minorEastAsia" w:hAnsiTheme="minorEastAsia"/>
          <w:sz w:val="24"/>
          <w:szCs w:val="24"/>
        </w:rPr>
        <w:t>15年。如不能妥善保管，则按相关法规承担责任。</w:t>
      </w:r>
    </w:p>
    <w:p w14:paraId="7EACD7CF"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基金托管人因编制基金定期报告等合理原因要求基金管理人提供相关资料时，基金管理人应将有关资料送交基金托管人，不得无故拒绝或延误提供，并保证其真实性、准确性和完整性。基金托管人不得将所保管的基金份额持有人名册用于基金托管业务以外的其他用途，并应遵守保密义务。</w:t>
      </w:r>
    </w:p>
    <w:p w14:paraId="47E00ECB" w14:textId="77777777" w:rsidR="00B51DEA" w:rsidRDefault="00000000">
      <w:pPr>
        <w:adjustRightInd w:val="0"/>
        <w:snapToGrid w:val="0"/>
        <w:spacing w:line="360" w:lineRule="auto"/>
        <w:ind w:firstLineChars="200" w:firstLine="482"/>
        <w:rPr>
          <w:rFonts w:asciiTheme="minorEastAsia" w:hAnsiTheme="minorEastAsia" w:cs="Arial" w:hint="eastAsia"/>
          <w:b/>
          <w:sz w:val="24"/>
          <w:szCs w:val="24"/>
        </w:rPr>
      </w:pPr>
      <w:r>
        <w:rPr>
          <w:rFonts w:asciiTheme="minorEastAsia" w:hAnsiTheme="minorEastAsia" w:cs="Arial" w:hint="eastAsia"/>
          <w:b/>
          <w:sz w:val="24"/>
          <w:szCs w:val="24"/>
        </w:rPr>
        <w:t>七、争议解决方式</w:t>
      </w:r>
    </w:p>
    <w:p w14:paraId="79A45F7A"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bCs/>
          <w:sz w:val="24"/>
        </w:rPr>
        <w:t>双方当事人同意，因本协议而产生的或与本协议有关的一切争议，如经友好协商未能解决的，应提交中国国际经济贸易仲裁委员会，按照该会当时有效的仲</w:t>
      </w:r>
      <w:r>
        <w:rPr>
          <w:rFonts w:asciiTheme="minorEastAsia" w:hAnsiTheme="minorEastAsia" w:hint="eastAsia"/>
          <w:bCs/>
          <w:sz w:val="24"/>
        </w:rPr>
        <w:lastRenderedPageBreak/>
        <w:t>裁规则进行仲裁，仲裁的地点为北京市，仲裁裁决是终局的，对仲裁各方当事人均具有约束力。</w:t>
      </w:r>
      <w:r>
        <w:rPr>
          <w:rFonts w:asciiTheme="minorEastAsia" w:hAnsiTheme="minorEastAsia" w:hint="eastAsia"/>
          <w:sz w:val="24"/>
          <w:szCs w:val="24"/>
        </w:rPr>
        <w:t>仲裁费用由败诉方承担，</w:t>
      </w:r>
      <w:r>
        <w:rPr>
          <w:rFonts w:asciiTheme="minorEastAsia" w:hAnsiTheme="minorEastAsia" w:hint="eastAsia"/>
          <w:bCs/>
          <w:sz w:val="24"/>
        </w:rPr>
        <w:t>除非仲裁裁决另有决定</w:t>
      </w:r>
      <w:r>
        <w:rPr>
          <w:rFonts w:asciiTheme="minorEastAsia" w:hAnsiTheme="minorEastAsia" w:hint="eastAsia"/>
          <w:sz w:val="24"/>
          <w:szCs w:val="24"/>
        </w:rPr>
        <w:t>。</w:t>
      </w:r>
    </w:p>
    <w:p w14:paraId="31EFD471"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争议处理期间，双方当事人应恪守基金管理人和基金托管人职责，各自继续忠实、勤勉、尽责地履行基金合同和本托管协议规定的义务，维护基金份额持有人的合法权益。</w:t>
      </w:r>
    </w:p>
    <w:p w14:paraId="58B5B61C"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本协议受中国法律管辖。</w:t>
      </w:r>
    </w:p>
    <w:p w14:paraId="4E183FD1" w14:textId="77777777" w:rsidR="00B51DEA" w:rsidRDefault="00000000">
      <w:pPr>
        <w:adjustRightInd w:val="0"/>
        <w:snapToGrid w:val="0"/>
        <w:spacing w:line="360" w:lineRule="auto"/>
        <w:ind w:firstLineChars="200" w:firstLine="482"/>
        <w:rPr>
          <w:rFonts w:asciiTheme="minorEastAsia" w:hAnsiTheme="minorEastAsia" w:cs="Arial" w:hint="eastAsia"/>
          <w:b/>
          <w:sz w:val="24"/>
          <w:szCs w:val="24"/>
        </w:rPr>
      </w:pPr>
      <w:r>
        <w:rPr>
          <w:rFonts w:asciiTheme="minorEastAsia" w:hAnsiTheme="minorEastAsia" w:cs="Arial" w:hint="eastAsia"/>
          <w:b/>
          <w:sz w:val="24"/>
          <w:szCs w:val="24"/>
        </w:rPr>
        <w:t>八、</w:t>
      </w:r>
      <w:r>
        <w:rPr>
          <w:rFonts w:asciiTheme="minorEastAsia" w:hAnsiTheme="minorEastAsia" w:cs="Times New Roman" w:hint="eastAsia"/>
          <w:b/>
          <w:color w:val="000000"/>
          <w:sz w:val="24"/>
          <w:szCs w:val="24"/>
        </w:rPr>
        <w:t>托管协议的变更、终止与基金财产的清算</w:t>
      </w:r>
    </w:p>
    <w:p w14:paraId="13550122"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（一）托管协议的变更程序</w:t>
      </w:r>
    </w:p>
    <w:p w14:paraId="3F191E6A"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本协议双方当事人经协商一致，可以对协议进行修改。修改后的新协议，其内容不得与基金合同的规定有任何冲突。基金托管协议的变更报中国证监会备案。</w:t>
      </w:r>
    </w:p>
    <w:p w14:paraId="41B090AA"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（二）基金托管协议终止出现的情形</w:t>
      </w:r>
    </w:p>
    <w:p w14:paraId="2DAAA087"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1．基金合同终止；</w:t>
      </w:r>
    </w:p>
    <w:p w14:paraId="05DD1B8F"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2．基金托管人解散、依法被撤销、破产或由其他基金托管人接管基金资产；</w:t>
      </w:r>
    </w:p>
    <w:p w14:paraId="0E76FF7D"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3．基金管理人解散、依法被撤销、破产或由其他基金管理人接管基金管理权；</w:t>
      </w:r>
    </w:p>
    <w:p w14:paraId="06341D47"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4．发生法律法规或基金合同规定的终止事项。</w:t>
      </w:r>
    </w:p>
    <w:p w14:paraId="1853EF7B"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（三）基金财产的清算</w:t>
      </w:r>
    </w:p>
    <w:p w14:paraId="67170E7C"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1．基金财产清算</w:t>
      </w:r>
      <w:r>
        <w:rPr>
          <w:rFonts w:asciiTheme="minorEastAsia" w:hAnsiTheme="minorEastAsia" w:hint="eastAsia"/>
          <w:kern w:val="0"/>
          <w:sz w:val="24"/>
        </w:rPr>
        <w:t>小</w:t>
      </w:r>
      <w:r>
        <w:rPr>
          <w:rFonts w:asciiTheme="minorEastAsia" w:hAnsiTheme="minorEastAsia" w:hint="eastAsia"/>
          <w:sz w:val="24"/>
          <w:szCs w:val="24"/>
        </w:rPr>
        <w:t>组</w:t>
      </w:r>
    </w:p>
    <w:p w14:paraId="7A938BDA"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w:t>
      </w:r>
      <w:r>
        <w:rPr>
          <w:rFonts w:asciiTheme="minorEastAsia" w:hAnsiTheme="minorEastAsia"/>
          <w:sz w:val="24"/>
          <w:szCs w:val="24"/>
        </w:rPr>
        <w:t>1）自出现基金合同终止事由之日起30个工作日内成立清算</w:t>
      </w:r>
      <w:r>
        <w:rPr>
          <w:rFonts w:asciiTheme="minorEastAsia" w:hAnsiTheme="minorEastAsia" w:hint="eastAsia"/>
          <w:kern w:val="0"/>
          <w:sz w:val="24"/>
        </w:rPr>
        <w:t>小</w:t>
      </w:r>
      <w:r>
        <w:rPr>
          <w:rFonts w:asciiTheme="minorEastAsia" w:hAnsiTheme="minorEastAsia" w:hint="eastAsia"/>
          <w:sz w:val="24"/>
          <w:szCs w:val="24"/>
        </w:rPr>
        <w:t>组，基金管理人组织基金财产清算</w:t>
      </w:r>
      <w:r>
        <w:rPr>
          <w:rFonts w:asciiTheme="minorEastAsia" w:hAnsiTheme="minorEastAsia" w:hint="eastAsia"/>
          <w:kern w:val="0"/>
          <w:sz w:val="24"/>
        </w:rPr>
        <w:t>小</w:t>
      </w:r>
      <w:r>
        <w:rPr>
          <w:rFonts w:asciiTheme="minorEastAsia" w:hAnsiTheme="minorEastAsia" w:hint="eastAsia"/>
          <w:sz w:val="24"/>
          <w:szCs w:val="24"/>
        </w:rPr>
        <w:t>组在中国证监会的监督下进行基金清算。</w:t>
      </w:r>
    </w:p>
    <w:p w14:paraId="09691E1D"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w:t>
      </w:r>
      <w:r>
        <w:rPr>
          <w:rFonts w:asciiTheme="minorEastAsia" w:hAnsiTheme="minorEastAsia"/>
          <w:sz w:val="24"/>
          <w:szCs w:val="24"/>
        </w:rPr>
        <w:t>2）基金财产清算</w:t>
      </w:r>
      <w:r>
        <w:rPr>
          <w:rFonts w:asciiTheme="minorEastAsia" w:hAnsiTheme="minorEastAsia" w:hint="eastAsia"/>
          <w:kern w:val="0"/>
          <w:sz w:val="24"/>
        </w:rPr>
        <w:t>小</w:t>
      </w:r>
      <w:r>
        <w:rPr>
          <w:rFonts w:asciiTheme="minorEastAsia" w:hAnsiTheme="minorEastAsia" w:hint="eastAsia"/>
          <w:sz w:val="24"/>
          <w:szCs w:val="24"/>
        </w:rPr>
        <w:t>组成员由基金管理人、基金托管人、具有证券、期货相关业务资格的注册会计师、律师以及中国证监会指定的人员组成。基金财产清算</w:t>
      </w:r>
      <w:r>
        <w:rPr>
          <w:rFonts w:asciiTheme="minorEastAsia" w:hAnsiTheme="minorEastAsia" w:hint="eastAsia"/>
          <w:kern w:val="0"/>
          <w:sz w:val="24"/>
        </w:rPr>
        <w:t>小</w:t>
      </w:r>
      <w:r>
        <w:rPr>
          <w:rFonts w:asciiTheme="minorEastAsia" w:hAnsiTheme="minorEastAsia" w:hint="eastAsia"/>
          <w:sz w:val="24"/>
          <w:szCs w:val="24"/>
        </w:rPr>
        <w:t>组可以聘用必要的工作人员。</w:t>
      </w:r>
    </w:p>
    <w:p w14:paraId="20B4F203"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w:t>
      </w:r>
      <w:r>
        <w:rPr>
          <w:rFonts w:asciiTheme="minorEastAsia" w:hAnsiTheme="minorEastAsia"/>
          <w:sz w:val="24"/>
          <w:szCs w:val="24"/>
        </w:rPr>
        <w:t>3）在基金财产清算过程中，基金管理人和基金托管人应各自履行职责，继续忠实、勤勉、尽责地履行基金合同和本托管协议规定的义务，维护基金份额持有人的合法权益。</w:t>
      </w:r>
    </w:p>
    <w:p w14:paraId="58B52EC3"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w:t>
      </w:r>
      <w:r>
        <w:rPr>
          <w:rFonts w:asciiTheme="minorEastAsia" w:hAnsiTheme="minorEastAsia"/>
          <w:sz w:val="24"/>
          <w:szCs w:val="24"/>
        </w:rPr>
        <w:t>4）基金财产清算</w:t>
      </w:r>
      <w:r>
        <w:rPr>
          <w:rFonts w:asciiTheme="minorEastAsia" w:hAnsiTheme="minorEastAsia" w:hint="eastAsia"/>
          <w:kern w:val="0"/>
          <w:sz w:val="24"/>
        </w:rPr>
        <w:t>小</w:t>
      </w:r>
      <w:r>
        <w:rPr>
          <w:rFonts w:asciiTheme="minorEastAsia" w:hAnsiTheme="minorEastAsia" w:hint="eastAsia"/>
          <w:sz w:val="24"/>
          <w:szCs w:val="24"/>
        </w:rPr>
        <w:t>组负责基金财产的保管、清理、估价、变现和分配。基金财产清算</w:t>
      </w:r>
      <w:r>
        <w:rPr>
          <w:rFonts w:asciiTheme="minorEastAsia" w:hAnsiTheme="minorEastAsia" w:hint="eastAsia"/>
          <w:kern w:val="0"/>
          <w:sz w:val="24"/>
        </w:rPr>
        <w:t>小</w:t>
      </w:r>
      <w:r>
        <w:rPr>
          <w:rFonts w:asciiTheme="minorEastAsia" w:hAnsiTheme="minorEastAsia" w:hint="eastAsia"/>
          <w:sz w:val="24"/>
          <w:szCs w:val="24"/>
        </w:rPr>
        <w:t>组可以依法进行必要的民事活动。</w:t>
      </w:r>
    </w:p>
    <w:p w14:paraId="39CFC83B"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2．基金财产清算程序</w:t>
      </w:r>
    </w:p>
    <w:p w14:paraId="73414DA8" w14:textId="77777777" w:rsidR="00B51DEA" w:rsidRDefault="00000000">
      <w:pPr>
        <w:spacing w:line="360" w:lineRule="auto"/>
        <w:ind w:firstLineChars="200" w:firstLine="480"/>
        <w:rPr>
          <w:rFonts w:asciiTheme="minorEastAsia" w:hAnsiTheme="minorEastAsia" w:hint="eastAsia"/>
          <w:bCs/>
          <w:sz w:val="24"/>
        </w:rPr>
      </w:pPr>
      <w:r>
        <w:rPr>
          <w:rFonts w:asciiTheme="minorEastAsia" w:hAnsiTheme="minorEastAsia"/>
          <w:bCs/>
          <w:sz w:val="24"/>
        </w:rPr>
        <w:lastRenderedPageBreak/>
        <w:t>（1）《基金合同》终止情形出现时，由基金财产清算小组统一接管基金；</w:t>
      </w:r>
    </w:p>
    <w:p w14:paraId="2B4D1826" w14:textId="77777777" w:rsidR="00B51DEA" w:rsidRDefault="00000000">
      <w:pPr>
        <w:spacing w:line="360" w:lineRule="auto"/>
        <w:ind w:firstLineChars="200" w:firstLine="480"/>
        <w:rPr>
          <w:rFonts w:asciiTheme="minorEastAsia" w:hAnsiTheme="minorEastAsia" w:hint="eastAsia"/>
          <w:bCs/>
          <w:sz w:val="24"/>
        </w:rPr>
      </w:pPr>
      <w:r>
        <w:rPr>
          <w:rFonts w:asciiTheme="minorEastAsia" w:hAnsiTheme="minorEastAsia"/>
          <w:bCs/>
          <w:sz w:val="24"/>
        </w:rPr>
        <w:t>（2）对基金财产和债权债务进行清理和确认；</w:t>
      </w:r>
    </w:p>
    <w:p w14:paraId="47A435DB" w14:textId="77777777" w:rsidR="00B51DEA" w:rsidRDefault="00000000">
      <w:pPr>
        <w:spacing w:line="360" w:lineRule="auto"/>
        <w:ind w:firstLineChars="200" w:firstLine="480"/>
        <w:rPr>
          <w:rFonts w:asciiTheme="minorEastAsia" w:hAnsiTheme="minorEastAsia" w:hint="eastAsia"/>
          <w:bCs/>
          <w:sz w:val="24"/>
        </w:rPr>
      </w:pPr>
      <w:r>
        <w:rPr>
          <w:rFonts w:asciiTheme="minorEastAsia" w:hAnsiTheme="minorEastAsia"/>
          <w:bCs/>
          <w:sz w:val="24"/>
        </w:rPr>
        <w:t>（3）对基金财产进行估值和变现；</w:t>
      </w:r>
    </w:p>
    <w:p w14:paraId="01B2FA6A" w14:textId="77777777" w:rsidR="00B51DEA" w:rsidRDefault="00000000">
      <w:pPr>
        <w:spacing w:line="360" w:lineRule="auto"/>
        <w:ind w:firstLineChars="200" w:firstLine="480"/>
        <w:rPr>
          <w:rFonts w:asciiTheme="minorEastAsia" w:hAnsiTheme="minorEastAsia" w:hint="eastAsia"/>
          <w:bCs/>
          <w:sz w:val="24"/>
        </w:rPr>
      </w:pPr>
      <w:r>
        <w:rPr>
          <w:rFonts w:asciiTheme="minorEastAsia" w:hAnsiTheme="minorEastAsia"/>
          <w:bCs/>
          <w:sz w:val="24"/>
        </w:rPr>
        <w:t>（4）制作清算报告；</w:t>
      </w:r>
    </w:p>
    <w:p w14:paraId="4A3D5E8B" w14:textId="77777777" w:rsidR="00B51DEA" w:rsidRDefault="00000000">
      <w:pPr>
        <w:spacing w:line="360" w:lineRule="auto"/>
        <w:ind w:firstLineChars="200" w:firstLine="480"/>
        <w:rPr>
          <w:rFonts w:asciiTheme="minorEastAsia" w:hAnsiTheme="minorEastAsia" w:hint="eastAsia"/>
          <w:bCs/>
          <w:sz w:val="24"/>
        </w:rPr>
      </w:pPr>
      <w:r>
        <w:rPr>
          <w:rFonts w:asciiTheme="minorEastAsia" w:hAnsiTheme="minorEastAsia"/>
          <w:bCs/>
          <w:sz w:val="24"/>
        </w:rPr>
        <w:t>（5）聘请</w:t>
      </w:r>
      <w:r>
        <w:rPr>
          <w:rFonts w:asciiTheme="minorEastAsia" w:hAnsiTheme="minorEastAsia" w:hint="eastAsia"/>
          <w:bCs/>
          <w:sz w:val="24"/>
        </w:rPr>
        <w:t>具有证券、期货相关业务资格的会计师事务所对清算报告进行外部审计，聘请律师事务所对清算报告出具法律意见书；</w:t>
      </w:r>
    </w:p>
    <w:p w14:paraId="2F60D084" w14:textId="77777777" w:rsidR="00B51DEA" w:rsidRDefault="00000000">
      <w:pPr>
        <w:spacing w:line="360" w:lineRule="auto"/>
        <w:ind w:firstLineChars="200" w:firstLine="480"/>
        <w:rPr>
          <w:rFonts w:asciiTheme="minorEastAsia" w:hAnsiTheme="minorEastAsia" w:hint="eastAsia"/>
          <w:bCs/>
          <w:sz w:val="24"/>
        </w:rPr>
      </w:pPr>
      <w:r>
        <w:rPr>
          <w:rFonts w:asciiTheme="minorEastAsia" w:hAnsiTheme="minorEastAsia"/>
          <w:bCs/>
          <w:sz w:val="24"/>
        </w:rPr>
        <w:t>（6）将清算报告报中国证监会备案并公告</w:t>
      </w:r>
      <w:r>
        <w:rPr>
          <w:rFonts w:asciiTheme="minorEastAsia" w:hAnsiTheme="minorEastAsia" w:hint="eastAsia"/>
          <w:bCs/>
          <w:sz w:val="24"/>
        </w:rPr>
        <w:t>；</w:t>
      </w:r>
    </w:p>
    <w:p w14:paraId="302C3684"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bCs/>
          <w:sz w:val="24"/>
        </w:rPr>
        <w:t>（7）对基金</w:t>
      </w:r>
      <w:r>
        <w:rPr>
          <w:rFonts w:asciiTheme="minorEastAsia" w:hAnsiTheme="minorEastAsia" w:hint="eastAsia"/>
          <w:bCs/>
          <w:sz w:val="24"/>
        </w:rPr>
        <w:t>剩余财产进行分配。</w:t>
      </w:r>
    </w:p>
    <w:p w14:paraId="2B342246" w14:textId="77777777" w:rsidR="00B51DEA" w:rsidRDefault="00000000">
      <w:pPr>
        <w:spacing w:line="360" w:lineRule="auto"/>
        <w:ind w:firstLineChars="200" w:firstLine="480"/>
        <w:rPr>
          <w:rFonts w:asciiTheme="minorEastAsia" w:hAnsiTheme="minorEastAsia" w:hint="eastAsia"/>
          <w:bCs/>
          <w:sz w:val="24"/>
        </w:rPr>
      </w:pPr>
      <w:r>
        <w:rPr>
          <w:rFonts w:asciiTheme="minorEastAsia" w:hAnsiTheme="minorEastAsia"/>
          <w:sz w:val="24"/>
          <w:szCs w:val="24"/>
        </w:rPr>
        <w:t>3．</w:t>
      </w:r>
      <w:r>
        <w:rPr>
          <w:rFonts w:asciiTheme="minorEastAsia" w:hAnsiTheme="minorEastAsia" w:hint="eastAsia"/>
          <w:bCs/>
          <w:sz w:val="24"/>
        </w:rPr>
        <w:t>基金财产清算的期限为</w:t>
      </w:r>
      <w:r>
        <w:rPr>
          <w:rFonts w:asciiTheme="minorEastAsia" w:hAnsiTheme="minorEastAsia"/>
          <w:bCs/>
          <w:sz w:val="24"/>
        </w:rPr>
        <w:t>6</w:t>
      </w:r>
      <w:r>
        <w:rPr>
          <w:rFonts w:asciiTheme="minorEastAsia" w:hAnsiTheme="minorEastAsia" w:hint="eastAsia"/>
          <w:bCs/>
          <w:sz w:val="24"/>
        </w:rPr>
        <w:t>个月</w:t>
      </w:r>
      <w:r>
        <w:rPr>
          <w:rFonts w:asciiTheme="minorEastAsia" w:hAnsiTheme="minorEastAsia" w:hint="eastAsia"/>
          <w:bCs/>
          <w:sz w:val="24"/>
          <w:szCs w:val="20"/>
        </w:rPr>
        <w:t>，但因本基金所持证券的流动性受到限制而不能及时变现的，清算期限相应顺延</w:t>
      </w:r>
      <w:r>
        <w:rPr>
          <w:rFonts w:asciiTheme="minorEastAsia" w:hAnsiTheme="minorEastAsia" w:hint="eastAsia"/>
          <w:sz w:val="24"/>
        </w:rPr>
        <w:t>。</w:t>
      </w:r>
    </w:p>
    <w:p w14:paraId="0A139360"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bCs/>
          <w:sz w:val="24"/>
        </w:rPr>
        <w:t xml:space="preserve">4. </w:t>
      </w:r>
      <w:r>
        <w:rPr>
          <w:rFonts w:asciiTheme="minorEastAsia" w:hAnsiTheme="minorEastAsia" w:hint="eastAsia"/>
          <w:sz w:val="24"/>
          <w:szCs w:val="24"/>
        </w:rPr>
        <w:t>清算费用</w:t>
      </w:r>
    </w:p>
    <w:p w14:paraId="2C098957"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清算费用是指基金财产清算</w:t>
      </w:r>
      <w:r>
        <w:rPr>
          <w:rFonts w:asciiTheme="minorEastAsia" w:hAnsiTheme="minorEastAsia" w:hint="eastAsia"/>
          <w:kern w:val="0"/>
          <w:sz w:val="24"/>
        </w:rPr>
        <w:t>小</w:t>
      </w:r>
      <w:r>
        <w:rPr>
          <w:rFonts w:asciiTheme="minorEastAsia" w:hAnsiTheme="minorEastAsia" w:hint="eastAsia"/>
          <w:sz w:val="24"/>
          <w:szCs w:val="24"/>
        </w:rPr>
        <w:t>组在进行基金财产清算过程中发生的所有合理费用，清算费用由基金财产清算</w:t>
      </w:r>
      <w:r>
        <w:rPr>
          <w:rFonts w:asciiTheme="minorEastAsia" w:hAnsiTheme="minorEastAsia" w:hint="eastAsia"/>
          <w:kern w:val="0"/>
          <w:sz w:val="24"/>
        </w:rPr>
        <w:t>小</w:t>
      </w:r>
      <w:r>
        <w:rPr>
          <w:rFonts w:asciiTheme="minorEastAsia" w:hAnsiTheme="minorEastAsia" w:hint="eastAsia"/>
          <w:sz w:val="24"/>
          <w:szCs w:val="24"/>
        </w:rPr>
        <w:t>组优先从基金财产中支付。</w:t>
      </w:r>
    </w:p>
    <w:p w14:paraId="04E6A2AE"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5．基金财产按下列顺序清偿：</w:t>
      </w:r>
    </w:p>
    <w:p w14:paraId="1EFB990C"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w:t>
      </w:r>
      <w:r>
        <w:rPr>
          <w:rFonts w:asciiTheme="minorEastAsia" w:hAnsiTheme="minorEastAsia"/>
          <w:sz w:val="24"/>
          <w:szCs w:val="24"/>
        </w:rPr>
        <w:t>1）支付清算费用；</w:t>
      </w:r>
    </w:p>
    <w:p w14:paraId="352B1ECD"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w:t>
      </w:r>
      <w:r>
        <w:rPr>
          <w:rFonts w:asciiTheme="minorEastAsia" w:hAnsiTheme="minorEastAsia"/>
          <w:sz w:val="24"/>
          <w:szCs w:val="24"/>
        </w:rPr>
        <w:t>2）交纳所欠税款；</w:t>
      </w:r>
    </w:p>
    <w:p w14:paraId="52497637"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w:t>
      </w:r>
      <w:r>
        <w:rPr>
          <w:rFonts w:asciiTheme="minorEastAsia" w:hAnsiTheme="minorEastAsia"/>
          <w:sz w:val="24"/>
          <w:szCs w:val="24"/>
        </w:rPr>
        <w:t>3）清偿基金债务；</w:t>
      </w:r>
    </w:p>
    <w:p w14:paraId="6748EA5A"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w:t>
      </w:r>
      <w:r>
        <w:rPr>
          <w:rFonts w:asciiTheme="minorEastAsia" w:hAnsiTheme="minorEastAsia"/>
          <w:sz w:val="24"/>
          <w:szCs w:val="24"/>
        </w:rPr>
        <w:t>4）按基金份额持有人持有的基金份额比例进行分配。</w:t>
      </w:r>
    </w:p>
    <w:p w14:paraId="73537EBF"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基金财产未按前款（</w:t>
      </w:r>
      <w:r>
        <w:rPr>
          <w:rFonts w:asciiTheme="minorEastAsia" w:hAnsiTheme="minorEastAsia"/>
          <w:sz w:val="24"/>
          <w:szCs w:val="24"/>
        </w:rPr>
        <w:t>1）－（3）项规定清偿前，不分配给基金份额持有人。</w:t>
      </w:r>
    </w:p>
    <w:p w14:paraId="65324F7C"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6．基金财产清算的公告</w:t>
      </w:r>
    </w:p>
    <w:p w14:paraId="562029AD" w14:textId="77777777" w:rsidR="00B51DEA" w:rsidRDefault="00000000">
      <w:pPr>
        <w:pStyle w:val="Default"/>
        <w:spacing w:line="360" w:lineRule="auto"/>
        <w:ind w:firstLineChars="200" w:firstLine="480"/>
        <w:rPr>
          <w:rFonts w:asciiTheme="minorEastAsia" w:eastAsiaTheme="minorEastAsia" w:hAnsiTheme="minorEastAsia" w:hint="eastAsia"/>
        </w:rPr>
      </w:pPr>
      <w:r>
        <w:rPr>
          <w:rFonts w:asciiTheme="minorEastAsia" w:eastAsiaTheme="minorEastAsia" w:hAnsiTheme="minorEastAsia" w:hint="eastAsia"/>
        </w:rPr>
        <w:t>清算过程中的有关重大事项须及时公告；基金财产清算报告经具有证券、期货相关业务资格的会计师事务所审计并由律师事务所出具法律意见书后报中国证监会备案并公告。基金财产清算公告于基金财产清算报告报中国证监会备案后</w:t>
      </w:r>
      <w:r>
        <w:rPr>
          <w:rFonts w:asciiTheme="minorEastAsia" w:eastAsiaTheme="minorEastAsia" w:hAnsiTheme="minorEastAsia"/>
        </w:rPr>
        <w:t>5</w:t>
      </w:r>
      <w:r>
        <w:rPr>
          <w:rFonts w:asciiTheme="minorEastAsia" w:eastAsiaTheme="minorEastAsia" w:hAnsiTheme="minorEastAsia" w:hint="eastAsia"/>
        </w:rPr>
        <w:t>个工作日内由基金财产清算小组进行公告。</w:t>
      </w:r>
    </w:p>
    <w:p w14:paraId="2AEBC5B0"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sz w:val="24"/>
          <w:szCs w:val="24"/>
        </w:rPr>
        <w:t>7．基金财产清算账册及文件的保存</w:t>
      </w:r>
    </w:p>
    <w:p w14:paraId="320BC3BC" w14:textId="77777777" w:rsidR="00B51DEA" w:rsidRDefault="00000000">
      <w:pPr>
        <w:spacing w:line="360" w:lineRule="auto"/>
        <w:ind w:firstLineChars="200" w:firstLine="480"/>
        <w:rPr>
          <w:rFonts w:asciiTheme="minorEastAsia" w:hAnsiTheme="minorEastAsia" w:hint="eastAsia"/>
          <w:sz w:val="24"/>
          <w:szCs w:val="24"/>
        </w:rPr>
      </w:pPr>
      <w:r>
        <w:rPr>
          <w:rFonts w:asciiTheme="minorEastAsia" w:hAnsiTheme="minorEastAsia" w:hint="eastAsia"/>
          <w:sz w:val="24"/>
          <w:szCs w:val="24"/>
        </w:rPr>
        <w:t>基金财产清算账册及有关文件由基金托管人保存</w:t>
      </w:r>
      <w:r>
        <w:rPr>
          <w:rFonts w:asciiTheme="minorEastAsia" w:hAnsiTheme="minorEastAsia"/>
          <w:sz w:val="24"/>
          <w:szCs w:val="24"/>
        </w:rPr>
        <w:t>15年以上。</w:t>
      </w:r>
    </w:p>
    <w:p w14:paraId="0860D220" w14:textId="77777777" w:rsidR="00B51DEA" w:rsidRDefault="00000000">
      <w:pPr>
        <w:adjustRightInd w:val="0"/>
        <w:snapToGrid w:val="0"/>
        <w:spacing w:line="360" w:lineRule="auto"/>
        <w:ind w:firstLineChars="200" w:firstLine="420"/>
        <w:rPr>
          <w:rFonts w:asciiTheme="minorEastAsia" w:hAnsiTheme="minorEastAsia" w:cs="Times New Roman" w:hint="eastAsia"/>
          <w:b/>
          <w:color w:val="000000"/>
          <w:kern w:val="0"/>
          <w:sz w:val="24"/>
          <w:szCs w:val="20"/>
        </w:rPr>
      </w:pPr>
      <w:bookmarkStart w:id="399" w:name="_Toc147463123"/>
      <w:bookmarkStart w:id="400" w:name="_Toc12357176"/>
      <w:bookmarkStart w:id="401" w:name="_Toc214873621"/>
      <w:bookmarkStart w:id="402" w:name="_Toc416264555"/>
      <w:bookmarkStart w:id="403" w:name="_Toc263092328"/>
      <w:bookmarkStart w:id="404" w:name="_Toc21073396"/>
      <w:bookmarkStart w:id="405" w:name="_Toc1790"/>
      <w:bookmarkStart w:id="406" w:name="_Toc8636"/>
      <w:bookmarkStart w:id="407" w:name="_Toc123102468"/>
      <w:bookmarkStart w:id="408" w:name="_Toc6110"/>
      <w:bookmarkStart w:id="409" w:name="_Toc3319"/>
      <w:bookmarkStart w:id="410" w:name="_Toc30350"/>
      <w:bookmarkStart w:id="411" w:name="_Toc123051467"/>
      <w:bookmarkStart w:id="412" w:name="_Toc352229767"/>
      <w:bookmarkStart w:id="413" w:name="_Toc139991751"/>
      <w:bookmarkStart w:id="414" w:name="_Toc141703902"/>
      <w:bookmarkStart w:id="415" w:name="_Toc25651"/>
      <w:bookmarkStart w:id="416" w:name="_Toc98560366"/>
      <w:bookmarkStart w:id="417" w:name="_Toc6202"/>
      <w:bookmarkStart w:id="418" w:name="_Toc24923"/>
      <w:bookmarkStart w:id="419" w:name="_Toc7288"/>
      <w:bookmarkStart w:id="420" w:name="_Toc123112249"/>
      <w:bookmarkStart w:id="421" w:name="_Toc21983"/>
      <w:bookmarkStart w:id="422" w:name="_Toc23999"/>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r>
        <w:rPr>
          <w:rFonts w:asciiTheme="minorEastAsia" w:hAnsiTheme="minorEastAsia"/>
        </w:rPr>
        <w:br w:type="page"/>
      </w:r>
    </w:p>
    <w:p w14:paraId="0569CC67" w14:textId="77777777" w:rsidR="00B51DEA" w:rsidRDefault="00000000">
      <w:pPr>
        <w:pStyle w:val="1"/>
        <w:jc w:val="center"/>
        <w:rPr>
          <w:rFonts w:asciiTheme="minorEastAsia" w:eastAsiaTheme="minorEastAsia" w:hAnsiTheme="minorEastAsia" w:hint="eastAsia"/>
        </w:rPr>
      </w:pPr>
      <w:bookmarkStart w:id="423" w:name="_Toc2677421"/>
      <w:r>
        <w:rPr>
          <w:rFonts w:asciiTheme="minorEastAsia" w:eastAsiaTheme="minorEastAsia" w:hAnsiTheme="minorEastAsia" w:hint="eastAsia"/>
        </w:rPr>
        <w:lastRenderedPageBreak/>
        <w:t>第二十部分</w:t>
      </w:r>
      <w:r>
        <w:rPr>
          <w:rFonts w:asciiTheme="minorEastAsia" w:eastAsiaTheme="minorEastAsia" w:hAnsiTheme="minorEastAsia"/>
        </w:rPr>
        <w:t xml:space="preserve">  </w:t>
      </w:r>
      <w:r>
        <w:rPr>
          <w:rFonts w:asciiTheme="minorEastAsia" w:eastAsiaTheme="minorEastAsia" w:hAnsiTheme="minorEastAsia" w:hint="eastAsia"/>
        </w:rPr>
        <w:t>对基金份额持有人的服务</w:t>
      </w:r>
      <w:bookmarkEnd w:id="423"/>
    </w:p>
    <w:p w14:paraId="46D3366D" w14:textId="77777777" w:rsidR="00B51DEA" w:rsidRDefault="00000000">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基金管理人承诺为基金份额持有人提供一系列服务，基金管理人根据基金份额持有人的需要和市场的变化，有权增加或变更服务项目。主要服务内容如下：</w:t>
      </w:r>
    </w:p>
    <w:p w14:paraId="2FDBD77A" w14:textId="77777777" w:rsidR="00B51DEA" w:rsidRDefault="00000000">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（一）电话人工咨询服务</w:t>
      </w:r>
    </w:p>
    <w:p w14:paraId="1FE64208" w14:textId="77777777" w:rsidR="00B51DEA" w:rsidRDefault="00000000">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投资者可以通过拨打基金管理人客服热线转人工坐席，进行基金业务的相关咨询，人工坐席服务时间为每周一至周五上午9:00-11:30，下午13:00-17:00（法定节假日及因此导致的证券交易所休市日除外）。针对非人工服务时间内的电话留言，基金管理人将设有专员进行及时回复。</w:t>
      </w:r>
    </w:p>
    <w:p w14:paraId="5F7FF729" w14:textId="77777777" w:rsidR="00B51DEA" w:rsidRDefault="00000000">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（二）自助查询服务</w:t>
      </w:r>
    </w:p>
    <w:p w14:paraId="4B39B9F5" w14:textId="77777777" w:rsidR="00B51DEA" w:rsidRDefault="00000000">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投资者可通过基金管理人呼叫中心自动语音系统、基金管理人网上账户查询系统进行账户余额、交易情况、基金净值等信息查询。</w:t>
      </w:r>
    </w:p>
    <w:p w14:paraId="009FD296" w14:textId="77777777" w:rsidR="00B51DEA" w:rsidRDefault="00000000">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（三）邮件咨询服务</w:t>
      </w:r>
    </w:p>
    <w:p w14:paraId="0E5E6B29" w14:textId="77777777" w:rsidR="00B51DEA" w:rsidRDefault="00000000">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投资者可通过电子邮件的形式向基金管理人提出疑问，针对投资者的问题，基金管理人将设有专员进行及时回复。</w:t>
      </w:r>
    </w:p>
    <w:p w14:paraId="5741ACE1" w14:textId="77777777" w:rsidR="00B51DEA" w:rsidRDefault="00000000">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（四）免费信息订阅服务</w:t>
      </w:r>
    </w:p>
    <w:p w14:paraId="0D9226CB" w14:textId="77777777" w:rsidR="00B51DEA" w:rsidRDefault="00000000">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为了给投资者带来良好的服务体验，基金管理人除了交易确认短信外，提供免费信息订阅服务。投资人可以通过拨打基金管理人客服热线提交信息定制申请，在申请获基金管理人确认后，基金管理人将通过手机短信、电子邮件等方式为客户发送所定制的信息。可定制的信息包括：月度电子对账单、持有基金周末净值等信息。基金管理人将根据业务发展需要和实际情况，适时调整发送的定制信息内容。</w:t>
      </w:r>
    </w:p>
    <w:p w14:paraId="3AE6FCE2" w14:textId="77777777" w:rsidR="00B51DEA" w:rsidRDefault="00000000">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（五）客户投诉受理服务</w:t>
      </w:r>
    </w:p>
    <w:p w14:paraId="4A803A59" w14:textId="77777777" w:rsidR="00B51DEA" w:rsidRDefault="00000000">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投资人可以通过客服热线、书信、电子邮件等渠道，对基金管理人和销售机构所提供的服务进行投诉。基金管理人承诺在 20个工作日之内对基金投资人的投诉做出回复。</w:t>
      </w:r>
    </w:p>
    <w:p w14:paraId="344B56C7" w14:textId="77777777" w:rsidR="00B51DEA" w:rsidRDefault="00000000">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 xml:space="preserve">（六）基金管理人联系方式 </w:t>
      </w:r>
    </w:p>
    <w:p w14:paraId="494CE017" w14:textId="77777777" w:rsidR="00B51DEA" w:rsidRDefault="00000000">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基金管理人网址： www.furamc.com.cn</w:t>
      </w:r>
    </w:p>
    <w:p w14:paraId="253DBD5B" w14:textId="77777777" w:rsidR="00B51DEA" w:rsidRDefault="00000000">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电子信箱：service@furamc.com.cn</w:t>
      </w:r>
    </w:p>
    <w:p w14:paraId="4C960E38" w14:textId="77777777" w:rsidR="00B51DEA" w:rsidRDefault="00000000">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客服热线：4006855600</w:t>
      </w:r>
    </w:p>
    <w:p w14:paraId="33AC6318" w14:textId="77777777" w:rsidR="00B51DEA" w:rsidRDefault="00000000">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lastRenderedPageBreak/>
        <w:t>客户服务部门地址：深圳市福田区八卦四路52号安吉尔大厦24层，富荣基金管理有限公司客户服务部门（收）</w:t>
      </w:r>
    </w:p>
    <w:p w14:paraId="77626702" w14:textId="77777777" w:rsidR="00B51DEA" w:rsidRDefault="00000000">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邮编：518038</w:t>
      </w:r>
    </w:p>
    <w:p w14:paraId="1516A905" w14:textId="77777777" w:rsidR="00B51DEA" w:rsidRDefault="00000000">
      <w:pPr>
        <w:spacing w:line="360" w:lineRule="auto"/>
        <w:ind w:firstLineChars="200" w:firstLine="480"/>
        <w:rPr>
          <w:rFonts w:asciiTheme="minorEastAsia" w:hAnsiTheme="minorEastAsia" w:cs="Arial" w:hint="eastAsia"/>
          <w:sz w:val="24"/>
          <w:szCs w:val="24"/>
        </w:rPr>
        <w:sectPr w:rsidR="00B51DEA">
          <w:footerReference w:type="default" r:id="rId25"/>
          <w:pgSz w:w="11906" w:h="16838"/>
          <w:pgMar w:top="1440" w:right="1800" w:bottom="1440" w:left="1800" w:header="851" w:footer="992" w:gutter="0"/>
          <w:pgNumType w:chapStyle="1"/>
          <w:cols w:space="720"/>
          <w:docGrid w:type="lines" w:linePitch="312"/>
        </w:sectPr>
      </w:pPr>
      <w:r>
        <w:rPr>
          <w:rFonts w:asciiTheme="minorEastAsia" w:hAnsiTheme="minorEastAsia" w:cs="Arial" w:hint="eastAsia"/>
          <w:sz w:val="24"/>
          <w:szCs w:val="24"/>
        </w:rPr>
        <w:t>（七）如本招募说明书存在任何您/</w:t>
      </w:r>
      <w:proofErr w:type="gramStart"/>
      <w:r>
        <w:rPr>
          <w:rFonts w:asciiTheme="minorEastAsia" w:hAnsiTheme="minorEastAsia" w:cs="Arial" w:hint="eastAsia"/>
          <w:sz w:val="24"/>
          <w:szCs w:val="24"/>
        </w:rPr>
        <w:t>贵机构</w:t>
      </w:r>
      <w:proofErr w:type="gramEnd"/>
      <w:r>
        <w:rPr>
          <w:rFonts w:asciiTheme="minorEastAsia" w:hAnsiTheme="minorEastAsia" w:cs="Arial" w:hint="eastAsia"/>
          <w:sz w:val="24"/>
          <w:szCs w:val="24"/>
        </w:rPr>
        <w:t>无法理解的内容，请通过</w:t>
      </w:r>
      <w:proofErr w:type="gramStart"/>
      <w:r>
        <w:rPr>
          <w:rFonts w:asciiTheme="minorEastAsia" w:hAnsiTheme="minorEastAsia" w:cs="Arial" w:hint="eastAsia"/>
          <w:sz w:val="24"/>
          <w:szCs w:val="24"/>
        </w:rPr>
        <w:t>上述联系</w:t>
      </w:r>
      <w:proofErr w:type="gramEnd"/>
      <w:r>
        <w:rPr>
          <w:rFonts w:asciiTheme="minorEastAsia" w:hAnsiTheme="minorEastAsia" w:cs="Arial" w:hint="eastAsia"/>
          <w:sz w:val="24"/>
          <w:szCs w:val="24"/>
        </w:rPr>
        <w:t>方式联系基金管理人。</w:t>
      </w:r>
      <w:proofErr w:type="gramStart"/>
      <w:r>
        <w:rPr>
          <w:rFonts w:asciiTheme="minorEastAsia" w:hAnsiTheme="minorEastAsia" w:cs="Arial" w:hint="eastAsia"/>
          <w:sz w:val="24"/>
          <w:szCs w:val="24"/>
        </w:rPr>
        <w:t>请确保</w:t>
      </w:r>
      <w:proofErr w:type="gramEnd"/>
      <w:r>
        <w:rPr>
          <w:rFonts w:asciiTheme="minorEastAsia" w:hAnsiTheme="minorEastAsia" w:cs="Arial" w:hint="eastAsia"/>
          <w:sz w:val="24"/>
          <w:szCs w:val="24"/>
        </w:rPr>
        <w:t>投资前，您/</w:t>
      </w:r>
      <w:proofErr w:type="gramStart"/>
      <w:r>
        <w:rPr>
          <w:rFonts w:asciiTheme="minorEastAsia" w:hAnsiTheme="minorEastAsia" w:cs="Arial" w:hint="eastAsia"/>
          <w:sz w:val="24"/>
          <w:szCs w:val="24"/>
        </w:rPr>
        <w:t>贵机构</w:t>
      </w:r>
      <w:proofErr w:type="gramEnd"/>
      <w:r>
        <w:rPr>
          <w:rFonts w:asciiTheme="minorEastAsia" w:hAnsiTheme="minorEastAsia" w:cs="Arial" w:hint="eastAsia"/>
          <w:sz w:val="24"/>
          <w:szCs w:val="24"/>
        </w:rPr>
        <w:t>已经全面理解了本招募说明书。</w:t>
      </w:r>
    </w:p>
    <w:p w14:paraId="215EF0DF" w14:textId="77777777" w:rsidR="00B51DEA" w:rsidRDefault="00000000">
      <w:pPr>
        <w:pStyle w:val="1"/>
        <w:jc w:val="center"/>
        <w:rPr>
          <w:rFonts w:asciiTheme="minorEastAsia" w:eastAsiaTheme="minorEastAsia" w:hAnsiTheme="minorEastAsia" w:hint="eastAsia"/>
          <w:szCs w:val="24"/>
        </w:rPr>
      </w:pPr>
      <w:bookmarkStart w:id="424" w:name="_Toc2677422"/>
      <w:bookmarkStart w:id="425" w:name="_Toc256666809"/>
      <w:bookmarkStart w:id="426" w:name="_Toc30359"/>
      <w:bookmarkStart w:id="427" w:name="_Toc482624810"/>
      <w:bookmarkStart w:id="428" w:name="_Toc256666929"/>
      <w:bookmarkStart w:id="429" w:name="_Toc32243"/>
      <w:bookmarkStart w:id="430" w:name="_Toc263092329"/>
      <w:bookmarkStart w:id="431" w:name="_Toc530223198"/>
      <w:bookmarkStart w:id="432" w:name="_Toc214873622"/>
      <w:bookmarkStart w:id="433" w:name="_Toc416264556"/>
      <w:bookmarkEnd w:id="399"/>
      <w:bookmarkEnd w:id="400"/>
      <w:bookmarkEnd w:id="401"/>
      <w:bookmarkEnd w:id="402"/>
      <w:bookmarkEnd w:id="403"/>
      <w:bookmarkEnd w:id="404"/>
      <w:r>
        <w:rPr>
          <w:rFonts w:asciiTheme="minorEastAsia" w:eastAsiaTheme="minorEastAsia" w:hAnsiTheme="minorEastAsia" w:hint="eastAsia"/>
          <w:szCs w:val="24"/>
        </w:rPr>
        <w:lastRenderedPageBreak/>
        <w:t>第二十一部分</w:t>
      </w:r>
      <w:r>
        <w:rPr>
          <w:rFonts w:asciiTheme="minorEastAsia" w:eastAsiaTheme="minorEastAsia" w:hAnsiTheme="minorEastAsia"/>
          <w:szCs w:val="24"/>
        </w:rPr>
        <w:t xml:space="preserve">  </w:t>
      </w:r>
      <w:r>
        <w:rPr>
          <w:rFonts w:asciiTheme="minorEastAsia" w:eastAsiaTheme="minorEastAsia" w:hAnsiTheme="minorEastAsia" w:hint="eastAsia"/>
          <w:szCs w:val="24"/>
        </w:rPr>
        <w:t>其他应披露事项</w:t>
      </w:r>
      <w:bookmarkEnd w:id="424"/>
      <w:bookmarkEnd w:id="425"/>
      <w:bookmarkEnd w:id="426"/>
      <w:bookmarkEnd w:id="427"/>
      <w:bookmarkEnd w:id="428"/>
      <w:bookmarkEnd w:id="429"/>
    </w:p>
    <w:p w14:paraId="524B5C80" w14:textId="77777777" w:rsidR="00B51DEA" w:rsidRDefault="00B51DEA">
      <w:pPr>
        <w:spacing w:line="360" w:lineRule="auto"/>
        <w:jc w:val="left"/>
        <w:rPr>
          <w:rFonts w:asciiTheme="minorEastAsia" w:hAnsiTheme="minorEastAsia" w:hint="eastAsia"/>
          <w:sz w:val="24"/>
        </w:rPr>
      </w:pPr>
    </w:p>
    <w:tbl>
      <w:tblPr>
        <w:tblStyle w:val="af8"/>
        <w:tblW w:w="8856" w:type="dxa"/>
        <w:tblLayout w:type="fixed"/>
        <w:tblLook w:val="04A0" w:firstRow="1" w:lastRow="0" w:firstColumn="1" w:lastColumn="0" w:noHBand="0" w:noVBand="1"/>
      </w:tblPr>
      <w:tblGrid>
        <w:gridCol w:w="817"/>
        <w:gridCol w:w="5812"/>
        <w:gridCol w:w="2227"/>
      </w:tblGrid>
      <w:tr w:rsidR="00B51DEA" w14:paraId="3A00FFC0" w14:textId="77777777">
        <w:tc>
          <w:tcPr>
            <w:tcW w:w="817" w:type="dxa"/>
          </w:tcPr>
          <w:p w14:paraId="30286AE6" w14:textId="77777777" w:rsidR="00B51DEA" w:rsidRDefault="00000000">
            <w:pPr>
              <w:jc w:val="center"/>
              <w:rPr>
                <w:rFonts w:asciiTheme="minorEastAsia" w:eastAsia="宋体" w:hAnsiTheme="minorEastAsia" w:cs="Times New Roman" w:hint="eastAsia"/>
                <w:b/>
                <w:kern w:val="0"/>
                <w:szCs w:val="21"/>
              </w:rPr>
            </w:pPr>
            <w:r>
              <w:rPr>
                <w:rFonts w:asciiTheme="minorEastAsia" w:eastAsia="宋体" w:hAnsiTheme="minorEastAsia" w:cs="Times New Roman" w:hint="eastAsia"/>
                <w:b/>
                <w:kern w:val="0"/>
                <w:szCs w:val="21"/>
              </w:rPr>
              <w:t>序号</w:t>
            </w:r>
          </w:p>
        </w:tc>
        <w:tc>
          <w:tcPr>
            <w:tcW w:w="5812" w:type="dxa"/>
          </w:tcPr>
          <w:p w14:paraId="1999CF93" w14:textId="77777777" w:rsidR="00B51DEA" w:rsidRDefault="00000000">
            <w:pPr>
              <w:jc w:val="center"/>
              <w:rPr>
                <w:rFonts w:asciiTheme="minorEastAsia" w:eastAsia="宋体" w:hAnsiTheme="minorEastAsia" w:cs="Times New Roman" w:hint="eastAsia"/>
                <w:b/>
                <w:kern w:val="0"/>
                <w:szCs w:val="21"/>
              </w:rPr>
            </w:pPr>
            <w:r>
              <w:rPr>
                <w:rFonts w:asciiTheme="minorEastAsia" w:eastAsia="宋体" w:hAnsiTheme="minorEastAsia" w:cs="Times New Roman" w:hint="eastAsia"/>
                <w:b/>
                <w:kern w:val="0"/>
                <w:szCs w:val="21"/>
              </w:rPr>
              <w:t>公告事项</w:t>
            </w:r>
          </w:p>
        </w:tc>
        <w:tc>
          <w:tcPr>
            <w:tcW w:w="2227" w:type="dxa"/>
          </w:tcPr>
          <w:p w14:paraId="3CBD01F6" w14:textId="77777777" w:rsidR="00B51DEA" w:rsidRDefault="00000000">
            <w:pPr>
              <w:jc w:val="center"/>
              <w:rPr>
                <w:rFonts w:asciiTheme="minorEastAsia" w:eastAsia="宋体" w:hAnsiTheme="minorEastAsia" w:cs="Times New Roman" w:hint="eastAsia"/>
                <w:b/>
                <w:kern w:val="0"/>
                <w:szCs w:val="21"/>
              </w:rPr>
            </w:pPr>
            <w:r>
              <w:rPr>
                <w:rFonts w:asciiTheme="minorEastAsia" w:eastAsia="宋体" w:hAnsiTheme="minorEastAsia" w:cs="Times New Roman" w:hint="eastAsia"/>
                <w:b/>
                <w:kern w:val="0"/>
                <w:szCs w:val="21"/>
              </w:rPr>
              <w:t>披露日期</w:t>
            </w:r>
          </w:p>
        </w:tc>
      </w:tr>
      <w:tr w:rsidR="00B51DEA" w14:paraId="71F1753B" w14:textId="77777777">
        <w:tc>
          <w:tcPr>
            <w:tcW w:w="817" w:type="dxa"/>
          </w:tcPr>
          <w:p w14:paraId="53604A3B" w14:textId="77777777" w:rsidR="00B51DEA" w:rsidRDefault="00000000">
            <w:pPr>
              <w:jc w:val="center"/>
              <w:rPr>
                <w:rFonts w:asciiTheme="minorEastAsia" w:hAnsiTheme="minorEastAsia" w:cs="Times New Roman" w:hint="eastAsia"/>
                <w:kern w:val="0"/>
                <w:szCs w:val="21"/>
              </w:rPr>
            </w:pPr>
            <w:r>
              <w:rPr>
                <w:rFonts w:asciiTheme="minorEastAsia" w:hAnsiTheme="minorEastAsia" w:cs="Times New Roman" w:hint="eastAsia"/>
                <w:kern w:val="0"/>
                <w:szCs w:val="21"/>
              </w:rPr>
              <w:t>1</w:t>
            </w:r>
          </w:p>
        </w:tc>
        <w:tc>
          <w:tcPr>
            <w:tcW w:w="5812" w:type="dxa"/>
            <w:vAlign w:val="bottom"/>
          </w:tcPr>
          <w:p w14:paraId="300C9F56" w14:textId="77777777" w:rsidR="00B51DEA" w:rsidRDefault="00000000">
            <w:pPr>
              <w:jc w:val="left"/>
              <w:rPr>
                <w:color w:val="000000"/>
                <w:sz w:val="22"/>
              </w:rPr>
            </w:pPr>
            <w:r>
              <w:rPr>
                <w:rFonts w:hint="eastAsia"/>
                <w:lang w:bidi="ar"/>
              </w:rPr>
              <w:t>富荣基金管理有限公司旗下全部基金</w:t>
            </w:r>
            <w:r>
              <w:rPr>
                <w:rFonts w:hint="eastAsia"/>
                <w:lang w:bidi="ar"/>
              </w:rPr>
              <w:t>2025</w:t>
            </w:r>
            <w:r>
              <w:rPr>
                <w:rFonts w:hint="eastAsia"/>
                <w:lang w:bidi="ar"/>
              </w:rPr>
              <w:t>年中期报告提示性公告</w:t>
            </w:r>
          </w:p>
        </w:tc>
        <w:tc>
          <w:tcPr>
            <w:tcW w:w="2227" w:type="dxa"/>
            <w:vAlign w:val="center"/>
          </w:tcPr>
          <w:p w14:paraId="6F498147" w14:textId="77777777" w:rsidR="00B51DEA" w:rsidRDefault="00000000">
            <w:pPr>
              <w:tabs>
                <w:tab w:val="center" w:pos="1215"/>
              </w:tabs>
              <w:rPr>
                <w:color w:val="000000"/>
                <w:sz w:val="22"/>
              </w:rPr>
            </w:pPr>
            <w:r>
              <w:rPr>
                <w:rFonts w:hint="eastAsia"/>
                <w:lang w:bidi="ar"/>
              </w:rPr>
              <w:t>2025</w:t>
            </w:r>
            <w:r>
              <w:rPr>
                <w:rFonts w:hint="eastAsia"/>
                <w:lang w:bidi="ar"/>
              </w:rPr>
              <w:t>年</w:t>
            </w:r>
            <w:r>
              <w:rPr>
                <w:rFonts w:hint="eastAsia"/>
                <w:lang w:bidi="ar"/>
              </w:rPr>
              <w:t>8</w:t>
            </w:r>
            <w:r>
              <w:rPr>
                <w:rFonts w:hint="eastAsia"/>
                <w:lang w:bidi="ar"/>
              </w:rPr>
              <w:t>月</w:t>
            </w:r>
            <w:r>
              <w:rPr>
                <w:rFonts w:hint="eastAsia"/>
                <w:lang w:bidi="ar"/>
              </w:rPr>
              <w:t>30</w:t>
            </w:r>
            <w:r>
              <w:rPr>
                <w:rFonts w:hint="eastAsia"/>
                <w:lang w:bidi="ar"/>
              </w:rPr>
              <w:t>日</w:t>
            </w:r>
          </w:p>
        </w:tc>
      </w:tr>
      <w:tr w:rsidR="00B51DEA" w14:paraId="3D002D3F" w14:textId="77777777">
        <w:tc>
          <w:tcPr>
            <w:tcW w:w="817" w:type="dxa"/>
          </w:tcPr>
          <w:p w14:paraId="572B3CC3" w14:textId="77777777" w:rsidR="00B51DEA" w:rsidRDefault="00000000">
            <w:pPr>
              <w:jc w:val="center"/>
              <w:rPr>
                <w:rFonts w:asciiTheme="minorEastAsia" w:hAnsiTheme="minorEastAsia" w:cs="Times New Roman" w:hint="eastAsia"/>
                <w:kern w:val="0"/>
                <w:szCs w:val="21"/>
              </w:rPr>
            </w:pPr>
            <w:r>
              <w:rPr>
                <w:rFonts w:asciiTheme="minorEastAsia" w:hAnsiTheme="minorEastAsia" w:cs="Times New Roman" w:hint="eastAsia"/>
                <w:kern w:val="0"/>
                <w:szCs w:val="21"/>
              </w:rPr>
              <w:t>2</w:t>
            </w:r>
          </w:p>
        </w:tc>
        <w:tc>
          <w:tcPr>
            <w:tcW w:w="5812" w:type="dxa"/>
            <w:vAlign w:val="bottom"/>
          </w:tcPr>
          <w:p w14:paraId="30C6E712" w14:textId="77777777" w:rsidR="00B51DEA" w:rsidRDefault="00000000">
            <w:pPr>
              <w:jc w:val="left"/>
              <w:rPr>
                <w:color w:val="000000"/>
                <w:sz w:val="22"/>
              </w:rPr>
            </w:pPr>
            <w:r>
              <w:rPr>
                <w:rFonts w:hint="eastAsia"/>
                <w:lang w:bidi="ar"/>
              </w:rPr>
              <w:t>富荣价值精选灵活配置混合型发起式证券投资基金招募说明书更新及产品资料概要更新的提示性公告</w:t>
            </w:r>
          </w:p>
        </w:tc>
        <w:tc>
          <w:tcPr>
            <w:tcW w:w="2227" w:type="dxa"/>
            <w:vAlign w:val="center"/>
          </w:tcPr>
          <w:p w14:paraId="599B7C66" w14:textId="77777777" w:rsidR="00B51DEA" w:rsidRDefault="00000000">
            <w:pPr>
              <w:tabs>
                <w:tab w:val="center" w:pos="1215"/>
              </w:tabs>
              <w:rPr>
                <w:color w:val="000000"/>
                <w:sz w:val="22"/>
              </w:rPr>
            </w:pPr>
            <w:r>
              <w:rPr>
                <w:rFonts w:hint="eastAsia"/>
                <w:lang w:bidi="ar"/>
              </w:rPr>
              <w:t>2025</w:t>
            </w:r>
            <w:r>
              <w:rPr>
                <w:rFonts w:hint="eastAsia"/>
                <w:lang w:bidi="ar"/>
              </w:rPr>
              <w:t>年</w:t>
            </w:r>
            <w:r>
              <w:rPr>
                <w:rFonts w:hint="eastAsia"/>
                <w:lang w:bidi="ar"/>
              </w:rPr>
              <w:t>9</w:t>
            </w:r>
            <w:r>
              <w:rPr>
                <w:rFonts w:hint="eastAsia"/>
                <w:lang w:bidi="ar"/>
              </w:rPr>
              <w:t>月</w:t>
            </w:r>
            <w:r>
              <w:rPr>
                <w:rFonts w:hint="eastAsia"/>
                <w:lang w:bidi="ar"/>
              </w:rPr>
              <w:t>12</w:t>
            </w:r>
            <w:r>
              <w:rPr>
                <w:rFonts w:hint="eastAsia"/>
                <w:lang w:bidi="ar"/>
              </w:rPr>
              <w:t>日</w:t>
            </w:r>
          </w:p>
        </w:tc>
      </w:tr>
      <w:tr w:rsidR="00B51DEA" w14:paraId="35A6388A" w14:textId="77777777">
        <w:tc>
          <w:tcPr>
            <w:tcW w:w="817" w:type="dxa"/>
          </w:tcPr>
          <w:p w14:paraId="4AD49BB5" w14:textId="77777777" w:rsidR="00B51DEA" w:rsidRDefault="00000000">
            <w:pPr>
              <w:jc w:val="center"/>
              <w:rPr>
                <w:rFonts w:asciiTheme="minorEastAsia" w:hAnsiTheme="minorEastAsia" w:cs="Times New Roman" w:hint="eastAsia"/>
                <w:kern w:val="0"/>
                <w:szCs w:val="21"/>
              </w:rPr>
            </w:pPr>
            <w:r>
              <w:rPr>
                <w:rFonts w:asciiTheme="minorEastAsia" w:hAnsiTheme="minorEastAsia" w:cs="Times New Roman" w:hint="eastAsia"/>
                <w:kern w:val="0"/>
                <w:szCs w:val="21"/>
              </w:rPr>
              <w:t>3</w:t>
            </w:r>
          </w:p>
        </w:tc>
        <w:tc>
          <w:tcPr>
            <w:tcW w:w="5812" w:type="dxa"/>
            <w:vAlign w:val="bottom"/>
          </w:tcPr>
          <w:p w14:paraId="59665614" w14:textId="77777777" w:rsidR="00B51DEA" w:rsidRDefault="00000000">
            <w:pPr>
              <w:jc w:val="left"/>
              <w:rPr>
                <w:color w:val="000000"/>
                <w:sz w:val="22"/>
              </w:rPr>
            </w:pPr>
            <w:r>
              <w:rPr>
                <w:rFonts w:hint="eastAsia"/>
                <w:lang w:bidi="ar"/>
              </w:rPr>
              <w:t>富荣基金管理有限公司旗下全部基金</w:t>
            </w:r>
            <w:r>
              <w:rPr>
                <w:rFonts w:hint="eastAsia"/>
                <w:lang w:bidi="ar"/>
              </w:rPr>
              <w:t>2025</w:t>
            </w:r>
            <w:r>
              <w:rPr>
                <w:rFonts w:hint="eastAsia"/>
                <w:lang w:bidi="ar"/>
              </w:rPr>
              <w:t>年第</w:t>
            </w:r>
            <w:r>
              <w:rPr>
                <w:rFonts w:hint="eastAsia"/>
                <w:lang w:bidi="ar"/>
              </w:rPr>
              <w:t>3</w:t>
            </w:r>
            <w:r>
              <w:rPr>
                <w:rFonts w:hint="eastAsia"/>
                <w:lang w:bidi="ar"/>
              </w:rPr>
              <w:t>季度报告提示性公告</w:t>
            </w:r>
          </w:p>
        </w:tc>
        <w:tc>
          <w:tcPr>
            <w:tcW w:w="2227" w:type="dxa"/>
            <w:vAlign w:val="center"/>
          </w:tcPr>
          <w:p w14:paraId="4601299D" w14:textId="77777777" w:rsidR="00B51DEA" w:rsidRDefault="00000000">
            <w:pPr>
              <w:tabs>
                <w:tab w:val="center" w:pos="1215"/>
              </w:tabs>
              <w:rPr>
                <w:color w:val="000000"/>
                <w:sz w:val="22"/>
              </w:rPr>
            </w:pPr>
            <w:r>
              <w:rPr>
                <w:rFonts w:hint="eastAsia"/>
                <w:lang w:bidi="ar"/>
              </w:rPr>
              <w:t>2025</w:t>
            </w:r>
            <w:r>
              <w:rPr>
                <w:rFonts w:hint="eastAsia"/>
                <w:lang w:bidi="ar"/>
              </w:rPr>
              <w:t>年</w:t>
            </w:r>
            <w:r>
              <w:rPr>
                <w:rFonts w:hint="eastAsia"/>
                <w:lang w:bidi="ar"/>
              </w:rPr>
              <w:t>10</w:t>
            </w:r>
            <w:r>
              <w:rPr>
                <w:rFonts w:hint="eastAsia"/>
                <w:lang w:bidi="ar"/>
              </w:rPr>
              <w:t>月</w:t>
            </w:r>
            <w:r>
              <w:rPr>
                <w:rFonts w:hint="eastAsia"/>
                <w:lang w:bidi="ar"/>
              </w:rPr>
              <w:t>28</w:t>
            </w:r>
            <w:r>
              <w:rPr>
                <w:rFonts w:hint="eastAsia"/>
                <w:lang w:bidi="ar"/>
              </w:rPr>
              <w:t>日</w:t>
            </w:r>
          </w:p>
        </w:tc>
      </w:tr>
      <w:tr w:rsidR="00B51DEA" w14:paraId="635ABAE4" w14:textId="77777777">
        <w:tc>
          <w:tcPr>
            <w:tcW w:w="817" w:type="dxa"/>
          </w:tcPr>
          <w:p w14:paraId="44D3CB11" w14:textId="77777777" w:rsidR="00B51DEA" w:rsidRDefault="00000000">
            <w:pPr>
              <w:jc w:val="center"/>
              <w:rPr>
                <w:rFonts w:asciiTheme="minorEastAsia" w:hAnsiTheme="minorEastAsia" w:cs="Times New Roman" w:hint="eastAsia"/>
                <w:kern w:val="0"/>
                <w:szCs w:val="21"/>
              </w:rPr>
            </w:pPr>
            <w:r>
              <w:rPr>
                <w:rFonts w:asciiTheme="minorEastAsia" w:hAnsiTheme="minorEastAsia" w:cs="Times New Roman" w:hint="eastAsia"/>
                <w:kern w:val="0"/>
                <w:szCs w:val="21"/>
              </w:rPr>
              <w:t>4</w:t>
            </w:r>
          </w:p>
        </w:tc>
        <w:tc>
          <w:tcPr>
            <w:tcW w:w="5812" w:type="dxa"/>
            <w:vAlign w:val="bottom"/>
          </w:tcPr>
          <w:p w14:paraId="0C222937" w14:textId="77777777" w:rsidR="00B51DEA" w:rsidRDefault="00000000">
            <w:pPr>
              <w:jc w:val="left"/>
              <w:rPr>
                <w:color w:val="000000"/>
                <w:sz w:val="22"/>
              </w:rPr>
            </w:pPr>
            <w:r>
              <w:rPr>
                <w:rFonts w:hint="eastAsia"/>
                <w:lang w:bidi="ar"/>
              </w:rPr>
              <w:t>富荣价值精选灵活配置混合型发起式证券投资</w:t>
            </w:r>
            <w:proofErr w:type="gramStart"/>
            <w:r>
              <w:rPr>
                <w:rFonts w:hint="eastAsia"/>
                <w:lang w:bidi="ar"/>
              </w:rPr>
              <w:t>基金基金</w:t>
            </w:r>
            <w:proofErr w:type="gramEnd"/>
            <w:r>
              <w:rPr>
                <w:rFonts w:hint="eastAsia"/>
                <w:lang w:bidi="ar"/>
              </w:rPr>
              <w:t>经理变更公告</w:t>
            </w:r>
          </w:p>
        </w:tc>
        <w:tc>
          <w:tcPr>
            <w:tcW w:w="2227" w:type="dxa"/>
            <w:vAlign w:val="center"/>
          </w:tcPr>
          <w:p w14:paraId="1593D4E3" w14:textId="77777777" w:rsidR="00B51DEA" w:rsidRDefault="00000000">
            <w:pPr>
              <w:tabs>
                <w:tab w:val="center" w:pos="1215"/>
              </w:tabs>
              <w:rPr>
                <w:color w:val="000000"/>
                <w:sz w:val="22"/>
              </w:rPr>
            </w:pPr>
            <w:r>
              <w:rPr>
                <w:rFonts w:hint="eastAsia"/>
                <w:lang w:bidi="ar"/>
              </w:rPr>
              <w:t>2025</w:t>
            </w:r>
            <w:r>
              <w:rPr>
                <w:rFonts w:hint="eastAsia"/>
                <w:lang w:bidi="ar"/>
              </w:rPr>
              <w:t>年</w:t>
            </w:r>
            <w:r>
              <w:rPr>
                <w:rFonts w:hint="eastAsia"/>
                <w:lang w:bidi="ar"/>
              </w:rPr>
              <w:t>10</w:t>
            </w:r>
            <w:r>
              <w:rPr>
                <w:rFonts w:hint="eastAsia"/>
                <w:lang w:bidi="ar"/>
              </w:rPr>
              <w:t>月</w:t>
            </w:r>
            <w:r>
              <w:rPr>
                <w:rFonts w:hint="eastAsia"/>
                <w:lang w:bidi="ar"/>
              </w:rPr>
              <w:t>31</w:t>
            </w:r>
            <w:r>
              <w:rPr>
                <w:rFonts w:hint="eastAsia"/>
                <w:lang w:bidi="ar"/>
              </w:rPr>
              <w:t>日</w:t>
            </w:r>
          </w:p>
        </w:tc>
      </w:tr>
      <w:tr w:rsidR="00B51DEA" w14:paraId="70D9EE48" w14:textId="77777777">
        <w:tc>
          <w:tcPr>
            <w:tcW w:w="817" w:type="dxa"/>
          </w:tcPr>
          <w:p w14:paraId="2AC0A009" w14:textId="77777777" w:rsidR="00B51DEA" w:rsidRDefault="00000000">
            <w:pPr>
              <w:jc w:val="center"/>
              <w:rPr>
                <w:rFonts w:asciiTheme="minorEastAsia" w:hAnsiTheme="minorEastAsia" w:cs="Times New Roman" w:hint="eastAsia"/>
                <w:kern w:val="0"/>
                <w:szCs w:val="21"/>
              </w:rPr>
            </w:pPr>
            <w:r>
              <w:rPr>
                <w:rFonts w:asciiTheme="minorEastAsia" w:hAnsiTheme="minorEastAsia" w:cs="Times New Roman" w:hint="eastAsia"/>
                <w:kern w:val="0"/>
                <w:szCs w:val="21"/>
              </w:rPr>
              <w:t>5</w:t>
            </w:r>
          </w:p>
        </w:tc>
        <w:tc>
          <w:tcPr>
            <w:tcW w:w="5812" w:type="dxa"/>
            <w:vAlign w:val="bottom"/>
          </w:tcPr>
          <w:p w14:paraId="3AC83FA1" w14:textId="77777777" w:rsidR="00B51DEA" w:rsidRDefault="00000000">
            <w:pPr>
              <w:jc w:val="left"/>
              <w:rPr>
                <w:color w:val="000000"/>
                <w:sz w:val="22"/>
              </w:rPr>
            </w:pPr>
            <w:r>
              <w:rPr>
                <w:rFonts w:hint="eastAsia"/>
                <w:lang w:bidi="ar"/>
              </w:rPr>
              <w:t>富荣价值精选灵活配置混合型发起式证券投资基金招募说明书更新及产品资料概要更新的提示性公告</w:t>
            </w:r>
          </w:p>
        </w:tc>
        <w:tc>
          <w:tcPr>
            <w:tcW w:w="2227" w:type="dxa"/>
            <w:vAlign w:val="center"/>
          </w:tcPr>
          <w:p w14:paraId="2F3DCC78" w14:textId="77777777" w:rsidR="00B51DEA" w:rsidRDefault="00000000">
            <w:pPr>
              <w:tabs>
                <w:tab w:val="center" w:pos="1215"/>
              </w:tabs>
              <w:rPr>
                <w:color w:val="000000"/>
                <w:sz w:val="22"/>
              </w:rPr>
            </w:pPr>
            <w:r>
              <w:rPr>
                <w:rFonts w:hint="eastAsia"/>
                <w:lang w:bidi="ar"/>
              </w:rPr>
              <w:t>2025</w:t>
            </w:r>
            <w:r>
              <w:rPr>
                <w:rFonts w:hint="eastAsia"/>
                <w:lang w:bidi="ar"/>
              </w:rPr>
              <w:t>年</w:t>
            </w:r>
            <w:r>
              <w:rPr>
                <w:rFonts w:hint="eastAsia"/>
                <w:lang w:bidi="ar"/>
              </w:rPr>
              <w:t>11</w:t>
            </w:r>
            <w:r>
              <w:rPr>
                <w:rFonts w:hint="eastAsia"/>
                <w:lang w:bidi="ar"/>
              </w:rPr>
              <w:t>月</w:t>
            </w:r>
            <w:r>
              <w:rPr>
                <w:rFonts w:hint="eastAsia"/>
                <w:lang w:bidi="ar"/>
              </w:rPr>
              <w:t>4</w:t>
            </w:r>
            <w:r>
              <w:rPr>
                <w:rFonts w:hint="eastAsia"/>
                <w:lang w:bidi="ar"/>
              </w:rPr>
              <w:t>日</w:t>
            </w:r>
          </w:p>
        </w:tc>
      </w:tr>
      <w:tr w:rsidR="00B51DEA" w14:paraId="29659DB2" w14:textId="77777777">
        <w:tc>
          <w:tcPr>
            <w:tcW w:w="817" w:type="dxa"/>
          </w:tcPr>
          <w:p w14:paraId="7397466D" w14:textId="77777777" w:rsidR="00B51DEA" w:rsidRDefault="00000000">
            <w:pPr>
              <w:jc w:val="center"/>
              <w:rPr>
                <w:rFonts w:asciiTheme="minorEastAsia" w:hAnsiTheme="minorEastAsia" w:cs="Times New Roman" w:hint="eastAsia"/>
                <w:kern w:val="0"/>
                <w:szCs w:val="21"/>
              </w:rPr>
            </w:pPr>
            <w:r>
              <w:rPr>
                <w:rFonts w:asciiTheme="minorEastAsia" w:hAnsiTheme="minorEastAsia" w:cs="Times New Roman" w:hint="eastAsia"/>
                <w:kern w:val="0"/>
                <w:szCs w:val="21"/>
              </w:rPr>
              <w:t>6</w:t>
            </w:r>
          </w:p>
        </w:tc>
        <w:tc>
          <w:tcPr>
            <w:tcW w:w="5812" w:type="dxa"/>
            <w:vAlign w:val="bottom"/>
          </w:tcPr>
          <w:p w14:paraId="0D75B09F" w14:textId="77777777" w:rsidR="00B51DEA" w:rsidRDefault="00000000">
            <w:pPr>
              <w:jc w:val="left"/>
              <w:rPr>
                <w:color w:val="000000"/>
                <w:sz w:val="22"/>
              </w:rPr>
            </w:pPr>
            <w:r>
              <w:rPr>
                <w:rFonts w:hint="eastAsia"/>
                <w:lang w:bidi="ar"/>
              </w:rPr>
              <w:t>富荣基金管理有限公司关于提醒投资者持续完善身份信息资料的公告</w:t>
            </w:r>
          </w:p>
        </w:tc>
        <w:tc>
          <w:tcPr>
            <w:tcW w:w="2227" w:type="dxa"/>
            <w:vAlign w:val="center"/>
          </w:tcPr>
          <w:p w14:paraId="77058253" w14:textId="77777777" w:rsidR="00B51DEA" w:rsidRDefault="00000000">
            <w:pPr>
              <w:tabs>
                <w:tab w:val="center" w:pos="1215"/>
              </w:tabs>
              <w:rPr>
                <w:color w:val="000000"/>
                <w:sz w:val="22"/>
              </w:rPr>
            </w:pPr>
            <w:r>
              <w:rPr>
                <w:rFonts w:hint="eastAsia"/>
                <w:lang w:bidi="ar"/>
              </w:rPr>
              <w:t>2025</w:t>
            </w:r>
            <w:r>
              <w:rPr>
                <w:rFonts w:hint="eastAsia"/>
                <w:lang w:bidi="ar"/>
              </w:rPr>
              <w:t>年</w:t>
            </w:r>
            <w:r>
              <w:rPr>
                <w:rFonts w:hint="eastAsia"/>
                <w:lang w:bidi="ar"/>
              </w:rPr>
              <w:t>12</w:t>
            </w:r>
            <w:r>
              <w:rPr>
                <w:rFonts w:hint="eastAsia"/>
                <w:lang w:bidi="ar"/>
              </w:rPr>
              <w:t>月</w:t>
            </w:r>
            <w:r>
              <w:rPr>
                <w:rFonts w:hint="eastAsia"/>
                <w:lang w:bidi="ar"/>
              </w:rPr>
              <w:t>24</w:t>
            </w:r>
            <w:r>
              <w:rPr>
                <w:rFonts w:hint="eastAsia"/>
                <w:lang w:bidi="ar"/>
              </w:rPr>
              <w:t>日</w:t>
            </w:r>
          </w:p>
        </w:tc>
      </w:tr>
      <w:tr w:rsidR="00B51DEA" w14:paraId="7B29731C" w14:textId="77777777">
        <w:tc>
          <w:tcPr>
            <w:tcW w:w="817" w:type="dxa"/>
          </w:tcPr>
          <w:p w14:paraId="3A5F6CBD" w14:textId="77777777" w:rsidR="00B51DEA" w:rsidRDefault="00000000">
            <w:pPr>
              <w:jc w:val="center"/>
              <w:rPr>
                <w:rFonts w:asciiTheme="minorEastAsia" w:hAnsiTheme="minorEastAsia" w:cs="Times New Roman" w:hint="eastAsia"/>
                <w:kern w:val="0"/>
                <w:szCs w:val="21"/>
              </w:rPr>
            </w:pPr>
            <w:r>
              <w:rPr>
                <w:rFonts w:asciiTheme="minorEastAsia" w:hAnsiTheme="minorEastAsia" w:cs="Times New Roman" w:hint="eastAsia"/>
                <w:kern w:val="0"/>
                <w:szCs w:val="21"/>
              </w:rPr>
              <w:t>7</w:t>
            </w:r>
          </w:p>
        </w:tc>
        <w:tc>
          <w:tcPr>
            <w:tcW w:w="5812" w:type="dxa"/>
            <w:vAlign w:val="bottom"/>
          </w:tcPr>
          <w:p w14:paraId="79DB558A" w14:textId="77777777" w:rsidR="00B51DEA" w:rsidRDefault="00000000">
            <w:pPr>
              <w:jc w:val="left"/>
              <w:rPr>
                <w:color w:val="000000"/>
                <w:sz w:val="22"/>
              </w:rPr>
            </w:pPr>
            <w:r>
              <w:rPr>
                <w:rFonts w:hint="eastAsia"/>
                <w:lang w:bidi="ar"/>
              </w:rPr>
              <w:t>富荣基金管理有限公司旗下基金</w:t>
            </w:r>
            <w:r>
              <w:rPr>
                <w:rFonts w:hint="eastAsia"/>
                <w:lang w:bidi="ar"/>
              </w:rPr>
              <w:t>2025</w:t>
            </w:r>
            <w:r>
              <w:rPr>
                <w:rFonts w:hint="eastAsia"/>
                <w:lang w:bidi="ar"/>
              </w:rPr>
              <w:t>年第</w:t>
            </w:r>
            <w:r>
              <w:rPr>
                <w:rFonts w:hint="eastAsia"/>
                <w:lang w:bidi="ar"/>
              </w:rPr>
              <w:t>4</w:t>
            </w:r>
            <w:r>
              <w:rPr>
                <w:rFonts w:hint="eastAsia"/>
                <w:lang w:bidi="ar"/>
              </w:rPr>
              <w:t>季度报告提示性公告</w:t>
            </w:r>
          </w:p>
        </w:tc>
        <w:tc>
          <w:tcPr>
            <w:tcW w:w="2227" w:type="dxa"/>
            <w:vAlign w:val="center"/>
          </w:tcPr>
          <w:p w14:paraId="6E6D88E4" w14:textId="77777777" w:rsidR="00B51DEA" w:rsidRDefault="00000000">
            <w:pPr>
              <w:tabs>
                <w:tab w:val="center" w:pos="1215"/>
              </w:tabs>
              <w:rPr>
                <w:color w:val="000000"/>
                <w:sz w:val="22"/>
              </w:rPr>
            </w:pPr>
            <w:r>
              <w:rPr>
                <w:rFonts w:hint="eastAsia"/>
                <w:lang w:bidi="ar"/>
              </w:rPr>
              <w:t>2026</w:t>
            </w:r>
            <w:r>
              <w:rPr>
                <w:rFonts w:hint="eastAsia"/>
                <w:lang w:bidi="ar"/>
              </w:rPr>
              <w:t>年</w:t>
            </w:r>
            <w:r>
              <w:rPr>
                <w:rFonts w:hint="eastAsia"/>
                <w:lang w:bidi="ar"/>
              </w:rPr>
              <w:t>1</w:t>
            </w:r>
            <w:r>
              <w:rPr>
                <w:rFonts w:hint="eastAsia"/>
                <w:lang w:bidi="ar"/>
              </w:rPr>
              <w:t>月</w:t>
            </w:r>
            <w:r>
              <w:rPr>
                <w:rFonts w:hint="eastAsia"/>
                <w:lang w:bidi="ar"/>
              </w:rPr>
              <w:t>22</w:t>
            </w:r>
            <w:r>
              <w:rPr>
                <w:rFonts w:hint="eastAsia"/>
                <w:lang w:bidi="ar"/>
              </w:rPr>
              <w:t>日</w:t>
            </w:r>
          </w:p>
        </w:tc>
      </w:tr>
      <w:tr w:rsidR="00B51DEA" w14:paraId="7659F57F" w14:textId="77777777">
        <w:tc>
          <w:tcPr>
            <w:tcW w:w="817" w:type="dxa"/>
          </w:tcPr>
          <w:p w14:paraId="0031E2C0" w14:textId="77777777" w:rsidR="00B51DEA" w:rsidRDefault="00000000">
            <w:pPr>
              <w:jc w:val="center"/>
              <w:rPr>
                <w:rFonts w:asciiTheme="minorEastAsia" w:hAnsiTheme="minorEastAsia" w:cs="Times New Roman" w:hint="eastAsia"/>
                <w:kern w:val="0"/>
                <w:szCs w:val="21"/>
              </w:rPr>
            </w:pPr>
            <w:r>
              <w:rPr>
                <w:rFonts w:asciiTheme="minorEastAsia" w:hAnsiTheme="minorEastAsia" w:cs="Times New Roman" w:hint="eastAsia"/>
                <w:kern w:val="0"/>
                <w:szCs w:val="21"/>
              </w:rPr>
              <w:t>8</w:t>
            </w:r>
          </w:p>
        </w:tc>
        <w:tc>
          <w:tcPr>
            <w:tcW w:w="5812" w:type="dxa"/>
            <w:vAlign w:val="bottom"/>
          </w:tcPr>
          <w:p w14:paraId="14D490AE" w14:textId="77777777" w:rsidR="00B51DEA" w:rsidRDefault="00000000">
            <w:pPr>
              <w:jc w:val="left"/>
              <w:rPr>
                <w:color w:val="000000"/>
                <w:sz w:val="22"/>
              </w:rPr>
            </w:pPr>
            <w:r>
              <w:rPr>
                <w:rFonts w:hint="eastAsia"/>
                <w:lang w:bidi="ar"/>
              </w:rPr>
              <w:t>富荣基金管理有限公司旗下全部基金</w:t>
            </w:r>
            <w:r>
              <w:rPr>
                <w:rFonts w:hint="eastAsia"/>
                <w:lang w:bidi="ar"/>
              </w:rPr>
              <w:t>2025</w:t>
            </w:r>
            <w:r>
              <w:rPr>
                <w:rFonts w:hint="eastAsia"/>
                <w:lang w:bidi="ar"/>
              </w:rPr>
              <w:t>年年度报告提示性公告</w:t>
            </w:r>
          </w:p>
        </w:tc>
        <w:tc>
          <w:tcPr>
            <w:tcW w:w="2227" w:type="dxa"/>
            <w:vAlign w:val="center"/>
          </w:tcPr>
          <w:p w14:paraId="39BF2E24" w14:textId="77777777" w:rsidR="00B51DEA" w:rsidRDefault="00000000">
            <w:pPr>
              <w:tabs>
                <w:tab w:val="center" w:pos="1215"/>
              </w:tabs>
              <w:rPr>
                <w:color w:val="000000"/>
                <w:sz w:val="22"/>
              </w:rPr>
            </w:pPr>
            <w:r>
              <w:rPr>
                <w:rFonts w:hint="eastAsia"/>
                <w:lang w:bidi="ar"/>
              </w:rPr>
              <w:t>2026</w:t>
            </w:r>
            <w:r>
              <w:rPr>
                <w:rFonts w:hint="eastAsia"/>
                <w:lang w:bidi="ar"/>
              </w:rPr>
              <w:t>年</w:t>
            </w:r>
            <w:r>
              <w:rPr>
                <w:rFonts w:hint="eastAsia"/>
                <w:lang w:bidi="ar"/>
              </w:rPr>
              <w:t>3</w:t>
            </w:r>
            <w:r>
              <w:rPr>
                <w:rFonts w:hint="eastAsia"/>
                <w:lang w:bidi="ar"/>
              </w:rPr>
              <w:t>月</w:t>
            </w:r>
            <w:r>
              <w:rPr>
                <w:rFonts w:hint="eastAsia"/>
                <w:lang w:bidi="ar"/>
              </w:rPr>
              <w:t>31</w:t>
            </w:r>
            <w:r>
              <w:rPr>
                <w:rFonts w:hint="eastAsia"/>
                <w:lang w:bidi="ar"/>
              </w:rPr>
              <w:t>日</w:t>
            </w:r>
          </w:p>
        </w:tc>
      </w:tr>
      <w:tr w:rsidR="00B51DEA" w14:paraId="0EAAB27A" w14:textId="77777777">
        <w:tc>
          <w:tcPr>
            <w:tcW w:w="817" w:type="dxa"/>
          </w:tcPr>
          <w:p w14:paraId="742BF40E" w14:textId="77777777" w:rsidR="00B51DEA" w:rsidRDefault="00000000">
            <w:pPr>
              <w:jc w:val="center"/>
              <w:rPr>
                <w:rFonts w:asciiTheme="minorEastAsia" w:hAnsiTheme="minorEastAsia" w:cs="Times New Roman" w:hint="eastAsia"/>
                <w:kern w:val="0"/>
                <w:szCs w:val="21"/>
              </w:rPr>
            </w:pPr>
            <w:r>
              <w:rPr>
                <w:rFonts w:asciiTheme="minorEastAsia" w:hAnsiTheme="minorEastAsia" w:cs="Times New Roman" w:hint="eastAsia"/>
                <w:kern w:val="0"/>
                <w:szCs w:val="21"/>
              </w:rPr>
              <w:t>9</w:t>
            </w:r>
          </w:p>
        </w:tc>
        <w:tc>
          <w:tcPr>
            <w:tcW w:w="5812" w:type="dxa"/>
            <w:vAlign w:val="bottom"/>
          </w:tcPr>
          <w:p w14:paraId="553EC514" w14:textId="77777777" w:rsidR="00B51DEA" w:rsidRDefault="00000000">
            <w:pPr>
              <w:jc w:val="left"/>
              <w:rPr>
                <w:color w:val="000000"/>
                <w:sz w:val="22"/>
              </w:rPr>
            </w:pPr>
            <w:r>
              <w:rPr>
                <w:rFonts w:hint="eastAsia"/>
                <w:lang w:bidi="ar"/>
              </w:rPr>
              <w:t>富荣基金管理有限公司旗下全部基金</w:t>
            </w:r>
            <w:r>
              <w:rPr>
                <w:rFonts w:hint="eastAsia"/>
                <w:lang w:bidi="ar"/>
              </w:rPr>
              <w:t>2026</w:t>
            </w:r>
            <w:r>
              <w:rPr>
                <w:rFonts w:hint="eastAsia"/>
                <w:lang w:bidi="ar"/>
              </w:rPr>
              <w:t>年第</w:t>
            </w:r>
            <w:r>
              <w:rPr>
                <w:rFonts w:hint="eastAsia"/>
                <w:lang w:bidi="ar"/>
              </w:rPr>
              <w:t>1</w:t>
            </w:r>
            <w:r>
              <w:rPr>
                <w:rFonts w:hint="eastAsia"/>
                <w:lang w:bidi="ar"/>
              </w:rPr>
              <w:t>季度报告提示性公告</w:t>
            </w:r>
          </w:p>
        </w:tc>
        <w:tc>
          <w:tcPr>
            <w:tcW w:w="2227" w:type="dxa"/>
            <w:vAlign w:val="center"/>
          </w:tcPr>
          <w:p w14:paraId="641B842E" w14:textId="77777777" w:rsidR="00B51DEA" w:rsidRDefault="00000000">
            <w:pPr>
              <w:tabs>
                <w:tab w:val="center" w:pos="1215"/>
              </w:tabs>
              <w:rPr>
                <w:color w:val="000000"/>
                <w:sz w:val="22"/>
              </w:rPr>
            </w:pPr>
            <w:r>
              <w:rPr>
                <w:rFonts w:hint="eastAsia"/>
                <w:lang w:bidi="ar"/>
              </w:rPr>
              <w:t>2026</w:t>
            </w:r>
            <w:r>
              <w:rPr>
                <w:rFonts w:hint="eastAsia"/>
                <w:lang w:bidi="ar"/>
              </w:rPr>
              <w:t>年</w:t>
            </w:r>
            <w:r>
              <w:rPr>
                <w:rFonts w:hint="eastAsia"/>
                <w:lang w:bidi="ar"/>
              </w:rPr>
              <w:t>4</w:t>
            </w:r>
            <w:r>
              <w:rPr>
                <w:rFonts w:hint="eastAsia"/>
                <w:lang w:bidi="ar"/>
              </w:rPr>
              <w:t>月</w:t>
            </w:r>
            <w:r>
              <w:rPr>
                <w:rFonts w:hint="eastAsia"/>
                <w:lang w:bidi="ar"/>
              </w:rPr>
              <w:t>22</w:t>
            </w:r>
            <w:r>
              <w:rPr>
                <w:rFonts w:hint="eastAsia"/>
                <w:lang w:bidi="ar"/>
              </w:rPr>
              <w:t>日</w:t>
            </w:r>
          </w:p>
        </w:tc>
      </w:tr>
      <w:tr w:rsidR="00B51DEA" w14:paraId="1105F772" w14:textId="77777777">
        <w:tc>
          <w:tcPr>
            <w:tcW w:w="817" w:type="dxa"/>
          </w:tcPr>
          <w:p w14:paraId="458DBD06" w14:textId="77777777" w:rsidR="00B51DEA" w:rsidRDefault="00000000">
            <w:pPr>
              <w:jc w:val="center"/>
              <w:rPr>
                <w:rFonts w:asciiTheme="minorEastAsia" w:hAnsiTheme="minorEastAsia" w:cs="Times New Roman" w:hint="eastAsia"/>
                <w:kern w:val="0"/>
                <w:szCs w:val="21"/>
              </w:rPr>
            </w:pPr>
            <w:r>
              <w:rPr>
                <w:rFonts w:asciiTheme="minorEastAsia" w:hAnsiTheme="minorEastAsia" w:cs="Times New Roman" w:hint="eastAsia"/>
                <w:kern w:val="0"/>
                <w:szCs w:val="21"/>
              </w:rPr>
              <w:t>10</w:t>
            </w:r>
          </w:p>
        </w:tc>
        <w:tc>
          <w:tcPr>
            <w:tcW w:w="5812" w:type="dxa"/>
            <w:vAlign w:val="bottom"/>
          </w:tcPr>
          <w:p w14:paraId="69996CB0" w14:textId="77777777" w:rsidR="00B51DEA" w:rsidRDefault="00000000">
            <w:pPr>
              <w:jc w:val="left"/>
              <w:rPr>
                <w:color w:val="000000"/>
                <w:sz w:val="22"/>
              </w:rPr>
            </w:pPr>
            <w:r>
              <w:rPr>
                <w:rFonts w:hint="eastAsia"/>
                <w:lang w:bidi="ar"/>
              </w:rPr>
              <w:t>富荣基金管理有限公司关于终止中证金牛（北京）基金销售有限公司办理旗下基金相关销售业务的公告</w:t>
            </w:r>
          </w:p>
        </w:tc>
        <w:tc>
          <w:tcPr>
            <w:tcW w:w="2227" w:type="dxa"/>
            <w:vAlign w:val="center"/>
          </w:tcPr>
          <w:p w14:paraId="3DEB9027" w14:textId="77777777" w:rsidR="00B51DEA" w:rsidRDefault="00000000">
            <w:pPr>
              <w:tabs>
                <w:tab w:val="center" w:pos="1215"/>
              </w:tabs>
              <w:rPr>
                <w:color w:val="000000"/>
                <w:sz w:val="22"/>
              </w:rPr>
            </w:pPr>
            <w:r>
              <w:rPr>
                <w:rFonts w:hint="eastAsia"/>
                <w:lang w:bidi="ar"/>
              </w:rPr>
              <w:t>2026</w:t>
            </w:r>
            <w:r>
              <w:rPr>
                <w:rFonts w:hint="eastAsia"/>
                <w:lang w:bidi="ar"/>
              </w:rPr>
              <w:t>年</w:t>
            </w:r>
            <w:r>
              <w:rPr>
                <w:rFonts w:hint="eastAsia"/>
                <w:lang w:bidi="ar"/>
              </w:rPr>
              <w:t>5</w:t>
            </w:r>
            <w:r>
              <w:rPr>
                <w:rFonts w:hint="eastAsia"/>
                <w:lang w:bidi="ar"/>
              </w:rPr>
              <w:t>月</w:t>
            </w:r>
            <w:r>
              <w:rPr>
                <w:rFonts w:hint="eastAsia"/>
                <w:lang w:bidi="ar"/>
              </w:rPr>
              <w:t>30</w:t>
            </w:r>
            <w:r>
              <w:rPr>
                <w:rFonts w:hint="eastAsia"/>
                <w:lang w:bidi="ar"/>
              </w:rPr>
              <w:t>日</w:t>
            </w:r>
          </w:p>
        </w:tc>
      </w:tr>
      <w:tr w:rsidR="00B51DEA" w14:paraId="3BB42161" w14:textId="77777777">
        <w:tc>
          <w:tcPr>
            <w:tcW w:w="817" w:type="dxa"/>
          </w:tcPr>
          <w:p w14:paraId="2CF28AA3" w14:textId="77777777" w:rsidR="00B51DEA" w:rsidRDefault="00000000">
            <w:pPr>
              <w:jc w:val="center"/>
              <w:rPr>
                <w:rFonts w:asciiTheme="minorEastAsia" w:hAnsiTheme="minorEastAsia" w:cs="Times New Roman" w:hint="eastAsia"/>
                <w:kern w:val="0"/>
                <w:szCs w:val="21"/>
              </w:rPr>
            </w:pPr>
            <w:r>
              <w:rPr>
                <w:rFonts w:asciiTheme="minorEastAsia" w:hAnsiTheme="minorEastAsia" w:cs="Times New Roman" w:hint="eastAsia"/>
                <w:kern w:val="0"/>
                <w:szCs w:val="21"/>
              </w:rPr>
              <w:t>11</w:t>
            </w:r>
          </w:p>
        </w:tc>
        <w:tc>
          <w:tcPr>
            <w:tcW w:w="5812" w:type="dxa"/>
            <w:vAlign w:val="bottom"/>
          </w:tcPr>
          <w:p w14:paraId="6FBD47DC" w14:textId="77777777" w:rsidR="00B51DEA" w:rsidRDefault="00000000">
            <w:pPr>
              <w:jc w:val="left"/>
              <w:rPr>
                <w:color w:val="000000"/>
                <w:sz w:val="22"/>
              </w:rPr>
            </w:pPr>
            <w:r>
              <w:rPr>
                <w:rFonts w:hint="eastAsia"/>
                <w:lang w:bidi="ar"/>
              </w:rPr>
              <w:t>富荣基金管理有限公司关于提醒投资者持续完善身份信息资料的公告</w:t>
            </w:r>
          </w:p>
        </w:tc>
        <w:tc>
          <w:tcPr>
            <w:tcW w:w="2227" w:type="dxa"/>
            <w:vAlign w:val="center"/>
          </w:tcPr>
          <w:p w14:paraId="4B7AA90C" w14:textId="77777777" w:rsidR="00B51DEA" w:rsidRDefault="00000000">
            <w:pPr>
              <w:tabs>
                <w:tab w:val="center" w:pos="1215"/>
              </w:tabs>
              <w:rPr>
                <w:color w:val="000000"/>
                <w:sz w:val="22"/>
              </w:rPr>
            </w:pPr>
            <w:r>
              <w:rPr>
                <w:rFonts w:hint="eastAsia"/>
                <w:lang w:bidi="ar"/>
              </w:rPr>
              <w:t>2026</w:t>
            </w:r>
            <w:r>
              <w:rPr>
                <w:rFonts w:hint="eastAsia"/>
                <w:lang w:bidi="ar"/>
              </w:rPr>
              <w:t>年</w:t>
            </w:r>
            <w:r>
              <w:rPr>
                <w:rFonts w:hint="eastAsia"/>
                <w:lang w:bidi="ar"/>
              </w:rPr>
              <w:t>6</w:t>
            </w:r>
            <w:r>
              <w:rPr>
                <w:rFonts w:hint="eastAsia"/>
                <w:lang w:bidi="ar"/>
              </w:rPr>
              <w:t>月</w:t>
            </w:r>
            <w:r>
              <w:rPr>
                <w:rFonts w:hint="eastAsia"/>
                <w:lang w:bidi="ar"/>
              </w:rPr>
              <w:t>25</w:t>
            </w:r>
            <w:r>
              <w:rPr>
                <w:rFonts w:hint="eastAsia"/>
                <w:lang w:bidi="ar"/>
              </w:rPr>
              <w:t>日</w:t>
            </w:r>
          </w:p>
        </w:tc>
      </w:tr>
      <w:tr w:rsidR="00B51DEA" w14:paraId="40ABFD8F" w14:textId="77777777">
        <w:tc>
          <w:tcPr>
            <w:tcW w:w="817" w:type="dxa"/>
          </w:tcPr>
          <w:p w14:paraId="08714EEC" w14:textId="77777777" w:rsidR="00B51DEA" w:rsidRDefault="00000000">
            <w:pPr>
              <w:jc w:val="center"/>
              <w:rPr>
                <w:rFonts w:asciiTheme="minorEastAsia" w:hAnsiTheme="minorEastAsia" w:cs="Times New Roman" w:hint="eastAsia"/>
                <w:kern w:val="0"/>
                <w:szCs w:val="21"/>
              </w:rPr>
            </w:pPr>
            <w:r>
              <w:rPr>
                <w:rFonts w:asciiTheme="minorEastAsia" w:hAnsiTheme="minorEastAsia" w:cs="Times New Roman" w:hint="eastAsia"/>
                <w:kern w:val="0"/>
                <w:szCs w:val="21"/>
              </w:rPr>
              <w:t>12</w:t>
            </w:r>
          </w:p>
        </w:tc>
        <w:tc>
          <w:tcPr>
            <w:tcW w:w="5812" w:type="dxa"/>
            <w:vAlign w:val="bottom"/>
          </w:tcPr>
          <w:p w14:paraId="7DED6E8D" w14:textId="77777777" w:rsidR="00B51DEA" w:rsidRDefault="00000000">
            <w:pPr>
              <w:jc w:val="left"/>
            </w:pPr>
            <w:r>
              <w:rPr>
                <w:rFonts w:hint="eastAsia"/>
                <w:lang w:bidi="ar"/>
              </w:rPr>
              <w:t>富荣基金管理有限公司关于终止广东华润银行股份有限公司办理旗下基金相关销售业务的公告</w:t>
            </w:r>
          </w:p>
        </w:tc>
        <w:tc>
          <w:tcPr>
            <w:tcW w:w="2227" w:type="dxa"/>
            <w:vAlign w:val="center"/>
          </w:tcPr>
          <w:p w14:paraId="18B7079E" w14:textId="77777777" w:rsidR="00B51DEA" w:rsidRDefault="00000000">
            <w:pPr>
              <w:tabs>
                <w:tab w:val="center" w:pos="1215"/>
              </w:tabs>
            </w:pPr>
            <w:r>
              <w:rPr>
                <w:rFonts w:hint="eastAsia"/>
                <w:lang w:bidi="ar"/>
              </w:rPr>
              <w:t>2026</w:t>
            </w:r>
            <w:r>
              <w:rPr>
                <w:rFonts w:hint="eastAsia"/>
                <w:lang w:bidi="ar"/>
              </w:rPr>
              <w:t>年</w:t>
            </w:r>
            <w:r>
              <w:rPr>
                <w:rFonts w:hint="eastAsia"/>
                <w:lang w:bidi="ar"/>
              </w:rPr>
              <w:t>7</w:t>
            </w:r>
            <w:r>
              <w:rPr>
                <w:rFonts w:hint="eastAsia"/>
                <w:lang w:bidi="ar"/>
              </w:rPr>
              <w:t>月</w:t>
            </w:r>
            <w:r>
              <w:rPr>
                <w:rFonts w:hint="eastAsia"/>
                <w:lang w:bidi="ar"/>
              </w:rPr>
              <w:t>10</w:t>
            </w:r>
            <w:r>
              <w:rPr>
                <w:rFonts w:hint="eastAsia"/>
                <w:lang w:bidi="ar"/>
              </w:rPr>
              <w:t>日</w:t>
            </w:r>
          </w:p>
        </w:tc>
      </w:tr>
      <w:tr w:rsidR="00B51DEA" w14:paraId="20DD8BA8" w14:textId="77777777">
        <w:tc>
          <w:tcPr>
            <w:tcW w:w="817" w:type="dxa"/>
          </w:tcPr>
          <w:p w14:paraId="212B2387" w14:textId="77777777" w:rsidR="00B51DEA" w:rsidRDefault="00000000">
            <w:pPr>
              <w:jc w:val="center"/>
              <w:rPr>
                <w:rFonts w:asciiTheme="minorEastAsia" w:hAnsiTheme="minorEastAsia" w:cs="Times New Roman" w:hint="eastAsia"/>
                <w:kern w:val="0"/>
                <w:szCs w:val="21"/>
              </w:rPr>
            </w:pPr>
            <w:r>
              <w:rPr>
                <w:rFonts w:asciiTheme="minorEastAsia" w:hAnsiTheme="minorEastAsia" w:cs="Times New Roman" w:hint="eastAsia"/>
                <w:kern w:val="0"/>
                <w:szCs w:val="21"/>
              </w:rPr>
              <w:t>13</w:t>
            </w:r>
          </w:p>
        </w:tc>
        <w:tc>
          <w:tcPr>
            <w:tcW w:w="5812" w:type="dxa"/>
            <w:vAlign w:val="bottom"/>
          </w:tcPr>
          <w:p w14:paraId="0EFEBDF3" w14:textId="77777777" w:rsidR="00B51DEA" w:rsidRDefault="00000000">
            <w:pPr>
              <w:jc w:val="left"/>
            </w:pPr>
            <w:r>
              <w:rPr>
                <w:rFonts w:hint="eastAsia"/>
                <w:lang w:bidi="ar"/>
              </w:rPr>
              <w:t>富荣基金管理有限公司旗下全部基金</w:t>
            </w:r>
            <w:r>
              <w:rPr>
                <w:rFonts w:hint="eastAsia"/>
                <w:lang w:bidi="ar"/>
              </w:rPr>
              <w:t>2026</w:t>
            </w:r>
            <w:r>
              <w:rPr>
                <w:rFonts w:hint="eastAsia"/>
                <w:lang w:bidi="ar"/>
              </w:rPr>
              <w:t>年第</w:t>
            </w:r>
            <w:r>
              <w:rPr>
                <w:rFonts w:hint="eastAsia"/>
                <w:lang w:bidi="ar"/>
              </w:rPr>
              <w:t>2</w:t>
            </w:r>
            <w:r>
              <w:rPr>
                <w:rFonts w:hint="eastAsia"/>
                <w:lang w:bidi="ar"/>
              </w:rPr>
              <w:t>季度报告提示性公告</w:t>
            </w:r>
          </w:p>
        </w:tc>
        <w:tc>
          <w:tcPr>
            <w:tcW w:w="2227" w:type="dxa"/>
            <w:vAlign w:val="center"/>
          </w:tcPr>
          <w:p w14:paraId="5DC9C6D4" w14:textId="77777777" w:rsidR="00B51DEA" w:rsidRDefault="00000000">
            <w:pPr>
              <w:tabs>
                <w:tab w:val="center" w:pos="1215"/>
              </w:tabs>
            </w:pPr>
            <w:r>
              <w:rPr>
                <w:rFonts w:hint="eastAsia"/>
                <w:lang w:bidi="ar"/>
              </w:rPr>
              <w:t>2026</w:t>
            </w:r>
            <w:r>
              <w:rPr>
                <w:rFonts w:hint="eastAsia"/>
                <w:lang w:bidi="ar"/>
              </w:rPr>
              <w:t>年</w:t>
            </w:r>
            <w:r>
              <w:rPr>
                <w:rFonts w:hint="eastAsia"/>
                <w:lang w:bidi="ar"/>
              </w:rPr>
              <w:t>7</w:t>
            </w:r>
            <w:r>
              <w:rPr>
                <w:rFonts w:hint="eastAsia"/>
                <w:lang w:bidi="ar"/>
              </w:rPr>
              <w:t>月</w:t>
            </w:r>
            <w:r>
              <w:rPr>
                <w:rFonts w:hint="eastAsia"/>
                <w:lang w:bidi="ar"/>
              </w:rPr>
              <w:t>21</w:t>
            </w:r>
            <w:r>
              <w:rPr>
                <w:rFonts w:hint="eastAsia"/>
                <w:lang w:bidi="ar"/>
              </w:rPr>
              <w:t>日</w:t>
            </w:r>
          </w:p>
        </w:tc>
      </w:tr>
      <w:tr w:rsidR="00B51DEA" w14:paraId="3FB5D475" w14:textId="77777777">
        <w:tc>
          <w:tcPr>
            <w:tcW w:w="817" w:type="dxa"/>
          </w:tcPr>
          <w:p w14:paraId="6E43814C" w14:textId="77777777" w:rsidR="00B51DEA" w:rsidRDefault="00000000">
            <w:pPr>
              <w:jc w:val="center"/>
              <w:rPr>
                <w:rFonts w:asciiTheme="minorEastAsia" w:hAnsiTheme="minorEastAsia" w:cs="Times New Roman" w:hint="eastAsia"/>
                <w:kern w:val="0"/>
                <w:szCs w:val="21"/>
              </w:rPr>
            </w:pPr>
            <w:r>
              <w:rPr>
                <w:rFonts w:asciiTheme="minorEastAsia" w:hAnsiTheme="minorEastAsia" w:cs="Times New Roman" w:hint="eastAsia"/>
                <w:kern w:val="0"/>
                <w:szCs w:val="21"/>
              </w:rPr>
              <w:t>14</w:t>
            </w:r>
          </w:p>
        </w:tc>
        <w:tc>
          <w:tcPr>
            <w:tcW w:w="5812" w:type="dxa"/>
            <w:vAlign w:val="bottom"/>
          </w:tcPr>
          <w:p w14:paraId="2EC43593" w14:textId="77777777" w:rsidR="00B51DEA" w:rsidRDefault="00000000">
            <w:pPr>
              <w:jc w:val="left"/>
            </w:pPr>
            <w:r>
              <w:rPr>
                <w:rFonts w:hint="eastAsia"/>
                <w:lang w:bidi="ar"/>
              </w:rPr>
              <w:t>富荣基金管理有限公司关于提醒投资者防范不法分子假冒本公司名义从事诈骗活动的公告</w:t>
            </w:r>
          </w:p>
        </w:tc>
        <w:tc>
          <w:tcPr>
            <w:tcW w:w="2227" w:type="dxa"/>
            <w:vAlign w:val="center"/>
          </w:tcPr>
          <w:p w14:paraId="384810B5" w14:textId="77777777" w:rsidR="00B51DEA" w:rsidRDefault="00000000">
            <w:pPr>
              <w:tabs>
                <w:tab w:val="center" w:pos="1215"/>
              </w:tabs>
            </w:pPr>
            <w:r>
              <w:rPr>
                <w:rFonts w:hint="eastAsia"/>
                <w:lang w:bidi="ar"/>
              </w:rPr>
              <w:t>2026</w:t>
            </w:r>
            <w:r>
              <w:rPr>
                <w:rFonts w:hint="eastAsia"/>
                <w:lang w:bidi="ar"/>
              </w:rPr>
              <w:t>年</w:t>
            </w:r>
            <w:r>
              <w:rPr>
                <w:rFonts w:hint="eastAsia"/>
                <w:lang w:bidi="ar"/>
              </w:rPr>
              <w:t>8</w:t>
            </w:r>
            <w:r>
              <w:rPr>
                <w:rFonts w:hint="eastAsia"/>
                <w:lang w:bidi="ar"/>
              </w:rPr>
              <w:t>月</w:t>
            </w:r>
            <w:r>
              <w:rPr>
                <w:rFonts w:hint="eastAsia"/>
                <w:lang w:bidi="ar"/>
              </w:rPr>
              <w:t>8</w:t>
            </w:r>
            <w:r>
              <w:rPr>
                <w:rFonts w:hint="eastAsia"/>
                <w:lang w:bidi="ar"/>
              </w:rPr>
              <w:t>日</w:t>
            </w:r>
          </w:p>
        </w:tc>
      </w:tr>
    </w:tbl>
    <w:p w14:paraId="53C50F66" w14:textId="77777777" w:rsidR="00B51DEA" w:rsidRDefault="00B51DEA">
      <w:pPr>
        <w:widowControl/>
        <w:jc w:val="left"/>
        <w:rPr>
          <w:rFonts w:asciiTheme="minorEastAsia" w:hAnsiTheme="minorEastAsia" w:cs="Times New Roman" w:hint="eastAsia"/>
          <w:b/>
          <w:color w:val="000000"/>
          <w:kern w:val="0"/>
          <w:sz w:val="30"/>
          <w:szCs w:val="30"/>
        </w:rPr>
      </w:pPr>
    </w:p>
    <w:p w14:paraId="49ECA52E" w14:textId="77777777" w:rsidR="00B51DEA" w:rsidRDefault="00000000">
      <w:pPr>
        <w:widowControl/>
        <w:jc w:val="left"/>
        <w:rPr>
          <w:rFonts w:asciiTheme="minorEastAsia" w:hAnsiTheme="minorEastAsia" w:cs="Times New Roman" w:hint="eastAsia"/>
          <w:b/>
          <w:color w:val="000000"/>
          <w:kern w:val="0"/>
          <w:sz w:val="30"/>
          <w:szCs w:val="30"/>
        </w:rPr>
      </w:pPr>
      <w:r>
        <w:rPr>
          <w:rFonts w:asciiTheme="minorEastAsia" w:hAnsiTheme="minorEastAsia"/>
          <w:sz w:val="30"/>
          <w:szCs w:val="30"/>
        </w:rPr>
        <w:br w:type="page"/>
      </w:r>
    </w:p>
    <w:p w14:paraId="1689A97C" w14:textId="77777777" w:rsidR="00B51DEA" w:rsidRDefault="00000000">
      <w:pPr>
        <w:pStyle w:val="1"/>
        <w:jc w:val="center"/>
        <w:rPr>
          <w:rFonts w:asciiTheme="minorEastAsia" w:eastAsiaTheme="minorEastAsia" w:hAnsiTheme="minorEastAsia" w:hint="eastAsia"/>
          <w:sz w:val="30"/>
          <w:szCs w:val="30"/>
        </w:rPr>
      </w:pPr>
      <w:bookmarkStart w:id="434" w:name="_Toc2677423"/>
      <w:r>
        <w:rPr>
          <w:rFonts w:asciiTheme="minorEastAsia" w:eastAsiaTheme="minorEastAsia" w:hAnsiTheme="minorEastAsia" w:hint="eastAsia"/>
          <w:sz w:val="30"/>
          <w:szCs w:val="30"/>
        </w:rPr>
        <w:lastRenderedPageBreak/>
        <w:t>第二十二部分</w:t>
      </w:r>
      <w:r>
        <w:rPr>
          <w:rFonts w:asciiTheme="minorEastAsia" w:eastAsiaTheme="minorEastAsia" w:hAnsiTheme="minorEastAsia"/>
          <w:sz w:val="30"/>
          <w:szCs w:val="30"/>
        </w:rPr>
        <w:t xml:space="preserve">  </w:t>
      </w:r>
      <w:r>
        <w:rPr>
          <w:rFonts w:asciiTheme="minorEastAsia" w:eastAsiaTheme="minorEastAsia" w:hAnsiTheme="minorEastAsia" w:hint="eastAsia"/>
          <w:sz w:val="30"/>
          <w:szCs w:val="30"/>
        </w:rPr>
        <w:t>招募说明书存放及查阅方式</w:t>
      </w:r>
      <w:bookmarkEnd w:id="430"/>
      <w:bookmarkEnd w:id="431"/>
      <w:bookmarkEnd w:id="432"/>
      <w:bookmarkEnd w:id="433"/>
      <w:bookmarkEnd w:id="434"/>
    </w:p>
    <w:p w14:paraId="3A37B05F" w14:textId="77777777" w:rsidR="00B51DEA" w:rsidRDefault="00000000">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依法必须披露的信息发布后，基金管理人、基金托管人应当按照相关法律法规规定将信息置备于公司住所、基金上市交易的证券交易所，供社会公众查阅、复制；投资人在支付工本费后，可在合理时间内取得上述文件复制件或复印件。对投资人按此种方式所获得的文件及其复印件，基金管理人保证文本的内容与所公告的内容完全一致。</w:t>
      </w:r>
    </w:p>
    <w:p w14:paraId="0575FA71" w14:textId="77777777" w:rsidR="00B51DEA" w:rsidRDefault="00000000">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投资人还可以直接登录基金管理人的网站（</w:t>
      </w:r>
      <w:r>
        <w:rPr>
          <w:rFonts w:asciiTheme="minorEastAsia" w:hAnsiTheme="minorEastAsia" w:cs="Arial"/>
          <w:kern w:val="0"/>
          <w:sz w:val="24"/>
          <w:szCs w:val="24"/>
        </w:rPr>
        <w:t>www.furamc.com.cn）查阅和下载招募说明书</w:t>
      </w:r>
      <w:r>
        <w:rPr>
          <w:rFonts w:asciiTheme="minorEastAsia" w:hAnsiTheme="minorEastAsia" w:cs="Arial" w:hint="eastAsia"/>
          <w:kern w:val="0"/>
          <w:sz w:val="24"/>
          <w:szCs w:val="24"/>
        </w:rPr>
        <w:t>。</w:t>
      </w:r>
    </w:p>
    <w:p w14:paraId="1A1570EF" w14:textId="77777777" w:rsidR="00B51DEA" w:rsidRDefault="00B51DEA">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p>
    <w:p w14:paraId="439A36EC" w14:textId="77777777" w:rsidR="00B51DEA" w:rsidRDefault="00B51DEA">
      <w:pPr>
        <w:keepNext/>
        <w:keepLines/>
        <w:autoSpaceDE w:val="0"/>
        <w:autoSpaceDN w:val="0"/>
        <w:adjustRightInd w:val="0"/>
        <w:snapToGrid w:val="0"/>
        <w:spacing w:line="360" w:lineRule="auto"/>
        <w:ind w:firstLineChars="150" w:firstLine="361"/>
        <w:jc w:val="center"/>
        <w:textAlignment w:val="baseline"/>
        <w:outlineLvl w:val="0"/>
        <w:rPr>
          <w:rFonts w:asciiTheme="minorEastAsia" w:hAnsiTheme="minorEastAsia" w:cs="Times New Roman" w:hint="eastAsia"/>
          <w:b/>
          <w:kern w:val="0"/>
          <w:sz w:val="24"/>
          <w:szCs w:val="24"/>
        </w:rPr>
        <w:sectPr w:rsidR="00B51DEA">
          <w:pgSz w:w="11906" w:h="16838"/>
          <w:pgMar w:top="1440" w:right="1800" w:bottom="1440" w:left="1800" w:header="851" w:footer="992" w:gutter="0"/>
          <w:cols w:space="425"/>
          <w:docGrid w:type="lines" w:linePitch="312"/>
        </w:sectPr>
      </w:pPr>
      <w:bookmarkStart w:id="435" w:name="_Toc416268879"/>
      <w:bookmarkStart w:id="436" w:name="_Toc263092330"/>
    </w:p>
    <w:p w14:paraId="0E39DB1F" w14:textId="77777777" w:rsidR="00B51DEA" w:rsidRDefault="00000000">
      <w:pPr>
        <w:pStyle w:val="1"/>
        <w:jc w:val="center"/>
        <w:rPr>
          <w:rFonts w:asciiTheme="minorEastAsia" w:eastAsiaTheme="minorEastAsia" w:hAnsiTheme="minorEastAsia" w:hint="eastAsia"/>
          <w:sz w:val="30"/>
          <w:szCs w:val="30"/>
        </w:rPr>
      </w:pPr>
      <w:bookmarkStart w:id="437" w:name="_Toc2677424"/>
      <w:bookmarkEnd w:id="64"/>
      <w:bookmarkEnd w:id="65"/>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35"/>
      <w:bookmarkEnd w:id="436"/>
      <w:r>
        <w:rPr>
          <w:rFonts w:asciiTheme="minorEastAsia" w:eastAsiaTheme="minorEastAsia" w:hAnsiTheme="minorEastAsia" w:hint="eastAsia"/>
          <w:sz w:val="30"/>
          <w:szCs w:val="30"/>
        </w:rPr>
        <w:lastRenderedPageBreak/>
        <w:t>第二十三部分</w:t>
      </w:r>
      <w:r>
        <w:rPr>
          <w:rFonts w:asciiTheme="minorEastAsia" w:eastAsiaTheme="minorEastAsia" w:hAnsiTheme="minorEastAsia"/>
          <w:sz w:val="30"/>
          <w:szCs w:val="30"/>
        </w:rPr>
        <w:t xml:space="preserve">  </w:t>
      </w:r>
      <w:r>
        <w:rPr>
          <w:rFonts w:asciiTheme="minorEastAsia" w:eastAsiaTheme="minorEastAsia" w:hAnsiTheme="minorEastAsia" w:hint="eastAsia"/>
          <w:sz w:val="30"/>
          <w:szCs w:val="30"/>
        </w:rPr>
        <w:t>备查文件</w:t>
      </w:r>
      <w:bookmarkEnd w:id="437"/>
    </w:p>
    <w:p w14:paraId="5C97F081" w14:textId="77777777" w:rsidR="00B51DEA" w:rsidRDefault="00B51DEA">
      <w:pPr>
        <w:rPr>
          <w:rFonts w:asciiTheme="minorEastAsia" w:hAnsiTheme="minorEastAsia" w:cs="Times New Roman" w:hint="eastAsia"/>
          <w:sz w:val="24"/>
          <w:szCs w:val="24"/>
        </w:rPr>
      </w:pPr>
    </w:p>
    <w:p w14:paraId="4BF26033" w14:textId="77777777" w:rsidR="00B51DEA" w:rsidRDefault="00000000">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以下备查文件存放在基金管理人的办公场所，在办公时间可供免费查阅。</w:t>
      </w:r>
    </w:p>
    <w:p w14:paraId="2C616E7A" w14:textId="77777777" w:rsidR="00B51DEA" w:rsidRDefault="00000000">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（一）中国证监会</w:t>
      </w:r>
      <w:r>
        <w:rPr>
          <w:rFonts w:asciiTheme="minorEastAsia" w:hAnsiTheme="minorEastAsia" w:cs="Arial" w:hint="eastAsia"/>
          <w:kern w:val="0"/>
          <w:sz w:val="24"/>
          <w:szCs w:val="24"/>
        </w:rPr>
        <w:t>准予</w:t>
      </w:r>
      <w:r>
        <w:rPr>
          <w:rFonts w:asciiTheme="minorEastAsia" w:hAnsiTheme="minorEastAsia" w:cs="Arial"/>
          <w:kern w:val="0"/>
          <w:sz w:val="24"/>
          <w:szCs w:val="24"/>
        </w:rPr>
        <w:t>富荣</w:t>
      </w:r>
      <w:r>
        <w:rPr>
          <w:rFonts w:asciiTheme="minorEastAsia" w:hAnsiTheme="minorEastAsia" w:cs="Arial" w:hint="eastAsia"/>
          <w:kern w:val="0"/>
          <w:sz w:val="24"/>
          <w:szCs w:val="24"/>
        </w:rPr>
        <w:t>价值精选</w:t>
      </w:r>
      <w:r>
        <w:rPr>
          <w:rFonts w:asciiTheme="minorEastAsia" w:hAnsiTheme="minorEastAsia" w:cs="Arial"/>
          <w:kern w:val="0"/>
          <w:sz w:val="24"/>
          <w:szCs w:val="24"/>
        </w:rPr>
        <w:t>灵活配置混合型</w:t>
      </w:r>
      <w:r>
        <w:rPr>
          <w:rFonts w:asciiTheme="minorEastAsia" w:hAnsiTheme="minorEastAsia" w:cs="Arial" w:hint="eastAsia"/>
          <w:kern w:val="0"/>
          <w:sz w:val="24"/>
          <w:szCs w:val="24"/>
        </w:rPr>
        <w:t>发起式</w:t>
      </w:r>
      <w:r>
        <w:rPr>
          <w:rFonts w:asciiTheme="minorEastAsia" w:hAnsiTheme="minorEastAsia" w:cs="Arial"/>
          <w:kern w:val="0"/>
          <w:sz w:val="24"/>
          <w:szCs w:val="24"/>
        </w:rPr>
        <w:t>证券投资基金</w:t>
      </w:r>
      <w:r>
        <w:rPr>
          <w:rFonts w:asciiTheme="minorEastAsia" w:hAnsiTheme="minorEastAsia" w:cs="Arial" w:hint="eastAsia"/>
          <w:kern w:val="0"/>
          <w:sz w:val="24"/>
          <w:szCs w:val="24"/>
        </w:rPr>
        <w:t>注册</w:t>
      </w:r>
      <w:r>
        <w:rPr>
          <w:rFonts w:asciiTheme="minorEastAsia" w:hAnsiTheme="minorEastAsia" w:cs="Arial"/>
          <w:kern w:val="0"/>
          <w:sz w:val="24"/>
          <w:szCs w:val="24"/>
        </w:rPr>
        <w:t xml:space="preserve">的文件 </w:t>
      </w:r>
    </w:p>
    <w:p w14:paraId="30D81204" w14:textId="77777777" w:rsidR="00B51DEA" w:rsidRDefault="00000000">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（二）《富荣</w:t>
      </w:r>
      <w:r>
        <w:rPr>
          <w:rFonts w:asciiTheme="minorEastAsia" w:hAnsiTheme="minorEastAsia" w:cs="Arial" w:hint="eastAsia"/>
          <w:kern w:val="0"/>
          <w:sz w:val="24"/>
          <w:szCs w:val="24"/>
        </w:rPr>
        <w:t>价值精选</w:t>
      </w:r>
      <w:r>
        <w:rPr>
          <w:rFonts w:asciiTheme="minorEastAsia" w:hAnsiTheme="minorEastAsia" w:cs="Arial"/>
          <w:kern w:val="0"/>
          <w:sz w:val="24"/>
          <w:szCs w:val="24"/>
        </w:rPr>
        <w:t>灵活配置混合型</w:t>
      </w:r>
      <w:r>
        <w:rPr>
          <w:rFonts w:asciiTheme="minorEastAsia" w:hAnsiTheme="minorEastAsia" w:cs="Arial" w:hint="eastAsia"/>
          <w:kern w:val="0"/>
          <w:sz w:val="24"/>
          <w:szCs w:val="24"/>
        </w:rPr>
        <w:t>发起式</w:t>
      </w:r>
      <w:r>
        <w:rPr>
          <w:rFonts w:asciiTheme="minorEastAsia" w:hAnsiTheme="minorEastAsia" w:cs="Arial"/>
          <w:kern w:val="0"/>
          <w:sz w:val="24"/>
          <w:szCs w:val="24"/>
        </w:rPr>
        <w:t xml:space="preserve">证券投资基金基金合同》 </w:t>
      </w:r>
    </w:p>
    <w:p w14:paraId="6C37F92B" w14:textId="77777777" w:rsidR="00B51DEA" w:rsidRDefault="00000000">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（三）《富荣</w:t>
      </w:r>
      <w:r>
        <w:rPr>
          <w:rFonts w:asciiTheme="minorEastAsia" w:hAnsiTheme="minorEastAsia" w:cs="Arial" w:hint="eastAsia"/>
          <w:kern w:val="0"/>
          <w:sz w:val="24"/>
          <w:szCs w:val="24"/>
        </w:rPr>
        <w:t>价值精选</w:t>
      </w:r>
      <w:r>
        <w:rPr>
          <w:rFonts w:asciiTheme="minorEastAsia" w:hAnsiTheme="minorEastAsia" w:cs="Arial"/>
          <w:kern w:val="0"/>
          <w:sz w:val="24"/>
          <w:szCs w:val="24"/>
        </w:rPr>
        <w:t>灵活配置混合型</w:t>
      </w:r>
      <w:r>
        <w:rPr>
          <w:rFonts w:asciiTheme="minorEastAsia" w:hAnsiTheme="minorEastAsia" w:cs="Arial" w:hint="eastAsia"/>
          <w:kern w:val="0"/>
          <w:sz w:val="24"/>
          <w:szCs w:val="24"/>
        </w:rPr>
        <w:t>发起式</w:t>
      </w:r>
      <w:r>
        <w:rPr>
          <w:rFonts w:asciiTheme="minorEastAsia" w:hAnsiTheme="minorEastAsia" w:cs="Arial"/>
          <w:kern w:val="0"/>
          <w:sz w:val="24"/>
          <w:szCs w:val="24"/>
        </w:rPr>
        <w:t xml:space="preserve">证券投资基金托管协议》 </w:t>
      </w:r>
    </w:p>
    <w:p w14:paraId="3A5EDF08" w14:textId="77777777" w:rsidR="00B51DEA" w:rsidRDefault="00000000">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（四）基金管理人业务资格批件、营业执照</w:t>
      </w:r>
    </w:p>
    <w:p w14:paraId="649F0BD9" w14:textId="77777777" w:rsidR="00B51DEA" w:rsidRDefault="00000000">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（五）基金托管人业务资格批件、营业执照</w:t>
      </w:r>
    </w:p>
    <w:p w14:paraId="44966AC9" w14:textId="77777777" w:rsidR="00B51DEA" w:rsidRDefault="00000000">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（六）关于申请募集</w:t>
      </w:r>
      <w:r>
        <w:rPr>
          <w:rFonts w:asciiTheme="minorEastAsia" w:hAnsiTheme="minorEastAsia" w:cs="Arial" w:hint="eastAsia"/>
          <w:kern w:val="0"/>
          <w:sz w:val="24"/>
          <w:szCs w:val="24"/>
        </w:rPr>
        <w:t>注册</w:t>
      </w:r>
      <w:r>
        <w:rPr>
          <w:rFonts w:asciiTheme="minorEastAsia" w:hAnsiTheme="minorEastAsia" w:cs="Arial"/>
          <w:kern w:val="0"/>
          <w:sz w:val="24"/>
          <w:szCs w:val="24"/>
        </w:rPr>
        <w:t>富荣</w:t>
      </w:r>
      <w:r>
        <w:rPr>
          <w:rFonts w:asciiTheme="minorEastAsia" w:hAnsiTheme="minorEastAsia" w:cs="Arial" w:hint="eastAsia"/>
          <w:kern w:val="0"/>
          <w:sz w:val="24"/>
          <w:szCs w:val="24"/>
        </w:rPr>
        <w:t>价值精选</w:t>
      </w:r>
      <w:r>
        <w:rPr>
          <w:rFonts w:asciiTheme="minorEastAsia" w:hAnsiTheme="minorEastAsia" w:cs="Arial"/>
          <w:kern w:val="0"/>
          <w:sz w:val="24"/>
          <w:szCs w:val="24"/>
        </w:rPr>
        <w:t>灵活配置混合型</w:t>
      </w:r>
      <w:r>
        <w:rPr>
          <w:rFonts w:asciiTheme="minorEastAsia" w:hAnsiTheme="minorEastAsia" w:cs="Arial" w:hint="eastAsia"/>
          <w:kern w:val="0"/>
          <w:sz w:val="24"/>
          <w:szCs w:val="24"/>
        </w:rPr>
        <w:t>发起式</w:t>
      </w:r>
      <w:r>
        <w:rPr>
          <w:rFonts w:asciiTheme="minorEastAsia" w:hAnsiTheme="minorEastAsia" w:cs="Arial"/>
          <w:kern w:val="0"/>
          <w:sz w:val="24"/>
          <w:szCs w:val="24"/>
        </w:rPr>
        <w:t>证券投资基金</w:t>
      </w:r>
      <w:r>
        <w:rPr>
          <w:rFonts w:asciiTheme="minorEastAsia" w:hAnsiTheme="minorEastAsia" w:cs="Arial" w:hint="eastAsia"/>
          <w:kern w:val="0"/>
          <w:sz w:val="24"/>
          <w:szCs w:val="24"/>
        </w:rPr>
        <w:t>的</w:t>
      </w:r>
      <w:r>
        <w:rPr>
          <w:rFonts w:asciiTheme="minorEastAsia" w:hAnsiTheme="minorEastAsia" w:cs="Arial"/>
          <w:kern w:val="0"/>
          <w:sz w:val="24"/>
          <w:szCs w:val="24"/>
        </w:rPr>
        <w:t>法律意见书</w:t>
      </w:r>
    </w:p>
    <w:p w14:paraId="598B6A86" w14:textId="77777777" w:rsidR="00B51DEA" w:rsidRDefault="00000000">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（七）中国证监会要求的其他文件</w:t>
      </w:r>
    </w:p>
    <w:p w14:paraId="548277C9" w14:textId="77777777" w:rsidR="00B51DEA" w:rsidRDefault="00000000">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查阅方式：投资者可在营业时间免费查阅，也可按工本费购买复印件。</w:t>
      </w:r>
    </w:p>
    <w:p w14:paraId="2C3A4372" w14:textId="77777777" w:rsidR="00B51DEA" w:rsidRDefault="00B51DEA">
      <w:pPr>
        <w:rPr>
          <w:rFonts w:asciiTheme="minorEastAsia" w:hAnsiTheme="minorEastAsia" w:cs="Arial" w:hint="eastAsia"/>
          <w:szCs w:val="21"/>
        </w:rPr>
      </w:pPr>
    </w:p>
    <w:p w14:paraId="523A35B1" w14:textId="77777777" w:rsidR="00B51DEA" w:rsidRDefault="00B51DEA">
      <w:pPr>
        <w:widowControl/>
        <w:adjustRightInd w:val="0"/>
        <w:snapToGrid w:val="0"/>
        <w:spacing w:line="360" w:lineRule="auto"/>
        <w:ind w:rightChars="-85" w:right="-178"/>
        <w:jc w:val="right"/>
        <w:rPr>
          <w:rFonts w:asciiTheme="minorEastAsia" w:hAnsiTheme="minorEastAsia" w:cs="Arial" w:hint="eastAsia"/>
          <w:szCs w:val="21"/>
        </w:rPr>
      </w:pPr>
    </w:p>
    <w:p w14:paraId="1E2AB9DE" w14:textId="77777777" w:rsidR="00B51DEA" w:rsidRDefault="00B51DEA">
      <w:pPr>
        <w:widowControl/>
        <w:adjustRightInd w:val="0"/>
        <w:snapToGrid w:val="0"/>
        <w:spacing w:line="360" w:lineRule="auto"/>
        <w:ind w:rightChars="-85" w:right="-178"/>
        <w:jc w:val="right"/>
        <w:rPr>
          <w:rFonts w:asciiTheme="minorEastAsia" w:hAnsiTheme="minorEastAsia" w:cs="Arial" w:hint="eastAsia"/>
          <w:szCs w:val="21"/>
        </w:rPr>
      </w:pPr>
    </w:p>
    <w:p w14:paraId="68294912" w14:textId="77777777" w:rsidR="00B51DEA" w:rsidRDefault="00B51DEA">
      <w:pPr>
        <w:widowControl/>
        <w:adjustRightInd w:val="0"/>
        <w:snapToGrid w:val="0"/>
        <w:spacing w:line="360" w:lineRule="auto"/>
        <w:ind w:rightChars="-85" w:right="-178"/>
        <w:jc w:val="right"/>
        <w:rPr>
          <w:rFonts w:asciiTheme="minorEastAsia" w:hAnsiTheme="minorEastAsia" w:cs="Arial" w:hint="eastAsia"/>
          <w:szCs w:val="21"/>
        </w:rPr>
      </w:pPr>
    </w:p>
    <w:p w14:paraId="12E52610" w14:textId="77777777" w:rsidR="00B51DEA" w:rsidRDefault="00B51DEA">
      <w:pPr>
        <w:widowControl/>
        <w:adjustRightInd w:val="0"/>
        <w:snapToGrid w:val="0"/>
        <w:spacing w:line="360" w:lineRule="auto"/>
        <w:ind w:rightChars="-85" w:right="-178"/>
        <w:jc w:val="right"/>
        <w:rPr>
          <w:rFonts w:asciiTheme="minorEastAsia" w:hAnsiTheme="minorEastAsia" w:cs="Arial" w:hint="eastAsia"/>
          <w:szCs w:val="21"/>
        </w:rPr>
      </w:pPr>
    </w:p>
    <w:p w14:paraId="7BF1E436" w14:textId="77777777" w:rsidR="00B51DEA" w:rsidRDefault="00000000">
      <w:pPr>
        <w:widowControl/>
        <w:adjustRightInd w:val="0"/>
        <w:snapToGrid w:val="0"/>
        <w:spacing w:line="360" w:lineRule="auto"/>
        <w:ind w:rightChars="-85" w:right="-178"/>
        <w:jc w:val="right"/>
        <w:rPr>
          <w:rFonts w:asciiTheme="minorEastAsia" w:hAnsiTheme="minorEastAsia" w:cs="Arial" w:hint="eastAsia"/>
          <w:kern w:val="0"/>
          <w:sz w:val="24"/>
          <w:szCs w:val="24"/>
        </w:rPr>
      </w:pPr>
      <w:r>
        <w:rPr>
          <w:rFonts w:asciiTheme="minorEastAsia" w:hAnsiTheme="minorEastAsia" w:cs="Arial" w:hint="eastAsia"/>
          <w:kern w:val="0"/>
          <w:sz w:val="24"/>
          <w:szCs w:val="24"/>
        </w:rPr>
        <w:t>富荣基金管理有限公司</w:t>
      </w:r>
    </w:p>
    <w:p w14:paraId="09CCF8DC" w14:textId="46030B01" w:rsidR="00B51DEA" w:rsidRDefault="00000000">
      <w:pPr>
        <w:widowControl/>
        <w:adjustRightInd w:val="0"/>
        <w:snapToGrid w:val="0"/>
        <w:spacing w:line="360" w:lineRule="auto"/>
        <w:ind w:rightChars="-85" w:right="-178"/>
        <w:jc w:val="right"/>
        <w:rPr>
          <w:rFonts w:asciiTheme="minorEastAsia" w:hAnsiTheme="minorEastAsia" w:hint="eastAsia"/>
        </w:rPr>
      </w:pPr>
      <w:r>
        <w:rPr>
          <w:rFonts w:asciiTheme="minorEastAsia" w:hAnsiTheme="minorEastAsia" w:cs="Arial"/>
          <w:kern w:val="0"/>
          <w:sz w:val="24"/>
          <w:szCs w:val="24"/>
        </w:rPr>
        <w:t>202</w:t>
      </w:r>
      <w:r>
        <w:rPr>
          <w:rFonts w:asciiTheme="minorEastAsia" w:hAnsiTheme="minorEastAsia" w:cs="Arial" w:hint="eastAsia"/>
          <w:kern w:val="0"/>
          <w:sz w:val="24"/>
          <w:szCs w:val="24"/>
        </w:rPr>
        <w:t>6</w:t>
      </w:r>
      <w:r>
        <w:rPr>
          <w:rFonts w:asciiTheme="minorEastAsia" w:hAnsiTheme="minorEastAsia" w:cs="Arial"/>
          <w:kern w:val="0"/>
          <w:sz w:val="24"/>
          <w:szCs w:val="24"/>
        </w:rPr>
        <w:t>年</w:t>
      </w:r>
      <w:r>
        <w:rPr>
          <w:rFonts w:asciiTheme="minorEastAsia" w:hAnsiTheme="minorEastAsia" w:cs="Arial" w:hint="eastAsia"/>
          <w:kern w:val="0"/>
          <w:sz w:val="24"/>
          <w:szCs w:val="24"/>
        </w:rPr>
        <w:t>10月19日</w:t>
      </w:r>
    </w:p>
    <w:sectPr w:rsidR="00B51DEA">
      <w:pgSz w:w="11906" w:h="16838"/>
      <w:pgMar w:top="1440" w:right="1800" w:bottom="1440" w:left="1800" w:header="851" w:footer="992" w:gutter="0"/>
      <w:pgNumType w:chapStyle="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2DCE4A" w14:textId="77777777" w:rsidR="0075730F" w:rsidRDefault="0075730F">
      <w:r>
        <w:separator/>
      </w:r>
    </w:p>
  </w:endnote>
  <w:endnote w:type="continuationSeparator" w:id="0">
    <w:p w14:paraId="35291FAD" w14:textId="77777777" w:rsidR="0075730F" w:rsidRDefault="007573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ˎ̥">
    <w:altName w:val="Times New Roman"/>
    <w:charset w:val="00"/>
    <w:family w:val="roman"/>
    <w:pitch w:val="default"/>
  </w:font>
  <w:font w:name="方正仿宋简体">
    <w:altName w:val="微软雅黑"/>
    <w:charset w:val="00"/>
    <w:family w:val="auto"/>
    <w:pitch w:val="default"/>
    <w:sig w:usb0="00000000" w:usb1="00000000" w:usb2="00000010" w:usb3="00000000" w:csb0="00040000" w:csb1="00000000"/>
  </w:font>
  <w:font w:name="Arial Unicode MS">
    <w:panose1 w:val="020B0604020202020204"/>
    <w:charset w:val="86"/>
    <w:family w:val="swiss"/>
    <w:pitch w:val="variable"/>
    <w:sig w:usb0="F7FFAFFF" w:usb1="E9DFFFFF" w:usb2="0000003F" w:usb3="00000000" w:csb0="003F01FF" w:csb1="00000000"/>
  </w:font>
  <w:font w:name="微软雅黑">
    <w:panose1 w:val="020B0503020204020204"/>
    <w:charset w:val="86"/>
    <w:family w:val="swiss"/>
    <w:pitch w:val="variable"/>
    <w:sig w:usb0="80000287" w:usb1="2ACF3C50" w:usb2="00000016" w:usb3="00000000" w:csb0="0004001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F5287" w14:textId="77777777" w:rsidR="00B51DEA" w:rsidRDefault="00B51DEA">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2646731"/>
    </w:sdtPr>
    <w:sdtContent>
      <w:p w14:paraId="61AE2641" w14:textId="77777777" w:rsidR="00B51DEA" w:rsidRDefault="00000000">
        <w:pPr>
          <w:pStyle w:val="ae"/>
          <w:ind w:firstLine="480"/>
          <w:jc w:val="center"/>
        </w:pPr>
        <w:r>
          <w:fldChar w:fldCharType="begin"/>
        </w:r>
        <w:r>
          <w:instrText>PAGE   \* MERGEFORMAT</w:instrText>
        </w:r>
        <w:r>
          <w:fldChar w:fldCharType="separate"/>
        </w:r>
        <w:r>
          <w:rPr>
            <w:lang w:val="zh-CN"/>
          </w:rPr>
          <w:t>3</w:t>
        </w:r>
        <w:r>
          <w:fldChar w:fldCharType="end"/>
        </w:r>
      </w:p>
    </w:sdtContent>
  </w:sdt>
  <w:p w14:paraId="70FE7DF4" w14:textId="77777777" w:rsidR="00B51DEA" w:rsidRDefault="00B51DEA">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331D2" w14:textId="77777777" w:rsidR="00B51DEA" w:rsidRDefault="00B51DEA">
    <w:pPr>
      <w:pStyle w:val="ae"/>
      <w:ind w:firstLine="480"/>
      <w:jc w:val="center"/>
    </w:pPr>
  </w:p>
  <w:p w14:paraId="206B41E6" w14:textId="77777777" w:rsidR="00B51DEA" w:rsidRDefault="00B51DEA">
    <w:pPr>
      <w:pStyle w:val="a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2645397"/>
    </w:sdtPr>
    <w:sdtContent>
      <w:p w14:paraId="41755ADA" w14:textId="77777777" w:rsidR="00B51DEA" w:rsidRDefault="00000000">
        <w:pPr>
          <w:pStyle w:val="ae"/>
          <w:ind w:firstLine="480"/>
          <w:jc w:val="center"/>
        </w:pPr>
        <w:r>
          <w:fldChar w:fldCharType="begin"/>
        </w:r>
        <w:r>
          <w:instrText>PAGE   \* MERGEFORMAT</w:instrText>
        </w:r>
        <w:r>
          <w:fldChar w:fldCharType="separate"/>
        </w:r>
        <w:r>
          <w:rPr>
            <w:lang w:val="zh-CN"/>
          </w:rPr>
          <w:t>4</w:t>
        </w:r>
        <w:r>
          <w:fldChar w:fldCharType="end"/>
        </w:r>
      </w:p>
    </w:sdtContent>
  </w:sdt>
  <w:p w14:paraId="4E2B4725" w14:textId="77777777" w:rsidR="00B51DEA" w:rsidRDefault="00B51DEA">
    <w:pPr>
      <w:pStyle w:val="a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E566E" w14:textId="77777777" w:rsidR="00B51DEA" w:rsidRDefault="00000000">
    <w:pPr>
      <w:pStyle w:val="ae"/>
      <w:ind w:firstLine="480"/>
      <w:jc w:val="center"/>
    </w:pPr>
    <w:r>
      <w:rPr>
        <w:rFonts w:hint="eastAsia"/>
      </w:rPr>
      <w:t>4</w:t>
    </w:r>
  </w:p>
  <w:p w14:paraId="2D86B25F" w14:textId="77777777" w:rsidR="00B51DEA" w:rsidRDefault="00B51DEA">
    <w:pPr>
      <w:pStyle w:val="a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2283474"/>
    </w:sdtPr>
    <w:sdtContent>
      <w:p w14:paraId="76CB9517" w14:textId="77777777" w:rsidR="00B51DEA" w:rsidRDefault="00000000">
        <w:pPr>
          <w:pStyle w:val="ae"/>
          <w:ind w:firstLine="480"/>
          <w:jc w:val="center"/>
        </w:pPr>
        <w:r>
          <w:fldChar w:fldCharType="begin"/>
        </w:r>
        <w:r>
          <w:instrText>PAGE   \* MERGEFORMAT</w:instrText>
        </w:r>
        <w:r>
          <w:fldChar w:fldCharType="separate"/>
        </w:r>
        <w:r>
          <w:rPr>
            <w:lang w:val="zh-CN"/>
          </w:rPr>
          <w:t>1</w:t>
        </w:r>
        <w:r>
          <w:rPr>
            <w:lang w:val="zh-CN"/>
          </w:rPr>
          <w:t>4</w:t>
        </w:r>
        <w:r>
          <w:fldChar w:fldCharType="end"/>
        </w:r>
      </w:p>
    </w:sdtContent>
  </w:sdt>
  <w:p w14:paraId="7B238338" w14:textId="77777777" w:rsidR="00B51DEA" w:rsidRDefault="00B51DEA">
    <w:pPr>
      <w:pStyle w:val="a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1AEEF" w14:textId="77777777" w:rsidR="00B51DEA" w:rsidRDefault="00000000">
    <w:pPr>
      <w:pStyle w:val="ae"/>
      <w:framePr w:wrap="around" w:vAnchor="text" w:hAnchor="margin" w:xAlign="center" w:yAlign="top"/>
    </w:pPr>
    <w:r>
      <w:fldChar w:fldCharType="begin"/>
    </w:r>
    <w:r>
      <w:instrText>PAGE   \* MERGEFORMAT</w:instrText>
    </w:r>
    <w:r>
      <w:fldChar w:fldCharType="separate"/>
    </w:r>
    <w:r>
      <w:rPr>
        <w:lang w:val="zh-CN"/>
      </w:rPr>
      <w:t>69</w:t>
    </w:r>
    <w:r>
      <w:rPr>
        <w:lang w:val="zh-CN"/>
      </w:rPr>
      <w:fldChar w:fldCharType="end"/>
    </w:r>
  </w:p>
  <w:p w14:paraId="7B50D2F3" w14:textId="77777777" w:rsidR="00B51DEA" w:rsidRDefault="00B51DEA">
    <w:pPr>
      <w:pStyle w:val="ae"/>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2C26E" w14:textId="77777777" w:rsidR="00B51DEA" w:rsidRDefault="00000000">
    <w:pPr>
      <w:pStyle w:val="ae"/>
      <w:framePr w:wrap="around" w:vAnchor="text" w:hAnchor="margin" w:xAlign="center" w:yAlign="top"/>
    </w:pPr>
    <w:r>
      <w:fldChar w:fldCharType="begin"/>
    </w:r>
    <w:r>
      <w:instrText>PAGE   \* MERGEFORMAT</w:instrText>
    </w:r>
    <w:r>
      <w:fldChar w:fldCharType="separate"/>
    </w:r>
    <w:r>
      <w:rPr>
        <w:lang w:val="zh-CN"/>
      </w:rPr>
      <w:t>9</w:t>
    </w:r>
    <w:r>
      <w:rPr>
        <w:lang w:val="zh-CN"/>
      </w:rPr>
      <w:t>8</w:t>
    </w:r>
    <w:r>
      <w:rPr>
        <w:lang w:val="zh-CN"/>
      </w:rPr>
      <w:fldChar w:fldCharType="end"/>
    </w:r>
  </w:p>
  <w:p w14:paraId="36D9F9B0" w14:textId="77777777" w:rsidR="00B51DEA" w:rsidRDefault="00B51DEA">
    <w:pPr>
      <w:pStyle w:val="ae"/>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6506934"/>
    </w:sdtPr>
    <w:sdtContent>
      <w:p w14:paraId="0BFD0675" w14:textId="77777777" w:rsidR="00B51DEA" w:rsidRDefault="00000000">
        <w:pPr>
          <w:pStyle w:val="ae"/>
          <w:jc w:val="center"/>
        </w:pPr>
        <w:r>
          <w:rPr>
            <w:lang w:val="zh-CN"/>
          </w:rPr>
          <w:fldChar w:fldCharType="begin"/>
        </w:r>
        <w:r>
          <w:rPr>
            <w:lang w:val="zh-CN"/>
          </w:rPr>
          <w:instrText>PAGE   \* MERGEFORMAT</w:instrText>
        </w:r>
        <w:r>
          <w:rPr>
            <w:lang w:val="zh-CN"/>
          </w:rPr>
          <w:fldChar w:fldCharType="separate"/>
        </w:r>
        <w:r>
          <w:rPr>
            <w:lang w:val="zh-CN"/>
          </w:rPr>
          <w:t>124</w:t>
        </w:r>
        <w:r>
          <w:rPr>
            <w:lang w:val="zh-CN"/>
          </w:rPr>
          <w:fldChar w:fldCharType="end"/>
        </w:r>
      </w:p>
    </w:sdtContent>
  </w:sdt>
  <w:p w14:paraId="04ED67BC" w14:textId="77777777" w:rsidR="00B51DEA" w:rsidRDefault="00B51DEA">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09F0D9" w14:textId="77777777" w:rsidR="0075730F" w:rsidRDefault="0075730F">
      <w:r>
        <w:separator/>
      </w:r>
    </w:p>
  </w:footnote>
  <w:footnote w:type="continuationSeparator" w:id="0">
    <w:p w14:paraId="17176836" w14:textId="77777777" w:rsidR="0075730F" w:rsidRDefault="007573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25750" w14:textId="77777777" w:rsidR="00B51DEA" w:rsidRDefault="00B51DEA">
    <w:pPr>
      <w:pStyle w:val="af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5607D" w14:textId="77777777" w:rsidR="00B51DEA" w:rsidRDefault="00B51DEA">
    <w:pPr>
      <w:pStyle w:val="af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61B46" w14:textId="77777777" w:rsidR="00B51DEA" w:rsidRDefault="00B51DEA">
    <w:pPr>
      <w:pStyle w:val="af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A480E" w14:textId="727A18DB" w:rsidR="00B51DEA" w:rsidRDefault="00000000">
    <w:pPr>
      <w:pStyle w:val="af0"/>
      <w:jc w:val="both"/>
    </w:pPr>
    <w:r>
      <w:rPr>
        <w:rFonts w:ascii="Arial" w:hAnsi="Arial" w:cs="Arial" w:hint="eastAsia"/>
        <w:szCs w:val="21"/>
      </w:rPr>
      <w:t>富荣价值精选灵活配置混合型发起式证券投资基金更新的</w:t>
    </w:r>
    <w:r>
      <w:rPr>
        <w:rFonts w:hint="eastAsia"/>
      </w:rPr>
      <w:t>招募说明书（</w:t>
    </w:r>
    <w:r>
      <w:rPr>
        <w:rFonts w:hint="eastAsia"/>
      </w:rPr>
      <w:t>2026</w:t>
    </w:r>
    <w:r>
      <w:rPr>
        <w:rFonts w:hint="eastAsia"/>
      </w:rPr>
      <w:t>年第</w:t>
    </w:r>
    <w:r>
      <w:rPr>
        <w:rFonts w:hint="eastAsia"/>
      </w:rPr>
      <w:t>3</w:t>
    </w:r>
    <w:r>
      <w:rPr>
        <w:rFonts w:hint="eastAsia"/>
      </w:rPr>
      <w:t>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00000006"/>
    <w:lvl w:ilvl="0">
      <w:start w:val="4"/>
      <w:numFmt w:val="chineseCounting"/>
      <w:pStyle w:val="2"/>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0000000D"/>
    <w:multiLevelType w:val="singleLevel"/>
    <w:tmpl w:val="0000000D"/>
    <w:lvl w:ilvl="0">
      <w:start w:val="1"/>
      <w:numFmt w:val="bullet"/>
      <w:pStyle w:val="Listbullet"/>
      <w:lvlText w:val=""/>
      <w:lvlJc w:val="left"/>
      <w:pPr>
        <w:tabs>
          <w:tab w:val="left" w:pos="360"/>
        </w:tabs>
        <w:ind w:left="360" w:hanging="360"/>
      </w:pPr>
      <w:rPr>
        <w:rFonts w:ascii="Symbol" w:hAnsi="Symbol" w:hint="default"/>
        <w:color w:val="auto"/>
      </w:rPr>
    </w:lvl>
  </w:abstractNum>
  <w:abstractNum w:abstractNumId="2" w15:restartNumberingAfterBreak="0">
    <w:nsid w:val="13E72DE0"/>
    <w:multiLevelType w:val="multilevel"/>
    <w:tmpl w:val="13E72DE0"/>
    <w:lvl w:ilvl="0">
      <w:start w:val="15"/>
      <w:numFmt w:val="decimal"/>
      <w:lvlText w:val="（%1）"/>
      <w:lvlJc w:val="left"/>
      <w:pPr>
        <w:ind w:left="1200" w:hanging="72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3" w15:restartNumberingAfterBreak="0">
    <w:nsid w:val="32EA6CF3"/>
    <w:multiLevelType w:val="multilevel"/>
    <w:tmpl w:val="32EA6CF3"/>
    <w:lvl w:ilvl="0">
      <w:start w:val="2"/>
      <w:numFmt w:val="japaneseCounting"/>
      <w:lvlText w:val="%1、"/>
      <w:lvlJc w:val="left"/>
      <w:pPr>
        <w:ind w:left="872" w:hanging="450"/>
      </w:pPr>
      <w:rPr>
        <w:rFonts w:hint="default"/>
      </w:rPr>
    </w:lvl>
    <w:lvl w:ilvl="1">
      <w:start w:val="1"/>
      <w:numFmt w:val="lowerLetter"/>
      <w:lvlText w:val="%2)"/>
      <w:lvlJc w:val="left"/>
      <w:pPr>
        <w:ind w:left="1262" w:hanging="420"/>
      </w:pPr>
    </w:lvl>
    <w:lvl w:ilvl="2">
      <w:start w:val="1"/>
      <w:numFmt w:val="lowerRoman"/>
      <w:lvlText w:val="%3."/>
      <w:lvlJc w:val="right"/>
      <w:pPr>
        <w:ind w:left="1682" w:hanging="420"/>
      </w:pPr>
    </w:lvl>
    <w:lvl w:ilvl="3">
      <w:start w:val="1"/>
      <w:numFmt w:val="decimal"/>
      <w:lvlText w:val="%4."/>
      <w:lvlJc w:val="left"/>
      <w:pPr>
        <w:ind w:left="2102" w:hanging="420"/>
      </w:pPr>
    </w:lvl>
    <w:lvl w:ilvl="4">
      <w:start w:val="1"/>
      <w:numFmt w:val="lowerLetter"/>
      <w:lvlText w:val="%5)"/>
      <w:lvlJc w:val="left"/>
      <w:pPr>
        <w:ind w:left="2522" w:hanging="420"/>
      </w:pPr>
    </w:lvl>
    <w:lvl w:ilvl="5">
      <w:start w:val="1"/>
      <w:numFmt w:val="lowerRoman"/>
      <w:lvlText w:val="%6."/>
      <w:lvlJc w:val="right"/>
      <w:pPr>
        <w:ind w:left="2942" w:hanging="420"/>
      </w:pPr>
    </w:lvl>
    <w:lvl w:ilvl="6">
      <w:start w:val="1"/>
      <w:numFmt w:val="decimal"/>
      <w:lvlText w:val="%7."/>
      <w:lvlJc w:val="left"/>
      <w:pPr>
        <w:ind w:left="3362" w:hanging="420"/>
      </w:pPr>
    </w:lvl>
    <w:lvl w:ilvl="7">
      <w:start w:val="1"/>
      <w:numFmt w:val="lowerLetter"/>
      <w:lvlText w:val="%8)"/>
      <w:lvlJc w:val="left"/>
      <w:pPr>
        <w:ind w:left="3782" w:hanging="420"/>
      </w:pPr>
    </w:lvl>
    <w:lvl w:ilvl="8">
      <w:start w:val="1"/>
      <w:numFmt w:val="lowerRoman"/>
      <w:lvlText w:val="%9."/>
      <w:lvlJc w:val="right"/>
      <w:pPr>
        <w:ind w:left="4202" w:hanging="420"/>
      </w:pPr>
    </w:lvl>
  </w:abstractNum>
  <w:abstractNum w:abstractNumId="4" w15:restartNumberingAfterBreak="0">
    <w:nsid w:val="371C5F18"/>
    <w:multiLevelType w:val="multilevel"/>
    <w:tmpl w:val="371C5F18"/>
    <w:lvl w:ilvl="0">
      <w:start w:val="5"/>
      <w:numFmt w:val="decimal"/>
      <w:lvlText w:val="（%1）"/>
      <w:lvlJc w:val="left"/>
      <w:pPr>
        <w:ind w:left="1200" w:hanging="72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5" w15:restartNumberingAfterBreak="0">
    <w:nsid w:val="63A211E1"/>
    <w:multiLevelType w:val="multilevel"/>
    <w:tmpl w:val="63A211E1"/>
    <w:lvl w:ilvl="0">
      <w:start w:val="1"/>
      <w:numFmt w:val="none"/>
      <w:lvlText w:val="一、"/>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num w:numId="1" w16cid:durableId="1830290140">
    <w:abstractNumId w:val="0"/>
  </w:num>
  <w:num w:numId="2" w16cid:durableId="510920647">
    <w:abstractNumId w:val="1"/>
  </w:num>
  <w:num w:numId="3" w16cid:durableId="154856328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59986847">
    <w:abstractNumId w:val="3"/>
  </w:num>
  <w:num w:numId="5" w16cid:durableId="1059593782">
    <w:abstractNumId w:val="4"/>
  </w:num>
  <w:num w:numId="6" w16cid:durableId="587940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proofState w:spelling="clean" w:grammar="clean"/>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62CC"/>
    <w:rsid w:val="0000336D"/>
    <w:rsid w:val="00004732"/>
    <w:rsid w:val="00011E0C"/>
    <w:rsid w:val="00012497"/>
    <w:rsid w:val="000150A1"/>
    <w:rsid w:val="00016B2F"/>
    <w:rsid w:val="00020C3D"/>
    <w:rsid w:val="00021C6F"/>
    <w:rsid w:val="00024B31"/>
    <w:rsid w:val="00026A47"/>
    <w:rsid w:val="000274AA"/>
    <w:rsid w:val="00032C15"/>
    <w:rsid w:val="000333D8"/>
    <w:rsid w:val="00041B3D"/>
    <w:rsid w:val="000430A8"/>
    <w:rsid w:val="00043AE3"/>
    <w:rsid w:val="000455CE"/>
    <w:rsid w:val="000465A9"/>
    <w:rsid w:val="000507C1"/>
    <w:rsid w:val="00050E32"/>
    <w:rsid w:val="00052189"/>
    <w:rsid w:val="0005270F"/>
    <w:rsid w:val="00053112"/>
    <w:rsid w:val="00053E67"/>
    <w:rsid w:val="00054605"/>
    <w:rsid w:val="00055889"/>
    <w:rsid w:val="00055ADB"/>
    <w:rsid w:val="00057A32"/>
    <w:rsid w:val="0006090B"/>
    <w:rsid w:val="00061945"/>
    <w:rsid w:val="00061EFE"/>
    <w:rsid w:val="00062C1B"/>
    <w:rsid w:val="000650B0"/>
    <w:rsid w:val="00065EB8"/>
    <w:rsid w:val="000663FF"/>
    <w:rsid w:val="00066597"/>
    <w:rsid w:val="0006698E"/>
    <w:rsid w:val="00066B84"/>
    <w:rsid w:val="00071106"/>
    <w:rsid w:val="0007164A"/>
    <w:rsid w:val="00072066"/>
    <w:rsid w:val="00072466"/>
    <w:rsid w:val="00075BE4"/>
    <w:rsid w:val="00076E9C"/>
    <w:rsid w:val="000773CE"/>
    <w:rsid w:val="00081309"/>
    <w:rsid w:val="000817BB"/>
    <w:rsid w:val="00083F5E"/>
    <w:rsid w:val="00084A9D"/>
    <w:rsid w:val="00085AF1"/>
    <w:rsid w:val="00092FE3"/>
    <w:rsid w:val="00093B11"/>
    <w:rsid w:val="00093D7B"/>
    <w:rsid w:val="0009505B"/>
    <w:rsid w:val="0009610D"/>
    <w:rsid w:val="0009673F"/>
    <w:rsid w:val="00096D0E"/>
    <w:rsid w:val="000A1798"/>
    <w:rsid w:val="000A2809"/>
    <w:rsid w:val="000A6323"/>
    <w:rsid w:val="000A69B9"/>
    <w:rsid w:val="000B0075"/>
    <w:rsid w:val="000B0B05"/>
    <w:rsid w:val="000B1EDC"/>
    <w:rsid w:val="000B2DCE"/>
    <w:rsid w:val="000B4DA0"/>
    <w:rsid w:val="000B5803"/>
    <w:rsid w:val="000B6836"/>
    <w:rsid w:val="000B720D"/>
    <w:rsid w:val="000B7428"/>
    <w:rsid w:val="000B7ACE"/>
    <w:rsid w:val="000C03FC"/>
    <w:rsid w:val="000C2F75"/>
    <w:rsid w:val="000C3020"/>
    <w:rsid w:val="000C3486"/>
    <w:rsid w:val="000C36FD"/>
    <w:rsid w:val="000C4C8F"/>
    <w:rsid w:val="000C4F1C"/>
    <w:rsid w:val="000D30A2"/>
    <w:rsid w:val="000D3337"/>
    <w:rsid w:val="000D4547"/>
    <w:rsid w:val="000E1E9B"/>
    <w:rsid w:val="000E20A4"/>
    <w:rsid w:val="000E2C94"/>
    <w:rsid w:val="000E3D34"/>
    <w:rsid w:val="000E4187"/>
    <w:rsid w:val="000E61A1"/>
    <w:rsid w:val="000F2636"/>
    <w:rsid w:val="000F3903"/>
    <w:rsid w:val="000F3B70"/>
    <w:rsid w:val="000F4000"/>
    <w:rsid w:val="000F47B3"/>
    <w:rsid w:val="000F4B6D"/>
    <w:rsid w:val="000F517B"/>
    <w:rsid w:val="000F5C40"/>
    <w:rsid w:val="000F63F5"/>
    <w:rsid w:val="000F6CA6"/>
    <w:rsid w:val="000F7EFB"/>
    <w:rsid w:val="00102D5B"/>
    <w:rsid w:val="00103FEE"/>
    <w:rsid w:val="00104FBC"/>
    <w:rsid w:val="00106CD5"/>
    <w:rsid w:val="00107DDB"/>
    <w:rsid w:val="00112442"/>
    <w:rsid w:val="00112609"/>
    <w:rsid w:val="001139E4"/>
    <w:rsid w:val="0012019B"/>
    <w:rsid w:val="00123034"/>
    <w:rsid w:val="0012385A"/>
    <w:rsid w:val="00126C8A"/>
    <w:rsid w:val="00127015"/>
    <w:rsid w:val="00127ED5"/>
    <w:rsid w:val="00131735"/>
    <w:rsid w:val="00132839"/>
    <w:rsid w:val="001361C5"/>
    <w:rsid w:val="001367E4"/>
    <w:rsid w:val="001369D9"/>
    <w:rsid w:val="00137D02"/>
    <w:rsid w:val="001437CA"/>
    <w:rsid w:val="00145063"/>
    <w:rsid w:val="00147C35"/>
    <w:rsid w:val="001511FF"/>
    <w:rsid w:val="00151C83"/>
    <w:rsid w:val="00155A76"/>
    <w:rsid w:val="00156FF9"/>
    <w:rsid w:val="00157AF7"/>
    <w:rsid w:val="001609F9"/>
    <w:rsid w:val="001635EE"/>
    <w:rsid w:val="00164189"/>
    <w:rsid w:val="00164AA0"/>
    <w:rsid w:val="00166406"/>
    <w:rsid w:val="0016706A"/>
    <w:rsid w:val="00170FF1"/>
    <w:rsid w:val="001714F2"/>
    <w:rsid w:val="001745C9"/>
    <w:rsid w:val="001761C3"/>
    <w:rsid w:val="0017639F"/>
    <w:rsid w:val="00176863"/>
    <w:rsid w:val="00181F45"/>
    <w:rsid w:val="00184AAE"/>
    <w:rsid w:val="00184E9F"/>
    <w:rsid w:val="001854C5"/>
    <w:rsid w:val="00185516"/>
    <w:rsid w:val="00185938"/>
    <w:rsid w:val="0019452F"/>
    <w:rsid w:val="001A0D71"/>
    <w:rsid w:val="001A1315"/>
    <w:rsid w:val="001A285B"/>
    <w:rsid w:val="001A2D0B"/>
    <w:rsid w:val="001A3539"/>
    <w:rsid w:val="001A57C5"/>
    <w:rsid w:val="001A7D7C"/>
    <w:rsid w:val="001B0514"/>
    <w:rsid w:val="001B101B"/>
    <w:rsid w:val="001B1C13"/>
    <w:rsid w:val="001B1E1B"/>
    <w:rsid w:val="001B5810"/>
    <w:rsid w:val="001B598D"/>
    <w:rsid w:val="001B6F44"/>
    <w:rsid w:val="001B716E"/>
    <w:rsid w:val="001C09C6"/>
    <w:rsid w:val="001C0E11"/>
    <w:rsid w:val="001C404F"/>
    <w:rsid w:val="001C5D8D"/>
    <w:rsid w:val="001D0482"/>
    <w:rsid w:val="001D27DE"/>
    <w:rsid w:val="001D329A"/>
    <w:rsid w:val="001E05E8"/>
    <w:rsid w:val="001E4AFA"/>
    <w:rsid w:val="001E56BE"/>
    <w:rsid w:val="001F05E7"/>
    <w:rsid w:val="001F141D"/>
    <w:rsid w:val="001F20A6"/>
    <w:rsid w:val="001F2A1F"/>
    <w:rsid w:val="001F2AC9"/>
    <w:rsid w:val="001F32BF"/>
    <w:rsid w:val="001F54F5"/>
    <w:rsid w:val="001F5D4D"/>
    <w:rsid w:val="001F7512"/>
    <w:rsid w:val="00201AB5"/>
    <w:rsid w:val="002043E7"/>
    <w:rsid w:val="002078F3"/>
    <w:rsid w:val="00207CD5"/>
    <w:rsid w:val="002121D3"/>
    <w:rsid w:val="00216044"/>
    <w:rsid w:val="0021721F"/>
    <w:rsid w:val="00217833"/>
    <w:rsid w:val="002208AA"/>
    <w:rsid w:val="00222FFA"/>
    <w:rsid w:val="00224EE1"/>
    <w:rsid w:val="0022597A"/>
    <w:rsid w:val="00227859"/>
    <w:rsid w:val="00231927"/>
    <w:rsid w:val="002328EA"/>
    <w:rsid w:val="00235EB6"/>
    <w:rsid w:val="0023618C"/>
    <w:rsid w:val="00241ACA"/>
    <w:rsid w:val="002430FE"/>
    <w:rsid w:val="00246E9E"/>
    <w:rsid w:val="002475E1"/>
    <w:rsid w:val="002507FE"/>
    <w:rsid w:val="0025184A"/>
    <w:rsid w:val="0025398C"/>
    <w:rsid w:val="002545D5"/>
    <w:rsid w:val="0025620D"/>
    <w:rsid w:val="00256FC1"/>
    <w:rsid w:val="002601E9"/>
    <w:rsid w:val="00260AE0"/>
    <w:rsid w:val="00261DFD"/>
    <w:rsid w:val="00262525"/>
    <w:rsid w:val="00263BCA"/>
    <w:rsid w:val="00266A12"/>
    <w:rsid w:val="002701CE"/>
    <w:rsid w:val="0027076F"/>
    <w:rsid w:val="00272F3A"/>
    <w:rsid w:val="00276D75"/>
    <w:rsid w:val="0027755C"/>
    <w:rsid w:val="00277578"/>
    <w:rsid w:val="00277B52"/>
    <w:rsid w:val="00277C25"/>
    <w:rsid w:val="00283A8E"/>
    <w:rsid w:val="00283F15"/>
    <w:rsid w:val="002863C8"/>
    <w:rsid w:val="00287D05"/>
    <w:rsid w:val="00291943"/>
    <w:rsid w:val="00291A58"/>
    <w:rsid w:val="002930FF"/>
    <w:rsid w:val="002966EC"/>
    <w:rsid w:val="002A16E2"/>
    <w:rsid w:val="002A1DD0"/>
    <w:rsid w:val="002A2755"/>
    <w:rsid w:val="002A6E10"/>
    <w:rsid w:val="002B01D8"/>
    <w:rsid w:val="002B0508"/>
    <w:rsid w:val="002B1C1D"/>
    <w:rsid w:val="002B5B57"/>
    <w:rsid w:val="002B64A8"/>
    <w:rsid w:val="002C438F"/>
    <w:rsid w:val="002C76BD"/>
    <w:rsid w:val="002D32E2"/>
    <w:rsid w:val="002D3F7D"/>
    <w:rsid w:val="002D5E62"/>
    <w:rsid w:val="002E0C82"/>
    <w:rsid w:val="002E28B6"/>
    <w:rsid w:val="002E342B"/>
    <w:rsid w:val="002E3582"/>
    <w:rsid w:val="002E4D26"/>
    <w:rsid w:val="002E7690"/>
    <w:rsid w:val="002F0AEB"/>
    <w:rsid w:val="002F1E7D"/>
    <w:rsid w:val="002F2BD8"/>
    <w:rsid w:val="002F5DE6"/>
    <w:rsid w:val="002F6411"/>
    <w:rsid w:val="003016CE"/>
    <w:rsid w:val="003031A1"/>
    <w:rsid w:val="00305E29"/>
    <w:rsid w:val="00306BFF"/>
    <w:rsid w:val="0031402C"/>
    <w:rsid w:val="00314E99"/>
    <w:rsid w:val="003155E3"/>
    <w:rsid w:val="00315D57"/>
    <w:rsid w:val="003176A9"/>
    <w:rsid w:val="00325C25"/>
    <w:rsid w:val="00326A72"/>
    <w:rsid w:val="00327DF4"/>
    <w:rsid w:val="003302BA"/>
    <w:rsid w:val="0033271C"/>
    <w:rsid w:val="00332B6E"/>
    <w:rsid w:val="0033347C"/>
    <w:rsid w:val="00333E36"/>
    <w:rsid w:val="0033442F"/>
    <w:rsid w:val="00342416"/>
    <w:rsid w:val="00344461"/>
    <w:rsid w:val="00344A4B"/>
    <w:rsid w:val="00345DE8"/>
    <w:rsid w:val="003461C7"/>
    <w:rsid w:val="003464D5"/>
    <w:rsid w:val="00351953"/>
    <w:rsid w:val="00352C16"/>
    <w:rsid w:val="00353591"/>
    <w:rsid w:val="00353F95"/>
    <w:rsid w:val="00354A44"/>
    <w:rsid w:val="00355537"/>
    <w:rsid w:val="0036061B"/>
    <w:rsid w:val="00363A5D"/>
    <w:rsid w:val="00365C58"/>
    <w:rsid w:val="0036697D"/>
    <w:rsid w:val="00370B4F"/>
    <w:rsid w:val="00371D38"/>
    <w:rsid w:val="00371ED5"/>
    <w:rsid w:val="00375C35"/>
    <w:rsid w:val="00375EA0"/>
    <w:rsid w:val="00376E37"/>
    <w:rsid w:val="00377542"/>
    <w:rsid w:val="00380935"/>
    <w:rsid w:val="00380F3A"/>
    <w:rsid w:val="003833E8"/>
    <w:rsid w:val="0038379D"/>
    <w:rsid w:val="00386041"/>
    <w:rsid w:val="00386A86"/>
    <w:rsid w:val="003874BE"/>
    <w:rsid w:val="00390719"/>
    <w:rsid w:val="00391FB0"/>
    <w:rsid w:val="003928DF"/>
    <w:rsid w:val="003962D5"/>
    <w:rsid w:val="003974A0"/>
    <w:rsid w:val="003A1C92"/>
    <w:rsid w:val="003A2BDA"/>
    <w:rsid w:val="003A3022"/>
    <w:rsid w:val="003A4E3D"/>
    <w:rsid w:val="003A4EDF"/>
    <w:rsid w:val="003A6148"/>
    <w:rsid w:val="003A733C"/>
    <w:rsid w:val="003B2407"/>
    <w:rsid w:val="003B2551"/>
    <w:rsid w:val="003B2762"/>
    <w:rsid w:val="003B29FC"/>
    <w:rsid w:val="003B374D"/>
    <w:rsid w:val="003B57AF"/>
    <w:rsid w:val="003B7EDE"/>
    <w:rsid w:val="003C0A28"/>
    <w:rsid w:val="003C116E"/>
    <w:rsid w:val="003C1CB8"/>
    <w:rsid w:val="003C27AB"/>
    <w:rsid w:val="003C3BD4"/>
    <w:rsid w:val="003C4E68"/>
    <w:rsid w:val="003D1A4B"/>
    <w:rsid w:val="003D32C5"/>
    <w:rsid w:val="003D3849"/>
    <w:rsid w:val="003D4F54"/>
    <w:rsid w:val="003D5681"/>
    <w:rsid w:val="003D688F"/>
    <w:rsid w:val="003E1169"/>
    <w:rsid w:val="003E586C"/>
    <w:rsid w:val="003E7862"/>
    <w:rsid w:val="003F024E"/>
    <w:rsid w:val="003F0D6B"/>
    <w:rsid w:val="003F1645"/>
    <w:rsid w:val="003F2C03"/>
    <w:rsid w:val="003F35C4"/>
    <w:rsid w:val="003F7179"/>
    <w:rsid w:val="003F71D3"/>
    <w:rsid w:val="00400AA5"/>
    <w:rsid w:val="00402349"/>
    <w:rsid w:val="00402AAC"/>
    <w:rsid w:val="00403596"/>
    <w:rsid w:val="004035DC"/>
    <w:rsid w:val="004052E3"/>
    <w:rsid w:val="0040539D"/>
    <w:rsid w:val="0040624D"/>
    <w:rsid w:val="00407AF2"/>
    <w:rsid w:val="00410B0B"/>
    <w:rsid w:val="00412850"/>
    <w:rsid w:val="00413B26"/>
    <w:rsid w:val="00414725"/>
    <w:rsid w:val="004164EA"/>
    <w:rsid w:val="00416668"/>
    <w:rsid w:val="00416A03"/>
    <w:rsid w:val="00417728"/>
    <w:rsid w:val="0042035F"/>
    <w:rsid w:val="00422E65"/>
    <w:rsid w:val="0042516E"/>
    <w:rsid w:val="004254CB"/>
    <w:rsid w:val="00427D57"/>
    <w:rsid w:val="00432722"/>
    <w:rsid w:val="004334EC"/>
    <w:rsid w:val="00434ACE"/>
    <w:rsid w:val="004419FB"/>
    <w:rsid w:val="00442A67"/>
    <w:rsid w:val="004437AB"/>
    <w:rsid w:val="004567DF"/>
    <w:rsid w:val="00461473"/>
    <w:rsid w:val="00461D7A"/>
    <w:rsid w:val="00463AC0"/>
    <w:rsid w:val="00463D15"/>
    <w:rsid w:val="00464BCE"/>
    <w:rsid w:val="004657EA"/>
    <w:rsid w:val="00465C8A"/>
    <w:rsid w:val="004663E1"/>
    <w:rsid w:val="004666FE"/>
    <w:rsid w:val="00467F0E"/>
    <w:rsid w:val="00470701"/>
    <w:rsid w:val="00473EA4"/>
    <w:rsid w:val="004822FB"/>
    <w:rsid w:val="004834EF"/>
    <w:rsid w:val="00483A4E"/>
    <w:rsid w:val="00483D3C"/>
    <w:rsid w:val="00484FCF"/>
    <w:rsid w:val="0048715E"/>
    <w:rsid w:val="00487357"/>
    <w:rsid w:val="00490DD3"/>
    <w:rsid w:val="00494FA6"/>
    <w:rsid w:val="0049564D"/>
    <w:rsid w:val="00496A47"/>
    <w:rsid w:val="004A5A91"/>
    <w:rsid w:val="004B0F4A"/>
    <w:rsid w:val="004B2459"/>
    <w:rsid w:val="004B61B4"/>
    <w:rsid w:val="004C16D4"/>
    <w:rsid w:val="004C27F1"/>
    <w:rsid w:val="004C30FA"/>
    <w:rsid w:val="004C3F41"/>
    <w:rsid w:val="004C4A0F"/>
    <w:rsid w:val="004C7210"/>
    <w:rsid w:val="004D1FF5"/>
    <w:rsid w:val="004D2D86"/>
    <w:rsid w:val="004D2FAF"/>
    <w:rsid w:val="004D3208"/>
    <w:rsid w:val="004D35D9"/>
    <w:rsid w:val="004D42B8"/>
    <w:rsid w:val="004D4B3F"/>
    <w:rsid w:val="004D4BC3"/>
    <w:rsid w:val="004D4EC2"/>
    <w:rsid w:val="004D4F37"/>
    <w:rsid w:val="004D5234"/>
    <w:rsid w:val="004D5AA2"/>
    <w:rsid w:val="004D73CA"/>
    <w:rsid w:val="004D7A1C"/>
    <w:rsid w:val="004E01D2"/>
    <w:rsid w:val="004E03EE"/>
    <w:rsid w:val="004E08FD"/>
    <w:rsid w:val="004E1003"/>
    <w:rsid w:val="004E78B3"/>
    <w:rsid w:val="004F02E3"/>
    <w:rsid w:val="004F4811"/>
    <w:rsid w:val="004F4E5A"/>
    <w:rsid w:val="004F7007"/>
    <w:rsid w:val="00501AEC"/>
    <w:rsid w:val="005043F9"/>
    <w:rsid w:val="00506A9D"/>
    <w:rsid w:val="0051241D"/>
    <w:rsid w:val="005132E1"/>
    <w:rsid w:val="00513F87"/>
    <w:rsid w:val="005169CD"/>
    <w:rsid w:val="00517167"/>
    <w:rsid w:val="00520016"/>
    <w:rsid w:val="00520084"/>
    <w:rsid w:val="0052373B"/>
    <w:rsid w:val="005266D4"/>
    <w:rsid w:val="00527444"/>
    <w:rsid w:val="005319C9"/>
    <w:rsid w:val="0053240F"/>
    <w:rsid w:val="0053404F"/>
    <w:rsid w:val="00535D0B"/>
    <w:rsid w:val="00540285"/>
    <w:rsid w:val="005435FB"/>
    <w:rsid w:val="005444C7"/>
    <w:rsid w:val="00545D94"/>
    <w:rsid w:val="00546865"/>
    <w:rsid w:val="005468DB"/>
    <w:rsid w:val="00552750"/>
    <w:rsid w:val="005529D4"/>
    <w:rsid w:val="00555BA2"/>
    <w:rsid w:val="00555FC6"/>
    <w:rsid w:val="0055734F"/>
    <w:rsid w:val="005605F3"/>
    <w:rsid w:val="005622B6"/>
    <w:rsid w:val="005677AD"/>
    <w:rsid w:val="0057089A"/>
    <w:rsid w:val="00571308"/>
    <w:rsid w:val="00572A69"/>
    <w:rsid w:val="005730A9"/>
    <w:rsid w:val="00573A09"/>
    <w:rsid w:val="0057557F"/>
    <w:rsid w:val="0057704C"/>
    <w:rsid w:val="005803F4"/>
    <w:rsid w:val="00582AD6"/>
    <w:rsid w:val="00584632"/>
    <w:rsid w:val="005846A2"/>
    <w:rsid w:val="00585A88"/>
    <w:rsid w:val="0059102D"/>
    <w:rsid w:val="005916C4"/>
    <w:rsid w:val="0059486A"/>
    <w:rsid w:val="005959F8"/>
    <w:rsid w:val="005978A8"/>
    <w:rsid w:val="00597B85"/>
    <w:rsid w:val="005A01FD"/>
    <w:rsid w:val="005A2D87"/>
    <w:rsid w:val="005A3605"/>
    <w:rsid w:val="005A4328"/>
    <w:rsid w:val="005A5043"/>
    <w:rsid w:val="005A55D7"/>
    <w:rsid w:val="005A7A85"/>
    <w:rsid w:val="005B1F69"/>
    <w:rsid w:val="005B6BF3"/>
    <w:rsid w:val="005B766D"/>
    <w:rsid w:val="005B7B20"/>
    <w:rsid w:val="005C0BEC"/>
    <w:rsid w:val="005C1347"/>
    <w:rsid w:val="005C5145"/>
    <w:rsid w:val="005C571F"/>
    <w:rsid w:val="005C673C"/>
    <w:rsid w:val="005D0A48"/>
    <w:rsid w:val="005D35FC"/>
    <w:rsid w:val="005D4E1E"/>
    <w:rsid w:val="005D6740"/>
    <w:rsid w:val="005D7E8A"/>
    <w:rsid w:val="005E1B09"/>
    <w:rsid w:val="005E3C53"/>
    <w:rsid w:val="005E3E0E"/>
    <w:rsid w:val="005E6E2A"/>
    <w:rsid w:val="005F1311"/>
    <w:rsid w:val="005F26E5"/>
    <w:rsid w:val="005F3AD5"/>
    <w:rsid w:val="005F62D9"/>
    <w:rsid w:val="005F7F49"/>
    <w:rsid w:val="00601534"/>
    <w:rsid w:val="00601DA1"/>
    <w:rsid w:val="00602000"/>
    <w:rsid w:val="006038C3"/>
    <w:rsid w:val="00604432"/>
    <w:rsid w:val="00605BC4"/>
    <w:rsid w:val="006076BB"/>
    <w:rsid w:val="00611CEA"/>
    <w:rsid w:val="006132D5"/>
    <w:rsid w:val="00613531"/>
    <w:rsid w:val="00613824"/>
    <w:rsid w:val="006140CC"/>
    <w:rsid w:val="0061438B"/>
    <w:rsid w:val="006153DD"/>
    <w:rsid w:val="00615CD7"/>
    <w:rsid w:val="00615F48"/>
    <w:rsid w:val="00620D69"/>
    <w:rsid w:val="006212EC"/>
    <w:rsid w:val="00621F6A"/>
    <w:rsid w:val="006259CB"/>
    <w:rsid w:val="006271A9"/>
    <w:rsid w:val="00627DBF"/>
    <w:rsid w:val="00632249"/>
    <w:rsid w:val="00633113"/>
    <w:rsid w:val="00635709"/>
    <w:rsid w:val="006367A1"/>
    <w:rsid w:val="00637A2B"/>
    <w:rsid w:val="00641FD1"/>
    <w:rsid w:val="006424F1"/>
    <w:rsid w:val="00645B77"/>
    <w:rsid w:val="0064649E"/>
    <w:rsid w:val="00646DF1"/>
    <w:rsid w:val="00647036"/>
    <w:rsid w:val="00652EF1"/>
    <w:rsid w:val="00653AB6"/>
    <w:rsid w:val="00655913"/>
    <w:rsid w:val="00656F9A"/>
    <w:rsid w:val="00657F83"/>
    <w:rsid w:val="00661118"/>
    <w:rsid w:val="006620BA"/>
    <w:rsid w:val="006621A6"/>
    <w:rsid w:val="00662717"/>
    <w:rsid w:val="00664CE0"/>
    <w:rsid w:val="0066574C"/>
    <w:rsid w:val="006659FF"/>
    <w:rsid w:val="006662A1"/>
    <w:rsid w:val="006728E2"/>
    <w:rsid w:val="00672D23"/>
    <w:rsid w:val="00673746"/>
    <w:rsid w:val="00673BD7"/>
    <w:rsid w:val="006748D6"/>
    <w:rsid w:val="00675885"/>
    <w:rsid w:val="0068156F"/>
    <w:rsid w:val="006827D6"/>
    <w:rsid w:val="00683A2A"/>
    <w:rsid w:val="006845DD"/>
    <w:rsid w:val="006855F6"/>
    <w:rsid w:val="006868A3"/>
    <w:rsid w:val="00686B11"/>
    <w:rsid w:val="00693380"/>
    <w:rsid w:val="00693D69"/>
    <w:rsid w:val="006A1FB9"/>
    <w:rsid w:val="006A3AEA"/>
    <w:rsid w:val="006A40AC"/>
    <w:rsid w:val="006A609D"/>
    <w:rsid w:val="006A62A6"/>
    <w:rsid w:val="006A6BA2"/>
    <w:rsid w:val="006B1913"/>
    <w:rsid w:val="006B324A"/>
    <w:rsid w:val="006B432B"/>
    <w:rsid w:val="006B4BF7"/>
    <w:rsid w:val="006B5D96"/>
    <w:rsid w:val="006B5E4E"/>
    <w:rsid w:val="006B6C63"/>
    <w:rsid w:val="006B788D"/>
    <w:rsid w:val="006B7F3E"/>
    <w:rsid w:val="006C1EAC"/>
    <w:rsid w:val="006C2816"/>
    <w:rsid w:val="006C5635"/>
    <w:rsid w:val="006C632A"/>
    <w:rsid w:val="006D00C4"/>
    <w:rsid w:val="006D0194"/>
    <w:rsid w:val="006D11CD"/>
    <w:rsid w:val="006D141E"/>
    <w:rsid w:val="006D3009"/>
    <w:rsid w:val="006D44AD"/>
    <w:rsid w:val="006D4512"/>
    <w:rsid w:val="006D48E1"/>
    <w:rsid w:val="006D6E03"/>
    <w:rsid w:val="006E2EE6"/>
    <w:rsid w:val="006E5075"/>
    <w:rsid w:val="006E55E8"/>
    <w:rsid w:val="006F125E"/>
    <w:rsid w:val="006F1A6B"/>
    <w:rsid w:val="006F36D3"/>
    <w:rsid w:val="006F3BFD"/>
    <w:rsid w:val="006F3C37"/>
    <w:rsid w:val="006F4638"/>
    <w:rsid w:val="0070083C"/>
    <w:rsid w:val="00702DD7"/>
    <w:rsid w:val="00704D7F"/>
    <w:rsid w:val="007066B5"/>
    <w:rsid w:val="007067A1"/>
    <w:rsid w:val="00707504"/>
    <w:rsid w:val="00707E9B"/>
    <w:rsid w:val="00710D35"/>
    <w:rsid w:val="0071127E"/>
    <w:rsid w:val="00716D3B"/>
    <w:rsid w:val="00717066"/>
    <w:rsid w:val="00720AF2"/>
    <w:rsid w:val="00722704"/>
    <w:rsid w:val="00724280"/>
    <w:rsid w:val="00732DA2"/>
    <w:rsid w:val="00734033"/>
    <w:rsid w:val="00736608"/>
    <w:rsid w:val="00740060"/>
    <w:rsid w:val="00740AC3"/>
    <w:rsid w:val="00740CBA"/>
    <w:rsid w:val="00742372"/>
    <w:rsid w:val="00743C6B"/>
    <w:rsid w:val="0074451C"/>
    <w:rsid w:val="0074463C"/>
    <w:rsid w:val="00745240"/>
    <w:rsid w:val="007466E1"/>
    <w:rsid w:val="00750314"/>
    <w:rsid w:val="00750772"/>
    <w:rsid w:val="00756B2C"/>
    <w:rsid w:val="0075730F"/>
    <w:rsid w:val="00760A30"/>
    <w:rsid w:val="00766AC4"/>
    <w:rsid w:val="00766DBF"/>
    <w:rsid w:val="00767362"/>
    <w:rsid w:val="00767E9E"/>
    <w:rsid w:val="00770111"/>
    <w:rsid w:val="007715BB"/>
    <w:rsid w:val="00771C0C"/>
    <w:rsid w:val="00771D0E"/>
    <w:rsid w:val="007739EE"/>
    <w:rsid w:val="00773E87"/>
    <w:rsid w:val="007743FF"/>
    <w:rsid w:val="00775314"/>
    <w:rsid w:val="0077633A"/>
    <w:rsid w:val="00780A15"/>
    <w:rsid w:val="007817E9"/>
    <w:rsid w:val="007834A7"/>
    <w:rsid w:val="00785310"/>
    <w:rsid w:val="007862AC"/>
    <w:rsid w:val="00786865"/>
    <w:rsid w:val="0079079D"/>
    <w:rsid w:val="00790E69"/>
    <w:rsid w:val="00790FC7"/>
    <w:rsid w:val="007929DD"/>
    <w:rsid w:val="007952F3"/>
    <w:rsid w:val="00795893"/>
    <w:rsid w:val="00795A6A"/>
    <w:rsid w:val="00796CF5"/>
    <w:rsid w:val="007A1178"/>
    <w:rsid w:val="007A3778"/>
    <w:rsid w:val="007A3C30"/>
    <w:rsid w:val="007A57BE"/>
    <w:rsid w:val="007A659F"/>
    <w:rsid w:val="007A708A"/>
    <w:rsid w:val="007B0530"/>
    <w:rsid w:val="007B11A4"/>
    <w:rsid w:val="007B1414"/>
    <w:rsid w:val="007B1A77"/>
    <w:rsid w:val="007B4651"/>
    <w:rsid w:val="007B592B"/>
    <w:rsid w:val="007B6C71"/>
    <w:rsid w:val="007B7FC1"/>
    <w:rsid w:val="007C5BF3"/>
    <w:rsid w:val="007C7D83"/>
    <w:rsid w:val="007D3505"/>
    <w:rsid w:val="007D3B33"/>
    <w:rsid w:val="007D3F70"/>
    <w:rsid w:val="007D686F"/>
    <w:rsid w:val="007D76E3"/>
    <w:rsid w:val="007E0DDF"/>
    <w:rsid w:val="007E3643"/>
    <w:rsid w:val="007E39E9"/>
    <w:rsid w:val="007E6165"/>
    <w:rsid w:val="007E732A"/>
    <w:rsid w:val="007E7483"/>
    <w:rsid w:val="007F0F86"/>
    <w:rsid w:val="007F31C9"/>
    <w:rsid w:val="007F3452"/>
    <w:rsid w:val="007F4245"/>
    <w:rsid w:val="007F610C"/>
    <w:rsid w:val="007F72A0"/>
    <w:rsid w:val="007F75F6"/>
    <w:rsid w:val="00805A71"/>
    <w:rsid w:val="008101DA"/>
    <w:rsid w:val="0081243C"/>
    <w:rsid w:val="00815169"/>
    <w:rsid w:val="008170B0"/>
    <w:rsid w:val="00817390"/>
    <w:rsid w:val="00817556"/>
    <w:rsid w:val="00817FFC"/>
    <w:rsid w:val="0082089D"/>
    <w:rsid w:val="00824022"/>
    <w:rsid w:val="00824FDE"/>
    <w:rsid w:val="008253FA"/>
    <w:rsid w:val="00825855"/>
    <w:rsid w:val="008262A6"/>
    <w:rsid w:val="00826E64"/>
    <w:rsid w:val="00827565"/>
    <w:rsid w:val="008276B4"/>
    <w:rsid w:val="00827D0B"/>
    <w:rsid w:val="00827F46"/>
    <w:rsid w:val="00831A98"/>
    <w:rsid w:val="00841914"/>
    <w:rsid w:val="00844A58"/>
    <w:rsid w:val="00847C44"/>
    <w:rsid w:val="00853093"/>
    <w:rsid w:val="00856C5E"/>
    <w:rsid w:val="00857120"/>
    <w:rsid w:val="00864D27"/>
    <w:rsid w:val="0086578E"/>
    <w:rsid w:val="00865A22"/>
    <w:rsid w:val="008667D3"/>
    <w:rsid w:val="008758CD"/>
    <w:rsid w:val="00881454"/>
    <w:rsid w:val="00882E29"/>
    <w:rsid w:val="0088421B"/>
    <w:rsid w:val="008861F1"/>
    <w:rsid w:val="0088631B"/>
    <w:rsid w:val="00886530"/>
    <w:rsid w:val="0088667C"/>
    <w:rsid w:val="00886742"/>
    <w:rsid w:val="00886EAA"/>
    <w:rsid w:val="00890371"/>
    <w:rsid w:val="008929A7"/>
    <w:rsid w:val="00893782"/>
    <w:rsid w:val="0089384B"/>
    <w:rsid w:val="008943C6"/>
    <w:rsid w:val="00897ECC"/>
    <w:rsid w:val="008A35AA"/>
    <w:rsid w:val="008A73C3"/>
    <w:rsid w:val="008B14FB"/>
    <w:rsid w:val="008B1E2B"/>
    <w:rsid w:val="008B2FEF"/>
    <w:rsid w:val="008B56F6"/>
    <w:rsid w:val="008B5CF1"/>
    <w:rsid w:val="008B5E9F"/>
    <w:rsid w:val="008B7346"/>
    <w:rsid w:val="008C309F"/>
    <w:rsid w:val="008C3CF5"/>
    <w:rsid w:val="008C4294"/>
    <w:rsid w:val="008C4919"/>
    <w:rsid w:val="008C72FF"/>
    <w:rsid w:val="008D2EA1"/>
    <w:rsid w:val="008D364A"/>
    <w:rsid w:val="008D4429"/>
    <w:rsid w:val="008D682A"/>
    <w:rsid w:val="008D769B"/>
    <w:rsid w:val="008E2F7C"/>
    <w:rsid w:val="008E403C"/>
    <w:rsid w:val="008E535F"/>
    <w:rsid w:val="008E5AA5"/>
    <w:rsid w:val="008E63F5"/>
    <w:rsid w:val="008E68D6"/>
    <w:rsid w:val="008E6FA7"/>
    <w:rsid w:val="008E7AE4"/>
    <w:rsid w:val="008F6E8B"/>
    <w:rsid w:val="0090029E"/>
    <w:rsid w:val="0090102F"/>
    <w:rsid w:val="009013F5"/>
    <w:rsid w:val="00902224"/>
    <w:rsid w:val="00904611"/>
    <w:rsid w:val="009046B4"/>
    <w:rsid w:val="00904EB3"/>
    <w:rsid w:val="0090511D"/>
    <w:rsid w:val="00905381"/>
    <w:rsid w:val="00906588"/>
    <w:rsid w:val="00913D49"/>
    <w:rsid w:val="00914B27"/>
    <w:rsid w:val="009152D4"/>
    <w:rsid w:val="00916A1B"/>
    <w:rsid w:val="00916F84"/>
    <w:rsid w:val="009202B7"/>
    <w:rsid w:val="00921154"/>
    <w:rsid w:val="00923152"/>
    <w:rsid w:val="00924D52"/>
    <w:rsid w:val="00924EF6"/>
    <w:rsid w:val="009259B0"/>
    <w:rsid w:val="009277AE"/>
    <w:rsid w:val="00932F0B"/>
    <w:rsid w:val="0093464E"/>
    <w:rsid w:val="00936C0C"/>
    <w:rsid w:val="00943D86"/>
    <w:rsid w:val="00943E94"/>
    <w:rsid w:val="00944A3E"/>
    <w:rsid w:val="009471BE"/>
    <w:rsid w:val="0095094F"/>
    <w:rsid w:val="00953446"/>
    <w:rsid w:val="00955037"/>
    <w:rsid w:val="0095649A"/>
    <w:rsid w:val="00961345"/>
    <w:rsid w:val="00961F52"/>
    <w:rsid w:val="00965E53"/>
    <w:rsid w:val="00966BFD"/>
    <w:rsid w:val="00967DBC"/>
    <w:rsid w:val="00967F5A"/>
    <w:rsid w:val="00971061"/>
    <w:rsid w:val="00975FFC"/>
    <w:rsid w:val="00976BE7"/>
    <w:rsid w:val="00980EE0"/>
    <w:rsid w:val="00981EE1"/>
    <w:rsid w:val="00982F8A"/>
    <w:rsid w:val="00983049"/>
    <w:rsid w:val="00983968"/>
    <w:rsid w:val="00986C51"/>
    <w:rsid w:val="00986F18"/>
    <w:rsid w:val="0098753F"/>
    <w:rsid w:val="00987905"/>
    <w:rsid w:val="00987DBA"/>
    <w:rsid w:val="0099067D"/>
    <w:rsid w:val="00990719"/>
    <w:rsid w:val="00992338"/>
    <w:rsid w:val="00992BC7"/>
    <w:rsid w:val="00992D9E"/>
    <w:rsid w:val="00994251"/>
    <w:rsid w:val="009958D8"/>
    <w:rsid w:val="00995A21"/>
    <w:rsid w:val="00995C95"/>
    <w:rsid w:val="009974C2"/>
    <w:rsid w:val="00997664"/>
    <w:rsid w:val="00997906"/>
    <w:rsid w:val="009A1160"/>
    <w:rsid w:val="009A1B3E"/>
    <w:rsid w:val="009A3392"/>
    <w:rsid w:val="009A3B2C"/>
    <w:rsid w:val="009A5A57"/>
    <w:rsid w:val="009A5C6A"/>
    <w:rsid w:val="009B2161"/>
    <w:rsid w:val="009B33F0"/>
    <w:rsid w:val="009B5534"/>
    <w:rsid w:val="009B59A2"/>
    <w:rsid w:val="009B78E2"/>
    <w:rsid w:val="009C0A64"/>
    <w:rsid w:val="009C6D52"/>
    <w:rsid w:val="009D11EF"/>
    <w:rsid w:val="009D5013"/>
    <w:rsid w:val="009D6830"/>
    <w:rsid w:val="009D7F45"/>
    <w:rsid w:val="009E0008"/>
    <w:rsid w:val="009E09B5"/>
    <w:rsid w:val="009E0C1E"/>
    <w:rsid w:val="009E21E2"/>
    <w:rsid w:val="009E364F"/>
    <w:rsid w:val="009E71B1"/>
    <w:rsid w:val="009E7340"/>
    <w:rsid w:val="009F05AC"/>
    <w:rsid w:val="009F527B"/>
    <w:rsid w:val="009F532E"/>
    <w:rsid w:val="00A03EC7"/>
    <w:rsid w:val="00A0497F"/>
    <w:rsid w:val="00A05170"/>
    <w:rsid w:val="00A06254"/>
    <w:rsid w:val="00A10026"/>
    <w:rsid w:val="00A10B82"/>
    <w:rsid w:val="00A11147"/>
    <w:rsid w:val="00A11769"/>
    <w:rsid w:val="00A12156"/>
    <w:rsid w:val="00A123D6"/>
    <w:rsid w:val="00A13143"/>
    <w:rsid w:val="00A13228"/>
    <w:rsid w:val="00A1364F"/>
    <w:rsid w:val="00A1592E"/>
    <w:rsid w:val="00A159D4"/>
    <w:rsid w:val="00A21738"/>
    <w:rsid w:val="00A22B1D"/>
    <w:rsid w:val="00A233EB"/>
    <w:rsid w:val="00A23893"/>
    <w:rsid w:val="00A25F53"/>
    <w:rsid w:val="00A268F2"/>
    <w:rsid w:val="00A27A58"/>
    <w:rsid w:val="00A31E75"/>
    <w:rsid w:val="00A34315"/>
    <w:rsid w:val="00A35EAA"/>
    <w:rsid w:val="00A36D05"/>
    <w:rsid w:val="00A40479"/>
    <w:rsid w:val="00A4202B"/>
    <w:rsid w:val="00A430B9"/>
    <w:rsid w:val="00A441D8"/>
    <w:rsid w:val="00A50FB5"/>
    <w:rsid w:val="00A55A66"/>
    <w:rsid w:val="00A617C7"/>
    <w:rsid w:val="00A62F77"/>
    <w:rsid w:val="00A64091"/>
    <w:rsid w:val="00A64C77"/>
    <w:rsid w:val="00A66633"/>
    <w:rsid w:val="00A66638"/>
    <w:rsid w:val="00A67E1C"/>
    <w:rsid w:val="00A70800"/>
    <w:rsid w:val="00A70CD3"/>
    <w:rsid w:val="00A72B8D"/>
    <w:rsid w:val="00A737CD"/>
    <w:rsid w:val="00A74551"/>
    <w:rsid w:val="00A760F9"/>
    <w:rsid w:val="00A80A61"/>
    <w:rsid w:val="00A81CD9"/>
    <w:rsid w:val="00A84F87"/>
    <w:rsid w:val="00A85BF2"/>
    <w:rsid w:val="00A86555"/>
    <w:rsid w:val="00A90C15"/>
    <w:rsid w:val="00A924D7"/>
    <w:rsid w:val="00A92A3C"/>
    <w:rsid w:val="00A9346F"/>
    <w:rsid w:val="00A94EE3"/>
    <w:rsid w:val="00A9733E"/>
    <w:rsid w:val="00AA00C1"/>
    <w:rsid w:val="00AA06B3"/>
    <w:rsid w:val="00AA23F2"/>
    <w:rsid w:val="00AB3E54"/>
    <w:rsid w:val="00AB7A62"/>
    <w:rsid w:val="00AC0A91"/>
    <w:rsid w:val="00AC2F74"/>
    <w:rsid w:val="00AC48B9"/>
    <w:rsid w:val="00AC6ACB"/>
    <w:rsid w:val="00AC7FFA"/>
    <w:rsid w:val="00AD2515"/>
    <w:rsid w:val="00AD30DF"/>
    <w:rsid w:val="00AD352B"/>
    <w:rsid w:val="00AD4A06"/>
    <w:rsid w:val="00AE045B"/>
    <w:rsid w:val="00AE2218"/>
    <w:rsid w:val="00AE2DEE"/>
    <w:rsid w:val="00AE3BBE"/>
    <w:rsid w:val="00AE58E1"/>
    <w:rsid w:val="00AE5F9F"/>
    <w:rsid w:val="00AF2EDB"/>
    <w:rsid w:val="00AF666B"/>
    <w:rsid w:val="00AF7806"/>
    <w:rsid w:val="00B00CB2"/>
    <w:rsid w:val="00B01097"/>
    <w:rsid w:val="00B013D2"/>
    <w:rsid w:val="00B04D99"/>
    <w:rsid w:val="00B05F2B"/>
    <w:rsid w:val="00B06B61"/>
    <w:rsid w:val="00B06BCE"/>
    <w:rsid w:val="00B11BD0"/>
    <w:rsid w:val="00B142E9"/>
    <w:rsid w:val="00B15ECD"/>
    <w:rsid w:val="00B17FFB"/>
    <w:rsid w:val="00B208BE"/>
    <w:rsid w:val="00B230AC"/>
    <w:rsid w:val="00B257F8"/>
    <w:rsid w:val="00B26126"/>
    <w:rsid w:val="00B30061"/>
    <w:rsid w:val="00B30C55"/>
    <w:rsid w:val="00B3218B"/>
    <w:rsid w:val="00B3487D"/>
    <w:rsid w:val="00B34D86"/>
    <w:rsid w:val="00B354CD"/>
    <w:rsid w:val="00B35648"/>
    <w:rsid w:val="00B36A71"/>
    <w:rsid w:val="00B378E1"/>
    <w:rsid w:val="00B37F72"/>
    <w:rsid w:val="00B40C67"/>
    <w:rsid w:val="00B443DA"/>
    <w:rsid w:val="00B45BEF"/>
    <w:rsid w:val="00B46638"/>
    <w:rsid w:val="00B50B4A"/>
    <w:rsid w:val="00B50E2F"/>
    <w:rsid w:val="00B513C8"/>
    <w:rsid w:val="00B515C2"/>
    <w:rsid w:val="00B51DEA"/>
    <w:rsid w:val="00B523DF"/>
    <w:rsid w:val="00B57A86"/>
    <w:rsid w:val="00B60CAE"/>
    <w:rsid w:val="00B61AFE"/>
    <w:rsid w:val="00B63E2F"/>
    <w:rsid w:val="00B6572D"/>
    <w:rsid w:val="00B713F9"/>
    <w:rsid w:val="00B725B9"/>
    <w:rsid w:val="00B7394E"/>
    <w:rsid w:val="00B76A24"/>
    <w:rsid w:val="00B76CF1"/>
    <w:rsid w:val="00B77B27"/>
    <w:rsid w:val="00B8145F"/>
    <w:rsid w:val="00B8262C"/>
    <w:rsid w:val="00B82BE3"/>
    <w:rsid w:val="00B841A9"/>
    <w:rsid w:val="00BA0BFA"/>
    <w:rsid w:val="00BA5A55"/>
    <w:rsid w:val="00BA6057"/>
    <w:rsid w:val="00BB02C4"/>
    <w:rsid w:val="00BB2C87"/>
    <w:rsid w:val="00BB36EF"/>
    <w:rsid w:val="00BB58DA"/>
    <w:rsid w:val="00BC1F6E"/>
    <w:rsid w:val="00BC6B7F"/>
    <w:rsid w:val="00BD0A88"/>
    <w:rsid w:val="00BD1651"/>
    <w:rsid w:val="00BE059D"/>
    <w:rsid w:val="00BE2C22"/>
    <w:rsid w:val="00BE31E8"/>
    <w:rsid w:val="00BE3AA4"/>
    <w:rsid w:val="00BE3B99"/>
    <w:rsid w:val="00BE52BC"/>
    <w:rsid w:val="00BE5745"/>
    <w:rsid w:val="00BE66F5"/>
    <w:rsid w:val="00BF024A"/>
    <w:rsid w:val="00BF0F78"/>
    <w:rsid w:val="00BF1CDE"/>
    <w:rsid w:val="00BF303E"/>
    <w:rsid w:val="00BF46E0"/>
    <w:rsid w:val="00BF7B8F"/>
    <w:rsid w:val="00C01DB3"/>
    <w:rsid w:val="00C0270E"/>
    <w:rsid w:val="00C02B65"/>
    <w:rsid w:val="00C03B1A"/>
    <w:rsid w:val="00C066B2"/>
    <w:rsid w:val="00C1192C"/>
    <w:rsid w:val="00C12E32"/>
    <w:rsid w:val="00C13C8B"/>
    <w:rsid w:val="00C156C2"/>
    <w:rsid w:val="00C169CD"/>
    <w:rsid w:val="00C22DC4"/>
    <w:rsid w:val="00C254C6"/>
    <w:rsid w:val="00C3180D"/>
    <w:rsid w:val="00C320B2"/>
    <w:rsid w:val="00C325B9"/>
    <w:rsid w:val="00C32CA3"/>
    <w:rsid w:val="00C33B54"/>
    <w:rsid w:val="00C348CF"/>
    <w:rsid w:val="00C361E6"/>
    <w:rsid w:val="00C40717"/>
    <w:rsid w:val="00C43018"/>
    <w:rsid w:val="00C4420B"/>
    <w:rsid w:val="00C45E81"/>
    <w:rsid w:val="00C47913"/>
    <w:rsid w:val="00C55D40"/>
    <w:rsid w:val="00C569CB"/>
    <w:rsid w:val="00C57447"/>
    <w:rsid w:val="00C610D3"/>
    <w:rsid w:val="00C61360"/>
    <w:rsid w:val="00C61A87"/>
    <w:rsid w:val="00C62978"/>
    <w:rsid w:val="00C63530"/>
    <w:rsid w:val="00C67188"/>
    <w:rsid w:val="00C67903"/>
    <w:rsid w:val="00C71655"/>
    <w:rsid w:val="00C716C4"/>
    <w:rsid w:val="00C71CCE"/>
    <w:rsid w:val="00C72A60"/>
    <w:rsid w:val="00C74579"/>
    <w:rsid w:val="00C7780F"/>
    <w:rsid w:val="00C804A5"/>
    <w:rsid w:val="00C805BC"/>
    <w:rsid w:val="00C81E56"/>
    <w:rsid w:val="00C82E3A"/>
    <w:rsid w:val="00C8745B"/>
    <w:rsid w:val="00C87999"/>
    <w:rsid w:val="00C87F34"/>
    <w:rsid w:val="00C910DE"/>
    <w:rsid w:val="00C93A29"/>
    <w:rsid w:val="00C97CAB"/>
    <w:rsid w:val="00CA1BF2"/>
    <w:rsid w:val="00CA1C5A"/>
    <w:rsid w:val="00CA3D1C"/>
    <w:rsid w:val="00CA43BD"/>
    <w:rsid w:val="00CB483E"/>
    <w:rsid w:val="00CB5492"/>
    <w:rsid w:val="00CB7FDF"/>
    <w:rsid w:val="00CC016C"/>
    <w:rsid w:val="00CC1524"/>
    <w:rsid w:val="00CC38BC"/>
    <w:rsid w:val="00CC39A0"/>
    <w:rsid w:val="00CC3AA8"/>
    <w:rsid w:val="00CC3FD6"/>
    <w:rsid w:val="00CC4646"/>
    <w:rsid w:val="00CC4BBF"/>
    <w:rsid w:val="00CC6F62"/>
    <w:rsid w:val="00CD25C0"/>
    <w:rsid w:val="00CD302B"/>
    <w:rsid w:val="00CD6407"/>
    <w:rsid w:val="00CE022B"/>
    <w:rsid w:val="00CE0C7D"/>
    <w:rsid w:val="00CE20C9"/>
    <w:rsid w:val="00CE32A0"/>
    <w:rsid w:val="00CE4E4B"/>
    <w:rsid w:val="00CF2220"/>
    <w:rsid w:val="00CF3652"/>
    <w:rsid w:val="00CF39BF"/>
    <w:rsid w:val="00CF4360"/>
    <w:rsid w:val="00CF48EF"/>
    <w:rsid w:val="00CF5843"/>
    <w:rsid w:val="00CF5882"/>
    <w:rsid w:val="00D01FC4"/>
    <w:rsid w:val="00D076A0"/>
    <w:rsid w:val="00D10588"/>
    <w:rsid w:val="00D153A1"/>
    <w:rsid w:val="00D15D01"/>
    <w:rsid w:val="00D201F4"/>
    <w:rsid w:val="00D20D5E"/>
    <w:rsid w:val="00D21C3E"/>
    <w:rsid w:val="00D22A1D"/>
    <w:rsid w:val="00D23B73"/>
    <w:rsid w:val="00D24327"/>
    <w:rsid w:val="00D24574"/>
    <w:rsid w:val="00D2622C"/>
    <w:rsid w:val="00D269AC"/>
    <w:rsid w:val="00D32E0A"/>
    <w:rsid w:val="00D3314C"/>
    <w:rsid w:val="00D3355F"/>
    <w:rsid w:val="00D3588A"/>
    <w:rsid w:val="00D40F56"/>
    <w:rsid w:val="00D42938"/>
    <w:rsid w:val="00D42DD2"/>
    <w:rsid w:val="00D44F44"/>
    <w:rsid w:val="00D51F1D"/>
    <w:rsid w:val="00D51FDF"/>
    <w:rsid w:val="00D54704"/>
    <w:rsid w:val="00D5532F"/>
    <w:rsid w:val="00D56867"/>
    <w:rsid w:val="00D579D9"/>
    <w:rsid w:val="00D60C57"/>
    <w:rsid w:val="00D62D7A"/>
    <w:rsid w:val="00D633EA"/>
    <w:rsid w:val="00D63F71"/>
    <w:rsid w:val="00D646EF"/>
    <w:rsid w:val="00D65943"/>
    <w:rsid w:val="00D678EB"/>
    <w:rsid w:val="00D6794D"/>
    <w:rsid w:val="00D67B99"/>
    <w:rsid w:val="00D67E16"/>
    <w:rsid w:val="00D72F9D"/>
    <w:rsid w:val="00D73195"/>
    <w:rsid w:val="00D73D18"/>
    <w:rsid w:val="00D74385"/>
    <w:rsid w:val="00D75383"/>
    <w:rsid w:val="00D75DAB"/>
    <w:rsid w:val="00D8198B"/>
    <w:rsid w:val="00D83395"/>
    <w:rsid w:val="00D85AAA"/>
    <w:rsid w:val="00D90250"/>
    <w:rsid w:val="00D9048A"/>
    <w:rsid w:val="00D928B1"/>
    <w:rsid w:val="00D9445F"/>
    <w:rsid w:val="00D96103"/>
    <w:rsid w:val="00D961DE"/>
    <w:rsid w:val="00D963EA"/>
    <w:rsid w:val="00DA0BFF"/>
    <w:rsid w:val="00DA0F42"/>
    <w:rsid w:val="00DA2C8D"/>
    <w:rsid w:val="00DA32C5"/>
    <w:rsid w:val="00DA3702"/>
    <w:rsid w:val="00DA3803"/>
    <w:rsid w:val="00DA53A0"/>
    <w:rsid w:val="00DA5928"/>
    <w:rsid w:val="00DA6765"/>
    <w:rsid w:val="00DA70E9"/>
    <w:rsid w:val="00DA7149"/>
    <w:rsid w:val="00DB15E5"/>
    <w:rsid w:val="00DB36A1"/>
    <w:rsid w:val="00DB7667"/>
    <w:rsid w:val="00DC18B9"/>
    <w:rsid w:val="00DC19F9"/>
    <w:rsid w:val="00DC1CBA"/>
    <w:rsid w:val="00DD092B"/>
    <w:rsid w:val="00DD0A4B"/>
    <w:rsid w:val="00DD2290"/>
    <w:rsid w:val="00DD27F1"/>
    <w:rsid w:val="00DD28A6"/>
    <w:rsid w:val="00DD4528"/>
    <w:rsid w:val="00DD4C30"/>
    <w:rsid w:val="00DD53A7"/>
    <w:rsid w:val="00DD56A4"/>
    <w:rsid w:val="00DD5BAA"/>
    <w:rsid w:val="00DE114E"/>
    <w:rsid w:val="00DE3476"/>
    <w:rsid w:val="00DE4A04"/>
    <w:rsid w:val="00DE4DBB"/>
    <w:rsid w:val="00DE633F"/>
    <w:rsid w:val="00DF222A"/>
    <w:rsid w:val="00DF2550"/>
    <w:rsid w:val="00DF266E"/>
    <w:rsid w:val="00DF38F8"/>
    <w:rsid w:val="00DF4168"/>
    <w:rsid w:val="00DF45B1"/>
    <w:rsid w:val="00E00EC6"/>
    <w:rsid w:val="00E02857"/>
    <w:rsid w:val="00E13BA8"/>
    <w:rsid w:val="00E14466"/>
    <w:rsid w:val="00E14BA9"/>
    <w:rsid w:val="00E174CD"/>
    <w:rsid w:val="00E2000A"/>
    <w:rsid w:val="00E22E20"/>
    <w:rsid w:val="00E240DA"/>
    <w:rsid w:val="00E24BAE"/>
    <w:rsid w:val="00E25115"/>
    <w:rsid w:val="00E30609"/>
    <w:rsid w:val="00E33B1F"/>
    <w:rsid w:val="00E3413E"/>
    <w:rsid w:val="00E35126"/>
    <w:rsid w:val="00E355E6"/>
    <w:rsid w:val="00E40159"/>
    <w:rsid w:val="00E41248"/>
    <w:rsid w:val="00E5173A"/>
    <w:rsid w:val="00E53077"/>
    <w:rsid w:val="00E531D8"/>
    <w:rsid w:val="00E62353"/>
    <w:rsid w:val="00E63ED8"/>
    <w:rsid w:val="00E665CF"/>
    <w:rsid w:val="00E669D9"/>
    <w:rsid w:val="00E66AFF"/>
    <w:rsid w:val="00E67304"/>
    <w:rsid w:val="00E676D5"/>
    <w:rsid w:val="00E708EF"/>
    <w:rsid w:val="00E70940"/>
    <w:rsid w:val="00E70AE8"/>
    <w:rsid w:val="00E717B9"/>
    <w:rsid w:val="00E76519"/>
    <w:rsid w:val="00E7752A"/>
    <w:rsid w:val="00E80F55"/>
    <w:rsid w:val="00E8211F"/>
    <w:rsid w:val="00E84CB6"/>
    <w:rsid w:val="00E85501"/>
    <w:rsid w:val="00E87CCC"/>
    <w:rsid w:val="00E906CC"/>
    <w:rsid w:val="00E94FCE"/>
    <w:rsid w:val="00E97285"/>
    <w:rsid w:val="00EA1B74"/>
    <w:rsid w:val="00EA3681"/>
    <w:rsid w:val="00EA669B"/>
    <w:rsid w:val="00EB2408"/>
    <w:rsid w:val="00EB2E8D"/>
    <w:rsid w:val="00EB4DE8"/>
    <w:rsid w:val="00EB7500"/>
    <w:rsid w:val="00EC09DB"/>
    <w:rsid w:val="00EC1910"/>
    <w:rsid w:val="00EC4A17"/>
    <w:rsid w:val="00ED00EB"/>
    <w:rsid w:val="00ED161A"/>
    <w:rsid w:val="00ED414C"/>
    <w:rsid w:val="00ED759A"/>
    <w:rsid w:val="00EE2CAD"/>
    <w:rsid w:val="00EE2DDB"/>
    <w:rsid w:val="00EE361C"/>
    <w:rsid w:val="00EE54B8"/>
    <w:rsid w:val="00EE769B"/>
    <w:rsid w:val="00EF005C"/>
    <w:rsid w:val="00EF666F"/>
    <w:rsid w:val="00EF77DC"/>
    <w:rsid w:val="00EF7F95"/>
    <w:rsid w:val="00F0312E"/>
    <w:rsid w:val="00F0407C"/>
    <w:rsid w:val="00F13903"/>
    <w:rsid w:val="00F13E98"/>
    <w:rsid w:val="00F142A5"/>
    <w:rsid w:val="00F152EA"/>
    <w:rsid w:val="00F16B98"/>
    <w:rsid w:val="00F175BB"/>
    <w:rsid w:val="00F20D57"/>
    <w:rsid w:val="00F21671"/>
    <w:rsid w:val="00F32B8F"/>
    <w:rsid w:val="00F37574"/>
    <w:rsid w:val="00F4095F"/>
    <w:rsid w:val="00F46212"/>
    <w:rsid w:val="00F47904"/>
    <w:rsid w:val="00F52598"/>
    <w:rsid w:val="00F53671"/>
    <w:rsid w:val="00F559B1"/>
    <w:rsid w:val="00F562CC"/>
    <w:rsid w:val="00F5696E"/>
    <w:rsid w:val="00F5779C"/>
    <w:rsid w:val="00F57ACB"/>
    <w:rsid w:val="00F57BAE"/>
    <w:rsid w:val="00F612AC"/>
    <w:rsid w:val="00F61F55"/>
    <w:rsid w:val="00F64E11"/>
    <w:rsid w:val="00F658D0"/>
    <w:rsid w:val="00F71E96"/>
    <w:rsid w:val="00F76908"/>
    <w:rsid w:val="00F80437"/>
    <w:rsid w:val="00F8118C"/>
    <w:rsid w:val="00F816F0"/>
    <w:rsid w:val="00F8348C"/>
    <w:rsid w:val="00F84488"/>
    <w:rsid w:val="00F86C81"/>
    <w:rsid w:val="00F9047B"/>
    <w:rsid w:val="00F9168F"/>
    <w:rsid w:val="00F919AC"/>
    <w:rsid w:val="00F91BCC"/>
    <w:rsid w:val="00F92CCB"/>
    <w:rsid w:val="00F92DCD"/>
    <w:rsid w:val="00F9377A"/>
    <w:rsid w:val="00F974D6"/>
    <w:rsid w:val="00FA1DFE"/>
    <w:rsid w:val="00FA3BD1"/>
    <w:rsid w:val="00FA4714"/>
    <w:rsid w:val="00FA6603"/>
    <w:rsid w:val="00FB009A"/>
    <w:rsid w:val="00FB13C7"/>
    <w:rsid w:val="00FB1B31"/>
    <w:rsid w:val="00FB360B"/>
    <w:rsid w:val="00FB389B"/>
    <w:rsid w:val="00FB4270"/>
    <w:rsid w:val="00FB4F21"/>
    <w:rsid w:val="00FB5917"/>
    <w:rsid w:val="00FC1513"/>
    <w:rsid w:val="00FC2111"/>
    <w:rsid w:val="00FC761C"/>
    <w:rsid w:val="00FD3125"/>
    <w:rsid w:val="00FD40A6"/>
    <w:rsid w:val="00FD41CC"/>
    <w:rsid w:val="00FD7A33"/>
    <w:rsid w:val="00FE09BA"/>
    <w:rsid w:val="00FE0E51"/>
    <w:rsid w:val="00FE1412"/>
    <w:rsid w:val="00FE4890"/>
    <w:rsid w:val="00FE4FC2"/>
    <w:rsid w:val="00FE5698"/>
    <w:rsid w:val="00FE5702"/>
    <w:rsid w:val="00FE6303"/>
    <w:rsid w:val="00FE71D4"/>
    <w:rsid w:val="00FE7B4B"/>
    <w:rsid w:val="00FF171F"/>
    <w:rsid w:val="00FF1AC9"/>
    <w:rsid w:val="00FF4AF1"/>
    <w:rsid w:val="00FF5B67"/>
    <w:rsid w:val="00FF66B6"/>
    <w:rsid w:val="088017D6"/>
    <w:rsid w:val="08B374B6"/>
    <w:rsid w:val="0B3A5C6C"/>
    <w:rsid w:val="0DF02F5A"/>
    <w:rsid w:val="140E1C9C"/>
    <w:rsid w:val="154A73F4"/>
    <w:rsid w:val="1BDF48EE"/>
    <w:rsid w:val="1FB5190D"/>
    <w:rsid w:val="2C097269"/>
    <w:rsid w:val="30623BAC"/>
    <w:rsid w:val="3D7824A0"/>
    <w:rsid w:val="3DC63266"/>
    <w:rsid w:val="436458AA"/>
    <w:rsid w:val="44A313B3"/>
    <w:rsid w:val="4C8F2234"/>
    <w:rsid w:val="4DE17BEE"/>
    <w:rsid w:val="556709D9"/>
    <w:rsid w:val="5A9F29C3"/>
    <w:rsid w:val="615D3062"/>
    <w:rsid w:val="64D15E6F"/>
    <w:rsid w:val="669F77CE"/>
    <w:rsid w:val="67050051"/>
    <w:rsid w:val="79DC2E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BDAD0B-F69C-4AE6-9B15-60607CFE5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semiHidden="1" w:uiPriority="39" w:unhideWhenUsed="1"/>
    <w:lsdException w:name="toc 3" w:semiHidden="1" w:uiPriority="0"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iPriority="0" w:unhideWhenUsed="1" w:qFormat="1"/>
    <w:lsdException w:name="annotation text" w:uiPriority="0"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qFormat="1"/>
    <w:lsdException w:name="Body Text Indent 3" w:semiHidden="1" w:uiPriority="0" w:unhideWhenUsed="1" w:qFormat="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qFormat/>
    <w:pPr>
      <w:keepNext/>
      <w:keepLines/>
      <w:spacing w:before="120" w:after="120" w:line="360" w:lineRule="auto"/>
      <w:outlineLvl w:val="0"/>
    </w:pPr>
    <w:rPr>
      <w:rFonts w:ascii="宋体" w:eastAsia="宋体" w:hAnsi="Times New Roman" w:cs="Times New Roman"/>
      <w:b/>
      <w:color w:val="000000"/>
      <w:kern w:val="0"/>
      <w:sz w:val="24"/>
      <w:szCs w:val="20"/>
    </w:rPr>
  </w:style>
  <w:style w:type="paragraph" w:styleId="2">
    <w:name w:val="heading 2"/>
    <w:basedOn w:val="a"/>
    <w:next w:val="a"/>
    <w:link w:val="20"/>
    <w:semiHidden/>
    <w:unhideWhenUsed/>
    <w:qFormat/>
    <w:pPr>
      <w:keepNext/>
      <w:keepLines/>
      <w:numPr>
        <w:numId w:val="1"/>
      </w:numPr>
      <w:spacing w:before="260" w:after="260" w:line="412" w:lineRule="auto"/>
      <w:outlineLvl w:val="1"/>
    </w:pPr>
    <w:rPr>
      <w:rFonts w:ascii="Arial" w:eastAsia="黑体" w:hAnsi="Arial" w:cs="Times New Roman"/>
      <w:b/>
      <w:sz w:val="32"/>
      <w:szCs w:val="20"/>
    </w:rPr>
  </w:style>
  <w:style w:type="paragraph" w:styleId="3">
    <w:name w:val="heading 3"/>
    <w:basedOn w:val="a"/>
    <w:next w:val="a"/>
    <w:link w:val="30"/>
    <w:semiHidden/>
    <w:unhideWhenUsed/>
    <w:qFormat/>
    <w:pPr>
      <w:keepNext/>
      <w:keepLines/>
      <w:spacing w:before="260" w:after="260" w:line="412" w:lineRule="auto"/>
      <w:outlineLvl w:val="2"/>
    </w:pPr>
    <w:rPr>
      <w:rFonts w:ascii="Times New Roman" w:eastAsia="宋体" w:hAnsi="Times New Roman" w:cs="Times New Roman"/>
      <w:b/>
      <w:kern w:val="0"/>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semiHidden/>
    <w:unhideWhenUsed/>
    <w:qFormat/>
    <w:pPr>
      <w:ind w:firstLineChars="200" w:firstLine="420"/>
    </w:pPr>
    <w:rPr>
      <w:rFonts w:ascii="Times New Roman" w:eastAsia="宋体" w:hAnsi="Times New Roman" w:cs="Times New Roman"/>
      <w:szCs w:val="20"/>
    </w:rPr>
  </w:style>
  <w:style w:type="paragraph" w:styleId="a4">
    <w:name w:val="Document Map"/>
    <w:basedOn w:val="a"/>
    <w:link w:val="a5"/>
    <w:semiHidden/>
    <w:unhideWhenUsed/>
    <w:qFormat/>
    <w:pPr>
      <w:shd w:val="clear" w:color="auto" w:fill="000080"/>
    </w:pPr>
    <w:rPr>
      <w:rFonts w:ascii="Times New Roman" w:eastAsia="宋体" w:hAnsi="Times New Roman" w:cs="Times New Roman"/>
      <w:szCs w:val="20"/>
    </w:rPr>
  </w:style>
  <w:style w:type="paragraph" w:styleId="a6">
    <w:name w:val="annotation text"/>
    <w:basedOn w:val="a"/>
    <w:link w:val="a7"/>
    <w:unhideWhenUsed/>
    <w:qFormat/>
    <w:pPr>
      <w:jc w:val="left"/>
    </w:pPr>
    <w:rPr>
      <w:rFonts w:ascii="Times New Roman" w:eastAsia="宋体" w:hAnsi="Times New Roman" w:cs="Times New Roman"/>
      <w:szCs w:val="20"/>
    </w:rPr>
  </w:style>
  <w:style w:type="paragraph" w:styleId="a8">
    <w:name w:val="Body Text"/>
    <w:basedOn w:val="a"/>
    <w:link w:val="a9"/>
    <w:unhideWhenUsed/>
    <w:qFormat/>
    <w:pPr>
      <w:autoSpaceDE w:val="0"/>
      <w:autoSpaceDN w:val="0"/>
      <w:adjustRightInd w:val="0"/>
      <w:spacing w:line="360" w:lineRule="auto"/>
      <w:jc w:val="left"/>
    </w:pPr>
    <w:rPr>
      <w:rFonts w:ascii="宋体" w:eastAsia="宋体" w:hAnsi="Calibri" w:cs="Times New Roman"/>
      <w:kern w:val="0"/>
    </w:rPr>
  </w:style>
  <w:style w:type="paragraph" w:styleId="TOC3">
    <w:name w:val="toc 3"/>
    <w:basedOn w:val="a"/>
    <w:next w:val="a"/>
    <w:semiHidden/>
    <w:unhideWhenUsed/>
    <w:qFormat/>
    <w:pPr>
      <w:ind w:leftChars="400" w:left="840"/>
    </w:pPr>
    <w:rPr>
      <w:rFonts w:ascii="Times New Roman" w:eastAsia="宋体" w:hAnsi="Times New Roman" w:cs="Times New Roman"/>
      <w:szCs w:val="20"/>
    </w:rPr>
  </w:style>
  <w:style w:type="paragraph" w:styleId="aa">
    <w:name w:val="Plain Text"/>
    <w:basedOn w:val="a"/>
    <w:link w:val="ab"/>
    <w:semiHidden/>
    <w:unhideWhenUsed/>
    <w:qFormat/>
    <w:pPr>
      <w:adjustRightInd w:val="0"/>
      <w:spacing w:line="312" w:lineRule="atLeast"/>
    </w:pPr>
    <w:rPr>
      <w:rFonts w:ascii="宋体" w:eastAsia="宋体" w:hAnsi="Courier New" w:cs="Times New Roman"/>
      <w:kern w:val="0"/>
      <w:szCs w:val="20"/>
    </w:rPr>
  </w:style>
  <w:style w:type="paragraph" w:styleId="21">
    <w:name w:val="Body Text Indent 2"/>
    <w:basedOn w:val="a"/>
    <w:link w:val="22"/>
    <w:semiHidden/>
    <w:unhideWhenUsed/>
    <w:qFormat/>
    <w:pPr>
      <w:spacing w:line="360" w:lineRule="auto"/>
      <w:ind w:firstLine="425"/>
    </w:pPr>
    <w:rPr>
      <w:rFonts w:ascii="仿宋_GB2312" w:eastAsia="仿宋_GB2312" w:hAnsi="Times New Roman" w:cs="Times New Roman"/>
      <w:sz w:val="28"/>
      <w:szCs w:val="20"/>
    </w:rPr>
  </w:style>
  <w:style w:type="paragraph" w:styleId="ac">
    <w:name w:val="Balloon Text"/>
    <w:basedOn w:val="a"/>
    <w:link w:val="ad"/>
    <w:semiHidden/>
    <w:unhideWhenUsed/>
    <w:qFormat/>
    <w:rPr>
      <w:rFonts w:ascii="Times New Roman" w:eastAsia="宋体" w:hAnsi="Times New Roman" w:cs="Times New Roman"/>
      <w:sz w:val="18"/>
      <w:szCs w:val="20"/>
    </w:rPr>
  </w:style>
  <w:style w:type="paragraph" w:styleId="ae">
    <w:name w:val="footer"/>
    <w:basedOn w:val="a"/>
    <w:link w:val="af"/>
    <w:uiPriority w:val="99"/>
    <w:unhideWhenUsed/>
    <w:qFormat/>
    <w:pPr>
      <w:tabs>
        <w:tab w:val="center" w:pos="4153"/>
        <w:tab w:val="right" w:pos="8306"/>
      </w:tabs>
      <w:snapToGrid w:val="0"/>
      <w:jc w:val="left"/>
    </w:pPr>
    <w:rPr>
      <w:rFonts w:ascii="Times New Roman" w:eastAsia="宋体" w:hAnsi="Times New Roman" w:cs="Times New Roman"/>
      <w:sz w:val="18"/>
      <w:szCs w:val="18"/>
    </w:rPr>
  </w:style>
  <w:style w:type="paragraph" w:styleId="af0">
    <w:name w:val="header"/>
    <w:basedOn w:val="a"/>
    <w:link w:val="af1"/>
    <w:uiPriority w:val="99"/>
    <w:unhideWhenUsed/>
    <w:qFormat/>
    <w:pPr>
      <w:pBdr>
        <w:bottom w:val="single" w:sz="6" w:space="1" w:color="auto"/>
      </w:pBdr>
      <w:tabs>
        <w:tab w:val="center" w:pos="4153"/>
        <w:tab w:val="right" w:pos="8306"/>
      </w:tabs>
      <w:snapToGrid w:val="0"/>
      <w:jc w:val="center"/>
    </w:pPr>
    <w:rPr>
      <w:rFonts w:ascii="Times New Roman" w:eastAsia="宋体" w:hAnsi="Times New Roman" w:cs="Times New Roman"/>
      <w:sz w:val="18"/>
      <w:szCs w:val="18"/>
    </w:rPr>
  </w:style>
  <w:style w:type="paragraph" w:styleId="TOC1">
    <w:name w:val="toc 1"/>
    <w:basedOn w:val="a"/>
    <w:next w:val="a"/>
    <w:uiPriority w:val="39"/>
    <w:unhideWhenUsed/>
    <w:qFormat/>
    <w:pPr>
      <w:tabs>
        <w:tab w:val="right" w:leader="dot" w:pos="8296"/>
      </w:tabs>
      <w:spacing w:line="360" w:lineRule="auto"/>
    </w:pPr>
    <w:rPr>
      <w:rFonts w:ascii="Times New Roman" w:eastAsia="宋体" w:hAnsi="Times New Roman" w:cs="Times New Roman"/>
      <w:szCs w:val="20"/>
    </w:rPr>
  </w:style>
  <w:style w:type="paragraph" w:styleId="af2">
    <w:name w:val="footnote text"/>
    <w:basedOn w:val="a"/>
    <w:link w:val="af3"/>
    <w:semiHidden/>
    <w:unhideWhenUsed/>
    <w:qFormat/>
    <w:pPr>
      <w:snapToGrid w:val="0"/>
      <w:jc w:val="left"/>
    </w:pPr>
    <w:rPr>
      <w:rFonts w:ascii="Times New Roman" w:eastAsia="宋体" w:hAnsi="Times New Roman" w:cs="Times New Roman"/>
      <w:sz w:val="18"/>
      <w:szCs w:val="20"/>
    </w:rPr>
  </w:style>
  <w:style w:type="paragraph" w:styleId="31">
    <w:name w:val="Body Text Indent 3"/>
    <w:basedOn w:val="a"/>
    <w:link w:val="32"/>
    <w:semiHidden/>
    <w:unhideWhenUsed/>
    <w:qFormat/>
    <w:pPr>
      <w:autoSpaceDE w:val="0"/>
      <w:autoSpaceDN w:val="0"/>
      <w:adjustRightInd w:val="0"/>
      <w:spacing w:line="360" w:lineRule="auto"/>
      <w:ind w:left="420" w:firstLine="435"/>
    </w:pPr>
    <w:rPr>
      <w:rFonts w:ascii="Times New Roman" w:eastAsia="宋体" w:hAnsi="Times New Roman" w:cs="Times New Roman"/>
      <w:color w:val="0000FF"/>
      <w:szCs w:val="20"/>
    </w:rPr>
  </w:style>
  <w:style w:type="paragraph" w:styleId="af4">
    <w:name w:val="Title"/>
    <w:basedOn w:val="a"/>
    <w:next w:val="a"/>
    <w:link w:val="af5"/>
    <w:qFormat/>
    <w:pPr>
      <w:spacing w:before="240" w:after="60"/>
      <w:jc w:val="center"/>
      <w:outlineLvl w:val="0"/>
    </w:pPr>
    <w:rPr>
      <w:rFonts w:ascii="Cambria" w:eastAsia="宋体" w:hAnsi="Cambria" w:cs="Times New Roman"/>
      <w:b/>
      <w:sz w:val="32"/>
    </w:rPr>
  </w:style>
  <w:style w:type="paragraph" w:styleId="af6">
    <w:name w:val="annotation subject"/>
    <w:basedOn w:val="a6"/>
    <w:next w:val="a6"/>
    <w:link w:val="af7"/>
    <w:semiHidden/>
    <w:unhideWhenUsed/>
    <w:qFormat/>
    <w:rPr>
      <w:b/>
    </w:rPr>
  </w:style>
  <w:style w:type="table" w:styleId="af8">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FollowedHyperlink"/>
    <w:basedOn w:val="a0"/>
    <w:uiPriority w:val="99"/>
    <w:semiHidden/>
    <w:unhideWhenUsed/>
    <w:qFormat/>
    <w:rPr>
      <w:color w:val="800080" w:themeColor="followedHyperlink"/>
      <w:u w:val="single"/>
    </w:rPr>
  </w:style>
  <w:style w:type="character" w:styleId="afa">
    <w:name w:val="Hyperlink"/>
    <w:uiPriority w:val="99"/>
    <w:unhideWhenUsed/>
    <w:qFormat/>
    <w:rPr>
      <w:color w:val="0000FF"/>
      <w:u w:val="single"/>
    </w:rPr>
  </w:style>
  <w:style w:type="character" w:styleId="afb">
    <w:name w:val="annotation reference"/>
    <w:unhideWhenUsed/>
    <w:qFormat/>
    <w:rPr>
      <w:sz w:val="21"/>
    </w:rPr>
  </w:style>
  <w:style w:type="character" w:styleId="afc">
    <w:name w:val="footnote reference"/>
    <w:semiHidden/>
    <w:unhideWhenUsed/>
    <w:qFormat/>
    <w:rPr>
      <w:vertAlign w:val="superscript"/>
    </w:rPr>
  </w:style>
  <w:style w:type="character" w:customStyle="1" w:styleId="10">
    <w:name w:val="标题 1 字符"/>
    <w:basedOn w:val="a0"/>
    <w:link w:val="1"/>
    <w:qFormat/>
    <w:rPr>
      <w:rFonts w:ascii="宋体" w:eastAsia="宋体" w:hAnsi="Times New Roman" w:cs="Times New Roman"/>
      <w:b/>
      <w:color w:val="000000"/>
      <w:kern w:val="0"/>
      <w:sz w:val="24"/>
      <w:szCs w:val="20"/>
    </w:rPr>
  </w:style>
  <w:style w:type="character" w:customStyle="1" w:styleId="20">
    <w:name w:val="标题 2 字符"/>
    <w:basedOn w:val="a0"/>
    <w:link w:val="2"/>
    <w:semiHidden/>
    <w:qFormat/>
    <w:rPr>
      <w:rFonts w:ascii="Arial" w:eastAsia="黑体" w:hAnsi="Arial" w:cs="Times New Roman"/>
      <w:b/>
      <w:sz w:val="32"/>
      <w:szCs w:val="20"/>
    </w:rPr>
  </w:style>
  <w:style w:type="character" w:customStyle="1" w:styleId="30">
    <w:name w:val="标题 3 字符"/>
    <w:basedOn w:val="a0"/>
    <w:link w:val="3"/>
    <w:semiHidden/>
    <w:qFormat/>
    <w:rPr>
      <w:rFonts w:ascii="Times New Roman" w:eastAsia="宋体" w:hAnsi="Times New Roman" w:cs="Times New Roman"/>
      <w:b/>
      <w:kern w:val="0"/>
      <w:sz w:val="32"/>
      <w:szCs w:val="20"/>
    </w:rPr>
  </w:style>
  <w:style w:type="character" w:customStyle="1" w:styleId="af3">
    <w:name w:val="脚注文本 字符"/>
    <w:basedOn w:val="a0"/>
    <w:link w:val="af2"/>
    <w:semiHidden/>
    <w:qFormat/>
    <w:rPr>
      <w:rFonts w:ascii="Times New Roman" w:eastAsia="宋体" w:hAnsi="Times New Roman" w:cs="Times New Roman"/>
      <w:sz w:val="18"/>
      <w:szCs w:val="20"/>
    </w:rPr>
  </w:style>
  <w:style w:type="character" w:customStyle="1" w:styleId="Char">
    <w:name w:val="批注文字 Char"/>
    <w:basedOn w:val="a0"/>
    <w:uiPriority w:val="99"/>
    <w:qFormat/>
  </w:style>
  <w:style w:type="character" w:customStyle="1" w:styleId="af1">
    <w:name w:val="页眉 字符"/>
    <w:basedOn w:val="a0"/>
    <w:link w:val="af0"/>
    <w:uiPriority w:val="99"/>
    <w:qFormat/>
    <w:rPr>
      <w:rFonts w:ascii="Times New Roman" w:eastAsia="宋体" w:hAnsi="Times New Roman" w:cs="Times New Roman"/>
      <w:sz w:val="18"/>
      <w:szCs w:val="18"/>
    </w:rPr>
  </w:style>
  <w:style w:type="character" w:customStyle="1" w:styleId="af">
    <w:name w:val="页脚 字符"/>
    <w:basedOn w:val="a0"/>
    <w:link w:val="ae"/>
    <w:uiPriority w:val="99"/>
    <w:qFormat/>
    <w:rPr>
      <w:rFonts w:ascii="Times New Roman" w:eastAsia="宋体" w:hAnsi="Times New Roman" w:cs="Times New Roman"/>
      <w:sz w:val="18"/>
      <w:szCs w:val="18"/>
    </w:rPr>
  </w:style>
  <w:style w:type="character" w:customStyle="1" w:styleId="af5">
    <w:name w:val="标题 字符"/>
    <w:basedOn w:val="a0"/>
    <w:link w:val="af4"/>
    <w:qFormat/>
    <w:rPr>
      <w:rFonts w:ascii="Cambria" w:eastAsia="宋体" w:hAnsi="Cambria" w:cs="Times New Roman"/>
      <w:b/>
      <w:sz w:val="32"/>
    </w:rPr>
  </w:style>
  <w:style w:type="character" w:customStyle="1" w:styleId="a9">
    <w:name w:val="正文文本 字符"/>
    <w:basedOn w:val="a0"/>
    <w:link w:val="a8"/>
    <w:qFormat/>
    <w:rPr>
      <w:rFonts w:ascii="宋体" w:eastAsia="宋体" w:hAnsi="Calibri" w:cs="Times New Roman"/>
      <w:kern w:val="0"/>
    </w:rPr>
  </w:style>
  <w:style w:type="character" w:customStyle="1" w:styleId="22">
    <w:name w:val="正文文本缩进 2 字符"/>
    <w:basedOn w:val="a0"/>
    <w:link w:val="21"/>
    <w:semiHidden/>
    <w:qFormat/>
    <w:rPr>
      <w:rFonts w:ascii="仿宋_GB2312" w:eastAsia="仿宋_GB2312" w:hAnsi="Times New Roman" w:cs="Times New Roman"/>
      <w:sz w:val="28"/>
      <w:szCs w:val="20"/>
    </w:rPr>
  </w:style>
  <w:style w:type="character" w:customStyle="1" w:styleId="32">
    <w:name w:val="正文文本缩进 3 字符"/>
    <w:basedOn w:val="a0"/>
    <w:link w:val="31"/>
    <w:semiHidden/>
    <w:qFormat/>
    <w:rPr>
      <w:rFonts w:ascii="Times New Roman" w:eastAsia="宋体" w:hAnsi="Times New Roman" w:cs="Times New Roman"/>
      <w:color w:val="0000FF"/>
      <w:szCs w:val="20"/>
    </w:rPr>
  </w:style>
  <w:style w:type="character" w:customStyle="1" w:styleId="a5">
    <w:name w:val="文档结构图 字符"/>
    <w:basedOn w:val="a0"/>
    <w:link w:val="a4"/>
    <w:semiHidden/>
    <w:qFormat/>
    <w:rPr>
      <w:rFonts w:ascii="Times New Roman" w:eastAsia="宋体" w:hAnsi="Times New Roman" w:cs="Times New Roman"/>
      <w:szCs w:val="20"/>
      <w:shd w:val="clear" w:color="auto" w:fill="000080"/>
    </w:rPr>
  </w:style>
  <w:style w:type="character" w:customStyle="1" w:styleId="ab">
    <w:name w:val="纯文本 字符"/>
    <w:basedOn w:val="a0"/>
    <w:link w:val="aa"/>
    <w:semiHidden/>
    <w:qFormat/>
    <w:rPr>
      <w:rFonts w:ascii="宋体" w:eastAsia="宋体" w:hAnsi="Courier New" w:cs="Times New Roman"/>
      <w:kern w:val="0"/>
      <w:szCs w:val="20"/>
    </w:rPr>
  </w:style>
  <w:style w:type="character" w:customStyle="1" w:styleId="af7">
    <w:name w:val="批注主题 字符"/>
    <w:basedOn w:val="Char"/>
    <w:link w:val="af6"/>
    <w:semiHidden/>
    <w:qFormat/>
    <w:rPr>
      <w:rFonts w:ascii="Times New Roman" w:eastAsia="宋体" w:hAnsi="Times New Roman" w:cs="Times New Roman"/>
      <w:b/>
      <w:szCs w:val="20"/>
    </w:rPr>
  </w:style>
  <w:style w:type="character" w:customStyle="1" w:styleId="ad">
    <w:name w:val="批注框文本 字符"/>
    <w:basedOn w:val="a0"/>
    <w:link w:val="ac"/>
    <w:semiHidden/>
    <w:qFormat/>
    <w:rPr>
      <w:rFonts w:ascii="Times New Roman" w:eastAsia="宋体" w:hAnsi="Times New Roman" w:cs="Times New Roman"/>
      <w:sz w:val="18"/>
      <w:szCs w:val="20"/>
    </w:rPr>
  </w:style>
  <w:style w:type="paragraph" w:customStyle="1" w:styleId="11">
    <w:name w:val="修订1"/>
    <w:semiHidden/>
    <w:qFormat/>
    <w:rPr>
      <w:kern w:val="2"/>
      <w:sz w:val="21"/>
    </w:rPr>
  </w:style>
  <w:style w:type="paragraph" w:customStyle="1" w:styleId="Listbullet">
    <w:name w:val="List_bullet"/>
    <w:basedOn w:val="a"/>
    <w:qFormat/>
    <w:pPr>
      <w:widowControl/>
      <w:numPr>
        <w:numId w:val="2"/>
      </w:numPr>
      <w:jc w:val="left"/>
    </w:pPr>
    <w:rPr>
      <w:rFonts w:ascii="Times New Roman" w:eastAsia="宋体" w:hAnsi="Times New Roman" w:cs="Times New Roman"/>
      <w:kern w:val="0"/>
      <w:sz w:val="24"/>
      <w:szCs w:val="20"/>
    </w:rPr>
  </w:style>
  <w:style w:type="paragraph" w:customStyle="1" w:styleId="CharCharChar">
    <w:name w:val="Char Char Char"/>
    <w:basedOn w:val="a"/>
    <w:qFormat/>
    <w:rPr>
      <w:rFonts w:ascii="Times New Roman" w:eastAsia="宋体" w:hAnsi="Times New Roman" w:cs="Times New Roman"/>
      <w:szCs w:val="20"/>
    </w:rPr>
  </w:style>
  <w:style w:type="paragraph" w:customStyle="1" w:styleId="afd">
    <w:name w:val="正文所"/>
    <w:basedOn w:val="a"/>
    <w:qFormat/>
    <w:pPr>
      <w:spacing w:line="360" w:lineRule="auto"/>
      <w:ind w:firstLineChars="200" w:firstLine="420"/>
    </w:pPr>
    <w:rPr>
      <w:rFonts w:ascii="宋体" w:eastAsia="宋体" w:hAnsi="Times New Roman" w:cs="Times New Roman"/>
      <w:szCs w:val="20"/>
    </w:rPr>
  </w:style>
  <w:style w:type="paragraph" w:customStyle="1" w:styleId="CharCharCharChar">
    <w:name w:val="Char Char Char Char"/>
    <w:basedOn w:val="a"/>
    <w:qFormat/>
    <w:pPr>
      <w:tabs>
        <w:tab w:val="left" w:pos="360"/>
      </w:tabs>
    </w:pPr>
    <w:rPr>
      <w:rFonts w:ascii="Times New Roman" w:eastAsia="宋体" w:hAnsi="Times New Roman" w:cs="Times New Roman"/>
      <w:szCs w:val="20"/>
    </w:rPr>
  </w:style>
  <w:style w:type="paragraph" w:customStyle="1" w:styleId="Char0">
    <w:name w:val="Char"/>
    <w:basedOn w:val="a"/>
    <w:qFormat/>
    <w:rPr>
      <w:rFonts w:ascii="Times New Roman" w:eastAsia="宋体" w:hAnsi="Times New Roman" w:cs="Times New Roman"/>
      <w:szCs w:val="20"/>
    </w:rPr>
  </w:style>
  <w:style w:type="paragraph" w:customStyle="1" w:styleId="unnamed1">
    <w:name w:val="unnamed1"/>
    <w:basedOn w:val="a"/>
    <w:qFormat/>
    <w:pPr>
      <w:spacing w:before="60" w:after="60"/>
      <w:ind w:left="15" w:right="15"/>
    </w:pPr>
    <w:rPr>
      <w:rFonts w:ascii="宋体" w:eastAsia="宋体" w:hAnsi="宋体" w:cs="Times New Roman"/>
      <w:color w:val="000000"/>
      <w:sz w:val="18"/>
      <w:szCs w:val="18"/>
    </w:rPr>
  </w:style>
  <w:style w:type="paragraph" w:customStyle="1" w:styleId="Style6">
    <w:name w:val="_Style 6"/>
    <w:basedOn w:val="a"/>
    <w:next w:val="a"/>
    <w:qFormat/>
    <w:pPr>
      <w:adjustRightInd w:val="0"/>
      <w:snapToGrid w:val="0"/>
      <w:ind w:firstLineChars="200" w:firstLine="480"/>
    </w:pPr>
    <w:rPr>
      <w:rFonts w:ascii="仿宋_GB2312" w:eastAsia="仿宋_GB2312" w:hAnsi="宋体" w:cs="Times New Roman"/>
      <w:color w:val="000000"/>
      <w:sz w:val="24"/>
      <w:szCs w:val="20"/>
    </w:rPr>
  </w:style>
  <w:style w:type="paragraph" w:customStyle="1" w:styleId="InfoBlue">
    <w:name w:val="InfoBlue"/>
    <w:basedOn w:val="a"/>
    <w:next w:val="a8"/>
    <w:qFormat/>
    <w:pPr>
      <w:tabs>
        <w:tab w:val="left" w:pos="420"/>
      </w:tabs>
      <w:spacing w:after="120" w:line="240" w:lineRule="atLeast"/>
      <w:ind w:left="420" w:hanging="420"/>
      <w:jc w:val="left"/>
    </w:pPr>
    <w:rPr>
      <w:rFonts w:ascii="宋体" w:eastAsia="宋体" w:hAnsi="宋体" w:cs="Times New Roman"/>
      <w:szCs w:val="20"/>
    </w:rPr>
  </w:style>
  <w:style w:type="paragraph" w:customStyle="1" w:styleId="msonormal1">
    <w:name w:val="msonormal1"/>
    <w:qFormat/>
    <w:pPr>
      <w:widowControl w:val="0"/>
      <w:jc w:val="both"/>
    </w:pPr>
    <w:rPr>
      <w:kern w:val="2"/>
      <w:sz w:val="21"/>
    </w:rPr>
  </w:style>
  <w:style w:type="paragraph" w:customStyle="1" w:styleId="CharChar">
    <w:name w:val="Char Char"/>
    <w:basedOn w:val="a"/>
    <w:qFormat/>
    <w:rPr>
      <w:rFonts w:ascii="Times New Roman" w:eastAsia="宋体" w:hAnsi="Times New Roman" w:cs="Times New Roman"/>
      <w:szCs w:val="20"/>
    </w:rPr>
  </w:style>
  <w:style w:type="paragraph" w:customStyle="1" w:styleId="CharChar1">
    <w:name w:val="Char Char1"/>
    <w:basedOn w:val="a"/>
    <w:qFormat/>
    <w:rPr>
      <w:rFonts w:ascii="Times New Roman" w:eastAsia="宋体" w:hAnsi="Times New Roman" w:cs="Times New Roman"/>
      <w:szCs w:val="20"/>
    </w:rPr>
  </w:style>
  <w:style w:type="paragraph" w:customStyle="1" w:styleId="afe">
    <w:name w:val="正文正文"/>
    <w:basedOn w:val="a"/>
    <w:qFormat/>
    <w:pPr>
      <w:spacing w:afterLines="25" w:line="360" w:lineRule="auto"/>
      <w:ind w:firstLineChars="200" w:firstLine="200"/>
    </w:pPr>
    <w:rPr>
      <w:rFonts w:ascii="Times New Roman" w:eastAsia="宋体" w:hAnsi="Times New Roman" w:cs="Times New Roman"/>
      <w:sz w:val="24"/>
      <w:szCs w:val="20"/>
    </w:rPr>
  </w:style>
  <w:style w:type="paragraph" w:customStyle="1" w:styleId="Default">
    <w:name w:val="Default"/>
    <w:qFormat/>
    <w:pPr>
      <w:widowControl w:val="0"/>
      <w:autoSpaceDE w:val="0"/>
      <w:autoSpaceDN w:val="0"/>
      <w:adjustRightInd w:val="0"/>
    </w:pPr>
    <w:rPr>
      <w:rFonts w:ascii="宋体"/>
      <w:color w:val="000000"/>
      <w:sz w:val="24"/>
    </w:rPr>
  </w:style>
  <w:style w:type="character" w:customStyle="1" w:styleId="Char1">
    <w:name w:val="页眉 Char1"/>
    <w:qFormat/>
    <w:rPr>
      <w:rFonts w:ascii="Times New Roman" w:eastAsia="宋体" w:hAnsi="Times New Roman" w:cs="Times New Roman" w:hint="default"/>
      <w:sz w:val="18"/>
      <w:szCs w:val="18"/>
    </w:rPr>
  </w:style>
  <w:style w:type="character" w:customStyle="1" w:styleId="unnamed11">
    <w:name w:val="unnamed11"/>
    <w:qFormat/>
    <w:rPr>
      <w:rFonts w:ascii="宋体" w:eastAsia="宋体" w:hAnsi="宋体" w:hint="eastAsia"/>
      <w:sz w:val="18"/>
    </w:rPr>
  </w:style>
  <w:style w:type="character" w:customStyle="1" w:styleId="read">
    <w:name w:val="read"/>
    <w:basedOn w:val="a0"/>
    <w:qFormat/>
  </w:style>
  <w:style w:type="character" w:customStyle="1" w:styleId="Char10">
    <w:name w:val="正文文本 Char1"/>
    <w:qFormat/>
    <w:rPr>
      <w:rFonts w:ascii="Times New Roman" w:eastAsia="宋体" w:hAnsi="Times New Roman" w:cs="Times New Roman" w:hint="default"/>
      <w:szCs w:val="20"/>
    </w:rPr>
  </w:style>
  <w:style w:type="character" w:customStyle="1" w:styleId="Char11">
    <w:name w:val="标题 Char1"/>
    <w:qFormat/>
    <w:rPr>
      <w:rFonts w:ascii="Cambria" w:eastAsia="宋体" w:hAnsi="Cambria" w:cs="Times New Roman" w:hint="default"/>
      <w:b/>
      <w:bCs/>
      <w:sz w:val="32"/>
      <w:szCs w:val="32"/>
    </w:rPr>
  </w:style>
  <w:style w:type="character" w:customStyle="1" w:styleId="Char2">
    <w:name w:val="正文文本 Char2"/>
    <w:basedOn w:val="a0"/>
    <w:uiPriority w:val="99"/>
    <w:semiHidden/>
    <w:qFormat/>
    <w:rPr>
      <w:rFonts w:ascii="Times New Roman" w:eastAsia="宋体" w:hAnsi="Times New Roman" w:cs="Times New Roman" w:hint="default"/>
      <w:szCs w:val="20"/>
    </w:rPr>
  </w:style>
  <w:style w:type="character" w:customStyle="1" w:styleId="2Char1">
    <w:name w:val="正文文本缩进 2 Char1"/>
    <w:basedOn w:val="a0"/>
    <w:uiPriority w:val="99"/>
    <w:semiHidden/>
    <w:qFormat/>
    <w:rPr>
      <w:rFonts w:ascii="Times New Roman" w:eastAsia="宋体" w:hAnsi="Times New Roman" w:cs="Times New Roman" w:hint="default"/>
      <w:szCs w:val="20"/>
    </w:rPr>
  </w:style>
  <w:style w:type="character" w:customStyle="1" w:styleId="a7">
    <w:name w:val="批注文字 字符"/>
    <w:basedOn w:val="a0"/>
    <w:link w:val="a6"/>
    <w:qFormat/>
    <w:locked/>
    <w:rPr>
      <w:rFonts w:ascii="Times New Roman" w:eastAsia="宋体" w:hAnsi="Times New Roman" w:cs="Times New Roman"/>
      <w:szCs w:val="20"/>
    </w:rPr>
  </w:style>
  <w:style w:type="character" w:customStyle="1" w:styleId="Char12">
    <w:name w:val="批注主题 Char1"/>
    <w:basedOn w:val="a7"/>
    <w:uiPriority w:val="99"/>
    <w:semiHidden/>
    <w:qFormat/>
    <w:rPr>
      <w:rFonts w:ascii="Times New Roman" w:eastAsia="宋体" w:hAnsi="Times New Roman" w:cs="Times New Roman"/>
      <w:b/>
      <w:bCs/>
      <w:szCs w:val="20"/>
    </w:rPr>
  </w:style>
  <w:style w:type="character" w:customStyle="1" w:styleId="3Char1">
    <w:name w:val="正文文本缩进 3 Char1"/>
    <w:basedOn w:val="a0"/>
    <w:uiPriority w:val="99"/>
    <w:semiHidden/>
    <w:qFormat/>
    <w:rPr>
      <w:rFonts w:ascii="Times New Roman" w:eastAsia="宋体" w:hAnsi="Times New Roman" w:cs="Times New Roman" w:hint="default"/>
      <w:sz w:val="16"/>
      <w:szCs w:val="16"/>
    </w:rPr>
  </w:style>
  <w:style w:type="character" w:customStyle="1" w:styleId="Char13">
    <w:name w:val="纯文本 Char1"/>
    <w:basedOn w:val="a0"/>
    <w:uiPriority w:val="99"/>
    <w:semiHidden/>
    <w:qFormat/>
    <w:rPr>
      <w:rFonts w:ascii="宋体" w:eastAsia="宋体" w:hAnsi="Courier New" w:cs="Courier New" w:hint="eastAsia"/>
      <w:szCs w:val="21"/>
    </w:rPr>
  </w:style>
  <w:style w:type="character" w:customStyle="1" w:styleId="Char20">
    <w:name w:val="标题 Char2"/>
    <w:basedOn w:val="a0"/>
    <w:uiPriority w:val="10"/>
    <w:qFormat/>
    <w:rPr>
      <w:rFonts w:ascii="Cambria" w:eastAsia="宋体" w:hAnsi="Cambria" w:cs="Times New Roman" w:hint="default"/>
      <w:b/>
      <w:bCs/>
      <w:sz w:val="32"/>
      <w:szCs w:val="32"/>
    </w:rPr>
  </w:style>
  <w:style w:type="character" w:customStyle="1" w:styleId="Char14">
    <w:name w:val="文档结构图 Char1"/>
    <w:basedOn w:val="a0"/>
    <w:uiPriority w:val="99"/>
    <w:semiHidden/>
    <w:qFormat/>
    <w:rPr>
      <w:rFonts w:ascii="宋体" w:eastAsia="宋体" w:hAnsi="Times New Roman" w:cs="Times New Roman" w:hint="eastAsia"/>
      <w:sz w:val="18"/>
      <w:szCs w:val="18"/>
    </w:rPr>
  </w:style>
  <w:style w:type="character" w:customStyle="1" w:styleId="Char15">
    <w:name w:val="批注框文本 Char1"/>
    <w:basedOn w:val="a0"/>
    <w:uiPriority w:val="99"/>
    <w:semiHidden/>
    <w:qFormat/>
    <w:rPr>
      <w:rFonts w:ascii="Times New Roman" w:eastAsia="宋体" w:hAnsi="Times New Roman" w:cs="Times New Roman" w:hint="default"/>
      <w:sz w:val="18"/>
      <w:szCs w:val="18"/>
    </w:rPr>
  </w:style>
  <w:style w:type="character" w:customStyle="1" w:styleId="Char16">
    <w:name w:val="脚注文本 Char1"/>
    <w:basedOn w:val="a0"/>
    <w:uiPriority w:val="99"/>
    <w:semiHidden/>
    <w:qFormat/>
    <w:rPr>
      <w:rFonts w:ascii="Times New Roman" w:eastAsia="宋体" w:hAnsi="Times New Roman" w:cs="Times New Roman" w:hint="default"/>
      <w:sz w:val="18"/>
      <w:szCs w:val="18"/>
    </w:rPr>
  </w:style>
  <w:style w:type="character" w:customStyle="1" w:styleId="txtcontent11">
    <w:name w:val="txtcontent11"/>
    <w:qFormat/>
    <w:rPr>
      <w:rFonts w:ascii="ˎ̥" w:hAnsi="ˎ̥" w:hint="default"/>
      <w:color w:val="000000"/>
      <w:sz w:val="21"/>
      <w:szCs w:val="21"/>
    </w:rPr>
  </w:style>
  <w:style w:type="paragraph" w:styleId="aff">
    <w:name w:val="List Paragraph"/>
    <w:basedOn w:val="a"/>
    <w:uiPriority w:val="34"/>
    <w:qFormat/>
    <w:pPr>
      <w:ind w:firstLineChars="200" w:firstLine="420"/>
    </w:pPr>
  </w:style>
  <w:style w:type="paragraph" w:customStyle="1" w:styleId="CharCharCharCharCharChar1CharCharChar">
    <w:name w:val="Char Char Char Char Char Char1 Char Char Char"/>
    <w:basedOn w:val="a"/>
    <w:qFormat/>
    <w:pPr>
      <w:autoSpaceDE w:val="0"/>
      <w:autoSpaceDN w:val="0"/>
      <w:adjustRightInd w:val="0"/>
      <w:jc w:val="left"/>
      <w:textAlignment w:val="baseline"/>
    </w:pPr>
    <w:rPr>
      <w:rFonts w:ascii="Times New Roman" w:eastAsia="方正仿宋简体" w:hAnsi="Times New Roman" w:cs="Times New Roman"/>
      <w:sz w:val="32"/>
      <w:szCs w:val="20"/>
    </w:rPr>
  </w:style>
  <w:style w:type="character" w:customStyle="1" w:styleId="fontstyle01">
    <w:name w:val="fontstyle01"/>
    <w:qFormat/>
    <w:rPr>
      <w:rFonts w:ascii="宋体" w:eastAsia="宋体" w:hAnsi="宋体" w:hint="eastAsia"/>
      <w:color w:val="000000"/>
      <w:sz w:val="24"/>
      <w:szCs w:val="24"/>
    </w:rPr>
  </w:style>
  <w:style w:type="paragraph" w:customStyle="1" w:styleId="23">
    <w:name w:val="！正文缩进2字符"/>
    <w:basedOn w:val="a"/>
    <w:uiPriority w:val="99"/>
    <w:qFormat/>
    <w:pPr>
      <w:widowControl/>
      <w:spacing w:line="360" w:lineRule="auto"/>
      <w:ind w:firstLineChars="200" w:firstLine="200"/>
    </w:pPr>
    <w:rPr>
      <w:rFonts w:ascii="Times New Roman" w:eastAsia="宋体" w:hAnsi="Times New Roman" w:cs="Times New Roman"/>
      <w:sz w:val="24"/>
      <w:szCs w:val="24"/>
    </w:rPr>
  </w:style>
  <w:style w:type="paragraph" w:customStyle="1" w:styleId="zhangjiep2">
    <w:name w:val="zhangjie_p2"/>
    <w:basedOn w:val="a"/>
    <w:qFormat/>
    <w:pPr>
      <w:widowControl/>
      <w:autoSpaceDE w:val="0"/>
      <w:autoSpaceDN w:val="0"/>
      <w:adjustRightInd w:val="0"/>
      <w:spacing w:before="29" w:line="288" w:lineRule="auto"/>
      <w:ind w:left="15"/>
      <w:jc w:val="left"/>
    </w:pPr>
    <w:rPr>
      <w:rFonts w:ascii="宋体" w:eastAsia="宋体" w:hAnsi="宋体" w:cs="宋体"/>
      <w:kern w:val="0"/>
      <w:sz w:val="24"/>
      <w:szCs w:val="24"/>
    </w:rPr>
  </w:style>
  <w:style w:type="paragraph" w:customStyle="1" w:styleId="biaogeleft">
    <w:name w:val="biaoge_left"/>
    <w:basedOn w:val="a"/>
    <w:qFormat/>
    <w:pPr>
      <w:widowControl/>
      <w:autoSpaceDE w:val="0"/>
      <w:autoSpaceDN w:val="0"/>
      <w:adjustRightInd w:val="0"/>
      <w:spacing w:before="29" w:line="288" w:lineRule="auto"/>
      <w:ind w:left="15"/>
      <w:jc w:val="left"/>
    </w:pPr>
    <w:rPr>
      <w:rFonts w:ascii="宋体" w:eastAsia="宋体" w:hAnsi="宋体" w:cs="宋体"/>
      <w:kern w:val="0"/>
      <w:sz w:val="24"/>
      <w:szCs w:val="24"/>
    </w:rPr>
  </w:style>
  <w:style w:type="paragraph" w:customStyle="1" w:styleId="biaogecenter">
    <w:name w:val="biaoge_center"/>
    <w:basedOn w:val="a"/>
    <w:qFormat/>
    <w:pPr>
      <w:widowControl/>
      <w:autoSpaceDE w:val="0"/>
      <w:autoSpaceDN w:val="0"/>
      <w:adjustRightInd w:val="0"/>
      <w:spacing w:before="29" w:line="288" w:lineRule="auto"/>
      <w:ind w:left="15"/>
      <w:jc w:val="center"/>
    </w:pPr>
    <w:rPr>
      <w:rFonts w:ascii="宋体" w:eastAsia="宋体" w:hAnsi="宋体" w:cs="宋体"/>
      <w:kern w:val="0"/>
      <w:sz w:val="24"/>
      <w:szCs w:val="24"/>
    </w:rPr>
  </w:style>
  <w:style w:type="paragraph" w:customStyle="1" w:styleId="biaogeright">
    <w:name w:val="biaoge_right"/>
    <w:basedOn w:val="a"/>
    <w:qFormat/>
    <w:pPr>
      <w:widowControl/>
      <w:autoSpaceDE w:val="0"/>
      <w:autoSpaceDN w:val="0"/>
      <w:adjustRightInd w:val="0"/>
      <w:spacing w:before="29" w:line="288" w:lineRule="auto"/>
      <w:ind w:left="15"/>
      <w:jc w:val="right"/>
    </w:pPr>
    <w:rPr>
      <w:rFonts w:ascii="宋体" w:eastAsia="宋体" w:hAnsi="宋体" w:cs="宋体"/>
      <w:kern w:val="0"/>
      <w:sz w:val="24"/>
      <w:szCs w:val="24"/>
    </w:rPr>
  </w:style>
  <w:style w:type="paragraph" w:customStyle="1" w:styleId="zhangjiep">
    <w:name w:val="zhangjie_p"/>
    <w:basedOn w:val="a"/>
    <w:qFormat/>
    <w:pPr>
      <w:widowControl/>
      <w:autoSpaceDE w:val="0"/>
      <w:autoSpaceDN w:val="0"/>
      <w:adjustRightInd w:val="0"/>
      <w:spacing w:before="24" w:line="288" w:lineRule="auto"/>
      <w:ind w:left="15"/>
      <w:jc w:val="left"/>
      <w:outlineLvl w:val="1"/>
    </w:pPr>
    <w:rPr>
      <w:rFonts w:ascii="宋体" w:eastAsia="宋体" w:hAnsi="宋体" w:cs="宋体"/>
      <w:kern w:val="0"/>
      <w:sz w:val="24"/>
      <w:szCs w:val="24"/>
    </w:rPr>
  </w:style>
  <w:style w:type="paragraph" w:customStyle="1" w:styleId="neirong">
    <w:name w:val="neirong"/>
    <w:basedOn w:val="a"/>
    <w:qFormat/>
    <w:pPr>
      <w:widowControl/>
      <w:autoSpaceDE w:val="0"/>
      <w:autoSpaceDN w:val="0"/>
      <w:adjustRightInd w:val="0"/>
      <w:spacing w:before="29" w:line="288" w:lineRule="auto"/>
      <w:ind w:left="15"/>
      <w:jc w:val="left"/>
    </w:pPr>
    <w:rPr>
      <w:rFonts w:ascii="宋体" w:eastAsia="宋体" w:hAnsi="宋体" w:cs="宋体"/>
      <w:kern w:val="0"/>
      <w:sz w:val="24"/>
      <w:szCs w:val="24"/>
    </w:rPr>
  </w:style>
  <w:style w:type="paragraph" w:customStyle="1" w:styleId="24">
    <w:name w:val="修订2"/>
    <w:hidden/>
    <w:uiPriority w:val="99"/>
    <w:semiHidden/>
    <w:qFormat/>
    <w:rPr>
      <w:rFonts w:asciiTheme="minorHAnsi" w:eastAsiaTheme="minorEastAsia" w:hAnsiTheme="minorHAnsi" w:cstheme="minorBidi"/>
      <w:kern w:val="2"/>
      <w:sz w:val="21"/>
      <w:szCs w:val="22"/>
    </w:rPr>
  </w:style>
  <w:style w:type="character" w:customStyle="1" w:styleId="12">
    <w:name w:val="未处理的提及1"/>
    <w:basedOn w:val="a0"/>
    <w:uiPriority w:val="99"/>
    <w:semiHidden/>
    <w:unhideWhenUsed/>
    <w:qFormat/>
    <w:rPr>
      <w:color w:val="605E5C"/>
      <w:shd w:val="clear" w:color="auto" w:fill="E1DFDD"/>
    </w:rPr>
  </w:style>
  <w:style w:type="table" w:customStyle="1" w:styleId="13">
    <w:name w:val="网格型1"/>
    <w:basedOn w:val="a1"/>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3">
    <w:name w:val="修订3"/>
    <w:hidden/>
    <w:uiPriority w:val="99"/>
    <w:unhideWhenUsed/>
    <w:qFormat/>
    <w:rPr>
      <w:rFonts w:asciiTheme="minorHAnsi" w:eastAsiaTheme="minorEastAsia" w:hAnsiTheme="minorHAnsi" w:cstheme="minorBidi"/>
      <w:kern w:val="2"/>
      <w:sz w:val="21"/>
      <w:szCs w:val="22"/>
    </w:rPr>
  </w:style>
  <w:style w:type="paragraph" w:styleId="aff0">
    <w:name w:val="Revision"/>
    <w:hidden/>
    <w:uiPriority w:val="99"/>
    <w:unhideWhenUsed/>
    <w:rsid w:val="00BD0A88"/>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jpeg"/><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9.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8.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2.jpeg"/><Relationship Id="rId27"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8053CE-B227-4C13-B708-393EC5C25CB2}">
  <ds:schemaRefs>
    <ds:schemaRef ds:uri="http://schemas.openxmlformats.org/officeDocument/2006/bibliography"/>
  </ds:schemaRefs>
</ds:datastoreItem>
</file>

<file path=customXml/itemProps2.xml><?xml version="1.0" encoding="utf-8"?>
<ds:datastoreItem xmlns:ds="http://schemas.openxmlformats.org/officeDocument/2006/customXml" ds:itemID="{920E2FFD-27F8-47CD-829D-2D7852EE9E0E}">
  <ds:schemaRefs>
    <ds:schemaRef ds:uri="http://schemas.openxmlformats.org/officeDocument/2006/bibliography"/>
  </ds:schemaRefs>
</ds:datastoreItem>
</file>

<file path=customXml/itemProps3.xml><?xml version="1.0" encoding="utf-8"?>
<ds:datastoreItem xmlns:ds="http://schemas.openxmlformats.org/officeDocument/2006/customXml" ds:itemID="{3CE99E49-B8F4-4ADF-B7E9-32186D2B3DE5}">
  <ds:schemaRefs>
    <ds:schemaRef ds:uri="http://schemas.openxmlformats.org/officeDocument/2006/bibliography"/>
  </ds:schemaRefs>
</ds:datastoreItem>
</file>

<file path=customXml/itemProps4.xml><?xml version="1.0" encoding="utf-8"?>
<ds:datastoreItem xmlns:ds="http://schemas.openxmlformats.org/officeDocument/2006/customXml" ds:itemID="{09563FC3-FE0B-475D-9F59-F9D7E45AD4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123</Pages>
  <Words>42460</Words>
  <Characters>43734</Characters>
  <Application>Microsoft Office Word</Application>
  <DocSecurity>0</DocSecurity>
  <Lines>1987</Lines>
  <Paragraphs>1915</Paragraphs>
  <ScaleCrop>false</ScaleCrop>
  <Company/>
  <LinksUpToDate>false</LinksUpToDate>
  <CharactersWithSpaces>84279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范柔淳</dc:creator>
  <cp:lastModifiedBy>徐铮</cp:lastModifiedBy>
  <cp:revision>9</cp:revision>
  <cp:lastPrinted>2026-09-03T01:27:00Z</cp:lastPrinted>
  <dcterms:created xsi:type="dcterms:W3CDTF">2023-07-31T07:25:00Z</dcterms:created>
  <dcterms:modified xsi:type="dcterms:W3CDTF">2026-10-16T01:11:00Z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KSOTemplateDocerSaveRecord">
    <vt:lpwstr>eyJoZGlkIjoiOTA5OTY2MTc3YTE3OWU0YjU0NzRlMjlkZDVhNDc4ZDciLCJ1c2VySWQiOiIzMTA5NjQ2NDkifQ==</vt:lpwstr>
  </property>
  <property fmtid="{D5CDD505-2E9C-101B-9397-08002B2CF9AE}" pid="4" name="ICV">
    <vt:lpwstr>7E14CADA8FC4433BA7F009C1C3A3B5CB_13</vt:lpwstr>
  </property>
</Properties>
</file>