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E710D">
      <w:pPr>
        <w:widowControl/>
        <w:shd w:val="clear" w:color="auto" w:fill="FFFFFF"/>
        <w:spacing w:before="345" w:after="100" w:afterAutospacing="1"/>
        <w:jc w:val="center"/>
        <w:outlineLvl w:val="1"/>
        <w:rPr>
          <w:rFonts w:ascii="Verdana" w:hAnsi="Verdana" w:eastAsia="宋体" w:cs="宋体"/>
          <w:b/>
          <w:bCs/>
          <w:kern w:val="36"/>
          <w:sz w:val="39"/>
          <w:szCs w:val="39"/>
        </w:rPr>
      </w:pPr>
      <w:r>
        <w:rPr>
          <w:rFonts w:hint="eastAsia" w:ascii="Verdana" w:hAnsi="Verdana" w:eastAsia="宋体" w:cs="宋体"/>
          <w:b/>
          <w:bCs/>
          <w:kern w:val="36"/>
          <w:sz w:val="39"/>
          <w:szCs w:val="39"/>
        </w:rPr>
        <w:t>富荣</w:t>
      </w:r>
      <w:r>
        <w:rPr>
          <w:rFonts w:ascii="Verdana" w:hAnsi="Verdana" w:eastAsia="宋体" w:cs="宋体"/>
          <w:b/>
          <w:bCs/>
          <w:kern w:val="36"/>
          <w:sz w:val="39"/>
          <w:szCs w:val="39"/>
        </w:rPr>
        <w:t>基金管理有限</w:t>
      </w:r>
      <w:r>
        <w:rPr>
          <w:rFonts w:hint="eastAsia" w:ascii="宋体" w:hAnsi="宋体" w:eastAsia="宋体" w:cs="宋体"/>
          <w:b/>
          <w:bCs/>
          <w:kern w:val="36"/>
          <w:sz w:val="39"/>
          <w:szCs w:val="39"/>
        </w:rPr>
        <w:t>公司关于富荣中证500指数量化增强型证券投资基</w:t>
      </w:r>
      <w:bookmarkStart w:id="0" w:name="_GoBack"/>
      <w:bookmarkEnd w:id="0"/>
      <w:r>
        <w:rPr>
          <w:rFonts w:hint="eastAsia" w:ascii="宋体" w:hAnsi="宋体" w:eastAsia="宋体" w:cs="宋体"/>
          <w:b/>
          <w:bCs/>
          <w:kern w:val="36"/>
          <w:sz w:val="39"/>
          <w:szCs w:val="39"/>
        </w:rPr>
        <w:t>金新增</w:t>
      </w:r>
      <w:r>
        <w:rPr>
          <w:rFonts w:hint="eastAsia" w:ascii="宋体" w:hAnsi="宋体" w:eastAsia="宋体" w:cs="宋体"/>
          <w:b/>
          <w:bCs/>
          <w:color w:val="auto"/>
          <w:kern w:val="36"/>
          <w:sz w:val="39"/>
          <w:szCs w:val="39"/>
          <w:lang w:eastAsia="zh-CN"/>
        </w:rPr>
        <w:t>金元证券股份有限公司</w:t>
      </w:r>
      <w:r>
        <w:rPr>
          <w:rFonts w:hint="eastAsia" w:ascii="宋体" w:hAnsi="宋体" w:eastAsia="宋体" w:cs="宋体"/>
          <w:b/>
          <w:bCs/>
          <w:kern w:val="36"/>
          <w:sz w:val="39"/>
          <w:szCs w:val="39"/>
        </w:rPr>
        <w:t>为销售机构并参加其认购费率优惠的公告</w:t>
      </w:r>
    </w:p>
    <w:p w14:paraId="28065EB6">
      <w:pPr>
        <w:widowControl/>
        <w:shd w:val="clear" w:color="auto" w:fill="FFFFFF"/>
        <w:spacing w:line="360" w:lineRule="auto"/>
        <w:ind w:firstLine="420"/>
        <w:jc w:val="both"/>
        <w:rPr>
          <w:rFonts w:ascii="宋体" w:hAnsi="宋体" w:eastAsia="宋体" w:cs="Calibri"/>
          <w:color w:val="000000"/>
          <w:kern w:val="0"/>
          <w:szCs w:val="21"/>
        </w:rPr>
      </w:pPr>
      <w:r>
        <w:rPr>
          <w:rFonts w:hint="eastAsia" w:ascii="宋体" w:hAnsi="宋体" w:eastAsia="宋体" w:cs="Calibri"/>
          <w:color w:val="000000"/>
          <w:kern w:val="0"/>
          <w:szCs w:val="21"/>
        </w:rPr>
        <w:t>为更好地满足广大投资者的理财需求，根据富荣基金管理有限公司（以下简称“本公司”）与</w:t>
      </w:r>
      <w:r>
        <w:rPr>
          <w:rFonts w:hint="eastAsia" w:ascii="宋体" w:hAnsi="宋体" w:eastAsia="宋体" w:cs="Calibri"/>
          <w:color w:val="000000"/>
          <w:kern w:val="0"/>
          <w:szCs w:val="21"/>
          <w:u w:val="none"/>
          <w:lang w:eastAsia="zh-CN"/>
        </w:rPr>
        <w:t>金元证券股份有限公司</w:t>
      </w:r>
      <w:r>
        <w:rPr>
          <w:rFonts w:hint="eastAsia" w:ascii="宋体" w:hAnsi="宋体" w:eastAsia="宋体" w:cs="Calibri"/>
          <w:color w:val="000000"/>
          <w:kern w:val="0"/>
          <w:szCs w:val="21"/>
        </w:rPr>
        <w:t>（以下简称“</w:t>
      </w:r>
      <w:r>
        <w:rPr>
          <w:rFonts w:hint="eastAsia" w:ascii="宋体" w:hAnsi="宋体" w:eastAsia="宋体" w:cs="Calibri"/>
          <w:bCs/>
          <w:color w:val="000000"/>
          <w:kern w:val="0"/>
          <w:szCs w:val="21"/>
          <w:lang w:eastAsia="zh-CN"/>
        </w:rPr>
        <w:t>金元证券</w:t>
      </w:r>
      <w:r>
        <w:rPr>
          <w:rFonts w:hint="eastAsia" w:ascii="宋体" w:hAnsi="宋体" w:eastAsia="宋体" w:cs="Calibri"/>
          <w:color w:val="000000"/>
          <w:kern w:val="0"/>
          <w:szCs w:val="21"/>
        </w:rPr>
        <w:t>”）签署的销售协议，自</w:t>
      </w:r>
      <w:r>
        <w:rPr>
          <w:rFonts w:ascii="宋体" w:hAnsi="宋体" w:eastAsia="宋体" w:cs="Calibri"/>
          <w:color w:val="000000"/>
          <w:kern w:val="0"/>
          <w:szCs w:val="21"/>
        </w:rPr>
        <w:t>20</w:t>
      </w:r>
      <w:r>
        <w:rPr>
          <w:rFonts w:hint="eastAsia" w:ascii="宋体" w:hAnsi="宋体" w:eastAsia="宋体" w:cs="Calibri"/>
          <w:color w:val="000000"/>
          <w:kern w:val="0"/>
          <w:szCs w:val="21"/>
        </w:rPr>
        <w:t>2</w:t>
      </w:r>
      <w:r>
        <w:rPr>
          <w:rFonts w:hint="eastAsia" w:ascii="宋体" w:hAnsi="宋体" w:eastAsia="宋体" w:cs="Calibri"/>
          <w:color w:val="000000"/>
          <w:kern w:val="0"/>
          <w:szCs w:val="21"/>
          <w:lang w:val="en-US" w:eastAsia="zh-CN"/>
        </w:rPr>
        <w:t>6</w:t>
      </w:r>
      <w:r>
        <w:rPr>
          <w:rFonts w:hint="eastAsia" w:ascii="宋体" w:hAnsi="宋体" w:eastAsia="宋体" w:cs="Calibri"/>
          <w:color w:val="000000"/>
          <w:kern w:val="0"/>
          <w:szCs w:val="21"/>
        </w:rPr>
        <w:t>年</w:t>
      </w:r>
      <w:r>
        <w:rPr>
          <w:rFonts w:hint="eastAsia" w:ascii="宋体" w:hAnsi="宋体" w:eastAsia="宋体" w:cs="Calibri"/>
          <w:color w:val="000000"/>
          <w:kern w:val="0"/>
          <w:szCs w:val="21"/>
          <w:lang w:val="en-US" w:eastAsia="zh-CN"/>
        </w:rPr>
        <w:t>10</w:t>
      </w:r>
      <w:r>
        <w:rPr>
          <w:rFonts w:hint="eastAsia" w:ascii="宋体" w:hAnsi="宋体" w:eastAsia="宋体" w:cs="Calibri"/>
          <w:color w:val="000000"/>
          <w:kern w:val="0"/>
          <w:szCs w:val="21"/>
        </w:rPr>
        <w:t>月</w:t>
      </w:r>
      <w:r>
        <w:rPr>
          <w:rFonts w:hint="eastAsia" w:ascii="宋体" w:hAnsi="宋体" w:eastAsia="宋体" w:cs="Calibri"/>
          <w:color w:val="000000"/>
          <w:kern w:val="0"/>
          <w:szCs w:val="21"/>
          <w:lang w:val="en-US" w:eastAsia="zh-CN"/>
        </w:rPr>
        <w:t>20</w:t>
      </w:r>
      <w:r>
        <w:rPr>
          <w:rFonts w:hint="eastAsia" w:ascii="宋体" w:hAnsi="宋体" w:eastAsia="宋体" w:cs="Calibri"/>
          <w:color w:val="000000"/>
          <w:kern w:val="0"/>
          <w:szCs w:val="21"/>
        </w:rPr>
        <w:t>日起本公司旗下</w:t>
      </w:r>
      <w:r>
        <w:rPr>
          <w:rFonts w:hint="eastAsia" w:ascii="宋体" w:hAnsi="宋体" w:eastAsia="宋体" w:cs="Calibri"/>
          <w:color w:val="000000"/>
          <w:kern w:val="0"/>
          <w:szCs w:val="21"/>
          <w:lang w:val="en-US" w:eastAsia="zh-CN"/>
        </w:rPr>
        <w:t>部分</w:t>
      </w:r>
      <w:r>
        <w:rPr>
          <w:rFonts w:hint="eastAsia" w:ascii="宋体" w:hAnsi="宋体" w:eastAsia="宋体" w:cs="Calibri"/>
          <w:color w:val="000000"/>
          <w:kern w:val="0"/>
          <w:szCs w:val="21"/>
        </w:rPr>
        <w:t>基金新增</w:t>
      </w:r>
      <w:r>
        <w:rPr>
          <w:rFonts w:hint="eastAsia" w:ascii="宋体" w:hAnsi="宋体" w:eastAsia="宋体" w:cs="Calibri"/>
          <w:color w:val="000000"/>
          <w:kern w:val="0"/>
          <w:szCs w:val="21"/>
          <w:lang w:eastAsia="zh-CN"/>
        </w:rPr>
        <w:t>金元证券</w:t>
      </w:r>
      <w:r>
        <w:rPr>
          <w:rFonts w:hint="eastAsia" w:ascii="宋体" w:hAnsi="宋体" w:eastAsia="宋体" w:cs="Calibri"/>
          <w:color w:val="000000"/>
          <w:kern w:val="0"/>
          <w:szCs w:val="21"/>
        </w:rPr>
        <w:t>为销售机构并参加其认购费率优惠活动，具体的业务流程、办理时间和办理方式以</w:t>
      </w:r>
      <w:r>
        <w:rPr>
          <w:rFonts w:hint="eastAsia" w:ascii="宋体" w:hAnsi="宋体" w:eastAsia="宋体" w:cs="Calibri"/>
          <w:color w:val="000000"/>
          <w:kern w:val="0"/>
          <w:szCs w:val="21"/>
          <w:lang w:eastAsia="zh-CN"/>
        </w:rPr>
        <w:t>金元证券</w:t>
      </w:r>
      <w:r>
        <w:rPr>
          <w:rFonts w:hint="eastAsia" w:ascii="宋体" w:hAnsi="宋体" w:eastAsia="宋体" w:cs="Calibri"/>
          <w:color w:val="000000"/>
          <w:kern w:val="0"/>
          <w:szCs w:val="21"/>
        </w:rPr>
        <w:t>的规定为准。现将相关事项公告如下：</w:t>
      </w:r>
    </w:p>
    <w:p w14:paraId="23634ACD">
      <w:pPr>
        <w:widowControl/>
        <w:shd w:val="clear" w:color="auto" w:fill="FFFFFF"/>
        <w:spacing w:line="360" w:lineRule="auto"/>
        <w:ind w:firstLine="420"/>
        <w:jc w:val="left"/>
        <w:rPr>
          <w:rFonts w:ascii="宋体" w:hAnsi="宋体" w:eastAsia="宋体" w:cs="Calibri"/>
          <w:color w:val="000000"/>
          <w:kern w:val="0"/>
          <w:szCs w:val="21"/>
        </w:rPr>
      </w:pPr>
      <w:r>
        <w:rPr>
          <w:rFonts w:ascii="宋体" w:hAnsi="宋体" w:eastAsia="宋体" w:cs="Calibri"/>
          <w:color w:val="000000"/>
          <w:kern w:val="0"/>
          <w:szCs w:val="21"/>
        </w:rPr>
        <w:t> </w:t>
      </w:r>
    </w:p>
    <w:p w14:paraId="2F893B86">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一、适用基金</w:t>
      </w:r>
    </w:p>
    <w:p w14:paraId="45B43C55">
      <w:pPr>
        <w:widowControl/>
        <w:shd w:val="clear" w:color="auto" w:fill="FFFFFF"/>
        <w:spacing w:line="360" w:lineRule="auto"/>
        <w:ind w:firstLine="480"/>
        <w:jc w:val="left"/>
        <w:rPr>
          <w:rFonts w:hint="eastAsia" w:ascii="宋体" w:hAnsi="宋体" w:eastAsia="宋体" w:cs="Calibri"/>
          <w:color w:val="000000"/>
          <w:kern w:val="0"/>
          <w:szCs w:val="21"/>
          <w:lang w:eastAsia="zh-CN"/>
        </w:rPr>
      </w:pPr>
      <w:r>
        <w:rPr>
          <w:rFonts w:hint="eastAsia" w:ascii="宋体" w:hAnsi="宋体" w:eastAsia="宋体" w:cs="Calibri"/>
          <w:color w:val="000000"/>
          <w:kern w:val="0"/>
          <w:szCs w:val="21"/>
        </w:rPr>
        <w:t>富荣中证500指数量化增强型证券投资基金（基金代码：A类027307、C类027308）</w:t>
      </w:r>
    </w:p>
    <w:p w14:paraId="6990E8D4">
      <w:pPr>
        <w:widowControl/>
        <w:shd w:val="clear" w:color="auto" w:fill="FFFFFF"/>
        <w:spacing w:line="360" w:lineRule="auto"/>
        <w:ind w:firstLine="480"/>
        <w:jc w:val="left"/>
        <w:rPr>
          <w:rFonts w:ascii="宋体" w:hAnsi="宋体" w:eastAsia="宋体" w:cs="Calibri"/>
          <w:color w:val="000000"/>
          <w:kern w:val="0"/>
          <w:szCs w:val="21"/>
        </w:rPr>
      </w:pPr>
    </w:p>
    <w:p w14:paraId="364877A1">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二、业务咨询</w:t>
      </w:r>
    </w:p>
    <w:p w14:paraId="274D4BC8">
      <w:pPr>
        <w:widowControl/>
        <w:shd w:val="clear" w:color="auto" w:fill="FFFFFF"/>
        <w:spacing w:line="360" w:lineRule="auto"/>
        <w:ind w:firstLine="420"/>
        <w:jc w:val="left"/>
        <w:rPr>
          <w:rFonts w:ascii="宋体" w:hAnsi="宋体" w:eastAsia="宋体" w:cs="Calibri"/>
          <w:color w:val="000000"/>
          <w:kern w:val="0"/>
          <w:szCs w:val="21"/>
        </w:rPr>
      </w:pPr>
      <w:r>
        <w:rPr>
          <w:rFonts w:ascii="宋体" w:hAnsi="宋体" w:eastAsia="宋体" w:cs="Calibri"/>
          <w:color w:val="000000"/>
          <w:kern w:val="0"/>
          <w:szCs w:val="21"/>
        </w:rPr>
        <w:t>1</w:t>
      </w:r>
      <w:r>
        <w:rPr>
          <w:rFonts w:hint="eastAsia" w:ascii="宋体" w:hAnsi="宋体" w:eastAsia="宋体" w:cs="Calibri"/>
          <w:color w:val="000000"/>
          <w:kern w:val="0"/>
          <w:szCs w:val="21"/>
        </w:rPr>
        <w:t>、富荣基金管理有限公司</w:t>
      </w:r>
    </w:p>
    <w:p w14:paraId="1D9B2EA9">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客户服务电话：</w:t>
      </w:r>
      <w:r>
        <w:rPr>
          <w:rFonts w:ascii="宋体" w:hAnsi="宋体" w:eastAsia="宋体" w:cs="Calibri"/>
          <w:color w:val="000000"/>
          <w:kern w:val="0"/>
          <w:szCs w:val="21"/>
        </w:rPr>
        <w:t>400</w:t>
      </w:r>
      <w:r>
        <w:rPr>
          <w:rFonts w:hint="eastAsia" w:ascii="宋体" w:hAnsi="宋体" w:eastAsia="宋体" w:cs="Calibri"/>
          <w:color w:val="000000"/>
          <w:kern w:val="0"/>
          <w:szCs w:val="21"/>
        </w:rPr>
        <w:t>-685-5</w:t>
      </w:r>
      <w:r>
        <w:rPr>
          <w:rFonts w:ascii="宋体" w:hAnsi="宋体" w:eastAsia="宋体" w:cs="Calibri"/>
          <w:color w:val="000000"/>
          <w:kern w:val="0"/>
          <w:szCs w:val="21"/>
        </w:rPr>
        <w:t>60</w:t>
      </w:r>
      <w:r>
        <w:rPr>
          <w:rFonts w:hint="eastAsia" w:ascii="宋体" w:hAnsi="宋体" w:eastAsia="宋体" w:cs="Calibri"/>
          <w:color w:val="000000"/>
          <w:kern w:val="0"/>
          <w:szCs w:val="21"/>
        </w:rPr>
        <w:t>0</w:t>
      </w:r>
    </w:p>
    <w:p w14:paraId="54B4573D">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网址：</w:t>
      </w:r>
      <w:r>
        <w:rPr>
          <w:rFonts w:ascii="宋体" w:hAnsi="宋体" w:eastAsia="宋体" w:cs="Calibri"/>
          <w:color w:val="000000"/>
          <w:kern w:val="0"/>
          <w:szCs w:val="21"/>
        </w:rPr>
        <w:t>www.</w:t>
      </w:r>
      <w:r>
        <w:rPr>
          <w:rFonts w:hint="eastAsia" w:ascii="宋体" w:hAnsi="宋体" w:eastAsia="宋体" w:cs="Calibri"/>
          <w:color w:val="000000"/>
          <w:kern w:val="0"/>
          <w:szCs w:val="21"/>
        </w:rPr>
        <w:t>furamc</w:t>
      </w:r>
      <w:r>
        <w:rPr>
          <w:rFonts w:ascii="宋体" w:hAnsi="宋体" w:eastAsia="宋体" w:cs="Calibri"/>
          <w:color w:val="000000"/>
          <w:kern w:val="0"/>
          <w:szCs w:val="21"/>
        </w:rPr>
        <w:t>.com</w:t>
      </w:r>
      <w:r>
        <w:rPr>
          <w:rFonts w:hint="eastAsia" w:ascii="宋体" w:hAnsi="宋体" w:eastAsia="宋体" w:cs="Calibri"/>
          <w:color w:val="000000"/>
          <w:kern w:val="0"/>
          <w:szCs w:val="21"/>
        </w:rPr>
        <w:t>.cn</w:t>
      </w:r>
    </w:p>
    <w:p w14:paraId="5FFD94D6">
      <w:pPr>
        <w:widowControl/>
        <w:shd w:val="clear" w:color="auto" w:fill="FFFFFF"/>
        <w:spacing w:line="360" w:lineRule="auto"/>
        <w:ind w:firstLine="420"/>
        <w:jc w:val="left"/>
        <w:rPr>
          <w:rFonts w:ascii="宋体" w:hAnsi="宋体" w:eastAsia="宋体" w:cs="Calibri"/>
          <w:color w:val="000000"/>
          <w:kern w:val="0"/>
          <w:szCs w:val="21"/>
        </w:rPr>
      </w:pPr>
      <w:r>
        <w:rPr>
          <w:rFonts w:ascii="宋体" w:hAnsi="宋体" w:eastAsia="宋体" w:cs="Calibri"/>
          <w:kern w:val="0"/>
          <w:szCs w:val="21"/>
        </w:rPr>
        <w:t>2</w:t>
      </w:r>
      <w:r>
        <w:rPr>
          <w:rFonts w:hint="eastAsia" w:ascii="宋体" w:hAnsi="宋体" w:eastAsia="宋体" w:cs="Calibri"/>
          <w:kern w:val="0"/>
          <w:szCs w:val="21"/>
        </w:rPr>
        <w:t>、</w:t>
      </w:r>
      <w:r>
        <w:rPr>
          <w:rFonts w:hint="eastAsia" w:ascii="宋体" w:hAnsi="宋体" w:eastAsia="宋体" w:cs="Calibri"/>
          <w:color w:val="000000"/>
          <w:kern w:val="0"/>
          <w:szCs w:val="21"/>
          <w:lang w:eastAsia="zh-CN"/>
        </w:rPr>
        <w:t>金元证券股份有限公司</w:t>
      </w:r>
    </w:p>
    <w:p w14:paraId="0D8A491E">
      <w:pPr>
        <w:widowControl/>
        <w:shd w:val="clear" w:color="auto" w:fill="FFFFFF"/>
        <w:spacing w:line="360" w:lineRule="auto"/>
        <w:ind w:firstLine="420"/>
        <w:jc w:val="left"/>
        <w:rPr>
          <w:rFonts w:hint="default" w:ascii="宋体" w:hAnsi="宋体" w:eastAsia="宋体" w:cs="Calibri"/>
          <w:color w:val="000000"/>
          <w:kern w:val="0"/>
          <w:szCs w:val="21"/>
          <w:lang w:val="en-US" w:eastAsia="zh-CN"/>
        </w:rPr>
      </w:pPr>
      <w:r>
        <w:rPr>
          <w:rFonts w:hint="eastAsia" w:ascii="宋体" w:hAnsi="宋体" w:eastAsia="宋体" w:cs="Calibri"/>
          <w:color w:val="000000"/>
          <w:kern w:val="0"/>
          <w:szCs w:val="21"/>
        </w:rPr>
        <w:t>客户服务电话：</w:t>
      </w:r>
      <w:r>
        <w:rPr>
          <w:rFonts w:hint="eastAsia" w:ascii="宋体" w:hAnsi="宋体" w:eastAsia="宋体" w:cs="Calibri"/>
          <w:color w:val="000000"/>
          <w:kern w:val="0"/>
          <w:szCs w:val="21"/>
          <w:lang w:val="en-US" w:eastAsia="zh-CN"/>
        </w:rPr>
        <w:t>95372</w:t>
      </w:r>
    </w:p>
    <w:p w14:paraId="14F51B3E">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网址：www.jyzq.cn</w:t>
      </w:r>
    </w:p>
    <w:p w14:paraId="64E4D6BA">
      <w:pPr>
        <w:widowControl/>
        <w:shd w:val="clear" w:color="auto" w:fill="FFFFFF"/>
        <w:spacing w:line="360" w:lineRule="auto"/>
        <w:ind w:firstLine="420"/>
        <w:jc w:val="left"/>
        <w:rPr>
          <w:rFonts w:ascii="宋体" w:hAnsi="宋体" w:eastAsia="宋体" w:cs="Calibri"/>
          <w:color w:val="000000"/>
          <w:kern w:val="0"/>
          <w:szCs w:val="21"/>
        </w:rPr>
      </w:pPr>
    </w:p>
    <w:p w14:paraId="0488FE5D">
      <w:pPr>
        <w:widowControl/>
        <w:spacing w:line="360" w:lineRule="auto"/>
        <w:ind w:firstLine="420" w:firstLineChars="200"/>
        <w:jc w:val="left"/>
        <w:rPr>
          <w:rFonts w:hint="eastAsia" w:ascii="宋体" w:hAnsi="宋体" w:eastAsia="宋体" w:cs="Calibri"/>
          <w:color w:val="000000"/>
          <w:kern w:val="0"/>
          <w:szCs w:val="21"/>
        </w:rPr>
      </w:pPr>
      <w:r>
        <w:rPr>
          <w:rFonts w:hint="eastAsia" w:ascii="宋体" w:hAnsi="宋体" w:eastAsia="宋体" w:cs="Calibri"/>
          <w:color w:val="000000"/>
          <w:kern w:val="0"/>
          <w:szCs w:val="21"/>
        </w:rPr>
        <w:t>投资者可通过上述代销机构办理本基金的认购业务。投资者通过上述代销机构办理本基金的认购业务时，在不违反法律法规和基金合同的相关要求下，认购费率不设折扣限制，若折扣前的原费率为固定费用，则按原费率执行，不再享有费率折扣，具体以上述代销机构规定为准。</w:t>
      </w:r>
    </w:p>
    <w:p w14:paraId="466BE6DA">
      <w:pPr>
        <w:widowControl/>
        <w:spacing w:line="360" w:lineRule="auto"/>
        <w:ind w:firstLine="420" w:firstLineChars="200"/>
        <w:jc w:val="left"/>
        <w:rPr>
          <w:rFonts w:hint="eastAsia" w:ascii="宋体" w:hAnsi="宋体" w:eastAsia="宋体" w:cs="Calibri"/>
          <w:color w:val="000000"/>
          <w:kern w:val="0"/>
          <w:szCs w:val="21"/>
        </w:rPr>
      </w:pPr>
    </w:p>
    <w:p w14:paraId="11646B4E">
      <w:pPr>
        <w:spacing w:line="360" w:lineRule="auto"/>
        <w:ind w:firstLine="420" w:firstLineChars="200"/>
        <w:jc w:val="left"/>
      </w:pPr>
      <w:r>
        <w:rPr>
          <w:rFonts w:hint="eastAsia" w:ascii="宋体" w:hAnsi="宋体" w:eastAsia="宋体" w:cs="Calibri"/>
          <w:color w:val="000000"/>
          <w:kern w:val="0"/>
          <w:szCs w:val="21"/>
        </w:rPr>
        <w:t>三、</w:t>
      </w:r>
      <w:r>
        <w:rPr>
          <w:rFonts w:hint="eastAsia"/>
        </w:rPr>
        <w:t>重要提示</w:t>
      </w:r>
    </w:p>
    <w:p w14:paraId="5DB86BDB">
      <w:pPr>
        <w:spacing w:line="360" w:lineRule="auto"/>
        <w:ind w:firstLine="420" w:firstLineChars="200"/>
        <w:jc w:val="left"/>
        <w:rPr>
          <w:rFonts w:hint="eastAsia"/>
        </w:rPr>
      </w:pPr>
      <w:r>
        <w:rPr>
          <w:rFonts w:hint="eastAsia"/>
        </w:rPr>
        <w:t>1、上述费率优惠活动的具体规则以代销机构的规定为准，费率优惠方案若有变动，以销售机构的相关公告为准。</w:t>
      </w:r>
    </w:p>
    <w:p w14:paraId="31539AC9">
      <w:pPr>
        <w:spacing w:line="360" w:lineRule="auto"/>
        <w:ind w:firstLine="420" w:firstLineChars="200"/>
        <w:jc w:val="left"/>
        <w:rPr>
          <w:rFonts w:hint="eastAsia"/>
        </w:rPr>
      </w:pPr>
      <w:r>
        <w:rPr>
          <w:rFonts w:hint="eastAsia"/>
        </w:rPr>
        <w:t>2、销售机构的费率优惠活动的最终解释权归代销机构所有。</w:t>
      </w:r>
    </w:p>
    <w:p w14:paraId="7958720F">
      <w:pPr>
        <w:spacing w:line="360" w:lineRule="auto"/>
        <w:ind w:firstLine="420" w:firstLineChars="200"/>
        <w:jc w:val="left"/>
        <w:rPr>
          <w:rFonts w:hint="eastAsia"/>
        </w:rPr>
      </w:pPr>
      <w:r>
        <w:rPr>
          <w:rFonts w:hint="eastAsia"/>
        </w:rPr>
        <w:t>3、本优惠活动仅适用于处于正常认购期的基金产品的前端收费模式的认购手续费，不包括基金的后端收费模式的认购手续费。</w:t>
      </w:r>
    </w:p>
    <w:p w14:paraId="4457F1D4">
      <w:pPr>
        <w:spacing w:line="360" w:lineRule="auto"/>
        <w:ind w:firstLine="420" w:firstLineChars="200"/>
        <w:jc w:val="left"/>
      </w:pPr>
      <w:r>
        <w:rPr>
          <w:rFonts w:hint="eastAsia"/>
        </w:rPr>
        <w:t>4、如基金发行时间调整，则费率优惠期间将随之调整，届时本公司不再另行公告，敬请投资者知悉。</w:t>
      </w:r>
    </w:p>
    <w:p w14:paraId="00025FCE">
      <w:pPr>
        <w:widowControl/>
        <w:shd w:val="clear" w:color="auto" w:fill="FFFFFF"/>
        <w:spacing w:line="360" w:lineRule="auto"/>
        <w:jc w:val="left"/>
        <w:rPr>
          <w:rFonts w:ascii="宋体" w:hAnsi="宋体" w:eastAsia="宋体" w:cs="Calibri"/>
          <w:color w:val="000000"/>
          <w:kern w:val="0"/>
          <w:szCs w:val="21"/>
        </w:rPr>
      </w:pPr>
    </w:p>
    <w:p w14:paraId="54681953">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风险提示：</w:t>
      </w:r>
    </w:p>
    <w:p w14:paraId="1D625129">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基金管理人承诺以诚实信用、勤勉尽责的原则管理和运用基金资产，但不保证基金一定盈利，也不保证最低收益。销售机构根据法规要求对投资者类别、风险承受能力和基金的风险等级进行划分，并提出适当性匹配意见。投资者在投资基金前应认真阅读《基金合同》、《招募说明书》、《基金产品资料概要》等基金法律文件，全面认识基金产品的风险收益特征，在了解产品情况及听取销售机构适当性意见的基础上，根据自身的风险承受能力、投资期限和投资目标，对基金投资作出独立决策，选择合适的基金产品。敬请投资者留意投资风险。</w:t>
      </w:r>
    </w:p>
    <w:p w14:paraId="20C48D60">
      <w:pPr>
        <w:widowControl/>
        <w:shd w:val="clear" w:color="auto" w:fill="FFFFFF"/>
        <w:spacing w:line="360" w:lineRule="auto"/>
        <w:ind w:firstLine="420"/>
        <w:jc w:val="left"/>
        <w:rPr>
          <w:rFonts w:ascii="宋体" w:hAnsi="宋体" w:eastAsia="宋体" w:cs="Calibri"/>
          <w:color w:val="000000"/>
          <w:kern w:val="0"/>
          <w:szCs w:val="21"/>
        </w:rPr>
      </w:pPr>
      <w:r>
        <w:rPr>
          <w:rFonts w:hint="eastAsia" w:ascii="宋体" w:hAnsi="宋体" w:eastAsia="宋体" w:cs="Calibri"/>
          <w:color w:val="000000"/>
          <w:kern w:val="0"/>
          <w:szCs w:val="21"/>
        </w:rPr>
        <w:t>特此公告。</w:t>
      </w:r>
    </w:p>
    <w:p w14:paraId="165AAF2A">
      <w:pPr>
        <w:widowControl/>
        <w:shd w:val="clear" w:color="auto" w:fill="FFFFFF"/>
        <w:spacing w:line="360" w:lineRule="auto"/>
        <w:jc w:val="left"/>
        <w:rPr>
          <w:rFonts w:ascii="宋体" w:hAnsi="宋体" w:eastAsia="宋体" w:cs="Calibri"/>
          <w:color w:val="000000"/>
          <w:kern w:val="0"/>
          <w:szCs w:val="21"/>
        </w:rPr>
      </w:pPr>
      <w:r>
        <w:rPr>
          <w:rFonts w:ascii="宋体" w:hAnsi="宋体" w:eastAsia="宋体" w:cs="Calibri"/>
          <w:color w:val="000000"/>
          <w:kern w:val="0"/>
          <w:szCs w:val="21"/>
        </w:rPr>
        <w:t> </w:t>
      </w:r>
    </w:p>
    <w:p w14:paraId="7A3C0264">
      <w:pPr>
        <w:widowControl/>
        <w:shd w:val="clear" w:color="auto" w:fill="FFFFFF"/>
        <w:spacing w:line="360" w:lineRule="auto"/>
        <w:ind w:firstLine="420"/>
        <w:jc w:val="right"/>
        <w:rPr>
          <w:rFonts w:ascii="宋体" w:hAnsi="宋体" w:eastAsia="宋体" w:cs="Calibri"/>
          <w:color w:val="000000"/>
          <w:kern w:val="0"/>
          <w:szCs w:val="21"/>
        </w:rPr>
      </w:pPr>
      <w:r>
        <w:rPr>
          <w:rFonts w:hint="eastAsia" w:ascii="宋体" w:hAnsi="宋体" w:eastAsia="宋体" w:cs="Calibri"/>
          <w:color w:val="000000"/>
          <w:kern w:val="0"/>
          <w:szCs w:val="21"/>
        </w:rPr>
        <w:t>富荣基金管理有限公司</w:t>
      </w:r>
    </w:p>
    <w:p w14:paraId="6F5AE1B8">
      <w:pPr>
        <w:widowControl/>
        <w:shd w:val="clear" w:color="auto" w:fill="FFFFFF"/>
        <w:wordWrap w:val="0"/>
        <w:spacing w:line="360" w:lineRule="auto"/>
        <w:jc w:val="right"/>
        <w:rPr>
          <w:rFonts w:ascii="宋体" w:hAnsi="宋体" w:eastAsia="宋体" w:cs="Calibri"/>
          <w:color w:val="000000"/>
          <w:kern w:val="0"/>
          <w:szCs w:val="21"/>
        </w:rPr>
      </w:pPr>
      <w:r>
        <w:rPr>
          <w:rFonts w:hint="eastAsia" w:ascii="宋体" w:hAnsi="宋体" w:eastAsia="宋体" w:cs="Calibri"/>
          <w:color w:val="000000"/>
          <w:kern w:val="0"/>
          <w:szCs w:val="21"/>
        </w:rPr>
        <w:t>二○二</w:t>
      </w:r>
      <w:r>
        <w:rPr>
          <w:rFonts w:hint="eastAsia" w:ascii="宋体" w:hAnsi="宋体" w:eastAsia="宋体" w:cs="Calibri"/>
          <w:color w:val="000000"/>
          <w:kern w:val="0"/>
          <w:szCs w:val="21"/>
          <w:lang w:val="en-US" w:eastAsia="zh-CN"/>
        </w:rPr>
        <w:t>六</w:t>
      </w:r>
      <w:r>
        <w:rPr>
          <w:rFonts w:hint="eastAsia" w:ascii="宋体" w:hAnsi="宋体" w:eastAsia="宋体" w:cs="Calibri"/>
          <w:color w:val="000000"/>
          <w:kern w:val="0"/>
          <w:szCs w:val="21"/>
        </w:rPr>
        <w:t>年</w:t>
      </w:r>
      <w:r>
        <w:rPr>
          <w:rFonts w:hint="eastAsia" w:ascii="宋体" w:hAnsi="宋体" w:eastAsia="宋体" w:cs="Calibri"/>
          <w:color w:val="000000"/>
          <w:kern w:val="0"/>
          <w:szCs w:val="21"/>
          <w:lang w:val="en-US" w:eastAsia="zh-CN"/>
        </w:rPr>
        <w:t>十</w:t>
      </w:r>
      <w:r>
        <w:rPr>
          <w:rFonts w:hint="eastAsia" w:ascii="宋体" w:hAnsi="宋体" w:eastAsia="宋体" w:cs="Calibri"/>
          <w:color w:val="000000"/>
          <w:kern w:val="0"/>
          <w:szCs w:val="21"/>
        </w:rPr>
        <w:t>月</w:t>
      </w:r>
      <w:r>
        <w:rPr>
          <w:rFonts w:hint="eastAsia" w:ascii="宋体" w:hAnsi="宋体" w:eastAsia="宋体" w:cs="Calibri"/>
          <w:color w:val="000000"/>
          <w:kern w:val="0"/>
          <w:szCs w:val="21"/>
          <w:lang w:val="en-US" w:eastAsia="zh-CN"/>
        </w:rPr>
        <w:t>二十</w:t>
      </w:r>
      <w:r>
        <w:rPr>
          <w:rFonts w:hint="eastAsia" w:ascii="宋体" w:hAnsi="宋体" w:eastAsia="宋体" w:cs="Calibri"/>
          <w:color w:val="000000"/>
          <w:kern w:val="0"/>
          <w:szCs w:val="21"/>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1ZDdmZTkxYTc4Njg1OTczNGFlZDIwMDVlZGYwMjEifQ=="/>
  </w:docVars>
  <w:rsids>
    <w:rsidRoot w:val="005F0FF9"/>
    <w:rsid w:val="000063A6"/>
    <w:rsid w:val="00010E32"/>
    <w:rsid w:val="00012B45"/>
    <w:rsid w:val="00036567"/>
    <w:rsid w:val="00041473"/>
    <w:rsid w:val="00047C93"/>
    <w:rsid w:val="0005325C"/>
    <w:rsid w:val="00053447"/>
    <w:rsid w:val="00066E81"/>
    <w:rsid w:val="000845D6"/>
    <w:rsid w:val="000866CD"/>
    <w:rsid w:val="000A19F7"/>
    <w:rsid w:val="000A37C3"/>
    <w:rsid w:val="000B7D03"/>
    <w:rsid w:val="000C2998"/>
    <w:rsid w:val="000C4780"/>
    <w:rsid w:val="000D3390"/>
    <w:rsid w:val="000D435D"/>
    <w:rsid w:val="000E0433"/>
    <w:rsid w:val="000F38A5"/>
    <w:rsid w:val="000F45A7"/>
    <w:rsid w:val="000F55D3"/>
    <w:rsid w:val="001012B4"/>
    <w:rsid w:val="00105708"/>
    <w:rsid w:val="001128C8"/>
    <w:rsid w:val="00122CE1"/>
    <w:rsid w:val="00134BDD"/>
    <w:rsid w:val="00135159"/>
    <w:rsid w:val="00137189"/>
    <w:rsid w:val="00142495"/>
    <w:rsid w:val="00144909"/>
    <w:rsid w:val="00147917"/>
    <w:rsid w:val="001500A9"/>
    <w:rsid w:val="00153B98"/>
    <w:rsid w:val="00153D29"/>
    <w:rsid w:val="0015492E"/>
    <w:rsid w:val="00161C3C"/>
    <w:rsid w:val="0016440B"/>
    <w:rsid w:val="00164F8D"/>
    <w:rsid w:val="0017005E"/>
    <w:rsid w:val="00185799"/>
    <w:rsid w:val="00186642"/>
    <w:rsid w:val="00192984"/>
    <w:rsid w:val="001A08E9"/>
    <w:rsid w:val="001D5D31"/>
    <w:rsid w:val="001E2726"/>
    <w:rsid w:val="001F5024"/>
    <w:rsid w:val="001F7AF7"/>
    <w:rsid w:val="0020452E"/>
    <w:rsid w:val="00211961"/>
    <w:rsid w:val="00222108"/>
    <w:rsid w:val="00231B53"/>
    <w:rsid w:val="00273DA4"/>
    <w:rsid w:val="0029219E"/>
    <w:rsid w:val="002A313C"/>
    <w:rsid w:val="002B12E2"/>
    <w:rsid w:val="002C0B82"/>
    <w:rsid w:val="002D7C8B"/>
    <w:rsid w:val="002E39DF"/>
    <w:rsid w:val="002E61A1"/>
    <w:rsid w:val="002E7AE9"/>
    <w:rsid w:val="00307FB6"/>
    <w:rsid w:val="0031076A"/>
    <w:rsid w:val="003157F5"/>
    <w:rsid w:val="003158A0"/>
    <w:rsid w:val="00322FC0"/>
    <w:rsid w:val="0032369D"/>
    <w:rsid w:val="003245A6"/>
    <w:rsid w:val="00335551"/>
    <w:rsid w:val="003466AF"/>
    <w:rsid w:val="00360A56"/>
    <w:rsid w:val="003648F6"/>
    <w:rsid w:val="00372C7B"/>
    <w:rsid w:val="00382A5D"/>
    <w:rsid w:val="00387EA3"/>
    <w:rsid w:val="0039784A"/>
    <w:rsid w:val="003A65B9"/>
    <w:rsid w:val="003C4AD5"/>
    <w:rsid w:val="0040304A"/>
    <w:rsid w:val="004063E7"/>
    <w:rsid w:val="00407342"/>
    <w:rsid w:val="0041332B"/>
    <w:rsid w:val="004228D4"/>
    <w:rsid w:val="00431B29"/>
    <w:rsid w:val="00432895"/>
    <w:rsid w:val="00444DE4"/>
    <w:rsid w:val="00452D24"/>
    <w:rsid w:val="00461C90"/>
    <w:rsid w:val="00493B0F"/>
    <w:rsid w:val="00497AE9"/>
    <w:rsid w:val="004A0701"/>
    <w:rsid w:val="004A78C5"/>
    <w:rsid w:val="004B521F"/>
    <w:rsid w:val="004C1531"/>
    <w:rsid w:val="004E0BDC"/>
    <w:rsid w:val="004E6304"/>
    <w:rsid w:val="00506369"/>
    <w:rsid w:val="00510AEC"/>
    <w:rsid w:val="00517EC1"/>
    <w:rsid w:val="005215A5"/>
    <w:rsid w:val="005232AA"/>
    <w:rsid w:val="00524EFE"/>
    <w:rsid w:val="00531823"/>
    <w:rsid w:val="00531F61"/>
    <w:rsid w:val="00540B51"/>
    <w:rsid w:val="00540EA3"/>
    <w:rsid w:val="00547ADC"/>
    <w:rsid w:val="005516CE"/>
    <w:rsid w:val="00554BFE"/>
    <w:rsid w:val="00564E78"/>
    <w:rsid w:val="00576669"/>
    <w:rsid w:val="00584F5E"/>
    <w:rsid w:val="00586C7A"/>
    <w:rsid w:val="005873F3"/>
    <w:rsid w:val="00593630"/>
    <w:rsid w:val="00594061"/>
    <w:rsid w:val="00595635"/>
    <w:rsid w:val="005A2A8F"/>
    <w:rsid w:val="005A730C"/>
    <w:rsid w:val="005B1D53"/>
    <w:rsid w:val="005B4903"/>
    <w:rsid w:val="005B5906"/>
    <w:rsid w:val="005B5CED"/>
    <w:rsid w:val="005E26B5"/>
    <w:rsid w:val="005F0FF9"/>
    <w:rsid w:val="00624915"/>
    <w:rsid w:val="00626DF6"/>
    <w:rsid w:val="00634A21"/>
    <w:rsid w:val="0065319A"/>
    <w:rsid w:val="006568AE"/>
    <w:rsid w:val="00662005"/>
    <w:rsid w:val="006670A6"/>
    <w:rsid w:val="006715C2"/>
    <w:rsid w:val="006743CD"/>
    <w:rsid w:val="00686AEB"/>
    <w:rsid w:val="00692B3F"/>
    <w:rsid w:val="00694708"/>
    <w:rsid w:val="006A0E1E"/>
    <w:rsid w:val="006A5027"/>
    <w:rsid w:val="006A79EC"/>
    <w:rsid w:val="006C3287"/>
    <w:rsid w:val="006D31A7"/>
    <w:rsid w:val="006D69E0"/>
    <w:rsid w:val="006F4B7D"/>
    <w:rsid w:val="00705727"/>
    <w:rsid w:val="00733EFE"/>
    <w:rsid w:val="00750AA8"/>
    <w:rsid w:val="00752953"/>
    <w:rsid w:val="00757E7C"/>
    <w:rsid w:val="00762507"/>
    <w:rsid w:val="00776B22"/>
    <w:rsid w:val="00782179"/>
    <w:rsid w:val="007872D0"/>
    <w:rsid w:val="00796FD5"/>
    <w:rsid w:val="007A2D93"/>
    <w:rsid w:val="007C6EB5"/>
    <w:rsid w:val="007E429E"/>
    <w:rsid w:val="007E6C57"/>
    <w:rsid w:val="007F0B92"/>
    <w:rsid w:val="007F1B88"/>
    <w:rsid w:val="00814468"/>
    <w:rsid w:val="00815249"/>
    <w:rsid w:val="00817554"/>
    <w:rsid w:val="008303D1"/>
    <w:rsid w:val="00835926"/>
    <w:rsid w:val="00845099"/>
    <w:rsid w:val="00846E74"/>
    <w:rsid w:val="00847904"/>
    <w:rsid w:val="00850F93"/>
    <w:rsid w:val="00862A8E"/>
    <w:rsid w:val="00864504"/>
    <w:rsid w:val="008729D0"/>
    <w:rsid w:val="00881E6A"/>
    <w:rsid w:val="0088220E"/>
    <w:rsid w:val="0088331C"/>
    <w:rsid w:val="00885459"/>
    <w:rsid w:val="00887103"/>
    <w:rsid w:val="00891162"/>
    <w:rsid w:val="00897622"/>
    <w:rsid w:val="008B5617"/>
    <w:rsid w:val="008B7D62"/>
    <w:rsid w:val="008C38A2"/>
    <w:rsid w:val="008E65BB"/>
    <w:rsid w:val="008F297F"/>
    <w:rsid w:val="008F4AC6"/>
    <w:rsid w:val="00904391"/>
    <w:rsid w:val="00913894"/>
    <w:rsid w:val="009167E2"/>
    <w:rsid w:val="00917F6C"/>
    <w:rsid w:val="00926B3F"/>
    <w:rsid w:val="0092733B"/>
    <w:rsid w:val="00933EAB"/>
    <w:rsid w:val="00941D1E"/>
    <w:rsid w:val="00951C6F"/>
    <w:rsid w:val="00957396"/>
    <w:rsid w:val="00960151"/>
    <w:rsid w:val="00966751"/>
    <w:rsid w:val="009678FB"/>
    <w:rsid w:val="009816CB"/>
    <w:rsid w:val="00982575"/>
    <w:rsid w:val="00984BC3"/>
    <w:rsid w:val="009927DC"/>
    <w:rsid w:val="0099332B"/>
    <w:rsid w:val="009C27D6"/>
    <w:rsid w:val="009C70A8"/>
    <w:rsid w:val="009E35B6"/>
    <w:rsid w:val="009E5DC3"/>
    <w:rsid w:val="00A066C7"/>
    <w:rsid w:val="00A145CB"/>
    <w:rsid w:val="00A1468E"/>
    <w:rsid w:val="00A16F6F"/>
    <w:rsid w:val="00A2059D"/>
    <w:rsid w:val="00A30588"/>
    <w:rsid w:val="00A4417E"/>
    <w:rsid w:val="00A4467A"/>
    <w:rsid w:val="00A47EEB"/>
    <w:rsid w:val="00A534AC"/>
    <w:rsid w:val="00A53889"/>
    <w:rsid w:val="00A60441"/>
    <w:rsid w:val="00A608FE"/>
    <w:rsid w:val="00A76ED2"/>
    <w:rsid w:val="00A81542"/>
    <w:rsid w:val="00AA4F88"/>
    <w:rsid w:val="00AA7BAC"/>
    <w:rsid w:val="00AB67C6"/>
    <w:rsid w:val="00AC0F9B"/>
    <w:rsid w:val="00AC2611"/>
    <w:rsid w:val="00AD37E8"/>
    <w:rsid w:val="00AF5292"/>
    <w:rsid w:val="00B013AF"/>
    <w:rsid w:val="00B06163"/>
    <w:rsid w:val="00B103C3"/>
    <w:rsid w:val="00B40BB8"/>
    <w:rsid w:val="00B4754E"/>
    <w:rsid w:val="00B47DFC"/>
    <w:rsid w:val="00B54E29"/>
    <w:rsid w:val="00B664EE"/>
    <w:rsid w:val="00B80FCC"/>
    <w:rsid w:val="00B87F62"/>
    <w:rsid w:val="00B95086"/>
    <w:rsid w:val="00BA101F"/>
    <w:rsid w:val="00BA2C2B"/>
    <w:rsid w:val="00BB24BB"/>
    <w:rsid w:val="00BB2B6F"/>
    <w:rsid w:val="00BC14D6"/>
    <w:rsid w:val="00BC3C12"/>
    <w:rsid w:val="00BC3D8A"/>
    <w:rsid w:val="00BD2690"/>
    <w:rsid w:val="00BF0517"/>
    <w:rsid w:val="00BF7F4A"/>
    <w:rsid w:val="00C1570B"/>
    <w:rsid w:val="00C204F1"/>
    <w:rsid w:val="00C24E72"/>
    <w:rsid w:val="00C4239D"/>
    <w:rsid w:val="00C62665"/>
    <w:rsid w:val="00C657B9"/>
    <w:rsid w:val="00C66D14"/>
    <w:rsid w:val="00C8577C"/>
    <w:rsid w:val="00C915F4"/>
    <w:rsid w:val="00C92118"/>
    <w:rsid w:val="00C941E5"/>
    <w:rsid w:val="00C963BF"/>
    <w:rsid w:val="00C97B54"/>
    <w:rsid w:val="00CA4CFA"/>
    <w:rsid w:val="00CA5728"/>
    <w:rsid w:val="00CA6C4F"/>
    <w:rsid w:val="00CB23F9"/>
    <w:rsid w:val="00CB4B42"/>
    <w:rsid w:val="00CC2255"/>
    <w:rsid w:val="00CC30EF"/>
    <w:rsid w:val="00CE48D6"/>
    <w:rsid w:val="00CF041F"/>
    <w:rsid w:val="00CF34E7"/>
    <w:rsid w:val="00D1031E"/>
    <w:rsid w:val="00D129AB"/>
    <w:rsid w:val="00D14422"/>
    <w:rsid w:val="00D15EDA"/>
    <w:rsid w:val="00D203DF"/>
    <w:rsid w:val="00D26CF2"/>
    <w:rsid w:val="00D275D5"/>
    <w:rsid w:val="00D33650"/>
    <w:rsid w:val="00D462A3"/>
    <w:rsid w:val="00D51CBF"/>
    <w:rsid w:val="00D61D1C"/>
    <w:rsid w:val="00D63A38"/>
    <w:rsid w:val="00D70414"/>
    <w:rsid w:val="00D70BF7"/>
    <w:rsid w:val="00D77088"/>
    <w:rsid w:val="00D772A5"/>
    <w:rsid w:val="00D80774"/>
    <w:rsid w:val="00D842FC"/>
    <w:rsid w:val="00D87D0D"/>
    <w:rsid w:val="00D969DF"/>
    <w:rsid w:val="00DA00DE"/>
    <w:rsid w:val="00DC1837"/>
    <w:rsid w:val="00DC2D68"/>
    <w:rsid w:val="00DC51DA"/>
    <w:rsid w:val="00DE16FC"/>
    <w:rsid w:val="00DE5A26"/>
    <w:rsid w:val="00DE5CC1"/>
    <w:rsid w:val="00DE77B3"/>
    <w:rsid w:val="00DF5D70"/>
    <w:rsid w:val="00E022BF"/>
    <w:rsid w:val="00E12E40"/>
    <w:rsid w:val="00E17BC7"/>
    <w:rsid w:val="00E2674D"/>
    <w:rsid w:val="00E327EA"/>
    <w:rsid w:val="00E35CB7"/>
    <w:rsid w:val="00E4200A"/>
    <w:rsid w:val="00E42FE9"/>
    <w:rsid w:val="00E44BD4"/>
    <w:rsid w:val="00E472B0"/>
    <w:rsid w:val="00E70217"/>
    <w:rsid w:val="00E77DE5"/>
    <w:rsid w:val="00E83C85"/>
    <w:rsid w:val="00E95FDE"/>
    <w:rsid w:val="00EA291B"/>
    <w:rsid w:val="00EB60AC"/>
    <w:rsid w:val="00ED38AD"/>
    <w:rsid w:val="00EE6842"/>
    <w:rsid w:val="00EF7D90"/>
    <w:rsid w:val="00F00FA0"/>
    <w:rsid w:val="00F07918"/>
    <w:rsid w:val="00F27967"/>
    <w:rsid w:val="00F32A0E"/>
    <w:rsid w:val="00F36946"/>
    <w:rsid w:val="00F5032A"/>
    <w:rsid w:val="00F534D8"/>
    <w:rsid w:val="00F537EC"/>
    <w:rsid w:val="00F76845"/>
    <w:rsid w:val="00F86927"/>
    <w:rsid w:val="00F87967"/>
    <w:rsid w:val="00F91631"/>
    <w:rsid w:val="00F95946"/>
    <w:rsid w:val="00FA340E"/>
    <w:rsid w:val="00FA7DDC"/>
    <w:rsid w:val="00FB3174"/>
    <w:rsid w:val="00FB64C6"/>
    <w:rsid w:val="00FC13F1"/>
    <w:rsid w:val="00FD0E25"/>
    <w:rsid w:val="00FD2B2C"/>
    <w:rsid w:val="00FD3084"/>
    <w:rsid w:val="00FE36B1"/>
    <w:rsid w:val="00FE5065"/>
    <w:rsid w:val="00FF19A2"/>
    <w:rsid w:val="00FF23DB"/>
    <w:rsid w:val="00FF5914"/>
    <w:rsid w:val="01EE241B"/>
    <w:rsid w:val="038832EC"/>
    <w:rsid w:val="0D701199"/>
    <w:rsid w:val="132B7C01"/>
    <w:rsid w:val="15B441D8"/>
    <w:rsid w:val="19267614"/>
    <w:rsid w:val="19BF4DB7"/>
    <w:rsid w:val="1F1C3BAF"/>
    <w:rsid w:val="21752A45"/>
    <w:rsid w:val="225E5933"/>
    <w:rsid w:val="25BC272B"/>
    <w:rsid w:val="26A0451A"/>
    <w:rsid w:val="26DB31B1"/>
    <w:rsid w:val="273F60A6"/>
    <w:rsid w:val="28882B05"/>
    <w:rsid w:val="29C62208"/>
    <w:rsid w:val="2B065713"/>
    <w:rsid w:val="2B702C22"/>
    <w:rsid w:val="2C9220DA"/>
    <w:rsid w:val="2E150147"/>
    <w:rsid w:val="33CB6C33"/>
    <w:rsid w:val="33F61188"/>
    <w:rsid w:val="350D52D0"/>
    <w:rsid w:val="358643DE"/>
    <w:rsid w:val="3B55612D"/>
    <w:rsid w:val="3C756255"/>
    <w:rsid w:val="3CCB0CC2"/>
    <w:rsid w:val="3DA804C5"/>
    <w:rsid w:val="3F672502"/>
    <w:rsid w:val="42E46BA5"/>
    <w:rsid w:val="43B128CD"/>
    <w:rsid w:val="444C2BAD"/>
    <w:rsid w:val="469227AF"/>
    <w:rsid w:val="47796DDA"/>
    <w:rsid w:val="48195F83"/>
    <w:rsid w:val="4B5C5772"/>
    <w:rsid w:val="4B9425A7"/>
    <w:rsid w:val="4C21754B"/>
    <w:rsid w:val="4C3D72CE"/>
    <w:rsid w:val="4EA73064"/>
    <w:rsid w:val="5065520B"/>
    <w:rsid w:val="50DF560F"/>
    <w:rsid w:val="547C510B"/>
    <w:rsid w:val="57556680"/>
    <w:rsid w:val="5A446194"/>
    <w:rsid w:val="5B486DCE"/>
    <w:rsid w:val="614702AB"/>
    <w:rsid w:val="618010AA"/>
    <w:rsid w:val="62731B54"/>
    <w:rsid w:val="65E16585"/>
    <w:rsid w:val="6660390A"/>
    <w:rsid w:val="66B27F22"/>
    <w:rsid w:val="67AD3598"/>
    <w:rsid w:val="67BB4BB4"/>
    <w:rsid w:val="69DF4EAA"/>
    <w:rsid w:val="6A7F6677"/>
    <w:rsid w:val="6C160B26"/>
    <w:rsid w:val="6F3040D9"/>
    <w:rsid w:val="70BA3EAB"/>
    <w:rsid w:val="7344513D"/>
    <w:rsid w:val="782A06EE"/>
    <w:rsid w:val="78996968"/>
    <w:rsid w:val="799E7C8D"/>
    <w:rsid w:val="79B9217A"/>
    <w:rsid w:val="7BF20FBF"/>
    <w:rsid w:val="7D927C78"/>
    <w:rsid w:val="7DC252D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9"/>
    <w:semiHidden/>
    <w:unhideWhenUsed/>
    <w:qFormat/>
    <w:uiPriority w:val="99"/>
    <w:rPr>
      <w:rFonts w:ascii="宋体" w:eastAsia="宋体"/>
      <w:sz w:val="18"/>
      <w:szCs w:val="18"/>
    </w:rPr>
  </w:style>
  <w:style w:type="paragraph" w:styleId="3">
    <w:name w:val="annotation text"/>
    <w:basedOn w:val="1"/>
    <w:link w:val="14"/>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15"/>
    <w:semiHidden/>
    <w:unhideWhenUsed/>
    <w:qFormat/>
    <w:uiPriority w:val="99"/>
    <w:rPr>
      <w:b/>
      <w:bCs/>
    </w:rPr>
  </w:style>
  <w:style w:type="character" w:styleId="11">
    <w:name w:val="Hyperlink"/>
    <w:unhideWhenUsed/>
    <w:qFormat/>
    <w:uiPriority w:val="99"/>
    <w:rPr>
      <w:color w:val="0000FF"/>
      <w:u w:val="single"/>
    </w:rPr>
  </w:style>
  <w:style w:type="character" w:styleId="12">
    <w:name w:val="annotation reference"/>
    <w:basedOn w:val="10"/>
    <w:semiHidden/>
    <w:unhideWhenUsed/>
    <w:qFormat/>
    <w:uiPriority w:val="99"/>
    <w:rPr>
      <w:sz w:val="21"/>
      <w:szCs w:val="21"/>
    </w:rPr>
  </w:style>
  <w:style w:type="paragraph" w:customStyle="1" w:styleId="13">
    <w:name w:val="source-date1"/>
    <w:basedOn w:val="1"/>
    <w:qFormat/>
    <w:uiPriority w:val="0"/>
    <w:pPr>
      <w:widowControl/>
      <w:pBdr>
        <w:bottom w:val="single" w:color="002080" w:sz="12" w:space="15"/>
      </w:pBdr>
      <w:spacing w:before="100" w:beforeAutospacing="1" w:after="100" w:afterAutospacing="1"/>
      <w:jc w:val="center"/>
    </w:pPr>
    <w:rPr>
      <w:rFonts w:ascii="宋体" w:hAnsi="宋体" w:eastAsia="宋体" w:cs="宋体"/>
      <w:color w:val="303030"/>
      <w:kern w:val="0"/>
      <w:sz w:val="18"/>
      <w:szCs w:val="18"/>
    </w:rPr>
  </w:style>
  <w:style w:type="character" w:customStyle="1" w:styleId="14">
    <w:name w:val="批注文字 Char"/>
    <w:basedOn w:val="10"/>
    <w:link w:val="3"/>
    <w:semiHidden/>
    <w:qFormat/>
    <w:uiPriority w:val="99"/>
  </w:style>
  <w:style w:type="character" w:customStyle="1" w:styleId="15">
    <w:name w:val="批注主题 Char"/>
    <w:basedOn w:val="14"/>
    <w:link w:val="8"/>
    <w:semiHidden/>
    <w:qFormat/>
    <w:uiPriority w:val="99"/>
    <w:rPr>
      <w:b/>
      <w:bCs/>
    </w:rPr>
  </w:style>
  <w:style w:type="character" w:customStyle="1" w:styleId="16">
    <w:name w:val="批注框文本 Char"/>
    <w:basedOn w:val="10"/>
    <w:link w:val="4"/>
    <w:semiHidden/>
    <w:qFormat/>
    <w:uiPriority w:val="99"/>
    <w:rPr>
      <w:sz w:val="18"/>
      <w:szCs w:val="18"/>
    </w:rPr>
  </w:style>
  <w:style w:type="character" w:customStyle="1" w:styleId="17">
    <w:name w:val="页眉 Char"/>
    <w:basedOn w:val="10"/>
    <w:link w:val="6"/>
    <w:qFormat/>
    <w:uiPriority w:val="99"/>
    <w:rPr>
      <w:sz w:val="18"/>
      <w:szCs w:val="18"/>
    </w:rPr>
  </w:style>
  <w:style w:type="character" w:customStyle="1" w:styleId="18">
    <w:name w:val="页脚 Char"/>
    <w:basedOn w:val="10"/>
    <w:link w:val="5"/>
    <w:qFormat/>
    <w:uiPriority w:val="99"/>
    <w:rPr>
      <w:sz w:val="18"/>
      <w:szCs w:val="18"/>
    </w:rPr>
  </w:style>
  <w:style w:type="character" w:customStyle="1" w:styleId="19">
    <w:name w:val="文档结构图 Char"/>
    <w:basedOn w:val="10"/>
    <w:link w:val="2"/>
    <w:semiHidden/>
    <w:qFormat/>
    <w:uiPriority w:val="99"/>
    <w:rPr>
      <w:rFonts w:ascii="宋体" w:eastAsia="宋体"/>
      <w:sz w:val="18"/>
      <w:szCs w:val="18"/>
    </w:rPr>
  </w:style>
  <w:style w:type="paragraph" w:customStyle="1" w:styleId="20">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1">
    <w:name w:val="不明显强调1"/>
    <w:basedOn w:val="10"/>
    <w:qFormat/>
    <w:uiPriority w:val="19"/>
    <w:rPr>
      <w:i/>
      <w:iCs/>
      <w:color w:val="808080" w:themeColor="text1" w:themeTint="80"/>
      <w14:textFill>
        <w14:solidFill>
          <w14:schemeClr w14:val="tx1">
            <w14:lumMod w14:val="50000"/>
            <w14:lumOff w14:val="50000"/>
          </w14:schemeClr>
        </w14:solidFill>
      </w14:textFill>
    </w:rPr>
  </w:style>
  <w:style w:type="paragraph" w:customStyle="1" w:styleId="22">
    <w:name w:val="修订2"/>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c56b0f09-50ea-4fea-a0b4-53aaf08fe9aa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274D4BC8</paraID>
      <start>0</start>
      <end>2</end>
      <status>unmodified</status>
      <modifiedWord/>
      <trackRevisions>false</trackRevisions>
    </reviewItem>
    <reviewItem>
      <errorID>dfcaf798-8ec0-4a45-8556-4cf965e61204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5FFD94D6</paraID>
      <start>0</start>
      <end>2</end>
      <status>unmodified</status>
      <modifiedWord/>
      <trackRevisions>false</trackRevisions>
    </reviewItem>
    <reviewItem>
      <errorID>a15b503e-7131-4273-b36c-97185ce27ecd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33325A15</paraID>
      <start>0</start>
      <end>2</end>
      <status>unmodified</status>
      <modifiedWord/>
      <trackRevisions>false</trackRevisions>
    </reviewItem>
    <reviewItem>
      <errorID>724cd67a-e66a-4c58-8c03-026e53a65dd8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AC7F9C0</paraID>
      <start>0</start>
      <end>2</end>
      <status>unmodified</status>
      <modifiedWord/>
      <trackRevisions>false</trackRevisions>
    </reviewItem>
    <reviewItem>
      <errorID>2f574525-dd9c-4e83-9e11-4b45919a012f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4457F1D4</paraID>
      <start>0</start>
      <end>2</end>
      <status>unmodified</status>
      <modifiedWord/>
      <trackRevisions>false</trackRevisions>
    </reviewItem>
    <reviewItem>
      <errorID>b8b72ca1-cd1e-42b1-844e-23742ba8190a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1D625129</paraID>
      <start>116</start>
      <end>119</end>
      <status>unmodified</status>
      <modifiedWord/>
      <trackRevisions>false</trackRevisions>
    </reviewItem>
    <reviewItem>
      <errorID>a7071640-2ecc-4344-bf40-d21792359e9c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1D625129</paraID>
      <start>124</start>
      <end>127</end>
      <status>unmodified</status>
      <modifiedWord/>
      <trackRevisions>false</trackRevisions>
    </reviewItem>
    <reviewItem>
      <errorID>26210bd6-7dec-43ec-b8b0-49463dbcf338</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6F5AE1B8</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4e30070d-2cde-4f25-8e94-4a2fbd92692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1169</Words>
  <Characters>1227</Characters>
  <Lines>15</Lines>
  <Paragraphs>4</Paragraphs>
  <TotalTime>11</TotalTime>
  <ScaleCrop>false</ScaleCrop>
  <LinksUpToDate>false</LinksUpToDate>
  <CharactersWithSpaces>1229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2022-10-20T02:55:00Z</dcterms:created>
  <dc:creator>周宁</dc:creator>
  <cp:lastModifiedBy>刘五月</cp:lastModifiedBy>
  <dcterms:modified xsi:type="dcterms:W3CDTF">2026-10-19T02:40:48Z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74A05FC282BA434FA521C596A02EDA68_13</vt:lpwstr>
  </property>
  <property fmtid="{D5CDD505-2E9C-101B-9397-08002B2CF9AE}" pid="4" name="KSOTemplateDocerSaveRecord">
    <vt:lpwstr>eyJoZGlkIjoiNzk1ZDdmZTkxYTc4Njg1OTczNGFlZDIwMDVlZGYwMjEiLCJ1c2VySWQiOiIzMDA3OTY4OCJ9</vt:lpwstr>
  </property>
</Properties>
</file>